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D7D" w:rsidRPr="009F28FF" w:rsidRDefault="00D04678">
      <w:pPr>
        <w:rPr>
          <w:rFonts w:ascii="Times New Roman" w:hAnsi="Times New Roman" w:cs="Times New Roman"/>
          <w:b/>
        </w:rPr>
      </w:pPr>
      <w:r w:rsidRPr="009F28FF">
        <w:rPr>
          <w:rFonts w:ascii="Times New Roman" w:hAnsi="Times New Roman" w:cs="Times New Roman"/>
          <w:b/>
        </w:rPr>
        <w:t>Appendix 5</w:t>
      </w:r>
      <w:r w:rsidR="0078364D" w:rsidRPr="009F28FF">
        <w:rPr>
          <w:rFonts w:ascii="Times New Roman" w:hAnsi="Times New Roman" w:cs="Times New Roman"/>
          <w:b/>
        </w:rPr>
        <w:t xml:space="preserve">: </w:t>
      </w:r>
      <w:r w:rsidRPr="009F28FF">
        <w:rPr>
          <w:rFonts w:ascii="Times New Roman" w:hAnsi="Times New Roman" w:cs="Times New Roman"/>
          <w:b/>
        </w:rPr>
        <w:t>Examples of k</w:t>
      </w:r>
      <w:r w:rsidR="00F32C28" w:rsidRPr="009F28FF">
        <w:rPr>
          <w:rFonts w:ascii="Times New Roman" w:hAnsi="Times New Roman" w:cs="Times New Roman"/>
          <w:b/>
        </w:rPr>
        <w:t>ey</w:t>
      </w:r>
      <w:r w:rsidRPr="009F28FF">
        <w:rPr>
          <w:rFonts w:ascii="Times New Roman" w:hAnsi="Times New Roman" w:cs="Times New Roman"/>
          <w:b/>
        </w:rPr>
        <w:t xml:space="preserve"> third,</w:t>
      </w:r>
      <w:r w:rsidR="00F32C28" w:rsidRPr="009F28FF">
        <w:rPr>
          <w:rFonts w:ascii="Times New Roman" w:hAnsi="Times New Roman" w:cs="Times New Roman"/>
          <w:b/>
        </w:rPr>
        <w:t xml:space="preserve"> second and first </w:t>
      </w:r>
      <w:r w:rsidR="0078364D" w:rsidRPr="009F28FF">
        <w:rPr>
          <w:rFonts w:ascii="Times New Roman" w:hAnsi="Times New Roman" w:cs="Times New Roman"/>
          <w:b/>
        </w:rPr>
        <w:t xml:space="preserve">order constructs that underpinned </w:t>
      </w:r>
      <w:r w:rsidRPr="009F28FF">
        <w:rPr>
          <w:rFonts w:ascii="Times New Roman" w:hAnsi="Times New Roman" w:cs="Times New Roman"/>
          <w:b/>
        </w:rPr>
        <w:t xml:space="preserve">the </w:t>
      </w:r>
      <w:r w:rsidR="00264CF2" w:rsidRPr="009F28FF">
        <w:rPr>
          <w:rFonts w:ascii="Times New Roman" w:hAnsi="Times New Roman" w:cs="Times New Roman"/>
          <w:b/>
        </w:rPr>
        <w:t>synthesising argument</w:t>
      </w:r>
      <w:r w:rsidR="0078364D" w:rsidRPr="009F28FF">
        <w:rPr>
          <w:rFonts w:ascii="Times New Roman" w:hAnsi="Times New Roman" w:cs="Times New Roman"/>
          <w:b/>
        </w:rPr>
        <w:t xml:space="preserve"> (critique of approach to integrated marketing)</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47"/>
        <w:gridCol w:w="3260"/>
        <w:gridCol w:w="7796"/>
      </w:tblGrid>
      <w:tr w:rsidR="00D04678" w:rsidRPr="009F28FF" w:rsidTr="00FD2B92">
        <w:trPr>
          <w:trHeight w:val="602"/>
          <w:tblHeader/>
        </w:trPr>
        <w:tc>
          <w:tcPr>
            <w:tcW w:w="2547" w:type="dxa"/>
            <w:shd w:val="clear" w:color="auto" w:fill="EDEDED" w:themeFill="accent3" w:themeFillTint="33"/>
          </w:tcPr>
          <w:p w:rsidR="00D04678" w:rsidRPr="00FD2B92" w:rsidRDefault="00D04678" w:rsidP="0078364D">
            <w:pPr>
              <w:spacing w:after="0" w:line="240" w:lineRule="auto"/>
              <w:rPr>
                <w:rFonts w:ascii="Times New Roman" w:eastAsia="Times New Roman" w:hAnsi="Times New Roman" w:cs="Times New Roman"/>
                <w:b/>
                <w:color w:val="000000"/>
                <w:lang w:eastAsia="en-GB"/>
              </w:rPr>
            </w:pPr>
            <w:r w:rsidRPr="00FD2B92">
              <w:rPr>
                <w:rFonts w:ascii="Times New Roman" w:eastAsia="Times New Roman" w:hAnsi="Times New Roman" w:cs="Times New Roman"/>
                <w:b/>
                <w:color w:val="000000"/>
                <w:lang w:eastAsia="en-GB"/>
              </w:rPr>
              <w:t xml:space="preserve">Example of third order constructs </w:t>
            </w:r>
          </w:p>
        </w:tc>
        <w:tc>
          <w:tcPr>
            <w:tcW w:w="3260" w:type="dxa"/>
            <w:shd w:val="clear" w:color="auto" w:fill="EDEDED" w:themeFill="accent3" w:themeFillTint="33"/>
          </w:tcPr>
          <w:p w:rsidR="00D04678" w:rsidRPr="009F28FF" w:rsidRDefault="00D04678" w:rsidP="00D04678">
            <w:pPr>
              <w:spacing w:after="0" w:line="240" w:lineRule="auto"/>
              <w:rPr>
                <w:rFonts w:ascii="Times New Roman" w:eastAsia="Times New Roman" w:hAnsi="Times New Roman" w:cs="Times New Roman"/>
                <w:b/>
                <w:color w:val="000000"/>
                <w:lang w:eastAsia="en-GB"/>
              </w:rPr>
            </w:pPr>
            <w:r w:rsidRPr="009F28FF">
              <w:rPr>
                <w:rFonts w:ascii="Times New Roman" w:eastAsia="Times New Roman" w:hAnsi="Times New Roman" w:cs="Times New Roman"/>
                <w:b/>
                <w:color w:val="000000"/>
                <w:lang w:eastAsia="en-GB"/>
              </w:rPr>
              <w:t xml:space="preserve">Examples of constituent </w:t>
            </w:r>
            <w:r w:rsidRPr="009F28FF">
              <w:rPr>
                <w:rFonts w:ascii="Times New Roman" w:eastAsia="Times New Roman" w:hAnsi="Times New Roman" w:cs="Times New Roman"/>
                <w:b/>
                <w:color w:val="000000"/>
                <w:lang w:eastAsia="en-GB"/>
              </w:rPr>
              <w:t xml:space="preserve">second </w:t>
            </w:r>
            <w:r w:rsidRPr="009F28FF">
              <w:rPr>
                <w:rFonts w:ascii="Times New Roman" w:eastAsia="Times New Roman" w:hAnsi="Times New Roman" w:cs="Times New Roman"/>
                <w:b/>
                <w:color w:val="000000"/>
                <w:lang w:eastAsia="en-GB"/>
              </w:rPr>
              <w:t>order constructs</w:t>
            </w:r>
          </w:p>
        </w:tc>
        <w:tc>
          <w:tcPr>
            <w:tcW w:w="7796" w:type="dxa"/>
            <w:shd w:val="clear" w:color="auto" w:fill="EDEDED" w:themeFill="accent3" w:themeFillTint="33"/>
          </w:tcPr>
          <w:p w:rsidR="00D04678" w:rsidRPr="009F28FF" w:rsidRDefault="00D04678" w:rsidP="00F32C28">
            <w:pPr>
              <w:spacing w:after="0" w:line="240" w:lineRule="auto"/>
              <w:rPr>
                <w:rFonts w:ascii="Times New Roman" w:eastAsia="Times New Roman" w:hAnsi="Times New Roman" w:cs="Times New Roman"/>
                <w:b/>
                <w:color w:val="000000"/>
                <w:lang w:eastAsia="en-GB"/>
              </w:rPr>
            </w:pPr>
            <w:r w:rsidRPr="009F28FF">
              <w:rPr>
                <w:rFonts w:ascii="Times New Roman" w:eastAsia="Times New Roman" w:hAnsi="Times New Roman" w:cs="Times New Roman"/>
                <w:b/>
                <w:color w:val="000000"/>
                <w:lang w:eastAsia="en-GB"/>
              </w:rPr>
              <w:t>Examples of constituent first order constructs</w:t>
            </w:r>
          </w:p>
        </w:tc>
      </w:tr>
      <w:tr w:rsidR="00FD2B92" w:rsidRPr="009F28FF" w:rsidTr="009F28FF">
        <w:trPr>
          <w:trHeight w:val="602"/>
        </w:trPr>
        <w:tc>
          <w:tcPr>
            <w:tcW w:w="2547" w:type="dxa"/>
            <w:vMerge w:val="restart"/>
            <w:hideMark/>
          </w:tcPr>
          <w:p w:rsidR="00FD2B92" w:rsidRPr="00FD2B92" w:rsidRDefault="00FD2B92" w:rsidP="009F28FF">
            <w:pPr>
              <w:spacing w:after="0" w:line="240" w:lineRule="auto"/>
              <w:rPr>
                <w:rFonts w:ascii="Times New Roman" w:eastAsia="Times New Roman" w:hAnsi="Times New Roman" w:cs="Times New Roman"/>
                <w:b/>
                <w:color w:val="000000"/>
                <w:lang w:eastAsia="en-GB"/>
              </w:rPr>
            </w:pPr>
            <w:r w:rsidRPr="00FD2B92">
              <w:rPr>
                <w:rFonts w:ascii="Times New Roman" w:eastAsia="Times New Roman" w:hAnsi="Times New Roman" w:cs="Times New Roman"/>
                <w:b/>
                <w:color w:val="000000"/>
                <w:lang w:eastAsia="en-GB"/>
              </w:rPr>
              <w:t xml:space="preserve">Balloon effect </w:t>
            </w:r>
          </w:p>
        </w:tc>
        <w:tc>
          <w:tcPr>
            <w:tcW w:w="3260" w:type="dxa"/>
            <w:vMerge w:val="restart"/>
          </w:tcPr>
          <w:p w:rsidR="00FD2B92" w:rsidRPr="009F28FF" w:rsidRDefault="00FD2B92" w:rsidP="00D04678">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Marketing responds to regulation</w:t>
            </w:r>
          </w:p>
        </w:tc>
        <w:tc>
          <w:tcPr>
            <w:tcW w:w="7796" w:type="dxa"/>
            <w:hideMark/>
          </w:tcPr>
          <w:p w:rsidR="00FD2B92" w:rsidRPr="009F28FF" w:rsidRDefault="00FD2B92" w:rsidP="007844F9">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 xml:space="preserve">"The comparison of the results of these studies showed that although there is a good adherence to these regulations, children are still targeted by marketers in different ways" (44, </w:t>
            </w:r>
            <w:r w:rsidRPr="009F28FF">
              <w:rPr>
                <w:rFonts w:ascii="Times New Roman" w:eastAsia="Times New Roman" w:hAnsi="Times New Roman" w:cs="Times New Roman"/>
                <w:color w:val="000000"/>
                <w:lang w:eastAsia="en-GB"/>
              </w:rPr>
              <w:t>p115</w:t>
            </w:r>
            <w:r w:rsidRPr="009F28FF">
              <w:rPr>
                <w:rFonts w:ascii="Times New Roman" w:eastAsia="Times New Roman" w:hAnsi="Times New Roman" w:cs="Times New Roman"/>
                <w:color w:val="000000"/>
                <w:lang w:eastAsia="en-GB"/>
              </w:rPr>
              <w:t>)</w:t>
            </w:r>
          </w:p>
        </w:tc>
      </w:tr>
      <w:tr w:rsidR="00FD2B92" w:rsidRPr="009F28FF" w:rsidTr="009F28FF">
        <w:trPr>
          <w:trHeight w:val="1056"/>
        </w:trPr>
        <w:tc>
          <w:tcPr>
            <w:tcW w:w="2547" w:type="dxa"/>
            <w:vMerge/>
            <w:hideMark/>
          </w:tcPr>
          <w:p w:rsidR="00FD2B92" w:rsidRPr="00FD2B92" w:rsidRDefault="00FD2B92" w:rsidP="009F28FF">
            <w:pPr>
              <w:spacing w:after="0" w:line="240" w:lineRule="auto"/>
              <w:rPr>
                <w:rFonts w:ascii="Times New Roman" w:eastAsia="Times New Roman" w:hAnsi="Times New Roman" w:cs="Times New Roman"/>
                <w:b/>
                <w:color w:val="000000"/>
                <w:lang w:eastAsia="en-GB"/>
              </w:rPr>
            </w:pPr>
          </w:p>
        </w:tc>
        <w:tc>
          <w:tcPr>
            <w:tcW w:w="3260" w:type="dxa"/>
            <w:vMerge/>
          </w:tcPr>
          <w:p w:rsidR="00FD2B92" w:rsidRPr="009F28FF" w:rsidRDefault="00FD2B92" w:rsidP="0078364D">
            <w:pPr>
              <w:spacing w:after="0" w:line="240" w:lineRule="auto"/>
              <w:rPr>
                <w:rFonts w:ascii="Times New Roman" w:eastAsia="Times New Roman" w:hAnsi="Times New Roman" w:cs="Times New Roman"/>
                <w:color w:val="000000"/>
                <w:lang w:eastAsia="en-GB"/>
              </w:rPr>
            </w:pPr>
          </w:p>
        </w:tc>
        <w:tc>
          <w:tcPr>
            <w:tcW w:w="7796" w:type="dxa"/>
            <w:hideMark/>
          </w:tcPr>
          <w:p w:rsidR="00FD2B92" w:rsidRPr="009F28FF" w:rsidRDefault="00FD2B92" w:rsidP="007844F9">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 xml:space="preserve">"Policy makers may also consider adopting additional supporting interventions that target broader aspects of marketers' 4Ps, such as product availability through industry reformulation, or food pricing via taxes and subsidies, in a whole system intervention to reduce the  impact of food marketing" </w:t>
            </w:r>
            <w:r w:rsidRPr="009F28FF">
              <w:rPr>
                <w:rFonts w:ascii="Times New Roman" w:eastAsia="Times New Roman" w:hAnsi="Times New Roman" w:cs="Times New Roman"/>
                <w:color w:val="000000"/>
                <w:lang w:eastAsia="en-GB"/>
              </w:rPr>
              <w:t>(</w:t>
            </w:r>
            <w:r w:rsidRPr="009F28FF">
              <w:rPr>
                <w:rFonts w:ascii="Times New Roman" w:eastAsia="Times New Roman" w:hAnsi="Times New Roman" w:cs="Times New Roman"/>
                <w:color w:val="000000"/>
                <w:lang w:eastAsia="en-GB"/>
              </w:rPr>
              <w:t>58, p289</w:t>
            </w:r>
            <w:r w:rsidRPr="009F28FF">
              <w:rPr>
                <w:rFonts w:ascii="Times New Roman" w:eastAsia="Times New Roman" w:hAnsi="Times New Roman" w:cs="Times New Roman"/>
                <w:color w:val="000000"/>
                <w:lang w:eastAsia="en-GB"/>
              </w:rPr>
              <w:t>)</w:t>
            </w:r>
          </w:p>
        </w:tc>
      </w:tr>
      <w:tr w:rsidR="005C4E48" w:rsidRPr="009F28FF" w:rsidTr="009F28FF">
        <w:trPr>
          <w:trHeight w:val="520"/>
        </w:trPr>
        <w:tc>
          <w:tcPr>
            <w:tcW w:w="2547" w:type="dxa"/>
            <w:vMerge/>
            <w:hideMark/>
          </w:tcPr>
          <w:p w:rsidR="005C4E48" w:rsidRPr="00FD2B92" w:rsidRDefault="005C4E48" w:rsidP="009F28FF">
            <w:pPr>
              <w:spacing w:after="0" w:line="240" w:lineRule="auto"/>
              <w:rPr>
                <w:rFonts w:ascii="Times New Roman" w:eastAsia="Times New Roman" w:hAnsi="Times New Roman" w:cs="Times New Roman"/>
                <w:b/>
                <w:color w:val="000000"/>
                <w:lang w:eastAsia="en-GB"/>
              </w:rPr>
            </w:pPr>
          </w:p>
        </w:tc>
        <w:tc>
          <w:tcPr>
            <w:tcW w:w="3260" w:type="dxa"/>
          </w:tcPr>
          <w:p w:rsidR="005C4E48" w:rsidRPr="009F28FF" w:rsidRDefault="005C4E48" w:rsidP="0078364D">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Current regulation insufficient</w:t>
            </w:r>
          </w:p>
        </w:tc>
        <w:tc>
          <w:tcPr>
            <w:tcW w:w="7796" w:type="dxa"/>
            <w:hideMark/>
          </w:tcPr>
          <w:p w:rsidR="005C4E48" w:rsidRPr="009F28FF" w:rsidRDefault="005C4E48" w:rsidP="00D04678">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"This report shows the pressing need for regulatory change, across all media platforms" (60, p4)</w:t>
            </w:r>
          </w:p>
        </w:tc>
      </w:tr>
      <w:tr w:rsidR="00FD2B92" w:rsidRPr="009F28FF" w:rsidTr="009F28FF">
        <w:trPr>
          <w:trHeight w:val="795"/>
        </w:trPr>
        <w:tc>
          <w:tcPr>
            <w:tcW w:w="2547" w:type="dxa"/>
            <w:vMerge w:val="restart"/>
          </w:tcPr>
          <w:p w:rsidR="00FD2B92" w:rsidRPr="00FD2B92" w:rsidRDefault="00FD2B92" w:rsidP="009F28FF">
            <w:pPr>
              <w:spacing w:after="0" w:line="240" w:lineRule="auto"/>
              <w:rPr>
                <w:rFonts w:ascii="Times New Roman" w:eastAsia="Times New Roman" w:hAnsi="Times New Roman" w:cs="Times New Roman"/>
                <w:b/>
                <w:color w:val="000000"/>
                <w:lang w:eastAsia="en-GB"/>
              </w:rPr>
            </w:pPr>
            <w:r w:rsidRPr="00FD2B92">
              <w:rPr>
                <w:rFonts w:ascii="Times New Roman" w:eastAsia="Times New Roman" w:hAnsi="Times New Roman" w:cs="Times New Roman"/>
                <w:b/>
                <w:color w:val="000000"/>
                <w:lang w:eastAsia="en-GB"/>
              </w:rPr>
              <w:t>Pinpointing strategy</w:t>
            </w:r>
          </w:p>
        </w:tc>
        <w:tc>
          <w:tcPr>
            <w:tcW w:w="3260" w:type="dxa"/>
            <w:vMerge w:val="restart"/>
          </w:tcPr>
          <w:p w:rsidR="00FD2B92" w:rsidRPr="009F28FF" w:rsidRDefault="00FD2B92" w:rsidP="00FD2B92">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Strategies are specific activities</w:t>
            </w:r>
          </w:p>
        </w:tc>
        <w:tc>
          <w:tcPr>
            <w:tcW w:w="7796" w:type="dxa"/>
          </w:tcPr>
          <w:p w:rsidR="00FD2B92" w:rsidRPr="009F28FF" w:rsidRDefault="00FD2B92" w:rsidP="009F28FF">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"food marketing captures...multiple marketing strategies or techniques (from spokes-characters, premium oﬀers and health/nutrition related claims to emotional appeals and theme</w:t>
            </w:r>
            <w:bookmarkStart w:id="0" w:name="_GoBack"/>
            <w:bookmarkEnd w:id="0"/>
            <w:r w:rsidRPr="009F28FF">
              <w:rPr>
                <w:rFonts w:ascii="Times New Roman" w:eastAsia="Times New Roman" w:hAnsi="Times New Roman" w:cs="Times New Roman"/>
                <w:color w:val="000000"/>
                <w:lang w:eastAsia="en-GB"/>
              </w:rPr>
              <w:t>s of fun or taste)" (47, p1)</w:t>
            </w:r>
          </w:p>
        </w:tc>
      </w:tr>
      <w:tr w:rsidR="00FD2B92" w:rsidRPr="009F28FF" w:rsidTr="009F28FF">
        <w:trPr>
          <w:trHeight w:val="795"/>
        </w:trPr>
        <w:tc>
          <w:tcPr>
            <w:tcW w:w="2547" w:type="dxa"/>
            <w:vMerge/>
          </w:tcPr>
          <w:p w:rsidR="00FD2B92" w:rsidRPr="00FD2B92" w:rsidRDefault="00FD2B92" w:rsidP="009F28FF">
            <w:pPr>
              <w:spacing w:after="0" w:line="240" w:lineRule="auto"/>
              <w:rPr>
                <w:rFonts w:ascii="Times New Roman" w:eastAsia="Times New Roman" w:hAnsi="Times New Roman" w:cs="Times New Roman"/>
                <w:b/>
                <w:color w:val="000000"/>
                <w:lang w:eastAsia="en-GB"/>
              </w:rPr>
            </w:pPr>
          </w:p>
        </w:tc>
        <w:tc>
          <w:tcPr>
            <w:tcW w:w="3260" w:type="dxa"/>
            <w:vMerge/>
          </w:tcPr>
          <w:p w:rsidR="00FD2B92" w:rsidRDefault="00FD2B92" w:rsidP="0078364D">
            <w:pPr>
              <w:spacing w:after="0" w:line="240" w:lineRule="auto"/>
              <w:rPr>
                <w:rFonts w:ascii="Times New Roman" w:eastAsia="Times New Roman" w:hAnsi="Times New Roman" w:cs="Times New Roman"/>
                <w:color w:val="000000"/>
                <w:lang w:eastAsia="en-GB"/>
              </w:rPr>
            </w:pPr>
          </w:p>
        </w:tc>
        <w:tc>
          <w:tcPr>
            <w:tcW w:w="7796" w:type="dxa"/>
          </w:tcPr>
          <w:p w:rsidR="00FD2B92" w:rsidRPr="009F28FF" w:rsidRDefault="00FD2B92" w:rsidP="009F28FF">
            <w:pPr>
              <w:spacing w:after="0" w:line="240" w:lineRule="auto"/>
              <w:rPr>
                <w:rFonts w:ascii="Times New Roman" w:eastAsia="Times New Roman" w:hAnsi="Times New Roman" w:cs="Times New Roman"/>
                <w:color w:val="000000"/>
                <w:lang w:eastAsia="en-GB"/>
              </w:rPr>
            </w:pPr>
            <w:r w:rsidRPr="009F28FF">
              <w:rPr>
                <w:rFonts w:ascii="Times New Roman" w:hAnsi="Times New Roman" w:cs="Times New Roman"/>
                <w:color w:val="000000"/>
                <w:shd w:val="clear" w:color="auto" w:fill="FFFFFF"/>
              </w:rPr>
              <w:t>"Foods embedded in entertainment media might constitute another marketing strategy (in the case of branded foods) or it might not (non-branded foods)" (61, p14)</w:t>
            </w:r>
          </w:p>
        </w:tc>
      </w:tr>
      <w:tr w:rsidR="00FD2B92" w:rsidRPr="009F28FF" w:rsidTr="009F28FF">
        <w:trPr>
          <w:trHeight w:val="795"/>
        </w:trPr>
        <w:tc>
          <w:tcPr>
            <w:tcW w:w="2547" w:type="dxa"/>
            <w:vMerge/>
          </w:tcPr>
          <w:p w:rsidR="00FD2B92" w:rsidRPr="00FD2B92" w:rsidRDefault="00FD2B92" w:rsidP="009F28FF">
            <w:pPr>
              <w:spacing w:after="0" w:line="240" w:lineRule="auto"/>
              <w:rPr>
                <w:rFonts w:ascii="Times New Roman" w:eastAsia="Times New Roman" w:hAnsi="Times New Roman" w:cs="Times New Roman"/>
                <w:b/>
                <w:color w:val="000000"/>
                <w:lang w:eastAsia="en-GB"/>
              </w:rPr>
            </w:pPr>
          </w:p>
        </w:tc>
        <w:tc>
          <w:tcPr>
            <w:tcW w:w="3260" w:type="dxa"/>
          </w:tcPr>
          <w:p w:rsidR="00FD2B92" w:rsidRPr="009F28FF" w:rsidRDefault="00FD2B92" w:rsidP="0078364D">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Strategy drives activities</w:t>
            </w:r>
          </w:p>
        </w:tc>
        <w:tc>
          <w:tcPr>
            <w:tcW w:w="7796" w:type="dxa"/>
          </w:tcPr>
          <w:p w:rsidR="00FD2B92" w:rsidRPr="009F28FF" w:rsidRDefault="00FD2B92" w:rsidP="00187D36">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"There is also evidence from content analysis research that digital marketing uses a variety of creative, sophisticated, and stimulating marketing strategies to produce attractive and engaging content, with audience participation and brand immersion at the forefront of activities" (60, p27)</w:t>
            </w:r>
          </w:p>
        </w:tc>
      </w:tr>
      <w:tr w:rsidR="00FD2B92" w:rsidRPr="009F28FF" w:rsidTr="009F28FF">
        <w:trPr>
          <w:trHeight w:val="945"/>
        </w:trPr>
        <w:tc>
          <w:tcPr>
            <w:tcW w:w="2547" w:type="dxa"/>
            <w:vMerge w:val="restart"/>
            <w:hideMark/>
          </w:tcPr>
          <w:p w:rsidR="00FD2B92" w:rsidRPr="00FD2B92" w:rsidRDefault="00FD2B92" w:rsidP="009F28FF">
            <w:pPr>
              <w:spacing w:after="0" w:line="240" w:lineRule="auto"/>
              <w:rPr>
                <w:rFonts w:ascii="Times New Roman" w:eastAsia="Times New Roman" w:hAnsi="Times New Roman" w:cs="Times New Roman"/>
                <w:b/>
                <w:color w:val="000000"/>
                <w:lang w:eastAsia="en-GB"/>
              </w:rPr>
            </w:pPr>
            <w:r w:rsidRPr="00FD2B92">
              <w:rPr>
                <w:rFonts w:ascii="Times New Roman" w:eastAsia="Times New Roman" w:hAnsi="Times New Roman" w:cs="Times New Roman"/>
                <w:b/>
                <w:color w:val="000000"/>
                <w:lang w:eastAsia="en-GB"/>
              </w:rPr>
              <w:t>Temporality</w:t>
            </w:r>
          </w:p>
        </w:tc>
        <w:tc>
          <w:tcPr>
            <w:tcW w:w="3260" w:type="dxa"/>
            <w:vMerge w:val="restart"/>
          </w:tcPr>
          <w:p w:rsidR="00FD2B92" w:rsidRPr="009F28FF" w:rsidRDefault="00FD2B92"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Accumulating over time</w:t>
            </w:r>
          </w:p>
          <w:p w:rsidR="00FD2B92" w:rsidRPr="009F28FF" w:rsidRDefault="00FD2B92" w:rsidP="00BC6D83">
            <w:pPr>
              <w:spacing w:after="0" w:line="240" w:lineRule="auto"/>
              <w:rPr>
                <w:rFonts w:ascii="Times New Roman" w:eastAsia="Times New Roman" w:hAnsi="Times New Roman" w:cs="Times New Roman"/>
                <w:color w:val="000000"/>
                <w:lang w:eastAsia="en-GB"/>
              </w:rPr>
            </w:pPr>
          </w:p>
        </w:tc>
        <w:tc>
          <w:tcPr>
            <w:tcW w:w="7796" w:type="dxa"/>
            <w:hideMark/>
          </w:tcPr>
          <w:p w:rsidR="00FD2B92" w:rsidRPr="009F28FF" w:rsidRDefault="00FD2B92"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"The collective effects of continued exposure to food marketing that occurs in real life and over a lifetime may lead to an amplification of these effects, particularly when the marketing is repetitious and delivered over multiple platforms and many settings" (46, p531)</w:t>
            </w:r>
          </w:p>
        </w:tc>
      </w:tr>
      <w:tr w:rsidR="00FD2B92" w:rsidRPr="009F28FF" w:rsidTr="009F28FF">
        <w:trPr>
          <w:trHeight w:val="945"/>
        </w:trPr>
        <w:tc>
          <w:tcPr>
            <w:tcW w:w="2547" w:type="dxa"/>
            <w:vMerge/>
          </w:tcPr>
          <w:p w:rsidR="00FD2B92" w:rsidRPr="00FD2B92" w:rsidRDefault="00FD2B92" w:rsidP="009F28FF">
            <w:pPr>
              <w:spacing w:after="0" w:line="240" w:lineRule="auto"/>
              <w:rPr>
                <w:rFonts w:ascii="Times New Roman" w:eastAsia="Times New Roman" w:hAnsi="Times New Roman" w:cs="Times New Roman"/>
                <w:b/>
                <w:color w:val="000000"/>
                <w:lang w:eastAsia="en-GB"/>
              </w:rPr>
            </w:pPr>
          </w:p>
        </w:tc>
        <w:tc>
          <w:tcPr>
            <w:tcW w:w="3260" w:type="dxa"/>
            <w:vMerge/>
          </w:tcPr>
          <w:p w:rsidR="00FD2B92" w:rsidRPr="009F28FF" w:rsidRDefault="00FD2B92" w:rsidP="00BC6D83">
            <w:pPr>
              <w:spacing w:after="0" w:line="240" w:lineRule="auto"/>
              <w:rPr>
                <w:rFonts w:ascii="Times New Roman" w:eastAsia="Times New Roman" w:hAnsi="Times New Roman" w:cs="Times New Roman"/>
                <w:color w:val="000000"/>
                <w:lang w:eastAsia="en-GB"/>
              </w:rPr>
            </w:pPr>
          </w:p>
        </w:tc>
        <w:tc>
          <w:tcPr>
            <w:tcW w:w="7796" w:type="dxa"/>
          </w:tcPr>
          <w:p w:rsidR="00FD2B92" w:rsidRPr="009F28FF" w:rsidRDefault="00FD2B92"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"Although the hypothetical effect model is depicted as a linear progression, it is likely that many of the levels are recurrent and result in positive feedback and reinforcement of earlier levels" (49, p e92)</w:t>
            </w:r>
          </w:p>
        </w:tc>
      </w:tr>
      <w:tr w:rsidR="00FD2B92" w:rsidRPr="009F28FF" w:rsidTr="009F28FF">
        <w:trPr>
          <w:trHeight w:val="627"/>
        </w:trPr>
        <w:tc>
          <w:tcPr>
            <w:tcW w:w="2547" w:type="dxa"/>
            <w:vMerge/>
          </w:tcPr>
          <w:p w:rsidR="00FD2B92" w:rsidRPr="00FD2B92" w:rsidRDefault="00FD2B92" w:rsidP="009F28FF">
            <w:pPr>
              <w:spacing w:after="0" w:line="240" w:lineRule="auto"/>
              <w:rPr>
                <w:rFonts w:ascii="Times New Roman" w:eastAsia="Times New Roman" w:hAnsi="Times New Roman" w:cs="Times New Roman"/>
                <w:b/>
                <w:color w:val="000000"/>
                <w:lang w:eastAsia="en-GB"/>
              </w:rPr>
            </w:pPr>
          </w:p>
        </w:tc>
        <w:tc>
          <w:tcPr>
            <w:tcW w:w="3260" w:type="dxa"/>
            <w:vMerge/>
          </w:tcPr>
          <w:p w:rsidR="00FD2B92" w:rsidRPr="009F28FF" w:rsidRDefault="00FD2B92" w:rsidP="00BC6D83">
            <w:pPr>
              <w:spacing w:after="0" w:line="240" w:lineRule="auto"/>
              <w:rPr>
                <w:rFonts w:ascii="Times New Roman" w:eastAsia="Times New Roman" w:hAnsi="Times New Roman" w:cs="Times New Roman"/>
                <w:color w:val="000000"/>
                <w:lang w:eastAsia="en-GB"/>
              </w:rPr>
            </w:pPr>
          </w:p>
        </w:tc>
        <w:tc>
          <w:tcPr>
            <w:tcW w:w="7796" w:type="dxa"/>
          </w:tcPr>
          <w:p w:rsidR="00FD2B92" w:rsidRPr="009F28FF" w:rsidRDefault="00FD2B92"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"The collective effects of continued exposure to food marketing that occurs in real life and over a lifetime may differ" (51, p956)</w:t>
            </w:r>
          </w:p>
        </w:tc>
      </w:tr>
      <w:tr w:rsidR="005C4E48" w:rsidRPr="009F28FF" w:rsidTr="009F28FF">
        <w:trPr>
          <w:trHeight w:val="520"/>
        </w:trPr>
        <w:tc>
          <w:tcPr>
            <w:tcW w:w="2547" w:type="dxa"/>
            <w:vMerge/>
            <w:hideMark/>
          </w:tcPr>
          <w:p w:rsidR="005C4E48" w:rsidRPr="00FD2B92" w:rsidRDefault="005C4E48" w:rsidP="009F28FF">
            <w:pPr>
              <w:spacing w:after="0" w:line="240" w:lineRule="auto"/>
              <w:rPr>
                <w:rFonts w:ascii="Times New Roman" w:eastAsia="Times New Roman" w:hAnsi="Times New Roman" w:cs="Times New Roman"/>
                <w:b/>
                <w:color w:val="000000"/>
                <w:lang w:eastAsia="en-GB"/>
              </w:rPr>
            </w:pPr>
          </w:p>
        </w:tc>
        <w:tc>
          <w:tcPr>
            <w:tcW w:w="3260" w:type="dxa"/>
          </w:tcPr>
          <w:p w:rsidR="005C4E48" w:rsidRPr="009F28FF" w:rsidRDefault="005C4E48"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Unclear long term effects</w:t>
            </w:r>
          </w:p>
        </w:tc>
        <w:tc>
          <w:tcPr>
            <w:tcW w:w="7796" w:type="dxa"/>
            <w:hideMark/>
          </w:tcPr>
          <w:p w:rsidR="005C4E48" w:rsidRPr="009F28FF" w:rsidRDefault="005C4E48"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[In reference to packaging cues] "Little is known about whether the effect of these cues persists in the long term" (56, p12)</w:t>
            </w:r>
          </w:p>
        </w:tc>
      </w:tr>
      <w:tr w:rsidR="005C4E48" w:rsidRPr="009F28FF" w:rsidTr="009F28FF">
        <w:trPr>
          <w:trHeight w:val="520"/>
        </w:trPr>
        <w:tc>
          <w:tcPr>
            <w:tcW w:w="2547" w:type="dxa"/>
            <w:vMerge/>
            <w:hideMark/>
          </w:tcPr>
          <w:p w:rsidR="005C4E48" w:rsidRPr="00FD2B92" w:rsidRDefault="005C4E48" w:rsidP="009F28FF">
            <w:pPr>
              <w:spacing w:after="0" w:line="240" w:lineRule="auto"/>
              <w:rPr>
                <w:rFonts w:ascii="Times New Roman" w:eastAsia="Times New Roman" w:hAnsi="Times New Roman" w:cs="Times New Roman"/>
                <w:b/>
                <w:color w:val="000000"/>
                <w:lang w:eastAsia="en-GB"/>
              </w:rPr>
            </w:pPr>
          </w:p>
        </w:tc>
        <w:tc>
          <w:tcPr>
            <w:tcW w:w="3260" w:type="dxa"/>
          </w:tcPr>
          <w:p w:rsidR="005C4E48" w:rsidRPr="009F28FF" w:rsidRDefault="005C4E48"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Short term marketing</w:t>
            </w:r>
          </w:p>
        </w:tc>
        <w:tc>
          <w:tcPr>
            <w:tcW w:w="7796" w:type="dxa"/>
            <w:hideMark/>
          </w:tcPr>
          <w:p w:rsidR="005C4E48" w:rsidRPr="009F28FF" w:rsidRDefault="005C4E48"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"'Price promotion' was defined as a consumer-facing temporary price reduction or discount available to all customers" (48, p1284)</w:t>
            </w:r>
          </w:p>
        </w:tc>
      </w:tr>
      <w:tr w:rsidR="009F28FF" w:rsidRPr="009F28FF" w:rsidTr="009F28FF">
        <w:trPr>
          <w:trHeight w:val="795"/>
        </w:trPr>
        <w:tc>
          <w:tcPr>
            <w:tcW w:w="2547" w:type="dxa"/>
            <w:hideMark/>
          </w:tcPr>
          <w:p w:rsidR="009F28FF" w:rsidRPr="00FD2B92" w:rsidRDefault="009F28FF" w:rsidP="009F28FF">
            <w:pPr>
              <w:spacing w:after="0" w:line="240" w:lineRule="auto"/>
              <w:rPr>
                <w:rFonts w:ascii="Times New Roman" w:eastAsia="Times New Roman" w:hAnsi="Times New Roman" w:cs="Times New Roman"/>
                <w:b/>
                <w:color w:val="000000"/>
                <w:lang w:eastAsia="en-GB"/>
              </w:rPr>
            </w:pPr>
            <w:r w:rsidRPr="00FD2B92">
              <w:rPr>
                <w:rFonts w:ascii="Times New Roman" w:eastAsia="Times New Roman" w:hAnsi="Times New Roman" w:cs="Times New Roman"/>
                <w:b/>
                <w:color w:val="000000"/>
                <w:lang w:eastAsia="en-GB"/>
              </w:rPr>
              <w:t>Measuring marketing components</w:t>
            </w:r>
          </w:p>
        </w:tc>
        <w:tc>
          <w:tcPr>
            <w:tcW w:w="3260" w:type="dxa"/>
          </w:tcPr>
          <w:p w:rsidR="009F28FF" w:rsidRPr="009F28FF" w:rsidRDefault="009F28FF"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Cannot capture breadth of marketing in singular studies</w:t>
            </w:r>
          </w:p>
        </w:tc>
        <w:tc>
          <w:tcPr>
            <w:tcW w:w="7796" w:type="dxa"/>
            <w:hideMark/>
          </w:tcPr>
          <w:p w:rsidR="009F28FF" w:rsidRPr="009F28FF" w:rsidRDefault="009F28FF" w:rsidP="00BC6D83">
            <w:pPr>
              <w:spacing w:after="0" w:line="240" w:lineRule="auto"/>
              <w:rPr>
                <w:rFonts w:ascii="Times New Roman" w:eastAsia="Times New Roman" w:hAnsi="Times New Roman" w:cs="Times New Roman"/>
                <w:color w:val="000000"/>
                <w:lang w:eastAsia="en-GB"/>
              </w:rPr>
            </w:pPr>
            <w:r w:rsidRPr="009F28FF">
              <w:rPr>
                <w:rFonts w:ascii="Times New Roman" w:eastAsia="Times New Roman" w:hAnsi="Times New Roman" w:cs="Times New Roman"/>
                <w:color w:val="000000"/>
                <w:lang w:eastAsia="en-GB"/>
              </w:rPr>
              <w:t>"Moreover, because studies have tended to focus on just some marketing elements and are therefore not sufficiently comprehensive, it is difficult to understand the totality of food and beverage marketing that students are exposed to" (66, p10)</w:t>
            </w:r>
          </w:p>
        </w:tc>
      </w:tr>
    </w:tbl>
    <w:p w:rsidR="0078364D" w:rsidRPr="009F28FF" w:rsidRDefault="0078364D">
      <w:pPr>
        <w:rPr>
          <w:rFonts w:ascii="Times New Roman" w:hAnsi="Times New Roman" w:cs="Times New Roman"/>
          <w:b/>
        </w:rPr>
      </w:pPr>
    </w:p>
    <w:sectPr w:rsidR="0078364D" w:rsidRPr="009F28FF" w:rsidSect="0078364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64D"/>
    <w:rsid w:val="00187D36"/>
    <w:rsid w:val="001F57E0"/>
    <w:rsid w:val="00264CF2"/>
    <w:rsid w:val="002D59A6"/>
    <w:rsid w:val="00462D90"/>
    <w:rsid w:val="005C4E48"/>
    <w:rsid w:val="0078364D"/>
    <w:rsid w:val="007844F9"/>
    <w:rsid w:val="009F28FF"/>
    <w:rsid w:val="00D04678"/>
    <w:rsid w:val="00F32C28"/>
    <w:rsid w:val="00FD2B92"/>
    <w:rsid w:val="00FD6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1D7E"/>
  <w15:chartTrackingRefBased/>
  <w15:docId w15:val="{F06CB4C8-7C03-4235-AB40-C37CA55A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448448">
      <w:bodyDiv w:val="1"/>
      <w:marLeft w:val="0"/>
      <w:marRight w:val="0"/>
      <w:marTop w:val="0"/>
      <w:marBottom w:val="0"/>
      <w:divBdr>
        <w:top w:val="none" w:sz="0" w:space="0" w:color="auto"/>
        <w:left w:val="none" w:sz="0" w:space="0" w:color="auto"/>
        <w:bottom w:val="none" w:sz="0" w:space="0" w:color="auto"/>
        <w:right w:val="none" w:sz="0" w:space="0" w:color="auto"/>
      </w:divBdr>
      <w:divsChild>
        <w:div w:id="972322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Forde</dc:creator>
  <cp:keywords/>
  <dc:description/>
  <cp:lastModifiedBy>Hannah Forde</cp:lastModifiedBy>
  <cp:revision>7</cp:revision>
  <dcterms:created xsi:type="dcterms:W3CDTF">2023-06-02T16:53:00Z</dcterms:created>
  <dcterms:modified xsi:type="dcterms:W3CDTF">2023-06-03T16:11:00Z</dcterms:modified>
</cp:coreProperties>
</file>