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6E843" w14:textId="77777777" w:rsidR="00367343" w:rsidRPr="00367343" w:rsidRDefault="00367343" w:rsidP="00367343">
      <w:pPr>
        <w:spacing w:line="480" w:lineRule="auto"/>
        <w:jc w:val="center"/>
        <w:rPr>
          <w:rFonts w:ascii="Times New Roman" w:hAnsi="Times New Roman" w:cs="Times New Roman"/>
          <w:b/>
          <w:sz w:val="24"/>
          <w:szCs w:val="24"/>
        </w:rPr>
      </w:pPr>
      <w:r w:rsidRPr="00367343">
        <w:rPr>
          <w:rFonts w:ascii="Times New Roman" w:hAnsi="Times New Roman" w:cs="Times New Roman"/>
          <w:b/>
          <w:sz w:val="24"/>
          <w:szCs w:val="24"/>
        </w:rPr>
        <w:t>Data collection and variable measure</w:t>
      </w:r>
    </w:p>
    <w:p w14:paraId="5C0C3649" w14:textId="4E3E9382" w:rsidR="009109B9" w:rsidRDefault="00367343" w:rsidP="00000BAB">
      <w:pPr>
        <w:spacing w:after="0" w:line="480" w:lineRule="auto"/>
        <w:jc w:val="both"/>
        <w:rPr>
          <w:rFonts w:ascii="Times New Roman" w:hAnsi="Times New Roman" w:cs="Times New Roman"/>
          <w:sz w:val="24"/>
          <w:szCs w:val="24"/>
        </w:rPr>
      </w:pPr>
      <w:r w:rsidRPr="00367343">
        <w:rPr>
          <w:rFonts w:ascii="Times New Roman" w:hAnsi="Times New Roman" w:cs="Times New Roman"/>
          <w:sz w:val="24"/>
          <w:szCs w:val="24"/>
        </w:rPr>
        <w:t xml:space="preserve">The questionnaire </w:t>
      </w:r>
      <w:r w:rsidR="009109B9">
        <w:rPr>
          <w:rFonts w:ascii="Times New Roman" w:hAnsi="Times New Roman" w:cs="Times New Roman"/>
          <w:sz w:val="24"/>
          <w:szCs w:val="24"/>
        </w:rPr>
        <w:t>consisted of</w:t>
      </w:r>
      <w:r w:rsidRPr="00367343">
        <w:rPr>
          <w:rFonts w:ascii="Times New Roman" w:hAnsi="Times New Roman" w:cs="Times New Roman"/>
          <w:sz w:val="24"/>
          <w:szCs w:val="24"/>
        </w:rPr>
        <w:t xml:space="preserve"> three </w:t>
      </w:r>
      <w:r w:rsidR="009109B9">
        <w:rPr>
          <w:rFonts w:ascii="Times New Roman" w:hAnsi="Times New Roman" w:cs="Times New Roman"/>
          <w:sz w:val="24"/>
          <w:szCs w:val="24"/>
        </w:rPr>
        <w:t xml:space="preserve">categories of </w:t>
      </w:r>
      <w:r w:rsidRPr="00367343">
        <w:rPr>
          <w:rFonts w:ascii="Times New Roman" w:hAnsi="Times New Roman" w:cs="Times New Roman"/>
          <w:sz w:val="24"/>
          <w:szCs w:val="24"/>
        </w:rPr>
        <w:t>household expenditures</w:t>
      </w:r>
      <w:r w:rsidR="009109B9">
        <w:rPr>
          <w:rFonts w:ascii="Times New Roman" w:hAnsi="Times New Roman" w:cs="Times New Roman"/>
          <w:sz w:val="24"/>
          <w:szCs w:val="24"/>
        </w:rPr>
        <w:t>, which were</w:t>
      </w:r>
      <w:r w:rsidRPr="00367343">
        <w:rPr>
          <w:rFonts w:ascii="Times New Roman" w:hAnsi="Times New Roman" w:cs="Times New Roman"/>
          <w:sz w:val="24"/>
          <w:szCs w:val="24"/>
        </w:rPr>
        <w:t xml:space="preserve"> food expenditure (FE), non</w:t>
      </w:r>
      <w:r w:rsidR="009109B9">
        <w:rPr>
          <w:rFonts w:ascii="Times New Roman" w:hAnsi="Times New Roman" w:cs="Times New Roman"/>
          <w:sz w:val="24"/>
          <w:szCs w:val="24"/>
        </w:rPr>
        <w:t>-</w:t>
      </w:r>
      <w:r w:rsidRPr="00367343">
        <w:rPr>
          <w:rFonts w:ascii="Times New Roman" w:hAnsi="Times New Roman" w:cs="Times New Roman"/>
          <w:sz w:val="24"/>
          <w:szCs w:val="24"/>
        </w:rPr>
        <w:t xml:space="preserve">food expenditure (NFE) and healthcare expenditure (HE). The healthcare utilization variables were measured as binary </w:t>
      </w:r>
      <w:r w:rsidR="009109B9">
        <w:rPr>
          <w:rFonts w:ascii="Times New Roman" w:hAnsi="Times New Roman" w:cs="Times New Roman"/>
          <w:sz w:val="24"/>
          <w:szCs w:val="24"/>
        </w:rPr>
        <w:t xml:space="preserve">outcomes </w:t>
      </w:r>
      <w:r w:rsidRPr="00367343">
        <w:rPr>
          <w:rFonts w:ascii="Times New Roman" w:hAnsi="Times New Roman" w:cs="Times New Roman"/>
          <w:sz w:val="24"/>
          <w:szCs w:val="24"/>
        </w:rPr>
        <w:t xml:space="preserve">with yes/no responses. The respondents were </w:t>
      </w:r>
      <w:r w:rsidR="009109B9">
        <w:rPr>
          <w:rFonts w:ascii="Times New Roman" w:hAnsi="Times New Roman" w:cs="Times New Roman"/>
          <w:sz w:val="24"/>
          <w:szCs w:val="24"/>
        </w:rPr>
        <w:t xml:space="preserve">first </w:t>
      </w:r>
      <w:r w:rsidRPr="00367343">
        <w:rPr>
          <w:rFonts w:ascii="Times New Roman" w:hAnsi="Times New Roman" w:cs="Times New Roman"/>
          <w:sz w:val="24"/>
          <w:szCs w:val="24"/>
        </w:rPr>
        <w:t xml:space="preserve">asked </w:t>
      </w:r>
      <w:r w:rsidR="009109B9">
        <w:rPr>
          <w:rFonts w:ascii="Times New Roman" w:hAnsi="Times New Roman" w:cs="Times New Roman"/>
          <w:sz w:val="24"/>
          <w:szCs w:val="24"/>
        </w:rPr>
        <w:t>whether</w:t>
      </w:r>
      <w:r w:rsidRPr="00367343">
        <w:rPr>
          <w:rFonts w:ascii="Times New Roman" w:hAnsi="Times New Roman" w:cs="Times New Roman"/>
          <w:sz w:val="24"/>
          <w:szCs w:val="24"/>
        </w:rPr>
        <w:t xml:space="preserve"> </w:t>
      </w:r>
      <w:r w:rsidR="009109B9">
        <w:rPr>
          <w:rFonts w:ascii="Times New Roman" w:hAnsi="Times New Roman" w:cs="Times New Roman"/>
          <w:sz w:val="24"/>
          <w:szCs w:val="24"/>
        </w:rPr>
        <w:t>any of the household member</w:t>
      </w:r>
      <w:r w:rsidR="009109B9" w:rsidRPr="00367343">
        <w:rPr>
          <w:rFonts w:ascii="Times New Roman" w:hAnsi="Times New Roman" w:cs="Times New Roman"/>
          <w:sz w:val="24"/>
          <w:szCs w:val="24"/>
        </w:rPr>
        <w:t xml:space="preserve"> </w:t>
      </w:r>
      <w:r w:rsidRPr="00367343">
        <w:rPr>
          <w:rFonts w:ascii="Times New Roman" w:hAnsi="Times New Roman" w:cs="Times New Roman"/>
          <w:sz w:val="24"/>
          <w:szCs w:val="24"/>
        </w:rPr>
        <w:t>had visited a health facility for either (a) outpatient services (OPD) within the last 4 weeks or (b) inpatient services (IPD) within the last year. Thereafter, the</w:t>
      </w:r>
      <w:r w:rsidR="009109B9">
        <w:rPr>
          <w:rFonts w:ascii="Times New Roman" w:hAnsi="Times New Roman" w:cs="Times New Roman"/>
          <w:sz w:val="24"/>
          <w:szCs w:val="24"/>
        </w:rPr>
        <w:t>y</w:t>
      </w:r>
      <w:r w:rsidRPr="00367343">
        <w:rPr>
          <w:rFonts w:ascii="Times New Roman" w:hAnsi="Times New Roman" w:cs="Times New Roman"/>
          <w:sz w:val="24"/>
          <w:szCs w:val="24"/>
        </w:rPr>
        <w:t xml:space="preserve"> were asked to report health expenditures of the household for outpatient and inpatient care</w:t>
      </w:r>
      <w:r w:rsidRPr="00367343" w:rsidDel="009F396F">
        <w:rPr>
          <w:rFonts w:ascii="Times New Roman" w:hAnsi="Times New Roman" w:cs="Times New Roman"/>
          <w:sz w:val="24"/>
          <w:szCs w:val="24"/>
        </w:rPr>
        <w:t xml:space="preserve"> </w:t>
      </w:r>
      <w:r w:rsidRPr="00367343">
        <w:rPr>
          <w:rFonts w:ascii="Times New Roman" w:hAnsi="Times New Roman" w:cs="Times New Roman"/>
          <w:sz w:val="24"/>
          <w:szCs w:val="24"/>
        </w:rPr>
        <w:t>for the relevant recall periods.</w:t>
      </w:r>
      <w:r>
        <w:rPr>
          <w:rFonts w:ascii="Times New Roman" w:hAnsi="Times New Roman" w:cs="Times New Roman"/>
          <w:sz w:val="24"/>
          <w:szCs w:val="24"/>
        </w:rPr>
        <w:t xml:space="preserve"> </w:t>
      </w:r>
      <w:r w:rsidRPr="00367343">
        <w:rPr>
          <w:rFonts w:ascii="Times New Roman" w:hAnsi="Times New Roman" w:cs="Times New Roman"/>
          <w:sz w:val="24"/>
          <w:szCs w:val="24"/>
        </w:rPr>
        <w:t xml:space="preserve">These expenses included registration fees, consultation fees, laboratory diagnosis, treatment costs, food, transport and accommodation costs, both for the patients and their companions. </w:t>
      </w:r>
    </w:p>
    <w:p w14:paraId="58B1F868" w14:textId="7501504C" w:rsidR="009109B9" w:rsidRDefault="00367343" w:rsidP="00000BAB">
      <w:pPr>
        <w:spacing w:after="0" w:line="480" w:lineRule="auto"/>
        <w:jc w:val="both"/>
        <w:rPr>
          <w:rFonts w:ascii="Times New Roman" w:hAnsi="Times New Roman" w:cs="Times New Roman"/>
          <w:sz w:val="24"/>
          <w:szCs w:val="24"/>
        </w:rPr>
      </w:pPr>
      <w:r w:rsidRPr="00367343">
        <w:rPr>
          <w:rFonts w:ascii="Times New Roman" w:hAnsi="Times New Roman" w:cs="Times New Roman"/>
          <w:sz w:val="24"/>
          <w:szCs w:val="24"/>
        </w:rPr>
        <w:t xml:space="preserve">Furthermore, the respondents were asked about the average monthly household expenditure on food and non-food items. </w:t>
      </w:r>
      <w:bookmarkStart w:id="0" w:name="_Hlk138180897"/>
      <w:r w:rsidRPr="00367343">
        <w:rPr>
          <w:rFonts w:ascii="Times New Roman" w:hAnsi="Times New Roman" w:cs="Times New Roman"/>
          <w:sz w:val="24"/>
          <w:szCs w:val="24"/>
        </w:rPr>
        <w:t>This approach of collecting data on household expenditure for food, non-food and health is a standard method</w:t>
      </w:r>
      <w:bookmarkEnd w:id="0"/>
      <w:r w:rsidRPr="00367343">
        <w:rPr>
          <w:rFonts w:ascii="Times New Roman" w:hAnsi="Times New Roman" w:cs="Times New Roman"/>
          <w:sz w:val="24"/>
          <w:szCs w:val="24"/>
        </w:rPr>
        <w:t xml:space="preserve"> introduced by the WHO and the </w:t>
      </w:r>
      <w:r w:rsidR="009109B9">
        <w:rPr>
          <w:rFonts w:ascii="Times New Roman" w:hAnsi="Times New Roman" w:cs="Times New Roman"/>
          <w:sz w:val="24"/>
          <w:szCs w:val="24"/>
        </w:rPr>
        <w:t>W</w:t>
      </w:r>
      <w:r w:rsidRPr="00367343">
        <w:rPr>
          <w:rFonts w:ascii="Times New Roman" w:hAnsi="Times New Roman" w:cs="Times New Roman"/>
          <w:sz w:val="24"/>
          <w:szCs w:val="24"/>
        </w:rPr>
        <w:t xml:space="preserve">orld </w:t>
      </w:r>
      <w:r w:rsidR="009109B9">
        <w:rPr>
          <w:rFonts w:ascii="Times New Roman" w:hAnsi="Times New Roman" w:cs="Times New Roman"/>
          <w:sz w:val="24"/>
          <w:szCs w:val="24"/>
        </w:rPr>
        <w:t>B</w:t>
      </w:r>
      <w:r w:rsidRPr="00367343">
        <w:rPr>
          <w:rFonts w:ascii="Times New Roman" w:hAnsi="Times New Roman" w:cs="Times New Roman"/>
          <w:sz w:val="24"/>
          <w:szCs w:val="24"/>
        </w:rPr>
        <w:t xml:space="preserve">ank and </w:t>
      </w:r>
      <w:r w:rsidR="009109B9">
        <w:rPr>
          <w:rFonts w:ascii="Times New Roman" w:hAnsi="Times New Roman" w:cs="Times New Roman"/>
          <w:sz w:val="24"/>
          <w:szCs w:val="24"/>
        </w:rPr>
        <w:t>has been</w:t>
      </w:r>
      <w:r w:rsidRPr="00367343">
        <w:rPr>
          <w:rFonts w:ascii="Times New Roman" w:hAnsi="Times New Roman" w:cs="Times New Roman"/>
          <w:sz w:val="24"/>
          <w:szCs w:val="24"/>
        </w:rPr>
        <w:t xml:space="preserve"> used in various studies that measure living standards </w:t>
      </w:r>
      <w:r w:rsidRPr="00367343">
        <w:rPr>
          <w:rFonts w:ascii="Times New Roman" w:hAnsi="Times New Roman" w:cs="Times New Roman"/>
          <w:sz w:val="24"/>
          <w:szCs w:val="24"/>
        </w:rPr>
        <w:fldChar w:fldCharType="begin" w:fldLock="1"/>
      </w:r>
      <w:r w:rsidR="00AE4343">
        <w:rPr>
          <w:rFonts w:ascii="Times New Roman" w:hAnsi="Times New Roman" w:cs="Times New Roman"/>
          <w:sz w:val="24"/>
          <w:szCs w:val="24"/>
        </w:rPr>
        <w:instrText>ADDIN CSL_CITATION {"citationItems":[{"id":"ITEM-1","itemData":{"DOI":"10.5860/choice.38-6244","ISBN":"0195215958","ISSN":"0009-4978","abstract":"Comprehensive and informative document on the design, implementation, and use of household surveys in developing countries. V.1. Survey design -- Core modules -- v.2. Additional modules -- Special topics -- v.3. Draft questionnaire modules.","author":[{"dropping-particle":"","family":"Grosh","given":"Margaret","non-dropping-particle":"","parse-names":false,"suffix":""},{"dropping-particle":"","family":"Glewwe","given":"Paul","non-dropping-particle":"","parse-names":false,"suffix":""}],"container-title":"The World Bank","id":"ITEM-1","issue":"11","issued":{"date-parts":[["2000"]]},"number-of-pages":"356","publisher":"The World Bank","publisher-place":"Washington, D.C.","title":"Designing household survey questionnaires for developing countries: lessons from 15 years of the living standards measurement study","type":"book","volume":"1"},"uris":["http://www.mendeley.com/documents/?uuid=3b24e5d8-513b-43a6-8841-537c918d8f69"]},{"id":"ITEM-2","itemData":{"DOI":"10.1007/s40258-020-00609-1","ISBN":"0123456789","ISSN":"11791896","PMID":"32909224","abstract":"Background: Out of pocket (OOP) payments for healthcare remain a significant health financing challenge in sub-Saharan Africa (SSA). Understanding the drivers and impacts of this financial health burden is both an economic and a public health priority. Objective: This study examines how the burden of OOP health expenditures varies with different thresholds for financial catastrophe. Methods: The analysis is based on Livings Standards Measurement Surveys (LSMS)-Integrated Surveys on Agriculture (ISA) for five SSA countries—Ethiopia, Malawi, Nigeria, Tanzania, and Uganda. We estimate the degree by which OOP payments as share of total household non-food expenditures exceed either the 15 or 25% threshold. Results: For the countries considered, the severity of OOP payments is substantial—the average positive overshoot (beyond the 25% threshold) is above 10%, except for Nigeria. This reflects a higher percentage of OOP in total household health expenditures—compared to taxes and contributions—especially among the poor in these specific countries. Regarding sensitivity of distribution of catastrophic health expenditures, we find that households with low non-food expenditures are more likely to incur catastrophic payments with the exception for Uganda where catastrophic payments increase with the increase of non-food household expenditures. Conclusion: The burden of catastrophic health expenditures remains large. In order to reduce this burden, public health expenditures need to be expanded as an alternative. This calls for renewed attention to expand public revenues as the most sustainable methods of financing health expenditures in Africa.","author":[{"dropping-particle":"","family":"Ssewanyana","given":"Sarah","non-dropping-particle":"","parse-names":false,"suffix":""},{"dropping-particle":"","family":"Kasirye","given":"Ibrahim","non-dropping-particle":"","parse-names":false,"suffix":""}],"container-title":"Applied Health Economics and Health Policy","id":"ITEM-2","issue":"6","issued":{"date-parts":[["2020"]]},"page":"781-788","publisher":"Springer International Publishing","title":"Estimating Catastrophic Health Expenditures from Household Surveys: Evidence from Living Standard Measurement Surveys (LSMS)-Integrated Surveys on Agriculture (ISA) from Sub-Saharan Africa","type":"article-journal","volume":"18"},"uris":["http://www.mendeley.com/documents/?uuid=0f7841ae-f407-4c22-8e67-947574684d32"]}],"mendeley":{"formattedCitation":"[1,2]","plainTextFormattedCitation":"[1,2]","previouslyFormattedCitation":"(Grosh and Glewwe 2000; Ssewanyana and Kasirye 2020)"},"properties":{"noteIndex":0},"schema":"https://github.com/citation-style-language/schema/raw/master/csl-citation.json"}</w:instrText>
      </w:r>
      <w:r w:rsidRPr="00367343">
        <w:rPr>
          <w:rFonts w:ascii="Times New Roman" w:hAnsi="Times New Roman" w:cs="Times New Roman"/>
          <w:sz w:val="24"/>
          <w:szCs w:val="24"/>
        </w:rPr>
        <w:fldChar w:fldCharType="separate"/>
      </w:r>
      <w:r w:rsidR="00AE4343" w:rsidRPr="00AE4343">
        <w:rPr>
          <w:rFonts w:ascii="Times New Roman" w:hAnsi="Times New Roman" w:cs="Times New Roman"/>
          <w:noProof/>
          <w:sz w:val="24"/>
          <w:szCs w:val="24"/>
        </w:rPr>
        <w:t>[1,2]</w:t>
      </w:r>
      <w:r w:rsidRPr="00367343">
        <w:rPr>
          <w:rFonts w:ascii="Times New Roman" w:hAnsi="Times New Roman" w:cs="Times New Roman"/>
          <w:sz w:val="24"/>
          <w:szCs w:val="24"/>
        </w:rPr>
        <w:fldChar w:fldCharType="end"/>
      </w:r>
      <w:r w:rsidRPr="00367343">
        <w:rPr>
          <w:rFonts w:ascii="Times New Roman" w:hAnsi="Times New Roman" w:cs="Times New Roman"/>
          <w:sz w:val="24"/>
          <w:szCs w:val="24"/>
        </w:rPr>
        <w:t>. The expenditure data were collected in the local currency (</w:t>
      </w:r>
      <w:proofErr w:type="spellStart"/>
      <w:r w:rsidRPr="00367343">
        <w:rPr>
          <w:rFonts w:ascii="Times New Roman" w:hAnsi="Times New Roman" w:cs="Times New Roman"/>
          <w:sz w:val="24"/>
          <w:szCs w:val="24"/>
        </w:rPr>
        <w:t>Tshs</w:t>
      </w:r>
      <w:proofErr w:type="spellEnd"/>
      <w:r w:rsidRPr="00367343">
        <w:rPr>
          <w:rFonts w:ascii="Times New Roman" w:hAnsi="Times New Roman" w:cs="Times New Roman"/>
          <w:sz w:val="24"/>
          <w:szCs w:val="24"/>
        </w:rPr>
        <w:t xml:space="preserve">) and then converted to USD using the prevailing exchange rate of 1 USD = 2,318 </w:t>
      </w:r>
      <w:proofErr w:type="spellStart"/>
      <w:r w:rsidRPr="00367343">
        <w:rPr>
          <w:rFonts w:ascii="Times New Roman" w:hAnsi="Times New Roman" w:cs="Times New Roman"/>
          <w:sz w:val="24"/>
          <w:szCs w:val="24"/>
        </w:rPr>
        <w:t>Tshs</w:t>
      </w:r>
      <w:proofErr w:type="spellEnd"/>
      <w:r w:rsidRPr="00367343">
        <w:rPr>
          <w:rFonts w:ascii="Times New Roman" w:hAnsi="Times New Roman" w:cs="Times New Roman"/>
          <w:sz w:val="24"/>
          <w:szCs w:val="24"/>
        </w:rPr>
        <w:t xml:space="preserve"> on 23</w:t>
      </w:r>
      <w:r w:rsidRPr="00367343">
        <w:rPr>
          <w:rFonts w:ascii="Times New Roman" w:hAnsi="Times New Roman" w:cs="Times New Roman"/>
          <w:sz w:val="24"/>
          <w:szCs w:val="24"/>
          <w:vertAlign w:val="superscript"/>
        </w:rPr>
        <w:t>rd</w:t>
      </w:r>
      <w:r w:rsidRPr="00367343">
        <w:rPr>
          <w:rFonts w:ascii="Times New Roman" w:hAnsi="Times New Roman" w:cs="Times New Roman"/>
          <w:sz w:val="24"/>
          <w:szCs w:val="24"/>
        </w:rPr>
        <w:t xml:space="preserve"> June 2021. The expenditure </w:t>
      </w:r>
      <w:r w:rsidR="009109B9">
        <w:rPr>
          <w:rFonts w:ascii="Times New Roman" w:hAnsi="Times New Roman" w:cs="Times New Roman"/>
          <w:sz w:val="24"/>
          <w:szCs w:val="24"/>
        </w:rPr>
        <w:t>on items with a recall period of one</w:t>
      </w:r>
      <w:r w:rsidRPr="00367343">
        <w:rPr>
          <w:rFonts w:ascii="Times New Roman" w:hAnsi="Times New Roman" w:cs="Times New Roman"/>
          <w:sz w:val="24"/>
          <w:szCs w:val="24"/>
        </w:rPr>
        <w:t xml:space="preserve"> year were divided by 12 to convert them into the same recall period of 1 month.</w:t>
      </w:r>
      <w:r w:rsidR="00AE4343">
        <w:rPr>
          <w:rFonts w:ascii="Times New Roman" w:hAnsi="Times New Roman" w:cs="Times New Roman"/>
          <w:sz w:val="24"/>
          <w:szCs w:val="24"/>
        </w:rPr>
        <w:t xml:space="preserve"> </w:t>
      </w:r>
    </w:p>
    <w:p w14:paraId="42891B8C" w14:textId="72B97E7D" w:rsidR="00367343" w:rsidRDefault="00367343" w:rsidP="00367343">
      <w:pPr>
        <w:spacing w:line="480" w:lineRule="auto"/>
        <w:jc w:val="both"/>
        <w:rPr>
          <w:rFonts w:ascii="Times New Roman" w:hAnsi="Times New Roman" w:cs="Times New Roman"/>
          <w:color w:val="000000"/>
          <w:sz w:val="24"/>
          <w:szCs w:val="24"/>
        </w:rPr>
      </w:pPr>
      <w:r w:rsidRPr="00367343">
        <w:rPr>
          <w:rFonts w:ascii="Times New Roman" w:hAnsi="Times New Roman" w:cs="Times New Roman"/>
          <w:color w:val="000000"/>
          <w:sz w:val="24"/>
          <w:szCs w:val="24"/>
        </w:rPr>
        <w:t xml:space="preserve">We used total </w:t>
      </w:r>
      <w:r w:rsidR="009109B9">
        <w:rPr>
          <w:rFonts w:ascii="Times New Roman" w:hAnsi="Times New Roman" w:cs="Times New Roman"/>
          <w:color w:val="000000"/>
          <w:sz w:val="24"/>
          <w:szCs w:val="24"/>
        </w:rPr>
        <w:t xml:space="preserve">household </w:t>
      </w:r>
      <w:r w:rsidRPr="00367343">
        <w:rPr>
          <w:rFonts w:ascii="Times New Roman" w:hAnsi="Times New Roman" w:cs="Times New Roman"/>
          <w:color w:val="000000"/>
          <w:sz w:val="24"/>
          <w:szCs w:val="24"/>
        </w:rPr>
        <w:t xml:space="preserve">consumption expenditure as a measure of </w:t>
      </w:r>
      <w:r w:rsidR="00AE4343">
        <w:rPr>
          <w:rFonts w:ascii="Times New Roman" w:hAnsi="Times New Roman" w:cs="Times New Roman"/>
          <w:color w:val="000000"/>
          <w:sz w:val="24"/>
          <w:szCs w:val="24"/>
        </w:rPr>
        <w:t>socioeconomic status/</w:t>
      </w:r>
      <w:r w:rsidR="00AE4343" w:rsidRPr="00367343">
        <w:rPr>
          <w:rFonts w:ascii="Times New Roman" w:hAnsi="Times New Roman" w:cs="Times New Roman"/>
          <w:color w:val="000000"/>
          <w:sz w:val="24"/>
          <w:szCs w:val="24"/>
        </w:rPr>
        <w:t>wealth</w:t>
      </w:r>
      <w:r w:rsidR="00AE4343">
        <w:rPr>
          <w:rFonts w:ascii="Times New Roman" w:hAnsi="Times New Roman" w:cs="Times New Roman"/>
          <w:color w:val="000000"/>
          <w:sz w:val="24"/>
          <w:szCs w:val="24"/>
        </w:rPr>
        <w:t xml:space="preserve"> (</w:t>
      </w:r>
      <w:r w:rsidRPr="00367343">
        <w:rPr>
          <w:rFonts w:ascii="Times New Roman" w:hAnsi="Times New Roman" w:cs="Times New Roman"/>
          <w:color w:val="000000"/>
          <w:sz w:val="24"/>
          <w:szCs w:val="24"/>
        </w:rPr>
        <w:t>SES</w:t>
      </w:r>
      <w:r w:rsidR="00AE4343">
        <w:rPr>
          <w:rFonts w:ascii="Times New Roman" w:hAnsi="Times New Roman" w:cs="Times New Roman"/>
          <w:color w:val="000000"/>
          <w:sz w:val="24"/>
          <w:szCs w:val="24"/>
        </w:rPr>
        <w:t>)</w:t>
      </w:r>
      <w:r w:rsidRPr="00367343">
        <w:rPr>
          <w:rFonts w:ascii="Times New Roman" w:hAnsi="Times New Roman" w:cs="Times New Roman"/>
          <w:color w:val="000000"/>
          <w:sz w:val="24"/>
          <w:szCs w:val="24"/>
        </w:rPr>
        <w:t xml:space="preserve">, hence households were ranked into five wealth quintiles (socioeconomic groups) based on their aggregate consumption expenditure </w:t>
      </w:r>
      <w:r w:rsidRPr="00367343">
        <w:rPr>
          <w:rFonts w:ascii="Times New Roman" w:hAnsi="Times New Roman" w:cs="Times New Roman"/>
          <w:color w:val="000000"/>
          <w:sz w:val="24"/>
          <w:szCs w:val="24"/>
        </w:rPr>
        <w:fldChar w:fldCharType="begin" w:fldLock="1"/>
      </w:r>
      <w:r w:rsidR="00AE4343">
        <w:rPr>
          <w:rFonts w:ascii="Times New Roman" w:hAnsi="Times New Roman" w:cs="Times New Roman"/>
          <w:color w:val="000000"/>
          <w:sz w:val="24"/>
          <w:szCs w:val="24"/>
        </w:rPr>
        <w:instrText>ADDIN CSL_CITATION {"citationItems":[{"id":"ITEM-1","itemData":{"ISSN":"02534517","abstract":"An analyst using household survey data to construct a welfare metric is often confronted with a number of theoretical and practical problems. What components should be included in the overall welfare measure? Should differences in tastes be taking into account when making comparisons across people and households? How best should differences in cost-of-living and household composition be taken into consideration? Starting with a brief review of the theoretical framework underpinning typical welfare analysis undertaken based on household survey data, this paper provides some practical guidelines and advice on how best to tackle such problems. It outlines a three-part procedure for constructing a consumption-based measure of individual welfare: (i) aggregation of different components of household consumption to construct a nominal consumption aggregate, (ii) construction of price indices to adjust for differences in prices faced by households, and (iii) adjustment of the real consumption aggregate for differences in household composition. Examples based on survey data from eight countries-Ghana, Vietnam, Nepal, the Kyrgyz Republic, Ecuador, South Africa, Panama, and Brazil - are used to illustrate the various steps involved in constructing the welfare measure, and the STATA programs used for this purpose are provided in the appendix. The paper also includes examples of some analytic techniques that can be used to examine the robustness of the estimated welfare measure to underlying assumptions.","author":[{"dropping-particle":"","family":"Deaton","given":"Angus","non-dropping-particle":"","parse-names":false,"suffix":""},{"dropping-particle":"","family":"Zaidi","given":"Salman","non-dropping-particle":"","parse-names":false,"suffix":""}],"container-title":"World Bank Living Standards Measurement Study Working Paper","id":"ITEM-1","issued":{"date-parts":[["2002"]]},"page":"64-65","title":"Guidelines for constructing consumption aggregates for welfare analysis","type":"article-journal","volume":"135"},"uris":["http://www.mendeley.com/documents/?uuid=131cca08-3ccf-47dc-9c8a-a225649e011a"]}],"mendeley":{"formattedCitation":"[3]","plainTextFormattedCitation":"[3]","previouslyFormattedCitation":"(Deaton and Zaidi 2002)"},"properties":{"noteIndex":0},"schema":"https://github.com/citation-style-language/schema/raw/master/csl-citation.json"}</w:instrText>
      </w:r>
      <w:r w:rsidRPr="00367343">
        <w:rPr>
          <w:rFonts w:ascii="Times New Roman" w:hAnsi="Times New Roman" w:cs="Times New Roman"/>
          <w:color w:val="000000"/>
          <w:sz w:val="24"/>
          <w:szCs w:val="24"/>
        </w:rPr>
        <w:fldChar w:fldCharType="separate"/>
      </w:r>
      <w:r w:rsidR="00AE4343" w:rsidRPr="00AE4343">
        <w:rPr>
          <w:rFonts w:ascii="Times New Roman" w:hAnsi="Times New Roman" w:cs="Times New Roman"/>
          <w:noProof/>
          <w:color w:val="000000"/>
          <w:sz w:val="24"/>
          <w:szCs w:val="24"/>
        </w:rPr>
        <w:t>[3]</w:t>
      </w:r>
      <w:r w:rsidRPr="00367343">
        <w:rPr>
          <w:rFonts w:ascii="Times New Roman" w:hAnsi="Times New Roman" w:cs="Times New Roman"/>
          <w:color w:val="000000"/>
          <w:sz w:val="24"/>
          <w:szCs w:val="24"/>
        </w:rPr>
        <w:fldChar w:fldCharType="end"/>
      </w:r>
      <w:r w:rsidRPr="00367343">
        <w:rPr>
          <w:rFonts w:ascii="Times New Roman" w:hAnsi="Times New Roman" w:cs="Times New Roman"/>
          <w:color w:val="000000"/>
          <w:sz w:val="24"/>
          <w:szCs w:val="24"/>
        </w:rPr>
        <w:t xml:space="preserve">. SES was first constructed as an index of the total household expenditure by ranking households from the lowest to the highest household. The SES index was then divided into equal fifth (20%) quintiles. The first quintile represents the lowest 1/5 </w:t>
      </w:r>
      <w:r w:rsidRPr="00367343">
        <w:rPr>
          <w:rFonts w:ascii="Times New Roman" w:hAnsi="Times New Roman" w:cs="Times New Roman"/>
          <w:color w:val="000000"/>
          <w:sz w:val="24"/>
          <w:szCs w:val="24"/>
        </w:rPr>
        <w:lastRenderedPageBreak/>
        <w:t>of values from 0-20% followed by the second quintile from 20-40%, to the fifth quintile including the highest 1/5 from 80-100%.</w:t>
      </w:r>
    </w:p>
    <w:p w14:paraId="20F28F18" w14:textId="77777777" w:rsidR="00AE4343" w:rsidRPr="00AE4343" w:rsidRDefault="00AE4343" w:rsidP="00367343">
      <w:pPr>
        <w:spacing w:line="480" w:lineRule="auto"/>
        <w:jc w:val="both"/>
        <w:rPr>
          <w:rFonts w:ascii="Times New Roman" w:hAnsi="Times New Roman" w:cs="Times New Roman"/>
          <w:b/>
          <w:sz w:val="24"/>
          <w:szCs w:val="24"/>
        </w:rPr>
      </w:pPr>
      <w:r w:rsidRPr="00AE4343">
        <w:rPr>
          <w:rFonts w:ascii="Times New Roman" w:hAnsi="Times New Roman" w:cs="Times New Roman"/>
          <w:b/>
          <w:sz w:val="24"/>
          <w:szCs w:val="24"/>
        </w:rPr>
        <w:t xml:space="preserve">Reference </w:t>
      </w:r>
    </w:p>
    <w:p w14:paraId="14685F44" w14:textId="77777777" w:rsidR="00AE4343" w:rsidRPr="00AE4343" w:rsidRDefault="00AE4343" w:rsidP="00AE4343">
      <w:pPr>
        <w:widowControl w:val="0"/>
        <w:autoSpaceDE w:val="0"/>
        <w:autoSpaceDN w:val="0"/>
        <w:adjustRightInd w:val="0"/>
        <w:spacing w:line="48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AE4343">
        <w:rPr>
          <w:rFonts w:ascii="Times New Roman" w:hAnsi="Times New Roman" w:cs="Times New Roman"/>
          <w:noProof/>
          <w:sz w:val="24"/>
          <w:szCs w:val="24"/>
        </w:rPr>
        <w:t xml:space="preserve">1. </w:t>
      </w:r>
      <w:r w:rsidRPr="00AE4343">
        <w:rPr>
          <w:rFonts w:ascii="Times New Roman" w:hAnsi="Times New Roman" w:cs="Times New Roman"/>
          <w:noProof/>
          <w:sz w:val="24"/>
          <w:szCs w:val="24"/>
        </w:rPr>
        <w:tab/>
        <w:t xml:space="preserve">Grosh M, Glewwe P. Designing household survey questionnaires for developing countries: lessons from 15 years of the living standards measurement study. Vol. 1, The World Bank. Washington, D.C.: The World Bank; 2000. 356 p. </w:t>
      </w:r>
    </w:p>
    <w:p w14:paraId="031B7B7D" w14:textId="2A76400A" w:rsidR="00AE4343" w:rsidRPr="00AE4343" w:rsidRDefault="00AE4343" w:rsidP="00AE4343">
      <w:pPr>
        <w:widowControl w:val="0"/>
        <w:autoSpaceDE w:val="0"/>
        <w:autoSpaceDN w:val="0"/>
        <w:adjustRightInd w:val="0"/>
        <w:spacing w:line="480" w:lineRule="auto"/>
        <w:ind w:left="640" w:hanging="640"/>
        <w:rPr>
          <w:rFonts w:ascii="Times New Roman" w:hAnsi="Times New Roman" w:cs="Times New Roman"/>
          <w:noProof/>
          <w:sz w:val="24"/>
          <w:szCs w:val="24"/>
        </w:rPr>
      </w:pPr>
      <w:r w:rsidRPr="00AE4343">
        <w:rPr>
          <w:rFonts w:ascii="Times New Roman" w:hAnsi="Times New Roman" w:cs="Times New Roman"/>
          <w:noProof/>
          <w:sz w:val="24"/>
          <w:szCs w:val="24"/>
        </w:rPr>
        <w:t xml:space="preserve">2. </w:t>
      </w:r>
      <w:r w:rsidRPr="00AE4343">
        <w:rPr>
          <w:rFonts w:ascii="Times New Roman" w:hAnsi="Times New Roman" w:cs="Times New Roman"/>
          <w:noProof/>
          <w:sz w:val="24"/>
          <w:szCs w:val="24"/>
        </w:rPr>
        <w:tab/>
        <w:t xml:space="preserve">Ssewanyana S, Kasirye I. Estimating Catastrophic Health Expenditures from Household Surveys: Evidence from Living Standard Measurement Surveys (LSMS)-Integrated Surveys on Agriculture (ISA) from Sub-Saharan Africa. Appl Health Econ Health Policy. 2020;18(6):781–8. </w:t>
      </w:r>
    </w:p>
    <w:p w14:paraId="505D1E56" w14:textId="77777777" w:rsidR="00AE4343" w:rsidRPr="00AE4343" w:rsidRDefault="00AE4343" w:rsidP="00AE4343">
      <w:pPr>
        <w:widowControl w:val="0"/>
        <w:autoSpaceDE w:val="0"/>
        <w:autoSpaceDN w:val="0"/>
        <w:adjustRightInd w:val="0"/>
        <w:spacing w:line="480" w:lineRule="auto"/>
        <w:ind w:left="640" w:hanging="640"/>
        <w:rPr>
          <w:rFonts w:ascii="Times New Roman" w:hAnsi="Times New Roman" w:cs="Times New Roman"/>
          <w:noProof/>
          <w:sz w:val="24"/>
        </w:rPr>
      </w:pPr>
      <w:r w:rsidRPr="00AE4343">
        <w:rPr>
          <w:rFonts w:ascii="Times New Roman" w:hAnsi="Times New Roman" w:cs="Times New Roman"/>
          <w:noProof/>
          <w:sz w:val="24"/>
          <w:szCs w:val="24"/>
        </w:rPr>
        <w:t xml:space="preserve">3. </w:t>
      </w:r>
      <w:r w:rsidRPr="00AE4343">
        <w:rPr>
          <w:rFonts w:ascii="Times New Roman" w:hAnsi="Times New Roman" w:cs="Times New Roman"/>
          <w:noProof/>
          <w:sz w:val="24"/>
          <w:szCs w:val="24"/>
        </w:rPr>
        <w:tab/>
        <w:t xml:space="preserve">Deaton A, Zaidi S. Guidelines for constructing consumption aggregates for welfare analysis. World Bank Living Stand Meas Study Work Pap. 2002;135:64–5. </w:t>
      </w:r>
    </w:p>
    <w:p w14:paraId="1F619E5E" w14:textId="77777777" w:rsidR="00AE4343" w:rsidRPr="00367343" w:rsidRDefault="00AE4343" w:rsidP="00367343">
      <w:pPr>
        <w:spacing w:line="480" w:lineRule="auto"/>
        <w:jc w:val="both"/>
        <w:rPr>
          <w:rFonts w:ascii="Times New Roman" w:hAnsi="Times New Roman" w:cs="Times New Roman"/>
          <w:sz w:val="24"/>
          <w:szCs w:val="24"/>
        </w:rPr>
      </w:pPr>
      <w:r>
        <w:rPr>
          <w:rFonts w:ascii="Times New Roman" w:hAnsi="Times New Roman" w:cs="Times New Roman"/>
          <w:sz w:val="24"/>
          <w:szCs w:val="24"/>
        </w:rPr>
        <w:fldChar w:fldCharType="end"/>
      </w:r>
      <w:bookmarkStart w:id="1" w:name="_GoBack"/>
      <w:bookmarkEnd w:id="1"/>
    </w:p>
    <w:sectPr w:rsidR="00AE4343" w:rsidRPr="003673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C1B1E" w14:textId="77777777" w:rsidR="00CA7292" w:rsidRDefault="00CA7292" w:rsidP="009109B9">
      <w:pPr>
        <w:spacing w:after="0" w:line="240" w:lineRule="auto"/>
      </w:pPr>
      <w:r>
        <w:separator/>
      </w:r>
    </w:p>
  </w:endnote>
  <w:endnote w:type="continuationSeparator" w:id="0">
    <w:p w14:paraId="7B53398C" w14:textId="77777777" w:rsidR="00CA7292" w:rsidRDefault="00CA7292" w:rsidP="00910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48A68" w14:textId="77777777" w:rsidR="00CA7292" w:rsidRDefault="00CA7292" w:rsidP="009109B9">
      <w:pPr>
        <w:spacing w:after="0" w:line="240" w:lineRule="auto"/>
      </w:pPr>
      <w:r>
        <w:separator/>
      </w:r>
    </w:p>
  </w:footnote>
  <w:footnote w:type="continuationSeparator" w:id="0">
    <w:p w14:paraId="70537178" w14:textId="77777777" w:rsidR="00CA7292" w:rsidRDefault="00CA7292" w:rsidP="009109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343"/>
    <w:rsid w:val="00000BAB"/>
    <w:rsid w:val="00367343"/>
    <w:rsid w:val="00536266"/>
    <w:rsid w:val="005434C3"/>
    <w:rsid w:val="005A2D21"/>
    <w:rsid w:val="009109B9"/>
    <w:rsid w:val="00A14B5B"/>
    <w:rsid w:val="00AE4343"/>
    <w:rsid w:val="00B00D9C"/>
    <w:rsid w:val="00BB5110"/>
    <w:rsid w:val="00CA7292"/>
    <w:rsid w:val="00E14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D828D"/>
  <w15:chartTrackingRefBased/>
  <w15:docId w15:val="{26D44487-2E25-4DA6-A746-2E42E133C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109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625AF-69D0-4C93-B457-8D441DA2E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1374</Words>
  <Characters>7835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Alphoncina Kagaigai</dc:creator>
  <cp:keywords/>
  <dc:description/>
  <cp:lastModifiedBy>Alphoncina Kagaigai</cp:lastModifiedBy>
  <cp:revision>2</cp:revision>
  <dcterms:created xsi:type="dcterms:W3CDTF">2023-08-05T09:42:00Z</dcterms:created>
  <dcterms:modified xsi:type="dcterms:W3CDTF">2023-08-05T09:42:00Z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ae12e953-ec2e-4cb7-a087-c1377cdb2cb4</vt:lpwstr>
  </property>
  <property fmtid="{D5CDD505-2E9C-101B-9397-08002B2CF9AE}" pid="3" name="Mendeley Document_1">
    <vt:lpwstr>True</vt:lpwstr>
  </property>
  <property fmtid="{D5CDD505-2E9C-101B-9397-08002B2CF9AE}" pid="4" name="Mendeley Unique User Id_1">
    <vt:lpwstr>6a35c7b9-7315-3cb3-8766-0b44822e43b9</vt:lpwstr>
  </property>
  <property fmtid="{D5CDD505-2E9C-101B-9397-08002B2CF9AE}" pid="5" name="Mendeley Citation Style_1">
    <vt:lpwstr>http://www.zotero.org/styles/vancouver-brackets</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http://www.zotero.org/styles/chicago-author-date</vt:lpwstr>
  </property>
  <property fmtid="{D5CDD505-2E9C-101B-9397-08002B2CF9AE}" pid="9" name="Mendeley Recent Style Name 1_1">
    <vt:lpwstr>Chicago Manual of Style 17th edition (author-date)</vt:lpwstr>
  </property>
  <property fmtid="{D5CDD505-2E9C-101B-9397-08002B2CF9AE}" pid="10" name="Mendeley Recent Style Id 2_1">
    <vt:lpwstr>http://www.zotero.org/styles/harvard-cite-them-right</vt:lpwstr>
  </property>
  <property fmtid="{D5CDD505-2E9C-101B-9397-08002B2CF9AE}" pid="11" name="Mendeley Recent Style Name 2_1">
    <vt:lpwstr>Cite Them Right 12th edition - Harvard</vt:lpwstr>
  </property>
  <property fmtid="{D5CDD505-2E9C-101B-9397-08002B2CF9AE}" pid="12" name="Mendeley Recent Style Id 3_1">
    <vt:lpwstr>http://www.zotero.org/styles/ieee</vt:lpwstr>
  </property>
  <property fmtid="{D5CDD505-2E9C-101B-9397-08002B2CF9AE}" pid="13" name="Mendeley Recent Style Name 3_1">
    <vt:lpwstr>IEEE</vt:lpwstr>
  </property>
  <property fmtid="{D5CDD505-2E9C-101B-9397-08002B2CF9AE}" pid="14" name="Mendeley Recent Style Id 4_1">
    <vt:lpwstr>http://www.zotero.org/styles/modern-humanities-research-association</vt:lpwstr>
  </property>
  <property fmtid="{D5CDD505-2E9C-101B-9397-08002B2CF9AE}" pid="15" name="Mendeley Recent Style Name 4_1">
    <vt:lpwstr>Modern Humanities Research Association 3rd edition (note with bibliography)</vt:lpwstr>
  </property>
  <property fmtid="{D5CDD505-2E9C-101B-9397-08002B2CF9AE}" pid="16" name="Mendeley Recent Style Id 5_1">
    <vt:lpwstr>http://www.zotero.org/styles/modern-language-association</vt:lpwstr>
  </property>
  <property fmtid="{D5CDD505-2E9C-101B-9397-08002B2CF9AE}" pid="17" name="Mendeley Recent Style Name 5_1">
    <vt:lpwstr>Modern Language Association 9th edition</vt:lpwstr>
  </property>
  <property fmtid="{D5CDD505-2E9C-101B-9397-08002B2CF9AE}" pid="18" name="Mendeley Recent Style Id 6_1">
    <vt:lpwstr>https://csl.mendeley.com/styles/527818121/vancouver</vt:lpwstr>
  </property>
  <property fmtid="{D5CDD505-2E9C-101B-9397-08002B2CF9AE}" pid="19" name="Mendeley Recent Style Name 6_1">
    <vt:lpwstr>National Library of Medicine (Edited)</vt:lpwstr>
  </property>
  <property fmtid="{D5CDD505-2E9C-101B-9397-08002B2CF9AE}" pid="20" name="Mendeley Recent Style Id 7_1">
    <vt:lpwstr>http://www.zotero.org/styles/nature</vt:lpwstr>
  </property>
  <property fmtid="{D5CDD505-2E9C-101B-9397-08002B2CF9AE}" pid="21" name="Mendeley Recent Style Name 7_1">
    <vt:lpwstr>Nature</vt:lpwstr>
  </property>
  <property fmtid="{D5CDD505-2E9C-101B-9397-08002B2CF9AE}" pid="22" name="Mendeley Recent Style Id 8_1">
    <vt:lpwstr>http://www.zotero.org/styles/vancouver</vt:lpwstr>
  </property>
  <property fmtid="{D5CDD505-2E9C-101B-9397-08002B2CF9AE}" pid="23" name="Mendeley Recent Style Name 8_1">
    <vt:lpwstr>Vancouver</vt:lpwstr>
  </property>
  <property fmtid="{D5CDD505-2E9C-101B-9397-08002B2CF9AE}" pid="24" name="Mendeley Recent Style Id 9_1">
    <vt:lpwstr>http://www.zotero.org/styles/vancouver-brackets</vt:lpwstr>
  </property>
  <property fmtid="{D5CDD505-2E9C-101B-9397-08002B2CF9AE}" pid="25" name="Mendeley Recent Style Name 9_1">
    <vt:lpwstr>Vancouver (brackets)</vt:lpwstr>
  </property>
</Properties>
</file>