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D23B4" w14:textId="74DBB31C" w:rsidR="00A10721" w:rsidRPr="00043AAC" w:rsidRDefault="00043AAC" w:rsidP="002E5B8E">
      <w:pPr>
        <w:spacing w:line="480" w:lineRule="auto"/>
        <w:rPr>
          <w:rFonts w:asciiTheme="majorBidi" w:eastAsiaTheme="minorEastAsia" w:hAnsiTheme="majorBidi" w:cstheme="majorBidi"/>
          <w:b/>
          <w:bCs/>
          <w:sz w:val="24"/>
          <w:szCs w:val="24"/>
          <w:lang w:val="en-US"/>
        </w:rPr>
      </w:pPr>
      <w:bookmarkStart w:id="0" w:name="_GoBack"/>
      <w:proofErr w:type="gramStart"/>
      <w:r w:rsidRPr="00043AAC">
        <w:rPr>
          <w:rFonts w:asciiTheme="majorBidi" w:eastAsiaTheme="minorEastAsia" w:hAnsiTheme="majorBidi" w:cstheme="majorBidi"/>
          <w:b/>
          <w:bCs/>
          <w:sz w:val="24"/>
          <w:szCs w:val="24"/>
          <w:lang w:val="en-US"/>
        </w:rPr>
        <w:t>Supplementary Table 1.</w:t>
      </w:r>
      <w:proofErr w:type="gramEnd"/>
      <w:r w:rsidRPr="00043AAC">
        <w:rPr>
          <w:rFonts w:asciiTheme="majorBidi" w:eastAsiaTheme="minorEastAsia" w:hAnsiTheme="majorBidi" w:cstheme="majorBidi"/>
          <w:b/>
          <w:bCs/>
          <w:sz w:val="24"/>
          <w:szCs w:val="24"/>
          <w:lang w:val="en-US"/>
        </w:rPr>
        <w:t xml:space="preserve"> </w:t>
      </w:r>
      <w:r w:rsidR="00A10721" w:rsidRPr="00043AAC">
        <w:rPr>
          <w:rFonts w:asciiTheme="majorBidi" w:eastAsiaTheme="minorEastAsia" w:hAnsiTheme="majorBidi" w:cstheme="majorBidi"/>
          <w:b/>
          <w:bCs/>
          <w:sz w:val="24"/>
          <w:szCs w:val="24"/>
          <w:lang w:val="en-US"/>
        </w:rPr>
        <w:t xml:space="preserve">Prevalence of IOTF BMI categories* by </w:t>
      </w:r>
      <w:r w:rsidR="00A10721" w:rsidRPr="00043AAC">
        <w:rPr>
          <w:rFonts w:asciiTheme="majorBidi" w:hAnsiTheme="majorBidi" w:cstheme="majorBidi"/>
          <w:b/>
          <w:bCs/>
          <w:sz w:val="24"/>
          <w:szCs w:val="24"/>
          <w:lang w:val="en-US"/>
        </w:rPr>
        <w:t>children with non-immigrant and immigrant background</w:t>
      </w:r>
      <w:r w:rsidR="00B818EA" w:rsidRPr="00043AA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A10721" w:rsidRPr="00043AA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(n = 8858). </w:t>
      </w:r>
    </w:p>
    <w:tbl>
      <w:tblPr>
        <w:tblW w:w="140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0"/>
        <w:gridCol w:w="1866"/>
        <w:gridCol w:w="1937"/>
        <w:gridCol w:w="1787"/>
        <w:gridCol w:w="1787"/>
        <w:gridCol w:w="1638"/>
        <w:gridCol w:w="1489"/>
        <w:gridCol w:w="1647"/>
      </w:tblGrid>
      <w:tr w:rsidR="00A10721" w:rsidRPr="000E3AA2" w14:paraId="2712959F" w14:textId="77777777" w:rsidTr="3D09E123">
        <w:trPr>
          <w:trHeight w:val="22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94A5" w14:textId="7777777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nb-NO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5921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Non-immigrant background</w:t>
            </w: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br/>
              <w:t>(n = 7575)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2301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 xml:space="preserve">Immigrant background, total </w:t>
            </w:r>
          </w:p>
          <w:p w14:paraId="493992F0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(n = 1283)</w:t>
            </w:r>
          </w:p>
        </w:tc>
        <w:tc>
          <w:tcPr>
            <w:tcW w:w="794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D628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  <w:t>Immigrant background, by region of origin</w:t>
            </w:r>
          </w:p>
        </w:tc>
      </w:tr>
      <w:tr w:rsidR="005C1B90" w:rsidRPr="00886B90" w14:paraId="5A05B21F" w14:textId="77777777" w:rsidTr="3D09E123">
        <w:trPr>
          <w:trHeight w:val="22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2CD7B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nb-NO"/>
              </w:rPr>
            </w:pPr>
          </w:p>
        </w:tc>
        <w:tc>
          <w:tcPr>
            <w:tcW w:w="17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9D8E" w14:textId="7777777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416D" w14:textId="7777777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E1B8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Western 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and 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Northern Europe</w:t>
            </w: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  <w:br/>
              <w:t>(n = 142)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11A2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Southern 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and 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Eastern Europe</w:t>
            </w: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vertAlign w:val="subscript"/>
                <w:lang w:val="en-US"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  <w:t>(n = 288)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939C2" w14:textId="1BF74E0B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Asia </w:t>
            </w:r>
            <w:r w:rsidR="00CB5A2D"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except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 South-Asia</w:t>
            </w: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  <w:t xml:space="preserve"> </w:t>
            </w: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  <w:br/>
              <w:t>(n = 449)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B360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eastAsia="nb-NO"/>
              </w:rPr>
              <w:t xml:space="preserve">South-Asia </w:t>
            </w: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eastAsia="nb-NO"/>
              </w:rPr>
              <w:br/>
              <w:t>(n = 181)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32EF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eastAsia="nb-NO"/>
              </w:rPr>
              <w:t xml:space="preserve">Africa </w:t>
            </w:r>
            <w:r w:rsidRPr="00886B90">
              <w:rPr>
                <w:rFonts w:asciiTheme="majorBidi" w:eastAsia="Times New Roman" w:hAnsiTheme="majorBidi" w:cstheme="majorBidi"/>
                <w:sz w:val="18"/>
                <w:szCs w:val="18"/>
                <w:lang w:eastAsia="nb-NO"/>
              </w:rPr>
              <w:br/>
              <w:t>(n = 223)</w:t>
            </w:r>
          </w:p>
        </w:tc>
      </w:tr>
      <w:tr w:rsidR="005C1B90" w:rsidRPr="00886B90" w14:paraId="199C98D8" w14:textId="77777777" w:rsidTr="3D09E123">
        <w:trPr>
          <w:trHeight w:val="70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8F2B0D" w14:textId="7777777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 xml:space="preserve">Thinness </w:t>
            </w:r>
          </w:p>
          <w:p w14:paraId="3A7358C1" w14:textId="5C610620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76" w:type="dxa"/>
            <w:shd w:val="clear" w:color="auto" w:fill="auto"/>
            <w:noWrap/>
            <w:vAlign w:val="center"/>
            <w:hideMark/>
          </w:tcPr>
          <w:p w14:paraId="7620C571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7.8 (7.2, 8.4)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2437E61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11.0 (9.4, 12.8)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32AB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12.7 (8.1, 19.3)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A563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5.6 (3.4, 8.9)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8395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10.0 (7.6, 13.2)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C2F3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17.1 (12.3, 2.8)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AA43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13.9 (9.9, 19.1)</w:t>
            </w:r>
          </w:p>
        </w:tc>
      </w:tr>
      <w:tr w:rsidR="005C1B90" w:rsidRPr="00886B90" w14:paraId="5B3D3A9C" w14:textId="77777777" w:rsidTr="3D09E123">
        <w:trPr>
          <w:trHeight w:val="70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A05B68" w14:textId="7777777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 xml:space="preserve">Normal </w:t>
            </w:r>
          </w:p>
          <w:p w14:paraId="4DDF5C74" w14:textId="6F554341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76" w:type="dxa"/>
            <w:shd w:val="clear" w:color="auto" w:fill="auto"/>
            <w:noWrap/>
            <w:vAlign w:val="center"/>
            <w:hideMark/>
          </w:tcPr>
          <w:p w14:paraId="0CEAA669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76.2 (75.2, 77.1)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0FEBC93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68.5 (65.9, 71.0)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795103E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73.9 (66.0, 80.6)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9D073E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72.2 (66.7, 77.1)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2BC4DF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69.3 (64.8, 73.4)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2C4F58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64.6 (57.4, 71.3)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7EC9C83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61.9 (55.3, 68.1)</w:t>
            </w:r>
          </w:p>
        </w:tc>
      </w:tr>
      <w:tr w:rsidR="005C1B90" w:rsidRPr="00886B90" w14:paraId="13CEE287" w14:textId="77777777" w:rsidTr="3D09E123">
        <w:trPr>
          <w:trHeight w:val="70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FE5786" w14:textId="7777777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  <w:t xml:space="preserve">Overweight </w:t>
            </w:r>
          </w:p>
          <w:p w14:paraId="76709C3F" w14:textId="56562E4C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</w:p>
        </w:tc>
        <w:tc>
          <w:tcPr>
            <w:tcW w:w="1776" w:type="dxa"/>
            <w:shd w:val="clear" w:color="auto" w:fill="auto"/>
            <w:noWrap/>
            <w:vAlign w:val="center"/>
            <w:hideMark/>
          </w:tcPr>
          <w:p w14:paraId="592724A8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12.9 (12.2, 13.7)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B61FF7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15.3 (13.4, 17.4)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F525E3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9.9 (5.9, 16.0)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BB6986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15.6 (11.9, 20.3)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9CC47BF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14.5 (11.5, 18.1)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E92CD9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15.5 (10.9, 21.5)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86A5F18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19.7 (15.0, 25.5)</w:t>
            </w:r>
          </w:p>
        </w:tc>
      </w:tr>
      <w:tr w:rsidR="005C1B90" w:rsidRPr="00886B90" w14:paraId="2A74EAF6" w14:textId="77777777" w:rsidTr="3D09E123">
        <w:trPr>
          <w:trHeight w:val="678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2179" w14:textId="7777777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 xml:space="preserve">Obesity </w:t>
            </w:r>
          </w:p>
          <w:p w14:paraId="4571DCEC" w14:textId="1007556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2BE5" w14:textId="1CA489F1" w:rsidR="00A10721" w:rsidRPr="00886B90" w:rsidRDefault="00A10721" w:rsidP="3D09E123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3D09E12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3.1</w:t>
            </w:r>
            <w:r w:rsidR="1E685495" w:rsidRPr="3D09E12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 xml:space="preserve"> </w:t>
            </w:r>
            <w:r w:rsidRPr="3D09E12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(2.8, 3.5)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B8B8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5.2 (4.1, 6.6)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6475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3.5 (1.5, 8.2)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8869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6.6 (4.2, 10.1)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0EEC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6.2 (4.3, 8.9)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20FD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2.8 (1.2, 6.5)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7F07" w14:textId="77777777" w:rsidR="00A10721" w:rsidRPr="00886B90" w:rsidRDefault="00A10721" w:rsidP="002E5B8E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nb-NO"/>
              </w:rPr>
              <w:t>4.5 (2.4, 8.2)</w:t>
            </w:r>
          </w:p>
        </w:tc>
      </w:tr>
      <w:tr w:rsidR="00A10721" w:rsidRPr="000E3AA2" w14:paraId="6AD1D5E4" w14:textId="77777777" w:rsidTr="3D09E123">
        <w:trPr>
          <w:trHeight w:val="464"/>
        </w:trPr>
        <w:tc>
          <w:tcPr>
            <w:tcW w:w="0" w:type="auto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66BAC7" w14:textId="2799E270" w:rsidR="00A10721" w:rsidRPr="000A119E" w:rsidRDefault="000A119E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nb-NO"/>
              </w:rPr>
            </w:pPr>
            <w:r w:rsidRPr="005D4731">
              <w:rPr>
                <w:rFonts w:asciiTheme="majorBidi" w:eastAsiaTheme="minorEastAsia" w:hAnsiTheme="majorBidi" w:cstheme="majorBidi"/>
                <w:sz w:val="16"/>
                <w:szCs w:val="16"/>
                <w:lang w:val="en-US"/>
              </w:rPr>
              <w:t xml:space="preserve">Prevalence of IOTF BMI categories* by </w:t>
            </w:r>
            <w:r w:rsidRPr="005D4731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children with non-immigrant and immigrant background in total, and groups by region of origin (n = 8,858). </w:t>
            </w:r>
            <w:r w:rsidR="00A10721" w:rsidRPr="000A11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Numbers show percent and 95% confidence intervals.</w:t>
            </w:r>
          </w:p>
          <w:p w14:paraId="1A185536" w14:textId="77777777" w:rsidR="00A10721" w:rsidRPr="000A119E" w:rsidRDefault="00A10721" w:rsidP="002E5B8E">
            <w:pPr>
              <w:spacing w:after="0" w:line="48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0A11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* Age- and sex-specific BMI cut-off-values based on the International Obesity Task Force (IOTF) criteria</w:t>
            </w:r>
            <w:r w:rsidRPr="000A119E">
              <w:rPr>
                <w:rStyle w:val="FootnoteReference"/>
                <w:rFonts w:asciiTheme="majorBidi" w:hAnsiTheme="majorBidi" w:cstheme="majorBidi"/>
                <w:sz w:val="16"/>
                <w:szCs w:val="16"/>
                <w:lang w:val="en-US"/>
              </w:rPr>
              <w:footnoteReference w:id="2"/>
            </w:r>
            <w:r w:rsidRPr="000A11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</w:p>
          <w:p w14:paraId="3289C831" w14:textId="77777777" w:rsidR="00A10721" w:rsidRPr="00886B90" w:rsidRDefault="00A10721" w:rsidP="002E5B8E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nb-NO"/>
              </w:rPr>
            </w:pPr>
            <w:r w:rsidRPr="000A119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nb-NO"/>
              </w:rPr>
              <w:t>BMI: body mass index;</w:t>
            </w:r>
            <w:r w:rsidRPr="000A119E">
              <w:rPr>
                <w:rStyle w:val="eop"/>
                <w:rFonts w:asciiTheme="majorBidi" w:eastAsiaTheme="majorEastAsia" w:hAnsiTheme="majorBidi" w:cstheme="majorBidi"/>
                <w:sz w:val="16"/>
                <w:szCs w:val="16"/>
                <w:lang w:val="en-US"/>
              </w:rPr>
              <w:t xml:space="preserve"> n: number; </w:t>
            </w:r>
            <w:r w:rsidRPr="000A119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nb-NO"/>
              </w:rPr>
              <w:t>IOTF: International Obesity Task Force</w:t>
            </w:r>
            <w:r w:rsidRPr="000A119E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.</w:t>
            </w:r>
            <w:r w:rsidRPr="00886B90">
              <w:rPr>
                <w:rFonts w:asciiTheme="majorBidi" w:hAnsiTheme="majorBidi" w:cstheme="majorBidi"/>
                <w:sz w:val="16"/>
                <w:szCs w:val="16"/>
                <w:lang w:val="en-US" w:eastAsia="nb-NO"/>
              </w:rPr>
              <w:t> </w:t>
            </w:r>
          </w:p>
        </w:tc>
      </w:tr>
      <w:bookmarkEnd w:id="0"/>
    </w:tbl>
    <w:p w14:paraId="0F0780B8" w14:textId="77777777" w:rsidR="00A10721" w:rsidRPr="00886B90" w:rsidRDefault="00A10721" w:rsidP="002E5B8E">
      <w:pPr>
        <w:spacing w:line="480" w:lineRule="auto"/>
        <w:rPr>
          <w:rFonts w:asciiTheme="majorBidi" w:hAnsiTheme="majorBidi" w:cstheme="majorBidi"/>
          <w:lang w:val="en-US"/>
        </w:rPr>
      </w:pPr>
    </w:p>
    <w:sectPr w:rsidR="00A10721" w:rsidRPr="00886B90" w:rsidSect="00525A1B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D5FEA" w14:textId="77777777" w:rsidR="00733B77" w:rsidRDefault="00733B77" w:rsidP="00721875">
      <w:pPr>
        <w:spacing w:after="0" w:line="240" w:lineRule="auto"/>
      </w:pPr>
      <w:r>
        <w:separator/>
      </w:r>
    </w:p>
  </w:endnote>
  <w:endnote w:type="continuationSeparator" w:id="0">
    <w:p w14:paraId="642EF29B" w14:textId="77777777" w:rsidR="00733B77" w:rsidRDefault="00733B77" w:rsidP="00721875">
      <w:pPr>
        <w:spacing w:after="0" w:line="240" w:lineRule="auto"/>
      </w:pPr>
      <w:r>
        <w:continuationSeparator/>
      </w:r>
    </w:p>
  </w:endnote>
  <w:endnote w:type="continuationNotice" w:id="1">
    <w:p w14:paraId="34ED63F9" w14:textId="77777777" w:rsidR="00733B77" w:rsidRDefault="00733B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A1B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16C799" w14:textId="77777777" w:rsidR="00733B77" w:rsidRDefault="00733B77" w:rsidP="00721875">
      <w:pPr>
        <w:spacing w:after="0" w:line="240" w:lineRule="auto"/>
      </w:pPr>
      <w:r>
        <w:separator/>
      </w:r>
    </w:p>
  </w:footnote>
  <w:footnote w:type="continuationSeparator" w:id="0">
    <w:p w14:paraId="2D71B019" w14:textId="77777777" w:rsidR="00733B77" w:rsidRDefault="00733B77" w:rsidP="00721875">
      <w:pPr>
        <w:spacing w:after="0" w:line="240" w:lineRule="auto"/>
      </w:pPr>
      <w:r>
        <w:continuationSeparator/>
      </w:r>
    </w:p>
  </w:footnote>
  <w:footnote w:type="continuationNotice" w:id="1">
    <w:p w14:paraId="50DE5B3B" w14:textId="77777777" w:rsidR="00733B77" w:rsidRDefault="00733B77">
      <w:pPr>
        <w:spacing w:after="0" w:line="240" w:lineRule="auto"/>
      </w:pPr>
    </w:p>
  </w:footnote>
  <w:footnote w:id="2">
    <w:p w14:paraId="2DE1D41C" w14:textId="77777777" w:rsidR="00A10721" w:rsidRPr="004E5B13" w:rsidRDefault="00A10721" w:rsidP="00A10721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Cole TJ,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Lobstein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 T. Extended international (IOTF) body mass index cut-offs for thinness, overweight and obesity.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Pediatr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Obes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>. 2012</w:t>
      </w:r>
      <w:proofErr w:type="gramStart"/>
      <w:r w:rsidRPr="00161C45">
        <w:rPr>
          <w:rFonts w:asciiTheme="majorBidi" w:hAnsiTheme="majorBidi" w:cstheme="majorBidi"/>
          <w:sz w:val="18"/>
          <w:szCs w:val="18"/>
          <w:lang w:val="en-US"/>
        </w:rPr>
        <w:t>;7</w:t>
      </w:r>
      <w:proofErr w:type="gramEnd"/>
      <w:r w:rsidRPr="00161C45">
        <w:rPr>
          <w:rFonts w:asciiTheme="majorBidi" w:hAnsiTheme="majorBidi" w:cstheme="majorBidi"/>
          <w:sz w:val="18"/>
          <w:szCs w:val="18"/>
          <w:lang w:val="en-US"/>
        </w:rPr>
        <w:t>(4):284-94.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>Supplemental material 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3AAC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3AA2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4F"/>
    <w:rsid w:val="00430CBE"/>
    <w:rsid w:val="0043144B"/>
    <w:rsid w:val="0043190E"/>
    <w:rsid w:val="0043252B"/>
    <w:rsid w:val="00441508"/>
    <w:rsid w:val="0044189A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25A1B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B77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21DE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99826AA"/>
    <w:rsid w:val="0EBA728C"/>
    <w:rsid w:val="1E685495"/>
    <w:rsid w:val="280A7C59"/>
    <w:rsid w:val="2AE2D0D3"/>
    <w:rsid w:val="3935959D"/>
    <w:rsid w:val="3D09E123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0E3AA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5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A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0E3AA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5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A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73A87"/>
    <w:rsid w:val="00152C05"/>
    <w:rsid w:val="0037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4.xml><?xml version="1.0" encoding="utf-8"?>
<ds:datastoreItem xmlns:ds="http://schemas.openxmlformats.org/officeDocument/2006/customXml" ds:itemID="{CA504979-E579-472D-8CEE-2A78E32BC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121</cp:revision>
  <cp:lastPrinted>2022-05-06T10:28:00Z</cp:lastPrinted>
  <dcterms:created xsi:type="dcterms:W3CDTF">2022-10-19T20:04:00Z</dcterms:created>
  <dcterms:modified xsi:type="dcterms:W3CDTF">2023-08-23T03:43:00Z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