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color w:val="auto"/>
          <w:sz w:val="24"/>
          <w:szCs w:val="24"/>
        </w:rPr>
      </w:pPr>
    </w:p>
    <w:p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drawing>
          <wp:inline distT="0" distB="0" distL="0" distR="0">
            <wp:extent cx="5274310" cy="622935"/>
            <wp:effectExtent l="0" t="0" r="2540" b="57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color w:val="auto"/>
          <w:sz w:val="24"/>
          <w:szCs w:val="24"/>
        </w:rPr>
      </w:pPr>
    </w:p>
    <w:p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Figure S1. GDP-mediated temperature-uveitis relationship. </w:t>
      </w:r>
      <w:r>
        <w:rPr>
          <w:rFonts w:ascii="Times New Roman" w:hAnsi="Times New Roman" w:cs="Times New Roman"/>
          <w:color w:val="auto"/>
          <w:sz w:val="24"/>
          <w:szCs w:val="24"/>
        </w:rPr>
        <w:t>The effect of variation in temperature on the number of uveitis cases when climate models contain an interaction-per capita GDP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The dots are point estimates of the effect of monthly temperature on monthly uveitis cases; the lines are 95% CI. </w:t>
      </w:r>
    </w:p>
    <w:p>
      <w:pPr>
        <w:rPr>
          <w:rFonts w:ascii="Times New Roman" w:hAnsi="Times New Roman" w:cs="Times New Roman"/>
          <w:color w:val="auto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5"/>
        <w:tblpPr w:leftFromText="180" w:rightFromText="180" w:horzAnchor="margin" w:tblpY="624"/>
        <w:tblW w:w="1403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4678"/>
        <w:gridCol w:w="59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Types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Highest quintile</w:t>
            </w:r>
          </w:p>
        </w:tc>
        <w:tc>
          <w:tcPr>
            <w:tcW w:w="595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Lowest quintile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Infectious uveitis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Hainan</w:t>
            </w:r>
          </w:p>
        </w:tc>
        <w:tc>
          <w:tcPr>
            <w:tcW w:w="595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Jilin, Inner Mongolia, Guizhou, Shanghai, Gansu, Tianjin, Ningxia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Non-infectious uveitis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Gansu, Ningxia, Shangha, Tianjin, Guizhou, Inner Mongolia </w:t>
            </w:r>
          </w:p>
        </w:tc>
        <w:tc>
          <w:tcPr>
            <w:tcW w:w="595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Hainan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Uveitis with systemic diseases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Hainan, Ningxia, Guangdong</w:t>
            </w:r>
          </w:p>
        </w:tc>
        <w:tc>
          <w:tcPr>
            <w:tcW w:w="595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Guizhou, Sichuan, Tianjin, Beijing, Chongqing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U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veitis alone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Chongqing, Beijing,Tianjin, Sichuan,Guizhou</w:t>
            </w:r>
          </w:p>
        </w:tc>
        <w:tc>
          <w:tcPr>
            <w:tcW w:w="595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Ningxia, Hainan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Idiopathic uveitis 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Tianjin, Beijing, Guizhou</w:t>
            </w:r>
          </w:p>
        </w:tc>
        <w:tc>
          <w:tcPr>
            <w:tcW w:w="595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Jiangxi, Hainan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Behçet’s disease 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Ningxia, Guangxi</w:t>
            </w:r>
          </w:p>
        </w:tc>
        <w:tc>
          <w:tcPr>
            <w:tcW w:w="595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Beijing, Chongqing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340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Vogt-Koyanagi-Harada disease </w:t>
            </w:r>
          </w:p>
        </w:tc>
        <w:tc>
          <w:tcPr>
            <w:tcW w:w="467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Hainan, Anhui</w:t>
            </w:r>
          </w:p>
        </w:tc>
        <w:tc>
          <w:tcPr>
            <w:tcW w:w="595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Guizhou, Beijing, Tibet, Shaanxi, Shanghai, Tianjin, Ningxia, Chongqing</w:t>
            </w:r>
          </w:p>
        </w:tc>
      </w:tr>
    </w:tbl>
    <w:p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Hlk14246403"/>
      <w:r>
        <w:rPr>
          <w:rFonts w:ascii="Times New Roman" w:hAnsi="Times New Roman" w:cs="Times New Roman"/>
          <w:b/>
          <w:color w:val="auto"/>
          <w:sz w:val="24"/>
          <w:szCs w:val="24"/>
        </w:rPr>
        <w:t>Table S1.</w:t>
      </w:r>
      <w:bookmarkEnd w:id="0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The proportion of patients with different uveitis subtypes in Mainland China by provinces, 2006-2017</w:t>
      </w:r>
    </w:p>
    <w:p>
      <w:pPr>
        <w:rPr>
          <w:rFonts w:ascii="Times New Roman" w:hAnsi="Times New Roman" w:cs="Times New Roman"/>
          <w:color w:val="auto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>
      <w:pPr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5"/>
        <w:tblW w:w="928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3"/>
        <w:gridCol w:w="2114"/>
        <w:gridCol w:w="908"/>
        <w:gridCol w:w="479"/>
        <w:gridCol w:w="1573"/>
        <w:gridCol w:w="9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287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Table S2. Associations of uveitis onset with GDP per capita*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Type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β%-Effect size (95% CI)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P Value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β%-Effect size (95% CI)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Non-infectious uveitis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-1.92 (-2.61~-1.23)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-1.48 (-2.58~-0.39)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Infectious uveitis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-0.24 (-3.67~2.97)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NS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-0.25 (-5.73~4.88)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Uveitis alone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-1.30 (-2.11~-0.51)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-1.17 (-2.49~0.13)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Uveitis with systemic diseases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-3.06 (-4.23~-1.86)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-1.96 (-3.84~-0.11)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Idiopathic uveitis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-1.70 (-2.70~-0.74)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-1.10 (-2.69~0.46)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Behçet’s disease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-7.58 (-10.09~-5.17)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-6.32 (-9.95~-2.83)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Vogt-Koyanagi-Harada disease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-1.048 (-2.88~-0.74)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NS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-0.29 (-2.51~2.99)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Overall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-1.85 (-2.52~-1.19)</w:t>
            </w: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  <w:tc>
          <w:tcPr>
            <w:tcW w:w="20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-1.43 (-2.51~-0.37)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30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           no weights</w:t>
            </w:r>
          </w:p>
        </w:tc>
        <w:tc>
          <w:tcPr>
            <w:tcW w:w="2483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   population weights</w:t>
            </w:r>
          </w:p>
        </w:tc>
      </w:tr>
    </w:tbl>
    <w:p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*Poisson regression with generalized estimated equation (Poisson-GEE);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CI=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confidence intervals</w:t>
      </w:r>
      <w:r>
        <w:rPr>
          <w:rFonts w:ascii="Times New Roman" w:hAnsi="Times New Roman" w:cs="Times New Roman"/>
          <w:color w:val="auto"/>
          <w:sz w:val="24"/>
          <w:szCs w:val="24"/>
        </w:rPr>
        <w:t>; NS=no significance</w:t>
      </w:r>
    </w:p>
    <w:p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tbl>
      <w:tblPr>
        <w:tblStyle w:val="5"/>
        <w:tblW w:w="948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8"/>
        <w:gridCol w:w="2726"/>
        <w:gridCol w:w="827"/>
        <w:gridCol w:w="2601"/>
        <w:gridCol w:w="8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4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S3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. per cap</w:t>
            </w:r>
            <w:bookmarkStart w:id="1" w:name="_GoBack"/>
            <w:bookmarkEnd w:id="1"/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ita GDP-mediated 2.5–uveitis relationship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5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35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no climate controls</w:t>
            </w:r>
          </w:p>
        </w:tc>
        <w:tc>
          <w:tcPr>
            <w:tcW w:w="3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climate controls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β-Effect size (95% CI)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P Value</w:t>
            </w:r>
          </w:p>
        </w:tc>
        <w:tc>
          <w:tcPr>
            <w:tcW w:w="26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β-Effect size (95% CI)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P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below national per capita GDP 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0.011(0.0036~0.0185)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&lt;0.01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0.0125(-0.0168~0.0417)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NS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5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above national per capita GDP</w:t>
            </w:r>
          </w:p>
        </w:tc>
        <w:tc>
          <w:tcPr>
            <w:tcW w:w="27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0.0144(0.00819~0.0206)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&lt;0.01</w:t>
            </w:r>
          </w:p>
        </w:tc>
        <w:tc>
          <w:tcPr>
            <w:tcW w:w="26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0.0124(0.0029~0.0220)</w:t>
            </w:r>
          </w:p>
        </w:tc>
        <w:tc>
          <w:tcPr>
            <w:tcW w:w="8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&lt;0.01</w:t>
            </w:r>
          </w:p>
        </w:tc>
      </w:tr>
    </w:tbl>
    <w:p>
      <w:pPr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CI=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confidence intervals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; NS=no significance </w:t>
      </w:r>
    </w:p>
    <w:p>
      <w:pPr>
        <w:rPr>
          <w:rFonts w:ascii="Times New Roman" w:hAnsi="Times New Roman" w:cs="Times New Roman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xMzU0ZGJmMTI5MTY5MzA1OWI1Y2QwZTJkOThlNWUifQ=="/>
  </w:docVars>
  <w:rsids>
    <w:rsidRoot w:val="00074DAF"/>
    <w:rsid w:val="00043188"/>
    <w:rsid w:val="00047E29"/>
    <w:rsid w:val="00074DAF"/>
    <w:rsid w:val="0018586A"/>
    <w:rsid w:val="0021387D"/>
    <w:rsid w:val="00302C46"/>
    <w:rsid w:val="00434AFB"/>
    <w:rsid w:val="00461F68"/>
    <w:rsid w:val="004E7B1A"/>
    <w:rsid w:val="005A5EA1"/>
    <w:rsid w:val="00621810"/>
    <w:rsid w:val="00662F0A"/>
    <w:rsid w:val="006A6802"/>
    <w:rsid w:val="006F60D8"/>
    <w:rsid w:val="007172B0"/>
    <w:rsid w:val="00742B1A"/>
    <w:rsid w:val="007727B9"/>
    <w:rsid w:val="00853400"/>
    <w:rsid w:val="008A40F3"/>
    <w:rsid w:val="009B61C0"/>
    <w:rsid w:val="009F1295"/>
    <w:rsid w:val="00B01C1E"/>
    <w:rsid w:val="00B96957"/>
    <w:rsid w:val="00BD0580"/>
    <w:rsid w:val="00C4758C"/>
    <w:rsid w:val="00CD1CB0"/>
    <w:rsid w:val="00D539F7"/>
    <w:rsid w:val="00ED36A3"/>
    <w:rsid w:val="00ED4297"/>
    <w:rsid w:val="00F47916"/>
    <w:rsid w:val="74C7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344</Words>
  <Characters>1961</Characters>
  <Lines>16</Lines>
  <Paragraphs>4</Paragraphs>
  <TotalTime>20</TotalTime>
  <ScaleCrop>false</ScaleCrop>
  <LinksUpToDate>false</LinksUpToDate>
  <CharactersWithSpaces>2301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2022-04-03T15:32:00Z</dcterms:created>
  <dc:creator>谭 涵丹</dc:creator>
  <cp:lastModifiedBy>PC</cp:lastModifiedBy>
  <dcterms:modified xsi:type="dcterms:W3CDTF">2023-08-17T13:00:44Z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5A58610F79B942DEB4829569E0B48118_12</vt:lpwstr>
  </property>
</Properties>
</file>