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8DCA9" w14:textId="773A79C3" w:rsidR="00495B36" w:rsidRDefault="00BF78FC" w:rsidP="00495B36">
      <w:pPr>
        <w:rPr>
          <w:sz w:val="40"/>
          <w:szCs w:val="40"/>
        </w:rPr>
      </w:pPr>
      <w:r w:rsidRPr="00BF78FC">
        <w:rPr>
          <w:sz w:val="40"/>
          <w:szCs w:val="40"/>
        </w:rPr>
        <w:t>Additional file 5</w:t>
      </w:r>
      <w:bookmarkStart w:id="0" w:name="_GoBack"/>
      <w:bookmarkEnd w:id="0"/>
      <w:r w:rsidR="000A09CA">
        <w:rPr>
          <w:sz w:val="40"/>
          <w:szCs w:val="40"/>
        </w:rPr>
        <w:t xml:space="preserve"> </w:t>
      </w:r>
      <w:r w:rsidR="00495B36">
        <w:rPr>
          <w:sz w:val="40"/>
          <w:szCs w:val="40"/>
        </w:rPr>
        <w:t>–</w:t>
      </w:r>
      <w:r w:rsidR="00495B36" w:rsidRPr="00DC227E">
        <w:rPr>
          <w:sz w:val="40"/>
          <w:szCs w:val="40"/>
        </w:rPr>
        <w:t xml:space="preserve"> </w:t>
      </w:r>
      <w:r w:rsidR="00495B36">
        <w:rPr>
          <w:sz w:val="40"/>
          <w:szCs w:val="40"/>
        </w:rPr>
        <w:t xml:space="preserve">Community Engagement Study Outcomes </w:t>
      </w:r>
    </w:p>
    <w:sdt>
      <w:sdtPr>
        <w:rPr>
          <w:rFonts w:ascii="Times New Roman" w:eastAsiaTheme="minorHAnsi" w:hAnsi="Times New Roman" w:cstheme="minorBidi"/>
          <w:b w:val="0"/>
          <w:bCs w:val="0"/>
          <w:color w:val="auto"/>
          <w:sz w:val="24"/>
          <w:szCs w:val="24"/>
          <w:lang w:val="en-GB"/>
        </w:rPr>
        <w:id w:val="-8371061"/>
        <w:docPartObj>
          <w:docPartGallery w:val="Table of Contents"/>
          <w:docPartUnique/>
        </w:docPartObj>
      </w:sdtPr>
      <w:sdtEndPr>
        <w:rPr>
          <w:noProof/>
        </w:rPr>
      </w:sdtEndPr>
      <w:sdtContent>
        <w:p w14:paraId="060AB79E" w14:textId="59FDFC31" w:rsidR="00BD60AE" w:rsidRDefault="00BD60AE">
          <w:pPr>
            <w:pStyle w:val="TOCHeading"/>
          </w:pPr>
          <w:r>
            <w:t>Table of Contents</w:t>
          </w:r>
        </w:p>
        <w:p w14:paraId="66B35383" w14:textId="073BC84F" w:rsidR="007A7242" w:rsidRDefault="00BD60AE">
          <w:pPr>
            <w:pStyle w:val="TOC2"/>
            <w:tabs>
              <w:tab w:val="right" w:leader="dot" w:pos="13950"/>
            </w:tabs>
            <w:rPr>
              <w:rFonts w:eastAsiaTheme="minorEastAsia"/>
              <w:b w:val="0"/>
              <w:bCs w:val="0"/>
              <w:noProof/>
              <w:sz w:val="24"/>
              <w:szCs w:val="24"/>
            </w:rPr>
          </w:pPr>
          <w:r>
            <w:rPr>
              <w:b w:val="0"/>
              <w:bCs w:val="0"/>
            </w:rPr>
            <w:fldChar w:fldCharType="begin"/>
          </w:r>
          <w:r>
            <w:instrText xml:space="preserve"> TOC \o "1-3" \h \z \u </w:instrText>
          </w:r>
          <w:r>
            <w:rPr>
              <w:b w:val="0"/>
              <w:bCs w:val="0"/>
            </w:rPr>
            <w:fldChar w:fldCharType="separate"/>
          </w:r>
          <w:hyperlink w:anchor="_Toc144136023" w:history="1">
            <w:r w:rsidR="007A7242" w:rsidRPr="00C617F8">
              <w:rPr>
                <w:rStyle w:val="Hyperlink"/>
                <w:noProof/>
              </w:rPr>
              <w:t>Appendix table 15 – Community engagement strategy and outcomes based on the included studies (n=10)</w:t>
            </w:r>
            <w:r w:rsidR="007A7242">
              <w:rPr>
                <w:noProof/>
                <w:webHidden/>
              </w:rPr>
              <w:tab/>
            </w:r>
            <w:r w:rsidR="007A7242">
              <w:rPr>
                <w:noProof/>
                <w:webHidden/>
              </w:rPr>
              <w:fldChar w:fldCharType="begin"/>
            </w:r>
            <w:r w:rsidR="007A7242">
              <w:rPr>
                <w:noProof/>
                <w:webHidden/>
              </w:rPr>
              <w:instrText xml:space="preserve"> PAGEREF _Toc144136023 \h </w:instrText>
            </w:r>
            <w:r w:rsidR="007A7242">
              <w:rPr>
                <w:noProof/>
                <w:webHidden/>
              </w:rPr>
            </w:r>
            <w:r w:rsidR="007A7242">
              <w:rPr>
                <w:noProof/>
                <w:webHidden/>
              </w:rPr>
              <w:fldChar w:fldCharType="separate"/>
            </w:r>
            <w:r w:rsidR="007A7242">
              <w:rPr>
                <w:noProof/>
                <w:webHidden/>
              </w:rPr>
              <w:t>2</w:t>
            </w:r>
            <w:r w:rsidR="007A7242">
              <w:rPr>
                <w:noProof/>
                <w:webHidden/>
              </w:rPr>
              <w:fldChar w:fldCharType="end"/>
            </w:r>
          </w:hyperlink>
        </w:p>
        <w:p w14:paraId="0897BBAF" w14:textId="7AC6A7B8" w:rsidR="007A7242" w:rsidRDefault="00BF78FC">
          <w:pPr>
            <w:pStyle w:val="TOC2"/>
            <w:tabs>
              <w:tab w:val="right" w:leader="dot" w:pos="13950"/>
            </w:tabs>
            <w:rPr>
              <w:rFonts w:eastAsiaTheme="minorEastAsia"/>
              <w:b w:val="0"/>
              <w:bCs w:val="0"/>
              <w:noProof/>
              <w:sz w:val="24"/>
              <w:szCs w:val="24"/>
            </w:rPr>
          </w:pPr>
          <w:hyperlink w:anchor="_Toc144136024" w:history="1">
            <w:r w:rsidR="007A7242" w:rsidRPr="00C617F8">
              <w:rPr>
                <w:rStyle w:val="Hyperlink"/>
                <w:rFonts w:eastAsia="Times New Roman"/>
                <w:noProof/>
              </w:rPr>
              <w:t>Appendix table 16 – Labels of community engagement strategies of included studies (n=10)</w:t>
            </w:r>
            <w:r w:rsidR="007A7242">
              <w:rPr>
                <w:noProof/>
                <w:webHidden/>
              </w:rPr>
              <w:tab/>
            </w:r>
            <w:r w:rsidR="007A7242">
              <w:rPr>
                <w:noProof/>
                <w:webHidden/>
              </w:rPr>
              <w:fldChar w:fldCharType="begin"/>
            </w:r>
            <w:r w:rsidR="007A7242">
              <w:rPr>
                <w:noProof/>
                <w:webHidden/>
              </w:rPr>
              <w:instrText xml:space="preserve"> PAGEREF _Toc144136024 \h </w:instrText>
            </w:r>
            <w:r w:rsidR="007A7242">
              <w:rPr>
                <w:noProof/>
                <w:webHidden/>
              </w:rPr>
            </w:r>
            <w:r w:rsidR="007A7242">
              <w:rPr>
                <w:noProof/>
                <w:webHidden/>
              </w:rPr>
              <w:fldChar w:fldCharType="separate"/>
            </w:r>
            <w:r w:rsidR="007A7242">
              <w:rPr>
                <w:noProof/>
                <w:webHidden/>
              </w:rPr>
              <w:t>12</w:t>
            </w:r>
            <w:r w:rsidR="007A7242">
              <w:rPr>
                <w:noProof/>
                <w:webHidden/>
              </w:rPr>
              <w:fldChar w:fldCharType="end"/>
            </w:r>
          </w:hyperlink>
        </w:p>
        <w:p w14:paraId="6432D966" w14:textId="4007DC0D" w:rsidR="00BD60AE" w:rsidRDefault="00BD60AE">
          <w:r>
            <w:rPr>
              <w:b/>
              <w:bCs/>
              <w:noProof/>
            </w:rPr>
            <w:fldChar w:fldCharType="end"/>
          </w:r>
        </w:p>
      </w:sdtContent>
    </w:sdt>
    <w:p w14:paraId="1D2645B0" w14:textId="77777777" w:rsidR="00BD60AE" w:rsidRDefault="00BD60AE" w:rsidP="00495B36">
      <w:pPr>
        <w:rPr>
          <w:sz w:val="40"/>
          <w:szCs w:val="40"/>
        </w:rPr>
      </w:pPr>
    </w:p>
    <w:p w14:paraId="7693AFD3" w14:textId="5287ED46" w:rsidR="006367E6" w:rsidRDefault="00495B36">
      <w:r>
        <w:br/>
      </w:r>
    </w:p>
    <w:p w14:paraId="7D1CCAA8" w14:textId="549781D2" w:rsidR="00495B36" w:rsidRDefault="00495B36"/>
    <w:p w14:paraId="535C399E" w14:textId="141B448F" w:rsidR="00495B36" w:rsidRDefault="00495B36">
      <w:r>
        <w:br w:type="page"/>
      </w:r>
    </w:p>
    <w:tbl>
      <w:tblPr>
        <w:tblStyle w:val="TableGrid"/>
        <w:tblW w:w="143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2417"/>
        <w:gridCol w:w="10353"/>
      </w:tblGrid>
      <w:tr w:rsidR="00495B36" w:rsidRPr="00495B36" w14:paraId="3AE4F412" w14:textId="77777777" w:rsidTr="00A9650A">
        <w:trPr>
          <w:trHeight w:val="430"/>
        </w:trPr>
        <w:tc>
          <w:tcPr>
            <w:tcW w:w="14323" w:type="dxa"/>
            <w:gridSpan w:val="3"/>
            <w:tcBorders>
              <w:bottom w:val="single" w:sz="4" w:space="0" w:color="auto"/>
            </w:tcBorders>
          </w:tcPr>
          <w:p w14:paraId="6F7371E3" w14:textId="1829D5AC" w:rsidR="00495B36" w:rsidRPr="00495B36" w:rsidRDefault="00495B36" w:rsidP="00495B36">
            <w:pPr>
              <w:pStyle w:val="Heading2"/>
            </w:pPr>
            <w:bookmarkStart w:id="1" w:name="_Toc144136023"/>
            <w:r w:rsidRPr="00495B36">
              <w:rPr>
                <w:b/>
                <w:bCs/>
                <w:color w:val="000000" w:themeColor="text1"/>
              </w:rPr>
              <w:lastRenderedPageBreak/>
              <w:t>Appendix table 1</w:t>
            </w:r>
            <w:r w:rsidR="000A09CA">
              <w:rPr>
                <w:b/>
                <w:bCs/>
                <w:color w:val="000000" w:themeColor="text1"/>
              </w:rPr>
              <w:t>5</w:t>
            </w:r>
            <w:r w:rsidRPr="00495B36">
              <w:rPr>
                <w:b/>
                <w:bCs/>
                <w:color w:val="000000" w:themeColor="text1"/>
              </w:rPr>
              <w:t xml:space="preserve"> – </w:t>
            </w:r>
            <w:r w:rsidRPr="00495B36">
              <w:rPr>
                <w:color w:val="000000" w:themeColor="text1"/>
              </w:rPr>
              <w:t>Community engagement strategy and outcomes based on the included studies (n=10)</w:t>
            </w:r>
            <w:bookmarkEnd w:id="1"/>
            <w:r w:rsidRPr="00495B36">
              <w:rPr>
                <w:color w:val="000000" w:themeColor="text1"/>
              </w:rPr>
              <w:t xml:space="preserve"> </w:t>
            </w:r>
          </w:p>
        </w:tc>
      </w:tr>
      <w:tr w:rsidR="00495B36" w:rsidRPr="00495B36" w14:paraId="6545046C" w14:textId="77777777" w:rsidTr="00A9650A">
        <w:trPr>
          <w:trHeight w:val="320"/>
        </w:trPr>
        <w:tc>
          <w:tcPr>
            <w:tcW w:w="1553" w:type="dxa"/>
            <w:tcBorders>
              <w:top w:val="single" w:sz="4" w:space="0" w:color="auto"/>
              <w:bottom w:val="single" w:sz="4" w:space="0" w:color="auto"/>
            </w:tcBorders>
          </w:tcPr>
          <w:p w14:paraId="09238B18" w14:textId="77777777" w:rsidR="00495B36" w:rsidRDefault="00495B36">
            <w:pPr>
              <w:spacing w:line="480" w:lineRule="auto"/>
              <w:rPr>
                <w:rFonts w:ascii="Garamond" w:hAnsi="Garamond"/>
                <w:b/>
                <w:bCs/>
              </w:rPr>
            </w:pPr>
            <w:r w:rsidRPr="00495B36">
              <w:rPr>
                <w:rFonts w:ascii="Garamond" w:hAnsi="Garamond"/>
                <w:b/>
                <w:bCs/>
              </w:rPr>
              <w:t>Study</w:t>
            </w:r>
          </w:p>
          <w:p w14:paraId="339BBFA8" w14:textId="77777777" w:rsidR="00495B36" w:rsidRPr="00495B36" w:rsidRDefault="00495B36">
            <w:pPr>
              <w:spacing w:line="480" w:lineRule="auto"/>
              <w:rPr>
                <w:rFonts w:ascii="Garamond" w:hAnsi="Garamond"/>
                <w:b/>
                <w:bCs/>
              </w:rPr>
            </w:pPr>
          </w:p>
        </w:tc>
        <w:tc>
          <w:tcPr>
            <w:tcW w:w="2417" w:type="dxa"/>
            <w:tcBorders>
              <w:top w:val="single" w:sz="4" w:space="0" w:color="auto"/>
              <w:bottom w:val="single" w:sz="4" w:space="0" w:color="auto"/>
            </w:tcBorders>
            <w:noWrap/>
            <w:hideMark/>
          </w:tcPr>
          <w:p w14:paraId="791462C0" w14:textId="77777777" w:rsidR="00495B36" w:rsidRPr="00495B36" w:rsidRDefault="00495B36">
            <w:pPr>
              <w:spacing w:line="480" w:lineRule="auto"/>
              <w:rPr>
                <w:b/>
                <w:bCs/>
              </w:rPr>
            </w:pPr>
            <w:r w:rsidRPr="00495B36">
              <w:rPr>
                <w:b/>
                <w:bCs/>
              </w:rPr>
              <w:t>Community engagement strategy</w:t>
            </w:r>
          </w:p>
        </w:tc>
        <w:tc>
          <w:tcPr>
            <w:tcW w:w="10353" w:type="dxa"/>
            <w:tcBorders>
              <w:top w:val="single" w:sz="4" w:space="0" w:color="auto"/>
              <w:bottom w:val="single" w:sz="4" w:space="0" w:color="auto"/>
            </w:tcBorders>
            <w:noWrap/>
            <w:hideMark/>
          </w:tcPr>
          <w:p w14:paraId="1E1D4DF9" w14:textId="77777777" w:rsidR="00495B36" w:rsidRPr="00495B36" w:rsidRDefault="00495B36">
            <w:pPr>
              <w:spacing w:line="480" w:lineRule="auto"/>
              <w:rPr>
                <w:b/>
                <w:bCs/>
              </w:rPr>
            </w:pPr>
            <w:r w:rsidRPr="00495B36">
              <w:rPr>
                <w:b/>
                <w:bCs/>
              </w:rPr>
              <w:t>Outcome</w:t>
            </w:r>
          </w:p>
        </w:tc>
      </w:tr>
      <w:tr w:rsidR="00495B36" w:rsidRPr="00495B36" w14:paraId="0D57FB09" w14:textId="77777777" w:rsidTr="00616AAD">
        <w:trPr>
          <w:trHeight w:val="7942"/>
        </w:trPr>
        <w:tc>
          <w:tcPr>
            <w:tcW w:w="1553" w:type="dxa"/>
            <w:tcBorders>
              <w:top w:val="single" w:sz="4" w:space="0" w:color="auto"/>
            </w:tcBorders>
          </w:tcPr>
          <w:p w14:paraId="23C7A191"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t>Abell et al. (2009)</w:t>
            </w:r>
          </w:p>
        </w:tc>
        <w:tc>
          <w:tcPr>
            <w:tcW w:w="2417" w:type="dxa"/>
            <w:tcBorders>
              <w:top w:val="single" w:sz="4" w:space="0" w:color="auto"/>
            </w:tcBorders>
            <w:hideMark/>
          </w:tcPr>
          <w:p w14:paraId="3C8DF498" w14:textId="77777777" w:rsidR="00495B36" w:rsidRPr="00495B36" w:rsidRDefault="00495B36">
            <w:pPr>
              <w:spacing w:line="480" w:lineRule="auto"/>
            </w:pPr>
            <w:r w:rsidRPr="00495B36">
              <w:t xml:space="preserve">Community-based case management </w:t>
            </w:r>
          </w:p>
        </w:tc>
        <w:tc>
          <w:tcPr>
            <w:tcW w:w="10353" w:type="dxa"/>
            <w:tcBorders>
              <w:top w:val="single" w:sz="4" w:space="0" w:color="auto"/>
            </w:tcBorders>
            <w:hideMark/>
          </w:tcPr>
          <w:p w14:paraId="2CED388C" w14:textId="48E677FA" w:rsidR="00495B36" w:rsidRPr="00495B36" w:rsidRDefault="00495B36">
            <w:pPr>
              <w:spacing w:line="480" w:lineRule="auto"/>
            </w:pPr>
            <w:r w:rsidRPr="00495B36">
              <w:rPr>
                <w:b/>
                <w:bCs/>
              </w:rPr>
              <w:t>Child outcomes</w:t>
            </w:r>
            <w:r w:rsidRPr="00495B36">
              <w:rPr>
                <w:b/>
                <w:bCs/>
              </w:rPr>
              <w:br/>
            </w:r>
            <w:r w:rsidRPr="00495B36">
              <w:t xml:space="preserve">Children </w:t>
            </w:r>
            <w:r w:rsidR="00890DAC">
              <w:t xml:space="preserve">externalising </w:t>
            </w:r>
            <w:r w:rsidRPr="00495B36">
              <w:t>behaviour</w:t>
            </w:r>
            <w:r w:rsidR="00890DAC">
              <w:t xml:space="preserve"> </w:t>
            </w:r>
            <w:r w:rsidRPr="00495B36">
              <w:t>improved in the intervention group compared to the control group (p=0.01, Cohen's d=0.75 large effect size).</w:t>
            </w:r>
            <w:r w:rsidRPr="00495B36">
              <w:br/>
              <w:t>No difference in internalising behaviours (</w:t>
            </w:r>
            <w:r w:rsidR="00890DAC">
              <w:t>Cohen’s d not reported</w:t>
            </w:r>
            <w:r w:rsidRPr="00495B36">
              <w:t>)</w:t>
            </w:r>
            <w:r w:rsidR="000D6EDD">
              <w:t>.</w:t>
            </w:r>
            <w:r w:rsidRPr="00495B36">
              <w:rPr>
                <w:b/>
                <w:bCs/>
              </w:rPr>
              <w:br/>
            </w:r>
            <w:r w:rsidRPr="002D23C4">
              <w:t>Family outcomes:</w:t>
            </w:r>
            <w:r w:rsidRPr="00495B36">
              <w:rPr>
                <w:b/>
                <w:bCs/>
              </w:rPr>
              <w:t xml:space="preserve"> </w:t>
            </w:r>
            <w:r w:rsidRPr="00495B36">
              <w:br/>
              <w:t xml:space="preserve">Social support increased in intervention group </w:t>
            </w:r>
            <w:r w:rsidRPr="00495B36">
              <w:br/>
              <w:t>Large effect size d=0.833, p=0.017</w:t>
            </w:r>
            <w:r w:rsidRPr="00495B36">
              <w:rPr>
                <w:rFonts w:asciiTheme="minorHAnsi" w:eastAsia="Times New Roman" w:hAnsiTheme="minorHAnsi" w:cs="Times New Roman"/>
              </w:rPr>
              <w:t>, 95% CI = NR</w:t>
            </w:r>
            <w:r w:rsidRPr="00495B36">
              <w:t xml:space="preserve"> </w:t>
            </w:r>
            <w:r w:rsidRPr="00495B36">
              <w:br/>
              <w:t>Improved family relationship over control group:</w:t>
            </w:r>
            <w:r w:rsidRPr="00495B36">
              <w:br/>
              <w:t>Large effect size d=0.952, p=0.0135</w:t>
            </w:r>
            <w:r w:rsidRPr="00495B36">
              <w:rPr>
                <w:rFonts w:asciiTheme="minorHAnsi" w:eastAsia="Times New Roman" w:hAnsiTheme="minorHAnsi" w:cs="Times New Roman"/>
              </w:rPr>
              <w:t xml:space="preserve">, 95% CI = NR) </w:t>
            </w:r>
          </w:p>
          <w:p w14:paraId="239F17B8" w14:textId="0FAA347A" w:rsidR="00495B36" w:rsidRPr="00495B36" w:rsidRDefault="00495B36">
            <w:pPr>
              <w:spacing w:line="480" w:lineRule="auto"/>
            </w:pPr>
            <w:r w:rsidRPr="00495B36">
              <w:t xml:space="preserve">Communication subscale </w:t>
            </w:r>
            <w:r w:rsidRPr="00495B36">
              <w:br/>
            </w:r>
            <w:r w:rsidR="00B21D95">
              <w:t>L</w:t>
            </w:r>
            <w:r w:rsidRPr="00495B36">
              <w:t xml:space="preserve">arge effect size d=1.066,  p=0.01, </w:t>
            </w:r>
            <w:r w:rsidRPr="00495B36">
              <w:rPr>
                <w:rFonts w:asciiTheme="minorHAnsi" w:eastAsia="Times New Roman" w:hAnsiTheme="minorHAnsi" w:cs="Times New Roman"/>
              </w:rPr>
              <w:t>95% CI = NR</w:t>
            </w:r>
          </w:p>
          <w:p w14:paraId="295DC4EA" w14:textId="0FABEFAF" w:rsidR="00495B36" w:rsidRPr="00495B36" w:rsidRDefault="00495B36">
            <w:pPr>
              <w:spacing w:line="480" w:lineRule="auto"/>
            </w:pPr>
            <w:r w:rsidRPr="00495B36">
              <w:t xml:space="preserve">Unity dimension </w:t>
            </w:r>
            <w:r w:rsidRPr="00495B36">
              <w:br/>
              <w:t>Large effect size d= 0.952 p=0.0135</w:t>
            </w:r>
            <w:r w:rsidRPr="00495B36">
              <w:rPr>
                <w:rFonts w:asciiTheme="minorHAnsi" w:eastAsia="Times New Roman" w:hAnsiTheme="minorHAnsi" w:cs="Times New Roman"/>
              </w:rPr>
              <w:t xml:space="preserve">, 95% CI = NR </w:t>
            </w:r>
          </w:p>
        </w:tc>
      </w:tr>
      <w:tr w:rsidR="00495B36" w:rsidRPr="00495B36" w14:paraId="38FCC17B" w14:textId="77777777" w:rsidTr="00616AAD">
        <w:trPr>
          <w:trHeight w:val="1160"/>
        </w:trPr>
        <w:tc>
          <w:tcPr>
            <w:tcW w:w="1553" w:type="dxa"/>
          </w:tcPr>
          <w:p w14:paraId="03463A53"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t xml:space="preserve">Bradley et al. (2020) </w:t>
            </w:r>
          </w:p>
        </w:tc>
        <w:tc>
          <w:tcPr>
            <w:tcW w:w="2417" w:type="dxa"/>
            <w:hideMark/>
          </w:tcPr>
          <w:p w14:paraId="38384284" w14:textId="77777777" w:rsidR="00495B36" w:rsidRPr="00495B36" w:rsidRDefault="00495B36">
            <w:pPr>
              <w:spacing w:line="480" w:lineRule="auto"/>
            </w:pPr>
            <w:r w:rsidRPr="00495B36">
              <w:t xml:space="preserve">Peer-led service model </w:t>
            </w:r>
          </w:p>
        </w:tc>
        <w:tc>
          <w:tcPr>
            <w:tcW w:w="10353" w:type="dxa"/>
            <w:hideMark/>
          </w:tcPr>
          <w:p w14:paraId="615C9CEB" w14:textId="4CABB852" w:rsidR="00495B36" w:rsidRPr="00495B36" w:rsidRDefault="00495B36">
            <w:pPr>
              <w:spacing w:line="480" w:lineRule="auto"/>
            </w:pPr>
            <w:r w:rsidRPr="00495B36">
              <w:rPr>
                <w:b/>
                <w:bCs/>
              </w:rPr>
              <w:t xml:space="preserve">Child outcomes: </w:t>
            </w:r>
            <w:r w:rsidRPr="00495B36">
              <w:rPr>
                <w:b/>
                <w:bCs/>
              </w:rPr>
              <w:br/>
            </w:r>
            <w:r w:rsidRPr="00B21D95">
              <w:t xml:space="preserve">Child behaviour </w:t>
            </w:r>
            <w:r w:rsidR="006F430D">
              <w:t>based on Eyberg Child Behaviour Inventory (ECBI)</w:t>
            </w:r>
            <w:r w:rsidRPr="00B21D95">
              <w:t xml:space="preserve">- </w:t>
            </w:r>
            <w:r w:rsidR="006F430D">
              <w:t xml:space="preserve">Medium effect size: </w:t>
            </w:r>
            <w:r w:rsidR="006F430D">
              <w:br/>
            </w:r>
            <w:r w:rsidR="006F430D">
              <w:lastRenderedPageBreak/>
              <w:t xml:space="preserve">Cohen’s d=0.679, </w:t>
            </w:r>
            <w:r w:rsidR="001441A1">
              <w:t>95% CI =[</w:t>
            </w:r>
            <w:r w:rsidR="006F430D">
              <w:t xml:space="preserve">0.276,1.08] </w:t>
            </w:r>
            <w:r w:rsidRPr="00B21D95">
              <w:br/>
              <w:t xml:space="preserve">Concerns </w:t>
            </w:r>
            <w:r w:rsidR="00B21D95" w:rsidRPr="00B21D95">
              <w:t>about</w:t>
            </w:r>
            <w:r w:rsidRPr="00B21D95">
              <w:t xml:space="preserve"> my child </w:t>
            </w:r>
            <w:r w:rsidR="006F430D">
              <w:t>(CAMC)</w:t>
            </w:r>
            <w:r w:rsidRPr="00B21D95">
              <w:t>- Medium effect size</w:t>
            </w:r>
            <w:r w:rsidR="006F430D">
              <w:t>:</w:t>
            </w:r>
            <w:r w:rsidR="006F430D">
              <w:br/>
              <w:t xml:space="preserve">Cohen’s d = 0.509, </w:t>
            </w:r>
            <w:r w:rsidR="001441A1">
              <w:t>95% CI =[</w:t>
            </w:r>
            <w:r w:rsidR="006F430D">
              <w:t xml:space="preserve">0.11, 0.91] </w:t>
            </w:r>
            <w:r w:rsidRPr="00495B36">
              <w:rPr>
                <w:b/>
                <w:bCs/>
              </w:rPr>
              <w:br/>
            </w:r>
            <w:r w:rsidR="007A4AC1">
              <w:t xml:space="preserve">Comparison of pre-and post-test outcomes </w:t>
            </w:r>
            <w:r w:rsidRPr="00495B36">
              <w:t>62% of parents identified reliable improvements to childhood behaviour with 5 cases moving out of the clinical range (below 15 points on ECBI problem scale).</w:t>
            </w:r>
            <w:r w:rsidR="007A4AC1">
              <w:br/>
            </w:r>
            <w:r w:rsidRPr="00495B36">
              <w:br/>
            </w:r>
            <w:r w:rsidR="00B21D95">
              <w:rPr>
                <w:b/>
                <w:bCs/>
              </w:rPr>
              <w:t>Maternal</w:t>
            </w:r>
            <w:r w:rsidRPr="00495B36">
              <w:rPr>
                <w:b/>
                <w:bCs/>
              </w:rPr>
              <w:t xml:space="preserve"> outcomes:</w:t>
            </w:r>
            <w:r w:rsidRPr="00495B36">
              <w:rPr>
                <w:b/>
                <w:bCs/>
              </w:rPr>
              <w:br/>
            </w:r>
            <w:r w:rsidRPr="00B21D95">
              <w:t xml:space="preserve">Parenting scale </w:t>
            </w:r>
            <w:r w:rsidR="001441A1">
              <w:t xml:space="preserve">of hostility </w:t>
            </w:r>
            <w:r w:rsidRPr="00B21D95">
              <w:t xml:space="preserve">- </w:t>
            </w:r>
            <w:r w:rsidR="001441A1" w:rsidRPr="00B21D95">
              <w:t>Medium effect size</w:t>
            </w:r>
            <w:r w:rsidR="001441A1">
              <w:br/>
              <w:t xml:space="preserve">Cohen’s </w:t>
            </w:r>
            <w:r w:rsidRPr="00B21D95">
              <w:t>d=0.82</w:t>
            </w:r>
            <w:r w:rsidR="001441A1">
              <w:t>, 95% CI =[0.39,1.24]</w:t>
            </w:r>
            <w:r w:rsidRPr="00B21D95">
              <w:br/>
              <w:t>Parental mental wellbeing = Small effect size</w:t>
            </w:r>
            <w:r w:rsidRPr="00495B36">
              <w:rPr>
                <w:b/>
                <w:bCs/>
              </w:rPr>
              <w:t xml:space="preserve"> </w:t>
            </w:r>
            <w:r w:rsidRPr="00495B36">
              <w:rPr>
                <w:b/>
                <w:bCs/>
              </w:rPr>
              <w:br/>
            </w:r>
            <w:r w:rsidRPr="00495B36">
              <w:t>Parenting behaviour showed overall improvement</w:t>
            </w:r>
            <w:r w:rsidR="00C74D1F">
              <w:t xml:space="preserve"> – Medium effect size </w:t>
            </w:r>
            <w:r w:rsidR="00C74D1F">
              <w:br/>
              <w:t xml:space="preserve">Cohen’s d=0.46, 95% CI=[0.04,0.87] </w:t>
            </w:r>
            <w:r w:rsidR="00C74D1F">
              <w:br/>
              <w:t xml:space="preserve">Parenting scale - </w:t>
            </w:r>
            <w:r w:rsidRPr="00495B36">
              <w:t xml:space="preserve"> with reduced mean score on Parenting scale below the cut-off clinical level at follow-up. Subscale analysis identified reduction in parental hostility below clinical cut-off (2.4) and reduction parental over-reactivity from baseline. </w:t>
            </w:r>
            <w:r w:rsidRPr="00495B36">
              <w:rPr>
                <w:b/>
                <w:bCs/>
              </w:rPr>
              <w:br/>
            </w:r>
            <w:r w:rsidRPr="00495B36">
              <w:t>No change to parenting stress, social interaction score and reduction on social support (attributed to the lack of privacy in hostel accommodation).</w:t>
            </w:r>
            <w:r w:rsidRPr="00495B36">
              <w:br/>
            </w:r>
            <w:r w:rsidRPr="00B45591">
              <w:t xml:space="preserve">Parental self-care and ‘the </w:t>
            </w:r>
            <w:proofErr w:type="gramStart"/>
            <w:r w:rsidRPr="00B45591">
              <w:t>good  enough</w:t>
            </w:r>
            <w:proofErr w:type="gramEnd"/>
            <w:r w:rsidRPr="00B45591">
              <w:t xml:space="preserve"> parent’ were strongly endorsed topics, although some content (</w:t>
            </w:r>
            <w:r w:rsidR="006C25A4" w:rsidRPr="00B45591">
              <w:t>e.g. timeout</w:t>
            </w:r>
            <w:r w:rsidRPr="00B45591">
              <w:t>) was deemed  impractical given housing conditions.</w:t>
            </w:r>
          </w:p>
        </w:tc>
      </w:tr>
      <w:tr w:rsidR="00495B36" w:rsidRPr="00495B36" w14:paraId="225B75E5" w14:textId="77777777" w:rsidTr="00A9650A">
        <w:trPr>
          <w:trHeight w:val="1125"/>
        </w:trPr>
        <w:tc>
          <w:tcPr>
            <w:tcW w:w="1553" w:type="dxa"/>
          </w:tcPr>
          <w:p w14:paraId="53976AEB"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Brown et al. (2020)</w:t>
            </w:r>
          </w:p>
        </w:tc>
        <w:tc>
          <w:tcPr>
            <w:tcW w:w="2417" w:type="dxa"/>
            <w:hideMark/>
          </w:tcPr>
          <w:p w14:paraId="72ED8E0A" w14:textId="77777777" w:rsidR="00495B36" w:rsidRPr="00495B36" w:rsidRDefault="00495B36">
            <w:pPr>
              <w:spacing w:line="480" w:lineRule="auto"/>
            </w:pPr>
            <w:r w:rsidRPr="00495B36">
              <w:t>Peer-led service model</w:t>
            </w:r>
          </w:p>
        </w:tc>
        <w:tc>
          <w:tcPr>
            <w:tcW w:w="10353" w:type="dxa"/>
            <w:hideMark/>
          </w:tcPr>
          <w:p w14:paraId="1E6EF937" w14:textId="742F33B5" w:rsidR="00495B36" w:rsidRPr="00495B36" w:rsidRDefault="00495B36">
            <w:pPr>
              <w:spacing w:line="480" w:lineRule="auto"/>
              <w:rPr>
                <w:b/>
                <w:bCs/>
              </w:rPr>
            </w:pPr>
            <w:r w:rsidRPr="00495B36">
              <w:rPr>
                <w:b/>
                <w:bCs/>
              </w:rPr>
              <w:t xml:space="preserve">Child outcomes: N/A </w:t>
            </w:r>
            <w:r w:rsidRPr="00495B36">
              <w:rPr>
                <w:b/>
                <w:bCs/>
              </w:rPr>
              <w:br/>
              <w:t xml:space="preserve">Maternal outcomes: </w:t>
            </w:r>
            <w:r w:rsidRPr="00495B36">
              <w:rPr>
                <w:b/>
                <w:bCs/>
              </w:rPr>
              <w:br/>
            </w:r>
            <w:r w:rsidRPr="00B21D95">
              <w:t>Maternal mental health</w:t>
            </w:r>
            <w:r w:rsidRPr="00495B36">
              <w:rPr>
                <w:b/>
                <w:bCs/>
              </w:rPr>
              <w:t xml:space="preserve"> -</w:t>
            </w:r>
            <w:r w:rsidRPr="00495B36">
              <w:t xml:space="preserve"> Overall decrease in generalised anxiety and depression scores  </w:t>
            </w:r>
            <w:r w:rsidRPr="00495B36">
              <w:br/>
            </w:r>
            <w:r w:rsidR="00A9650A">
              <w:t xml:space="preserve">Anxiety: </w:t>
            </w:r>
            <w:r w:rsidRPr="00495B36">
              <w:t xml:space="preserve">  At the follow-up of 58 participants, there was an overall decline in GAD-7 scores</w:t>
            </w:r>
            <w:r w:rsidR="001F2188">
              <w:t xml:space="preserve"> at baseline and 6-month</w:t>
            </w:r>
            <w:r w:rsidRPr="00495B36">
              <w:t xml:space="preserve"> </w:t>
            </w:r>
            <w:r w:rsidR="001F2188">
              <w:t xml:space="preserve">follow-up (t=3.36 p=0.001, Cohen d=0.37). </w:t>
            </w:r>
            <w:r w:rsidRPr="00495B36">
              <w:br/>
            </w:r>
            <w:r w:rsidR="00A9650A">
              <w:t xml:space="preserve">Depression: </w:t>
            </w:r>
            <w:r w:rsidRPr="00495B36">
              <w:t>For the 61 participating mothers, the mean baseline PHQ-9 score (depression) was 7.66 (SD=6.37), in the mild depression range. Just over one-third of the sample scored above the PHQ-9 ‘</w:t>
            </w:r>
            <w:proofErr w:type="spellStart"/>
            <w:r w:rsidRPr="00495B36">
              <w:t>caseness</w:t>
            </w:r>
            <w:proofErr w:type="spellEnd"/>
            <w:r w:rsidRPr="00495B36">
              <w:t>’ threshold</w:t>
            </w:r>
            <w:r w:rsidR="00A9650A">
              <w:t xml:space="preserve"> (</w:t>
            </w:r>
            <w:r w:rsidR="00A9650A" w:rsidRPr="00A9650A">
              <w:t>≥10)</w:t>
            </w:r>
            <w:r w:rsidRPr="00495B36">
              <w:t xml:space="preserve">. At the follow-up of 58 participants, there was an overall decline in the PHQ-9 mean scores that was </w:t>
            </w:r>
            <w:r w:rsidR="00A9650A">
              <w:t xml:space="preserve">at baseline and follow up at 6 months 4.83 (SD=4.15) (t=3.78, p&lt;0.001). </w:t>
            </w:r>
            <w:r w:rsidRPr="00495B36">
              <w:br/>
            </w:r>
            <w:r w:rsidRPr="00495B36">
              <w:rPr>
                <w:b/>
                <w:bCs/>
              </w:rPr>
              <w:br/>
            </w:r>
            <w:r w:rsidRPr="00A9650A">
              <w:t>Health literacy</w:t>
            </w:r>
            <w:r w:rsidR="00A9650A">
              <w:t xml:space="preserve">: </w:t>
            </w:r>
            <w:r w:rsidRPr="00495B36">
              <w:t xml:space="preserve"> No changes as a whole group</w:t>
            </w:r>
            <w:r w:rsidR="00A9650A">
              <w:t>. S</w:t>
            </w:r>
            <w:r w:rsidRPr="00495B36">
              <w:t xml:space="preserve">ubgroup analysis there were significant </w:t>
            </w:r>
            <w:r w:rsidRPr="00495B36">
              <w:rPr>
                <w:b/>
                <w:bCs/>
              </w:rPr>
              <w:t>i</w:t>
            </w:r>
            <w:r w:rsidRPr="00495B36">
              <w:t xml:space="preserve">mprovements to health literacy for those with </w:t>
            </w:r>
            <w:r w:rsidR="00A9650A">
              <w:t>the mother subgroup who had</w:t>
            </w:r>
            <w:r w:rsidRPr="00495B36">
              <w:t xml:space="preserve"> low literacy</w:t>
            </w:r>
            <w:r w:rsidR="00A9650A">
              <w:t xml:space="preserve"> at baseline</w:t>
            </w:r>
            <w:r w:rsidR="00337191">
              <w:t xml:space="preserve"> </w:t>
            </w:r>
            <w:r w:rsidR="00A9650A">
              <w:t>(t=-3.64, p=0.003)</w:t>
            </w:r>
            <w:r w:rsidR="00A9650A">
              <w:br/>
            </w:r>
            <w:r w:rsidR="00A9650A">
              <w:br/>
              <w:t xml:space="preserve">Social support: </w:t>
            </w:r>
            <w:r w:rsidRPr="00495B36">
              <w:t>There were positive changes in the network size for advice/information</w:t>
            </w:r>
            <w:r w:rsidR="00671474">
              <w:t xml:space="preserve">  (t= -3.53, p=0.001)</w:t>
            </w:r>
            <w:r w:rsidR="00671474" w:rsidRPr="00495B36">
              <w:t>,</w:t>
            </w:r>
            <w:r w:rsidRPr="00495B36">
              <w:t>, intimate interaction</w:t>
            </w:r>
            <w:r w:rsidR="00671474">
              <w:t xml:space="preserve"> (t= -2.41, p=0.019)</w:t>
            </w:r>
            <w:r w:rsidRPr="00495B36">
              <w:t>, and for pregnancy/childcare support</w:t>
            </w:r>
            <w:r w:rsidR="00671474">
              <w:t xml:space="preserve">  (t= -2.01, p=0.049)</w:t>
            </w:r>
            <w:r w:rsidRPr="00495B36">
              <w:t>, and for total</w:t>
            </w:r>
            <w:r w:rsidR="00671474">
              <w:t xml:space="preserve"> network</w:t>
            </w:r>
            <w:r w:rsidRPr="00495B36">
              <w:t xml:space="preserve"> satisfaction</w:t>
            </w:r>
            <w:r w:rsidR="00671474">
              <w:t xml:space="preserve">  (t= -2.06, p=0.04)</w:t>
            </w:r>
            <w:r w:rsidR="00337191">
              <w:t xml:space="preserve">. </w:t>
            </w:r>
            <w:r w:rsidRPr="00495B36">
              <w:br/>
            </w:r>
            <w:r w:rsidRPr="00495B36">
              <w:br/>
              <w:t>Parental Engagement - 93% engagement from 61 mothers with 72% fully engaged (5 or more sessions)</w:t>
            </w:r>
            <w:r w:rsidR="00671474">
              <w:t xml:space="preserve">. </w:t>
            </w:r>
          </w:p>
        </w:tc>
      </w:tr>
      <w:tr w:rsidR="00495B36" w:rsidRPr="00495B36" w14:paraId="49B9553B" w14:textId="77777777" w:rsidTr="00A9650A">
        <w:trPr>
          <w:trHeight w:val="4420"/>
        </w:trPr>
        <w:tc>
          <w:tcPr>
            <w:tcW w:w="1553" w:type="dxa"/>
          </w:tcPr>
          <w:p w14:paraId="29C68D89"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 xml:space="preserve">Gewirtz et al. (2015) </w:t>
            </w:r>
          </w:p>
        </w:tc>
        <w:tc>
          <w:tcPr>
            <w:tcW w:w="2417" w:type="dxa"/>
            <w:hideMark/>
          </w:tcPr>
          <w:p w14:paraId="41309537" w14:textId="77777777" w:rsidR="00495B36" w:rsidRPr="00495B36" w:rsidRDefault="00495B36">
            <w:pPr>
              <w:spacing w:line="480" w:lineRule="auto"/>
            </w:pPr>
            <w:r w:rsidRPr="00495B36">
              <w:t>Peer-led service model</w:t>
            </w:r>
          </w:p>
        </w:tc>
        <w:tc>
          <w:tcPr>
            <w:tcW w:w="10353" w:type="dxa"/>
            <w:hideMark/>
          </w:tcPr>
          <w:p w14:paraId="7A51AAB4" w14:textId="7C405A7D" w:rsidR="00B64544" w:rsidRDefault="00495B36">
            <w:pPr>
              <w:spacing w:line="480" w:lineRule="auto"/>
            </w:pPr>
            <w:r w:rsidRPr="00495B36">
              <w:rPr>
                <w:b/>
                <w:bCs/>
              </w:rPr>
              <w:t>Child outcomes:</w:t>
            </w:r>
            <w:r w:rsidRPr="00495B36">
              <w:rPr>
                <w:b/>
                <w:bCs/>
              </w:rPr>
              <w:br/>
            </w:r>
            <w:r w:rsidRPr="00495B36">
              <w:rPr>
                <w:i/>
                <w:iCs/>
              </w:rPr>
              <w:t xml:space="preserve">Child adjustment (externalising, internalising </w:t>
            </w:r>
            <w:r w:rsidR="00884984" w:rsidRPr="00495B36">
              <w:rPr>
                <w:i/>
                <w:iCs/>
              </w:rPr>
              <w:t>problems,</w:t>
            </w:r>
            <w:r w:rsidRPr="00495B36">
              <w:rPr>
                <w:i/>
                <w:iCs/>
              </w:rPr>
              <w:t xml:space="preserve"> and adaptive skills) </w:t>
            </w:r>
            <w:r w:rsidRPr="00495B36">
              <w:rPr>
                <w:i/>
                <w:iCs/>
              </w:rPr>
              <w:br/>
            </w:r>
            <w:r w:rsidRPr="00495B36">
              <w:t>Children in the intervention group</w:t>
            </w:r>
            <w:r w:rsidR="008B6945">
              <w:t xml:space="preserve">, Early Risers-Healthy Families Network (ER-HFN) </w:t>
            </w:r>
            <w:r w:rsidRPr="00495B36">
              <w:t>had greater reductions in depressive symptoms relative to their control counterparts over the 2-year period</w:t>
            </w:r>
            <w:r w:rsidR="00B64544">
              <w:t xml:space="preserve"> </w:t>
            </w:r>
            <w:r w:rsidR="00B64544" w:rsidRPr="00B64544">
              <w:t>(ѱ = −2.13, p &lt;.01).</w:t>
            </w:r>
          </w:p>
          <w:p w14:paraId="5E71CACA" w14:textId="62ADCE79" w:rsidR="008B6945" w:rsidRPr="008B6945" w:rsidRDefault="00495B36">
            <w:pPr>
              <w:spacing w:line="480" w:lineRule="auto"/>
            </w:pPr>
            <w:r w:rsidRPr="00495B36">
              <w:t>No different in parent reported child strengths in ER intervention group.</w:t>
            </w:r>
            <w:r w:rsidRPr="00495B36">
              <w:rPr>
                <w:b/>
                <w:bCs/>
              </w:rPr>
              <w:br/>
            </w:r>
            <w:r w:rsidRPr="00495B36">
              <w:rPr>
                <w:b/>
                <w:bCs/>
              </w:rPr>
              <w:br/>
              <w:t>Parenting outcomes:</w:t>
            </w:r>
            <w:r w:rsidRPr="00495B36">
              <w:rPr>
                <w:b/>
                <w:bCs/>
              </w:rPr>
              <w:br/>
            </w:r>
            <w:r w:rsidR="008B6945">
              <w:t xml:space="preserve">Mothers in the ER-HFN interventions group had increased parenting self-efficacy than mothers in the comparison </w:t>
            </w:r>
            <w:r w:rsidR="008B6945" w:rsidRPr="008B6945">
              <w:rPr>
                <w:rFonts w:cs="Times New Roman"/>
              </w:rPr>
              <w:t xml:space="preserve">group </w:t>
            </w:r>
            <w:r w:rsidR="008B6945" w:rsidRPr="008B6945">
              <w:rPr>
                <w:rStyle w:val="f1kat-hl"/>
                <w:rFonts w:cs="Times New Roman"/>
                <w:shd w:val="clear" w:color="auto" w:fill="FFFFFF"/>
              </w:rPr>
              <w:t>(ѱ = .87, p &lt;.05)</w:t>
            </w:r>
            <w:r w:rsidR="008B6945" w:rsidRPr="008B6945">
              <w:rPr>
                <w:rFonts w:cs="Times New Roman"/>
              </w:rPr>
              <w:t>.</w:t>
            </w:r>
            <w:r w:rsidR="008B6945" w:rsidRPr="008B6945">
              <w:rPr>
                <w:sz w:val="28"/>
                <w:szCs w:val="28"/>
              </w:rPr>
              <w:t xml:space="preserve"> </w:t>
            </w:r>
            <w:r w:rsidR="008B6945">
              <w:br/>
              <w:t xml:space="preserve">No changes in maternal parenting practices were observed. </w:t>
            </w:r>
          </w:p>
          <w:p w14:paraId="7FD92DA7" w14:textId="1F3DBE0D" w:rsidR="00495B36" w:rsidRPr="00495B36" w:rsidRDefault="00495B36">
            <w:pPr>
              <w:spacing w:line="480" w:lineRule="auto"/>
              <w:rPr>
                <w:b/>
                <w:bCs/>
              </w:rPr>
            </w:pPr>
          </w:p>
        </w:tc>
      </w:tr>
      <w:tr w:rsidR="00495B36" w:rsidRPr="00495B36" w14:paraId="0FB32691" w14:textId="77777777" w:rsidTr="00A9650A">
        <w:trPr>
          <w:trHeight w:val="270"/>
        </w:trPr>
        <w:tc>
          <w:tcPr>
            <w:tcW w:w="1553" w:type="dxa"/>
          </w:tcPr>
          <w:p w14:paraId="6607921F"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t>Lee et al. (2010)</w:t>
            </w:r>
          </w:p>
        </w:tc>
        <w:tc>
          <w:tcPr>
            <w:tcW w:w="2417" w:type="dxa"/>
            <w:hideMark/>
          </w:tcPr>
          <w:p w14:paraId="4B7D995C" w14:textId="77777777" w:rsidR="00495B36" w:rsidRPr="00495B36" w:rsidRDefault="00495B36">
            <w:pPr>
              <w:spacing w:line="480" w:lineRule="auto"/>
            </w:pPr>
            <w:r w:rsidRPr="00495B36">
              <w:t>Peer-led service model</w:t>
            </w:r>
          </w:p>
        </w:tc>
        <w:tc>
          <w:tcPr>
            <w:tcW w:w="10353" w:type="dxa"/>
            <w:hideMark/>
          </w:tcPr>
          <w:p w14:paraId="49CCC756" w14:textId="4DC9E31D" w:rsidR="00B11084" w:rsidRDefault="00495B36">
            <w:pPr>
              <w:spacing w:line="480" w:lineRule="auto"/>
            </w:pPr>
            <w:r w:rsidRPr="00495B36">
              <w:rPr>
                <w:b/>
                <w:bCs/>
              </w:rPr>
              <w:t>Child outcomes:</w:t>
            </w:r>
            <w:r w:rsidRPr="00495B36">
              <w:rPr>
                <w:b/>
                <w:bCs/>
              </w:rPr>
              <w:br/>
            </w:r>
            <w:r w:rsidR="00B11084">
              <w:t>For c</w:t>
            </w:r>
            <w:r w:rsidRPr="00495B36">
              <w:t>hild behavioural</w:t>
            </w:r>
            <w:r w:rsidR="00B11084">
              <w:t xml:space="preserve"> and</w:t>
            </w:r>
            <w:r w:rsidRPr="00495B36">
              <w:t xml:space="preserve"> emotional </w:t>
            </w:r>
            <w:r w:rsidR="00B11084">
              <w:t>rating, n</w:t>
            </w:r>
            <w:r w:rsidRPr="00495B36">
              <w:t xml:space="preserve">o difference between children who were homeless and low-income children when teachers rated the scores. </w:t>
            </w:r>
          </w:p>
          <w:p w14:paraId="733F8BC4" w14:textId="61BA41D0" w:rsidR="00B11084" w:rsidRDefault="00B11084" w:rsidP="00B11084">
            <w:pPr>
              <w:spacing w:line="480" w:lineRule="auto"/>
              <w:ind w:left="720"/>
            </w:pPr>
            <w:r>
              <w:t>Behavioural Assessment System for Children 2</w:t>
            </w:r>
            <w:r w:rsidRPr="00B11084">
              <w:rPr>
                <w:vertAlign w:val="superscript"/>
              </w:rPr>
              <w:t>nd</w:t>
            </w:r>
            <w:r>
              <w:t xml:space="preserve"> Ed (BASC2): </w:t>
            </w:r>
            <w:r>
              <w:br/>
              <w:t>Internalising problems t=1.11 p&gt;0.05, externalising problems, t = 0.82 p&gt;0.05</w:t>
            </w:r>
          </w:p>
          <w:p w14:paraId="3F7AAF1F" w14:textId="77777777" w:rsidR="006B0506" w:rsidRDefault="00B11084" w:rsidP="00B11084">
            <w:pPr>
              <w:spacing w:line="480" w:lineRule="auto"/>
            </w:pPr>
            <w:r>
              <w:t>Maths and English scores for both sample groups were different but below grade level performance</w:t>
            </w:r>
            <w:r>
              <w:br/>
              <w:t xml:space="preserve">Academic Competence Evaluation Scales: </w:t>
            </w:r>
          </w:p>
          <w:p w14:paraId="1E832AFA" w14:textId="1C248122" w:rsidR="00B11084" w:rsidRDefault="00B11084" w:rsidP="006B0506">
            <w:pPr>
              <w:spacing w:line="480" w:lineRule="auto"/>
              <w:ind w:left="720"/>
            </w:pPr>
            <w:r>
              <w:lastRenderedPageBreak/>
              <w:t xml:space="preserve">Reading: t = 2.65, p&lt;0.001 </w:t>
            </w:r>
            <w:r>
              <w:br/>
              <w:t>Mathematics t</w:t>
            </w:r>
            <w:r w:rsidR="006B0506">
              <w:t xml:space="preserve"> = 2.92, p&lt;0.001</w:t>
            </w:r>
          </w:p>
          <w:p w14:paraId="71727742" w14:textId="77777777" w:rsidR="004A1760" w:rsidRDefault="00495B36">
            <w:pPr>
              <w:spacing w:line="480" w:lineRule="auto"/>
            </w:pPr>
            <w:r w:rsidRPr="00495B36">
              <w:t xml:space="preserve">Maternal rating of behaviour indicated high rate of internalising and externalising child problems than low-income at-risk children. </w:t>
            </w:r>
          </w:p>
          <w:p w14:paraId="5587B9E9" w14:textId="05C39D9E" w:rsidR="004A1760" w:rsidRDefault="004A1760" w:rsidP="004A1760">
            <w:pPr>
              <w:spacing w:line="480" w:lineRule="auto"/>
              <w:ind w:left="720"/>
            </w:pPr>
            <w:r>
              <w:t>Behavioural Assessment System for Children 2</w:t>
            </w:r>
            <w:r w:rsidRPr="00B11084">
              <w:rPr>
                <w:vertAlign w:val="superscript"/>
              </w:rPr>
              <w:t>nd</w:t>
            </w:r>
            <w:r>
              <w:t xml:space="preserve"> Ed (BASC2): </w:t>
            </w:r>
            <w:r>
              <w:br/>
              <w:t>Internalising problems t=4.31 p&lt;0.001, Externalising problems, t = 3.65  p&lt;0.001</w:t>
            </w:r>
          </w:p>
          <w:p w14:paraId="7C5C1729" w14:textId="77777777" w:rsidR="004A1760" w:rsidRDefault="004A1760" w:rsidP="004A1760">
            <w:pPr>
              <w:spacing w:line="480" w:lineRule="auto"/>
            </w:pPr>
            <w:r>
              <w:t>Higher</w:t>
            </w:r>
            <w:r w:rsidR="00495B36" w:rsidRPr="00495B36">
              <w:t xml:space="preserve"> service utilisation of mental health services children experiencing homelessness</w:t>
            </w:r>
            <w:r>
              <w:t xml:space="preserve"> compared to chilren who were low-income stable housing children. </w:t>
            </w:r>
          </w:p>
          <w:p w14:paraId="3A958E5E" w14:textId="59830001" w:rsidR="004A1760" w:rsidRDefault="004A1760" w:rsidP="004D24EE">
            <w:pPr>
              <w:spacing w:line="480" w:lineRule="auto"/>
              <w:ind w:left="720"/>
            </w:pPr>
            <w:r>
              <w:t xml:space="preserve">Child Mental Health  </w:t>
            </w:r>
            <w:r w:rsidRPr="004A1760">
              <w:t>χ</w:t>
            </w:r>
            <w:r w:rsidRPr="004A1760">
              <w:rPr>
                <w:vertAlign w:val="superscript"/>
              </w:rPr>
              <w:t xml:space="preserve"> </w:t>
            </w:r>
            <w:r>
              <w:rPr>
                <w:vertAlign w:val="superscript"/>
              </w:rPr>
              <w:t xml:space="preserve">2 </w:t>
            </w:r>
            <w:r>
              <w:t>= 15.46 p&lt;0.001</w:t>
            </w:r>
          </w:p>
          <w:p w14:paraId="48A2017F" w14:textId="59177258" w:rsidR="007C08E3" w:rsidRDefault="00495B36" w:rsidP="004A1760">
            <w:pPr>
              <w:spacing w:line="480" w:lineRule="auto"/>
            </w:pPr>
            <w:r w:rsidRPr="00495B36">
              <w:rPr>
                <w:b/>
                <w:bCs/>
              </w:rPr>
              <w:t xml:space="preserve">Maternal outcomes: </w:t>
            </w:r>
            <w:r w:rsidRPr="00495B36">
              <w:rPr>
                <w:b/>
                <w:bCs/>
              </w:rPr>
              <w:br/>
            </w:r>
            <w:r w:rsidRPr="00495B36">
              <w:t>Mental health similar scores on attachment</w:t>
            </w:r>
            <w:r w:rsidR="007C08E3">
              <w:t xml:space="preserve"> (t=0.70, p&gt;0.05)</w:t>
            </w:r>
            <w:r w:rsidRPr="00495B36">
              <w:t>, communication</w:t>
            </w:r>
            <w:r w:rsidR="007C08E3">
              <w:t xml:space="preserve"> (t=1.40, p&gt;0.05)</w:t>
            </w:r>
            <w:r w:rsidRPr="00495B36">
              <w:t>, discipline practices</w:t>
            </w:r>
            <w:r w:rsidR="007C08E3">
              <w:t xml:space="preserve"> (t=1.51, p&gt;0.05)</w:t>
            </w:r>
            <w:r w:rsidR="007C08E3" w:rsidRPr="00495B36">
              <w:t xml:space="preserve">, </w:t>
            </w:r>
            <w:r w:rsidRPr="00495B36">
              <w:t xml:space="preserve"> and involvement scales</w:t>
            </w:r>
            <w:r w:rsidR="007C08E3">
              <w:t xml:space="preserve"> (t=0.92, p&gt;0.05)</w:t>
            </w:r>
            <w:r w:rsidR="007C08E3" w:rsidRPr="00495B36">
              <w:t xml:space="preserve">, </w:t>
            </w:r>
            <w:r w:rsidRPr="00495B36">
              <w:t>for</w:t>
            </w:r>
            <w:r w:rsidR="007C08E3">
              <w:t xml:space="preserve"> formerly</w:t>
            </w:r>
            <w:r w:rsidRPr="00495B36">
              <w:t xml:space="preserve"> homeless mothers in housing and low-income mothers in community setting.</w:t>
            </w:r>
            <w:r w:rsidRPr="00495B36">
              <w:br/>
              <w:t xml:space="preserve">Mothers who </w:t>
            </w:r>
            <w:r w:rsidR="004D24EE">
              <w:t>experienced</w:t>
            </w:r>
            <w:r w:rsidRPr="00495B36">
              <w:t xml:space="preserve"> homelessness (HFN) had worse scores on parenting confidence and relational frustration than at risk low-income community mothers (PUC)</w:t>
            </w:r>
            <w:r w:rsidR="007C08E3">
              <w:t xml:space="preserve">. </w:t>
            </w:r>
          </w:p>
          <w:p w14:paraId="1439207B" w14:textId="3A3CC455" w:rsidR="00495B36" w:rsidRDefault="007C08E3" w:rsidP="00A15B12">
            <w:pPr>
              <w:spacing w:line="480" w:lineRule="auto"/>
              <w:ind w:left="720"/>
            </w:pPr>
            <w:r>
              <w:t>Parenting Relationship Questionnaire (PRQ):</w:t>
            </w:r>
            <w:r>
              <w:br/>
              <w:t>Parental confidence t=4.85 p&gt;0.001</w:t>
            </w:r>
            <w:r>
              <w:br/>
              <w:t>Relational frustration t=6.59 p&gt;0.001</w:t>
            </w:r>
          </w:p>
          <w:p w14:paraId="6E915BFE" w14:textId="77777777" w:rsidR="004D24EE" w:rsidRDefault="004A1760" w:rsidP="004D24EE">
            <w:pPr>
              <w:spacing w:line="480" w:lineRule="auto"/>
            </w:pPr>
            <w:r>
              <w:t xml:space="preserve">Higher service utilisation of mental health services for mothers </w:t>
            </w:r>
            <w:r w:rsidR="004D24EE">
              <w:t xml:space="preserve">who’ve experienced homelessness than </w:t>
            </w:r>
            <w:r w:rsidR="004D24EE">
              <w:lastRenderedPageBreak/>
              <w:t xml:space="preserve">the low-income mothers. </w:t>
            </w:r>
          </w:p>
          <w:p w14:paraId="05FEC17F" w14:textId="4844B54A" w:rsidR="004A1760" w:rsidRDefault="004D24EE" w:rsidP="004D24EE">
            <w:pPr>
              <w:spacing w:line="480" w:lineRule="auto"/>
              <w:ind w:left="720"/>
            </w:pPr>
            <w:r>
              <w:t xml:space="preserve">Adult Mental Health </w:t>
            </w:r>
            <w:r w:rsidRPr="004A1760">
              <w:t>χ</w:t>
            </w:r>
            <w:r w:rsidRPr="004A1760">
              <w:rPr>
                <w:vertAlign w:val="superscript"/>
              </w:rPr>
              <w:t xml:space="preserve"> </w:t>
            </w:r>
            <w:r>
              <w:rPr>
                <w:vertAlign w:val="superscript"/>
              </w:rPr>
              <w:t xml:space="preserve">2 </w:t>
            </w:r>
            <w:r>
              <w:t>= 54.37  p&lt;0.001</w:t>
            </w:r>
          </w:p>
          <w:p w14:paraId="6A0F62AD" w14:textId="77777777" w:rsidR="00A15B12" w:rsidRDefault="00A15B12" w:rsidP="00A15B12">
            <w:pPr>
              <w:spacing w:line="480" w:lineRule="auto"/>
            </w:pPr>
            <w:r>
              <w:t>Formerly homeless mothers experienced higher psychological distress compared to low-income mothers</w:t>
            </w:r>
          </w:p>
          <w:p w14:paraId="044B5735" w14:textId="0ADFB762" w:rsidR="00A15B12" w:rsidRDefault="00A15B12" w:rsidP="00A15B12">
            <w:pPr>
              <w:spacing w:line="480" w:lineRule="auto"/>
              <w:ind w:left="720"/>
            </w:pPr>
            <w:r>
              <w:t xml:space="preserve">Mental health Brief Symptom Inventory 19 (BSI-18): </w:t>
            </w:r>
            <w:r>
              <w:br/>
              <w:t>Depression t=4.32 p&lt;0.001</w:t>
            </w:r>
          </w:p>
          <w:p w14:paraId="1DF5E675" w14:textId="75450E12" w:rsidR="00A15B12" w:rsidRPr="004A1760" w:rsidRDefault="00A15B12" w:rsidP="00A15B12">
            <w:pPr>
              <w:spacing w:line="480" w:lineRule="auto"/>
              <w:ind w:left="720"/>
            </w:pPr>
            <w:r>
              <w:t>Anxiety t=3.98, p&lt;0.001</w:t>
            </w:r>
          </w:p>
          <w:p w14:paraId="2C71400E" w14:textId="6E9FDD6E" w:rsidR="004A1760" w:rsidRPr="004A1760" w:rsidRDefault="004A1760" w:rsidP="004A1760">
            <w:pPr>
              <w:spacing w:line="480" w:lineRule="auto"/>
              <w:rPr>
                <w:vertAlign w:val="superscript"/>
              </w:rPr>
            </w:pPr>
          </w:p>
        </w:tc>
      </w:tr>
      <w:tr w:rsidR="00495B36" w:rsidRPr="00495B36" w14:paraId="51936D4E" w14:textId="77777777" w:rsidTr="00A9650A">
        <w:trPr>
          <w:trHeight w:val="842"/>
        </w:trPr>
        <w:tc>
          <w:tcPr>
            <w:tcW w:w="1553" w:type="dxa"/>
          </w:tcPr>
          <w:p w14:paraId="66DB351B"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McWhirter (2006)</w:t>
            </w:r>
          </w:p>
        </w:tc>
        <w:tc>
          <w:tcPr>
            <w:tcW w:w="2417" w:type="dxa"/>
            <w:hideMark/>
          </w:tcPr>
          <w:p w14:paraId="02914200" w14:textId="77777777" w:rsidR="00495B36" w:rsidRPr="00495B36" w:rsidRDefault="00495B36">
            <w:pPr>
              <w:spacing w:line="480" w:lineRule="auto"/>
            </w:pPr>
            <w:r w:rsidRPr="00495B36">
              <w:t xml:space="preserve">Community therapy sessions </w:t>
            </w:r>
          </w:p>
        </w:tc>
        <w:tc>
          <w:tcPr>
            <w:tcW w:w="10353" w:type="dxa"/>
            <w:hideMark/>
          </w:tcPr>
          <w:p w14:paraId="199DB0C6" w14:textId="72062487" w:rsidR="00495B36" w:rsidRPr="00495B36" w:rsidRDefault="00495B36" w:rsidP="002437D4">
            <w:pPr>
              <w:spacing w:line="480" w:lineRule="auto"/>
            </w:pPr>
            <w:r w:rsidRPr="00495B36">
              <w:rPr>
                <w:b/>
                <w:bCs/>
              </w:rPr>
              <w:t>Child outcomes: N/A</w:t>
            </w:r>
            <w:r w:rsidRPr="00495B36">
              <w:br/>
            </w:r>
            <w:r w:rsidRPr="00495B36">
              <w:rPr>
                <w:b/>
                <w:bCs/>
              </w:rPr>
              <w:t>Maternal outcomes:</w:t>
            </w:r>
            <w:r w:rsidRPr="00495B36">
              <w:br/>
              <w:t>- Social support variables</w:t>
            </w:r>
            <w:r w:rsidR="002437D4">
              <w:t xml:space="preserve">: </w:t>
            </w:r>
            <w:r w:rsidRPr="00495B36">
              <w:t>Overall increase between both groups in social network size and social isolation with a significant increase among the comparison group (women in transition)</w:t>
            </w:r>
            <w:r w:rsidR="002437D4">
              <w:t xml:space="preserve">. Calculated using one-factor ANOVA </w:t>
            </w:r>
            <w:r w:rsidR="002437D4" w:rsidRPr="002437D4">
              <w:t>Social Network Size, F (1, 53) ¼ .02, p &gt; .01, Social Isolation, F (1,66) ¼ .43, p &gt; .01</w:t>
            </w:r>
            <w:r w:rsidRPr="00495B36">
              <w:br/>
              <w:t>- Self-efficacy greater increase in group among women who were living in homeless shelters (intervention) than women in transition group (alternative comparison group i.e. individual educational mentorship group)</w:t>
            </w:r>
            <w:r w:rsidR="002437D4">
              <w:t xml:space="preserve"> [</w:t>
            </w:r>
            <w:r w:rsidR="002437D4" w:rsidRPr="002437D4">
              <w:t>Self-efficacy F (1,65) ¼ .49, p &gt; .01.</w:t>
            </w:r>
            <w:r w:rsidR="002437D4">
              <w:t>]</w:t>
            </w:r>
            <w:r w:rsidRPr="00495B36">
              <w:br/>
              <w:t>- Decreases in financial stress following participation in both group</w:t>
            </w:r>
            <w:r w:rsidR="002437D4">
              <w:t xml:space="preserve">s </w:t>
            </w:r>
            <w:r w:rsidR="002437D4" w:rsidRPr="002437D4">
              <w:t xml:space="preserve">Financial Stress, </w:t>
            </w:r>
            <w:r w:rsidR="002437D4">
              <w:t>[</w:t>
            </w:r>
            <w:r w:rsidR="002437D4" w:rsidRPr="002437D4">
              <w:t>F (1,53) ¼ .19, p &gt; .0</w:t>
            </w:r>
            <w:r w:rsidR="00E70362">
              <w:t>1]</w:t>
            </w:r>
            <w:r w:rsidR="002437D4">
              <w:br/>
              <w:t xml:space="preserve">-Family conflict </w:t>
            </w:r>
            <w:r w:rsidR="00E70362">
              <w:t>[</w:t>
            </w:r>
            <w:r w:rsidR="00E70362" w:rsidRPr="00E70362">
              <w:t>Family Conflict, F (1,64) ¼ .00, p &gt; .01</w:t>
            </w:r>
            <w:r w:rsidR="00E70362">
              <w:t>]</w:t>
            </w:r>
            <w:r w:rsidRPr="00495B36">
              <w:br/>
            </w:r>
            <w:r w:rsidRPr="00495B36">
              <w:lastRenderedPageBreak/>
              <w:t>- No effect on family bonding and / or family conflict for either interventions</w:t>
            </w:r>
            <w:r w:rsidR="00E70362">
              <w:t xml:space="preserve"> [</w:t>
            </w:r>
            <w:r w:rsidR="00E70362" w:rsidRPr="00E70362">
              <w:t>Family Bonding F (1,59) ¼ .26, p &gt; .0</w:t>
            </w:r>
            <w:r w:rsidR="00E70362">
              <w:t xml:space="preserve">1] </w:t>
            </w:r>
          </w:p>
        </w:tc>
      </w:tr>
      <w:tr w:rsidR="00495B36" w:rsidRPr="00495B36" w14:paraId="28BED516" w14:textId="77777777" w:rsidTr="00A9650A">
        <w:trPr>
          <w:trHeight w:val="5143"/>
        </w:trPr>
        <w:tc>
          <w:tcPr>
            <w:tcW w:w="1553" w:type="dxa"/>
          </w:tcPr>
          <w:p w14:paraId="1FD51DDB"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 xml:space="preserve">Nabors et al. (2004)  </w:t>
            </w:r>
          </w:p>
        </w:tc>
        <w:tc>
          <w:tcPr>
            <w:tcW w:w="2417" w:type="dxa"/>
            <w:hideMark/>
          </w:tcPr>
          <w:p w14:paraId="4DE73033" w14:textId="77777777" w:rsidR="00495B36" w:rsidRPr="00495B36" w:rsidRDefault="00495B36">
            <w:pPr>
              <w:spacing w:line="480" w:lineRule="auto"/>
            </w:pPr>
            <w:r w:rsidRPr="00495B36">
              <w:t xml:space="preserve">Community-based / school </w:t>
            </w:r>
          </w:p>
        </w:tc>
        <w:tc>
          <w:tcPr>
            <w:tcW w:w="10353" w:type="dxa"/>
            <w:hideMark/>
          </w:tcPr>
          <w:p w14:paraId="393105F8" w14:textId="130A1DB6" w:rsidR="00495B36" w:rsidRPr="00495B36" w:rsidRDefault="00495B36">
            <w:pPr>
              <w:spacing w:line="480" w:lineRule="auto"/>
            </w:pPr>
            <w:r w:rsidRPr="00495B36">
              <w:rPr>
                <w:b/>
                <w:bCs/>
              </w:rPr>
              <w:t xml:space="preserve">Child outcomes: </w:t>
            </w:r>
            <w:r w:rsidRPr="00495B36">
              <w:rPr>
                <w:b/>
                <w:bCs/>
              </w:rPr>
              <w:br/>
            </w:r>
            <w:r w:rsidRPr="00495B36">
              <w:t>24 girls and 21 boys completed survey (mean age 7 years and 2 months)</w:t>
            </w:r>
            <w:r w:rsidRPr="00495B36">
              <w:br/>
              <w:t>- Low income children reported seeing the same doctor on a routine bases whereas only 17% of children experiencing homelessness reported seeing a doctor regularly</w:t>
            </w:r>
            <w:r w:rsidR="000135D9">
              <w:t xml:space="preserve"> [Chi-squared test, </w:t>
            </w:r>
            <w:r w:rsidR="000135D9" w:rsidRPr="000135D9">
              <w:t>χ</w:t>
            </w:r>
            <w:r w:rsidR="000135D9" w:rsidRPr="000135D9">
              <w:rPr>
                <w:vertAlign w:val="superscript"/>
              </w:rPr>
              <w:t>2</w:t>
            </w:r>
            <w:r w:rsidR="000135D9" w:rsidRPr="000135D9">
              <w:t>(1) = 8.031, p ≤ .01</w:t>
            </w:r>
            <w:r w:rsidR="000135D9">
              <w:t xml:space="preserve">] </w:t>
            </w:r>
            <w:r w:rsidRPr="00495B36">
              <w:br/>
              <w:t>- Children from low</w:t>
            </w:r>
            <w:r w:rsidR="000135D9">
              <w:t>-</w:t>
            </w:r>
            <w:r w:rsidRPr="00495B36">
              <w:t>income families reported receiving more medical services than children experiencing homelessness</w:t>
            </w:r>
            <w:r w:rsidR="000135D9">
              <w:t xml:space="preserve"> [Chi-squared test, </w:t>
            </w:r>
            <w:r w:rsidR="000135D9" w:rsidRPr="000135D9">
              <w:t>χ</w:t>
            </w:r>
            <w:r w:rsidR="000135D9" w:rsidRPr="000135D9">
              <w:rPr>
                <w:vertAlign w:val="superscript"/>
              </w:rPr>
              <w:t>2</w:t>
            </w:r>
            <w:r w:rsidR="000135D9" w:rsidRPr="000135D9">
              <w:t xml:space="preserve">(1) = </w:t>
            </w:r>
            <w:r w:rsidR="000135D9">
              <w:t xml:space="preserve">3.994, </w:t>
            </w:r>
            <w:r w:rsidR="000135D9" w:rsidRPr="000135D9">
              <w:t xml:space="preserve"> p ≤ .0</w:t>
            </w:r>
            <w:r w:rsidR="000135D9">
              <w:t xml:space="preserve">5, t= 2.01, p </w:t>
            </w:r>
            <w:r w:rsidR="000135D9" w:rsidRPr="000135D9">
              <w:t xml:space="preserve"> ≤ .0</w:t>
            </w:r>
            <w:r w:rsidR="000135D9">
              <w:t>5 ]</w:t>
            </w:r>
            <w:r w:rsidRPr="00495B36">
              <w:br/>
              <w:t xml:space="preserve">- Children experiencing homelessness reported seeing a </w:t>
            </w:r>
            <w:r w:rsidR="000135D9" w:rsidRPr="00495B36">
              <w:t>counsellor</w:t>
            </w:r>
            <w:r w:rsidRPr="00495B36">
              <w:t xml:space="preserve"> (66.7%) than children from low-income families (7.4%) [</w:t>
            </w:r>
            <w:r w:rsidR="000135D9">
              <w:t xml:space="preserve">Chi-squared test, </w:t>
            </w:r>
            <w:r w:rsidR="000135D9" w:rsidRPr="000135D9">
              <w:t>χ</w:t>
            </w:r>
            <w:r w:rsidR="000135D9" w:rsidRPr="000135D9">
              <w:rPr>
                <w:vertAlign w:val="superscript"/>
              </w:rPr>
              <w:t>2</w:t>
            </w:r>
            <w:r w:rsidR="000135D9" w:rsidRPr="000135D9">
              <w:t>(1)</w:t>
            </w:r>
            <w:r w:rsidRPr="00495B36">
              <w:t xml:space="preserve">= 17.696, p ≤ .01.] </w:t>
            </w:r>
            <w:r w:rsidRPr="00495B36">
              <w:br/>
              <w:t>- No measurements directly on mental health / other wellbeing indicators</w:t>
            </w:r>
            <w:r w:rsidRPr="00495B36">
              <w:br/>
            </w:r>
            <w:r w:rsidRPr="00495B36">
              <w:rPr>
                <w:b/>
                <w:bCs/>
              </w:rPr>
              <w:t>Maternal outcomes</w:t>
            </w:r>
            <w:r w:rsidRPr="00495B36">
              <w:t>: N/A</w:t>
            </w:r>
          </w:p>
        </w:tc>
      </w:tr>
      <w:tr w:rsidR="00495B36" w:rsidRPr="00495B36" w14:paraId="366DFD8F" w14:textId="77777777" w:rsidTr="00A9650A">
        <w:trPr>
          <w:trHeight w:val="5780"/>
        </w:trPr>
        <w:tc>
          <w:tcPr>
            <w:tcW w:w="1553" w:type="dxa"/>
          </w:tcPr>
          <w:p w14:paraId="3C01663D"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 xml:space="preserve">Samuels et al. (2015) </w:t>
            </w:r>
          </w:p>
        </w:tc>
        <w:tc>
          <w:tcPr>
            <w:tcW w:w="2417" w:type="dxa"/>
            <w:hideMark/>
          </w:tcPr>
          <w:p w14:paraId="1CBC034F" w14:textId="77777777" w:rsidR="00495B36" w:rsidRPr="00495B36" w:rsidRDefault="00495B36">
            <w:pPr>
              <w:spacing w:line="480" w:lineRule="auto"/>
            </w:pPr>
            <w:r w:rsidRPr="00495B36">
              <w:t xml:space="preserve">Community-based case management </w:t>
            </w:r>
          </w:p>
        </w:tc>
        <w:tc>
          <w:tcPr>
            <w:tcW w:w="10353" w:type="dxa"/>
            <w:hideMark/>
          </w:tcPr>
          <w:p w14:paraId="73D7BCAC" w14:textId="06228392" w:rsidR="00495B36" w:rsidRPr="00495B36" w:rsidRDefault="00495B36">
            <w:pPr>
              <w:spacing w:line="480" w:lineRule="auto"/>
              <w:rPr>
                <w:b/>
                <w:bCs/>
              </w:rPr>
            </w:pPr>
            <w:r w:rsidRPr="00495B36">
              <w:rPr>
                <w:b/>
                <w:bCs/>
              </w:rPr>
              <w:t xml:space="preserve">Child outcomes: N/A </w:t>
            </w:r>
            <w:r w:rsidRPr="00495B36">
              <w:rPr>
                <w:b/>
                <w:bCs/>
              </w:rPr>
              <w:br/>
              <w:t xml:space="preserve">Maternal outcomes: </w:t>
            </w:r>
            <w:r w:rsidRPr="00495B36">
              <w:rPr>
                <w:b/>
                <w:bCs/>
              </w:rPr>
              <w:br/>
            </w:r>
            <w:r w:rsidRPr="00495B36">
              <w:t>Between baseline and 15-month assessments, mothers reported a 9-point decrease, on average, in standard G</w:t>
            </w:r>
            <w:r w:rsidR="004C284A">
              <w:t xml:space="preserve">lobal </w:t>
            </w:r>
            <w:r w:rsidRPr="00495B36">
              <w:t>S</w:t>
            </w:r>
            <w:r w:rsidR="004C284A">
              <w:t xml:space="preserve">everity </w:t>
            </w:r>
            <w:r w:rsidRPr="00495B36">
              <w:t>I</w:t>
            </w:r>
            <w:r w:rsidR="004C284A">
              <w:t>ndex</w:t>
            </w:r>
            <w:r w:rsidRPr="00495B36">
              <w:t xml:space="preserve"> scores. The decrease brough</w:t>
            </w:r>
            <w:r w:rsidR="004C284A">
              <w:t>t</w:t>
            </w:r>
            <w:r w:rsidRPr="00495B36">
              <w:t xml:space="preserve"> the majority of mothers into the normal range of mental health relative to the general adult population.</w:t>
            </w:r>
            <w:r w:rsidRPr="00495B36">
              <w:br/>
              <w:t xml:space="preserve">No significant difference in mental health and rate of decline between </w:t>
            </w:r>
            <w:r w:rsidR="004C284A">
              <w:t>the intervention, Family Critical Time Intervention (</w:t>
            </w:r>
            <w:r w:rsidRPr="00495B36">
              <w:t>FCTI</w:t>
            </w:r>
            <w:r w:rsidR="004C284A">
              <w:t>)</w:t>
            </w:r>
            <w:r w:rsidRPr="00495B36">
              <w:t xml:space="preserve"> and control group.</w:t>
            </w:r>
            <w:r w:rsidR="004C284A">
              <w:br/>
            </w:r>
            <w:r w:rsidR="004C284A" w:rsidRPr="00495B36">
              <w:t xml:space="preserve"> </w:t>
            </w:r>
            <w:r w:rsidR="004C284A">
              <w:t xml:space="preserve">At 9 month follow up mothers with elevated symptoms declined by 35% in intervention and 35% in control group. </w:t>
            </w:r>
            <w:r w:rsidRPr="00495B36">
              <w:rPr>
                <w:b/>
                <w:bCs/>
              </w:rPr>
              <w:br/>
            </w:r>
            <w:r w:rsidRPr="00495B36">
              <w:t>FCTI intervention group transitioned into permanent housing faster than service-as-usual group however this did not correspond to improvements in maternal mental health.</w:t>
            </w:r>
          </w:p>
        </w:tc>
      </w:tr>
      <w:tr w:rsidR="00495B36" w:rsidRPr="00495B36" w14:paraId="3DD57288" w14:textId="77777777" w:rsidTr="00A9650A">
        <w:trPr>
          <w:trHeight w:val="9378"/>
        </w:trPr>
        <w:tc>
          <w:tcPr>
            <w:tcW w:w="1553" w:type="dxa"/>
          </w:tcPr>
          <w:p w14:paraId="34A52028"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Weinreb et al. (2016)</w:t>
            </w:r>
          </w:p>
        </w:tc>
        <w:tc>
          <w:tcPr>
            <w:tcW w:w="2417" w:type="dxa"/>
            <w:hideMark/>
          </w:tcPr>
          <w:p w14:paraId="3DCF63C4" w14:textId="77777777" w:rsidR="00495B36" w:rsidRPr="00495B36" w:rsidRDefault="00495B36">
            <w:pPr>
              <w:spacing w:line="480" w:lineRule="auto"/>
            </w:pPr>
            <w:r w:rsidRPr="00495B36">
              <w:t xml:space="preserve">Collaborative care model (Community-based case management) </w:t>
            </w:r>
          </w:p>
        </w:tc>
        <w:tc>
          <w:tcPr>
            <w:tcW w:w="10353" w:type="dxa"/>
            <w:hideMark/>
          </w:tcPr>
          <w:p w14:paraId="0D2F559C" w14:textId="5526AD47" w:rsidR="00B21D95" w:rsidRPr="00B21D95" w:rsidRDefault="00495B36" w:rsidP="00B21D95">
            <w:pPr>
              <w:spacing w:line="480" w:lineRule="auto"/>
              <w:rPr>
                <w:b/>
                <w:bCs/>
              </w:rPr>
            </w:pPr>
            <w:r w:rsidRPr="00B21D95">
              <w:rPr>
                <w:b/>
                <w:bCs/>
              </w:rPr>
              <w:t>Child outcomes: N/A</w:t>
            </w:r>
          </w:p>
          <w:p w14:paraId="443E88F7" w14:textId="77777777" w:rsidR="00B21D95" w:rsidRPr="00B21D95" w:rsidRDefault="00495B36" w:rsidP="00B21D95">
            <w:pPr>
              <w:spacing w:line="480" w:lineRule="auto"/>
              <w:rPr>
                <w:b/>
                <w:bCs/>
              </w:rPr>
            </w:pPr>
            <w:r w:rsidRPr="00B21D95">
              <w:rPr>
                <w:b/>
                <w:bCs/>
              </w:rPr>
              <w:t xml:space="preserve">Maternal outcomes: </w:t>
            </w:r>
          </w:p>
          <w:p w14:paraId="7AA45145" w14:textId="2A199ECD" w:rsidR="00B21D95" w:rsidRPr="00B21D95" w:rsidRDefault="00495B36" w:rsidP="00B21D95">
            <w:pPr>
              <w:spacing w:line="480" w:lineRule="auto"/>
              <w:rPr>
                <w:b/>
                <w:bCs/>
              </w:rPr>
            </w:pPr>
            <w:r w:rsidRPr="00495B36">
              <w:t>Overall significant deduction in depression score for all women by the end of the follow up</w:t>
            </w:r>
            <w:r w:rsidR="00896BB2">
              <w:t xml:space="preserve"> (</w:t>
            </w:r>
            <w:r w:rsidR="00896BB2">
              <w:br/>
            </w:r>
            <w:r w:rsidRPr="00495B36">
              <w:t xml:space="preserve">At 6 months follow up, women in the intervention group had a high per proportion of </w:t>
            </w:r>
            <w:r w:rsidR="00896BB2">
              <w:t xml:space="preserve">over </w:t>
            </w:r>
            <w:r w:rsidRPr="00495B36">
              <w:t>50% improvement in depression symptoms  (intervention: 30%, usual care: 5.9%, P = .07).</w:t>
            </w:r>
          </w:p>
          <w:p w14:paraId="5FF13D31" w14:textId="77777777" w:rsidR="004D24EE" w:rsidRDefault="00495B36" w:rsidP="004D24EE">
            <w:pPr>
              <w:spacing w:line="480" w:lineRule="auto"/>
            </w:pPr>
            <w:r w:rsidRPr="00495B36">
              <w:t xml:space="preserve">Women in the intervention group also had significantly more </w:t>
            </w:r>
            <w:r w:rsidR="003F5CC6">
              <w:t>primary care physician (PCP)</w:t>
            </w:r>
            <w:r w:rsidRPr="00495B36">
              <w:t xml:space="preserve"> and care manager visits at both</w:t>
            </w:r>
            <w:r w:rsidR="003F5CC6">
              <w:t xml:space="preserve"> follow ups:</w:t>
            </w:r>
          </w:p>
          <w:p w14:paraId="192620C3" w14:textId="24A4C39E" w:rsidR="003F5CC6" w:rsidRDefault="00495B36" w:rsidP="004D24EE">
            <w:pPr>
              <w:spacing w:line="480" w:lineRule="auto"/>
              <w:ind w:left="720"/>
            </w:pPr>
            <w:r w:rsidRPr="003F5CC6">
              <w:rPr>
                <w:i/>
                <w:iCs/>
              </w:rPr>
              <w:t>3-month</w:t>
            </w:r>
            <w:r w:rsidR="003F5CC6">
              <w:t xml:space="preserve"> </w:t>
            </w:r>
            <w:r w:rsidR="003F5CC6">
              <w:br/>
              <w:t xml:space="preserve">PCP visits being two or more - intervention: </w:t>
            </w:r>
            <w:r w:rsidRPr="00495B36">
              <w:t>74.3%</w:t>
            </w:r>
            <w:r w:rsidR="003F5CC6">
              <w:t xml:space="preserve">, usual care: </w:t>
            </w:r>
            <w:r w:rsidRPr="00495B36">
              <w:t>53.3%, P = .009;</w:t>
            </w:r>
            <w:r w:rsidR="003F5CC6">
              <w:br/>
              <w:t xml:space="preserve">Care manager visits being two or more – intervention: </w:t>
            </w:r>
            <w:r w:rsidRPr="00495B36">
              <w:t>91.4%</w:t>
            </w:r>
            <w:r w:rsidR="003F5CC6">
              <w:t xml:space="preserve">, usual care: </w:t>
            </w:r>
            <w:r w:rsidRPr="00495B36">
              <w:t xml:space="preserve">26.7%, P &lt; .001 </w:t>
            </w:r>
            <w:r w:rsidR="003F5CC6">
              <w:br/>
            </w:r>
            <w:r w:rsidRPr="003F5CC6">
              <w:rPr>
                <w:i/>
                <w:iCs/>
              </w:rPr>
              <w:t>6-month</w:t>
            </w:r>
            <w:r w:rsidRPr="00495B36">
              <w:t xml:space="preserve"> </w:t>
            </w:r>
            <w:r w:rsidR="003F5CC6">
              <w:br/>
              <w:t>PCP visits being two or more - intervention: 46.7%, usual care: 2</w:t>
            </w:r>
            <w:r w:rsidR="003F5CC6" w:rsidRPr="00495B36">
              <w:t>3.</w:t>
            </w:r>
            <w:r w:rsidR="003F5CC6">
              <w:t>5</w:t>
            </w:r>
            <w:r w:rsidR="003F5CC6" w:rsidRPr="00495B36">
              <w:t>%, P = .00</w:t>
            </w:r>
            <w:r w:rsidR="003F5CC6">
              <w:t>3</w:t>
            </w:r>
            <w:r w:rsidR="003F5CC6" w:rsidRPr="00495B36">
              <w:t xml:space="preserve">. </w:t>
            </w:r>
          </w:p>
          <w:p w14:paraId="7177E6C3" w14:textId="5AD86CE2" w:rsidR="00B21D95" w:rsidRPr="003F5CC6" w:rsidRDefault="003F5CC6" w:rsidP="004D24EE">
            <w:pPr>
              <w:spacing w:line="480" w:lineRule="auto"/>
              <w:ind w:left="720"/>
              <w:rPr>
                <w:b/>
                <w:bCs/>
              </w:rPr>
            </w:pPr>
            <w:r>
              <w:t xml:space="preserve">Care manager visits being two or more – intervention </w:t>
            </w:r>
            <w:r w:rsidR="00495B36" w:rsidRPr="00495B36">
              <w:t>70%</w:t>
            </w:r>
            <w:r>
              <w:t xml:space="preserve">, usual care: </w:t>
            </w:r>
            <w:r w:rsidR="00495B36" w:rsidRPr="00495B36">
              <w:t>17.7%</w:t>
            </w:r>
            <w:r>
              <w:t>,</w:t>
            </w:r>
            <w:r w:rsidR="00495B36" w:rsidRPr="00495B36">
              <w:t xml:space="preserve"> P = .001, </w:t>
            </w:r>
          </w:p>
          <w:p w14:paraId="21AEAC59" w14:textId="6672BD63" w:rsidR="00B21D95" w:rsidRPr="00B21D95" w:rsidRDefault="003F5CC6" w:rsidP="004D24EE">
            <w:pPr>
              <w:spacing w:line="480" w:lineRule="auto"/>
              <w:ind w:left="720"/>
              <w:rPr>
                <w:b/>
                <w:bCs/>
              </w:rPr>
            </w:pPr>
            <w:r>
              <w:t xml:space="preserve">Medication prescription for depression – intervention: </w:t>
            </w:r>
            <w:r w:rsidR="00495B36" w:rsidRPr="00495B36">
              <w:t xml:space="preserve"> 73.3%</w:t>
            </w:r>
            <w:r>
              <w:t xml:space="preserve">, usual care: </w:t>
            </w:r>
            <w:r w:rsidR="00495B36" w:rsidRPr="00495B36">
              <w:t>5.9%</w:t>
            </w:r>
            <w:r>
              <w:t xml:space="preserve">, </w:t>
            </w:r>
            <w:r w:rsidR="00495B36" w:rsidRPr="00495B36">
              <w:t>P ≤ .001.</w:t>
            </w:r>
          </w:p>
          <w:p w14:paraId="583329BF" w14:textId="02D3A777" w:rsidR="00495B36" w:rsidRPr="00B45591" w:rsidRDefault="00495B36" w:rsidP="00B21D95">
            <w:pPr>
              <w:spacing w:line="480" w:lineRule="auto"/>
              <w:rPr>
                <w:b/>
                <w:bCs/>
              </w:rPr>
            </w:pPr>
            <w:r w:rsidRPr="00495B36">
              <w:t>No difference between intervention and usual care groups when assessing anxiety, mental or physical health functioning, patient reactions assessment (relationship between mother and physician) and helping alliance questionnaire (relationship between mother and case worker)</w:t>
            </w:r>
            <w:r w:rsidR="0093386B">
              <w:t xml:space="preserve"> at all follow up points. </w:t>
            </w:r>
          </w:p>
        </w:tc>
      </w:tr>
      <w:tr w:rsidR="00495B36" w:rsidRPr="00495B36" w14:paraId="4CF38F0C" w14:textId="77777777" w:rsidTr="00A9650A">
        <w:trPr>
          <w:trHeight w:val="2968"/>
        </w:trPr>
        <w:tc>
          <w:tcPr>
            <w:tcW w:w="1553" w:type="dxa"/>
          </w:tcPr>
          <w:p w14:paraId="4097A5B2" w14:textId="77777777" w:rsidR="00495B36" w:rsidRPr="00495B36" w:rsidRDefault="00495B36">
            <w:pPr>
              <w:spacing w:line="480" w:lineRule="auto"/>
              <w:rPr>
                <w:rFonts w:ascii="Garamond" w:hAnsi="Garamond"/>
                <w:b/>
                <w:bCs/>
              </w:rPr>
            </w:pPr>
            <w:r w:rsidRPr="00495B36">
              <w:rPr>
                <w:rFonts w:ascii="Garamond" w:hAnsi="Garamond" w:cs="Calibri"/>
                <w:b/>
                <w:bCs/>
                <w:color w:val="000000" w:themeColor="text1"/>
              </w:rPr>
              <w:lastRenderedPageBreak/>
              <w:t>Zhang, Limaye &amp; Means (2021)</w:t>
            </w:r>
          </w:p>
        </w:tc>
        <w:tc>
          <w:tcPr>
            <w:tcW w:w="2417" w:type="dxa"/>
            <w:hideMark/>
          </w:tcPr>
          <w:p w14:paraId="14BC72C9" w14:textId="77777777" w:rsidR="00495B36" w:rsidRPr="00495B36" w:rsidRDefault="00495B36">
            <w:pPr>
              <w:spacing w:line="480" w:lineRule="auto"/>
            </w:pPr>
            <w:r w:rsidRPr="00495B36">
              <w:t xml:space="preserve">Community-based case management </w:t>
            </w:r>
          </w:p>
        </w:tc>
        <w:tc>
          <w:tcPr>
            <w:tcW w:w="10353" w:type="dxa"/>
            <w:hideMark/>
          </w:tcPr>
          <w:p w14:paraId="1C8C49AF" w14:textId="7EFC7F0E" w:rsidR="00495B36" w:rsidRPr="00495B36" w:rsidRDefault="00495B36">
            <w:pPr>
              <w:spacing w:line="480" w:lineRule="auto"/>
            </w:pPr>
            <w:r w:rsidRPr="00495B36">
              <w:rPr>
                <w:b/>
                <w:bCs/>
              </w:rPr>
              <w:t>Child outcomes:</w:t>
            </w:r>
            <w:r w:rsidRPr="00495B36">
              <w:br/>
            </w:r>
            <w:r w:rsidR="00896BB2">
              <w:t xml:space="preserve">Infants born to women </w:t>
            </w:r>
            <w:r w:rsidRPr="00495B36">
              <w:t xml:space="preserve">who </w:t>
            </w:r>
            <w:r w:rsidR="00896BB2" w:rsidRPr="00495B36">
              <w:t xml:space="preserve">enrolled in </w:t>
            </w:r>
            <w:r w:rsidR="00896BB2">
              <w:t>intervention Bridges to Moms (BTM)</w:t>
            </w:r>
            <w:r w:rsidR="00896BB2" w:rsidRPr="00495B36">
              <w:t xml:space="preserve"> for over 30 days pre-delivery (N = 92) </w:t>
            </w:r>
            <w:r w:rsidR="00896BB2">
              <w:t xml:space="preserve">and required neonatal intensive care unit had shorter stays than the comparison group. </w:t>
            </w:r>
            <w:r w:rsidR="00896BB2">
              <w:br/>
              <w:t xml:space="preserve">(Statistical data and CI 95% are not reported) </w:t>
            </w:r>
            <w:r w:rsidR="00896BB2" w:rsidRPr="00495B36">
              <w:br/>
            </w:r>
            <w:r w:rsidRPr="00495B36">
              <w:rPr>
                <w:b/>
                <w:bCs/>
              </w:rPr>
              <w:br/>
              <w:t>Maternal outcomes:</w:t>
            </w:r>
            <w:r w:rsidRPr="00495B36">
              <w:t xml:space="preserve"> </w:t>
            </w:r>
            <w:r w:rsidRPr="00495B36">
              <w:br/>
              <w:t xml:space="preserve">Intervention group had significant postpartum clinic attendance rates and connections to primary care. </w:t>
            </w:r>
            <w:r w:rsidRPr="00495B36">
              <w:br/>
              <w:t>Women enrolled in BTM for over 30 days pre-delivery (N = 92) had significantly higher prenatal clinical attendance rates</w:t>
            </w:r>
            <w:r w:rsidR="00B21D95">
              <w:t>.</w:t>
            </w:r>
            <w:r w:rsidR="00896BB2">
              <w:br/>
              <w:t>(Statistical data and CI 95% are not reported)</w:t>
            </w:r>
            <w:r w:rsidRPr="00495B36">
              <w:br/>
            </w:r>
          </w:p>
        </w:tc>
      </w:tr>
    </w:tbl>
    <w:p w14:paraId="72F546B2" w14:textId="77777777" w:rsidR="00B45591" w:rsidRDefault="00B45591">
      <w:pPr>
        <w:sectPr w:rsidR="00B45591" w:rsidSect="00A15B12">
          <w:pgSz w:w="16840" w:h="11900" w:orient="landscape"/>
          <w:pgMar w:top="490" w:right="1440" w:bottom="0" w:left="1440" w:header="708" w:footer="708" w:gutter="0"/>
          <w:cols w:space="708"/>
          <w:docGrid w:linePitch="360"/>
        </w:sectPr>
      </w:pPr>
    </w:p>
    <w:tbl>
      <w:tblPr>
        <w:tblW w:w="15276" w:type="dxa"/>
        <w:tblInd w:w="-709" w:type="dxa"/>
        <w:tblLayout w:type="fixed"/>
        <w:tblLook w:val="04A0" w:firstRow="1" w:lastRow="0" w:firstColumn="1" w:lastColumn="0" w:noHBand="0" w:noVBand="1"/>
      </w:tblPr>
      <w:tblGrid>
        <w:gridCol w:w="3369"/>
        <w:gridCol w:w="2977"/>
        <w:gridCol w:w="1842"/>
        <w:gridCol w:w="1701"/>
        <w:gridCol w:w="2268"/>
        <w:gridCol w:w="1843"/>
        <w:gridCol w:w="1276"/>
      </w:tblGrid>
      <w:tr w:rsidR="00054C54" w:rsidRPr="00054C54" w14:paraId="7D055633" w14:textId="77777777" w:rsidTr="00054C54">
        <w:trPr>
          <w:trHeight w:val="923"/>
        </w:trPr>
        <w:tc>
          <w:tcPr>
            <w:tcW w:w="15276" w:type="dxa"/>
            <w:gridSpan w:val="7"/>
            <w:tcBorders>
              <w:top w:val="nil"/>
              <w:left w:val="nil"/>
              <w:bottom w:val="nil"/>
              <w:right w:val="nil"/>
            </w:tcBorders>
            <w:shd w:val="clear" w:color="auto" w:fill="auto"/>
            <w:vAlign w:val="center"/>
          </w:tcPr>
          <w:p w14:paraId="2A2F8B72" w14:textId="178CC237" w:rsidR="00054C54" w:rsidRPr="00054C54" w:rsidRDefault="00054C54" w:rsidP="00054C54">
            <w:pPr>
              <w:pStyle w:val="Heading2"/>
              <w:rPr>
                <w:rFonts w:eastAsia="Times New Roman"/>
                <w:color w:val="000000" w:themeColor="text1"/>
              </w:rPr>
            </w:pPr>
            <w:bookmarkStart w:id="2" w:name="_Toc144136024"/>
            <w:r w:rsidRPr="00054C54">
              <w:rPr>
                <w:rFonts w:eastAsia="Times New Roman"/>
                <w:b/>
                <w:bCs/>
                <w:color w:val="000000" w:themeColor="text1"/>
              </w:rPr>
              <w:lastRenderedPageBreak/>
              <w:t xml:space="preserve">Appendix table </w:t>
            </w:r>
            <w:r w:rsidR="000A09CA">
              <w:rPr>
                <w:rFonts w:eastAsia="Times New Roman"/>
                <w:b/>
                <w:bCs/>
                <w:color w:val="000000" w:themeColor="text1"/>
              </w:rPr>
              <w:t>16</w:t>
            </w:r>
            <w:r w:rsidRPr="00054C54">
              <w:rPr>
                <w:rFonts w:eastAsia="Times New Roman"/>
                <w:color w:val="000000" w:themeColor="text1"/>
              </w:rPr>
              <w:t xml:space="preserve"> – Labels of community engagement strategies of included studies </w:t>
            </w:r>
            <w:r>
              <w:rPr>
                <w:rFonts w:eastAsia="Times New Roman"/>
                <w:color w:val="000000" w:themeColor="text1"/>
              </w:rPr>
              <w:t>(n=10)</w:t>
            </w:r>
            <w:bookmarkEnd w:id="2"/>
          </w:p>
        </w:tc>
      </w:tr>
      <w:tr w:rsidR="00054C54" w:rsidRPr="00054C54" w14:paraId="36FBA21F" w14:textId="77777777" w:rsidTr="00054C54">
        <w:trPr>
          <w:trHeight w:val="923"/>
        </w:trPr>
        <w:tc>
          <w:tcPr>
            <w:tcW w:w="3369" w:type="dxa"/>
            <w:tcBorders>
              <w:top w:val="single" w:sz="4" w:space="0" w:color="auto"/>
              <w:left w:val="nil"/>
              <w:bottom w:val="single" w:sz="4" w:space="0" w:color="auto"/>
              <w:right w:val="nil"/>
            </w:tcBorders>
            <w:shd w:val="clear" w:color="auto" w:fill="auto"/>
            <w:vAlign w:val="center"/>
            <w:hideMark/>
          </w:tcPr>
          <w:p w14:paraId="2BACE0F3" w14:textId="75893D09" w:rsidR="00C46A90" w:rsidRPr="00054C54" w:rsidRDefault="00054C54" w:rsidP="00054C54">
            <w:pPr>
              <w:spacing w:after="0" w:line="240" w:lineRule="auto"/>
              <w:rPr>
                <w:rFonts w:eastAsia="Times New Roman" w:cs="Times New Roman"/>
                <w:b/>
                <w:bCs/>
                <w:color w:val="000000"/>
              </w:rPr>
            </w:pPr>
            <w:r w:rsidRPr="00054C54">
              <w:rPr>
                <w:rFonts w:eastAsia="Times New Roman" w:cs="Times New Roman"/>
                <w:b/>
                <w:bCs/>
                <w:color w:val="000000"/>
              </w:rPr>
              <w:t>Study</w:t>
            </w:r>
          </w:p>
        </w:tc>
        <w:tc>
          <w:tcPr>
            <w:tcW w:w="2977" w:type="dxa"/>
            <w:tcBorders>
              <w:top w:val="single" w:sz="4" w:space="0" w:color="auto"/>
              <w:left w:val="nil"/>
              <w:bottom w:val="single" w:sz="4" w:space="0" w:color="auto"/>
              <w:right w:val="nil"/>
            </w:tcBorders>
            <w:shd w:val="clear" w:color="auto" w:fill="auto"/>
            <w:vAlign w:val="center"/>
            <w:hideMark/>
          </w:tcPr>
          <w:p w14:paraId="223E9DC0" w14:textId="4BD69D0F" w:rsidR="00C46A90" w:rsidRPr="00054C54" w:rsidRDefault="00C46A90" w:rsidP="00054C54">
            <w:pPr>
              <w:spacing w:after="0" w:line="240" w:lineRule="auto"/>
              <w:ind w:right="-33"/>
              <w:rPr>
                <w:rFonts w:eastAsia="Times New Roman" w:cs="Times New Roman"/>
                <w:b/>
                <w:bCs/>
                <w:color w:val="000000"/>
              </w:rPr>
            </w:pPr>
            <w:r w:rsidRPr="00054C54">
              <w:rPr>
                <w:rFonts w:eastAsia="Times New Roman" w:cs="Times New Roman"/>
                <w:b/>
                <w:bCs/>
                <w:color w:val="000000"/>
              </w:rPr>
              <w:t>Community action/support, community mobilisation/in</w:t>
            </w:r>
            <w:r w:rsidR="00DB2258" w:rsidRPr="00054C54">
              <w:rPr>
                <w:rFonts w:eastAsia="Times New Roman" w:cs="Times New Roman"/>
                <w:b/>
                <w:bCs/>
                <w:color w:val="000000"/>
              </w:rPr>
              <w:t>v</w:t>
            </w:r>
            <w:r w:rsidRPr="00054C54">
              <w:rPr>
                <w:rFonts w:eastAsia="Times New Roman" w:cs="Times New Roman"/>
                <w:b/>
                <w:bCs/>
                <w:color w:val="000000"/>
              </w:rPr>
              <w:t>olvement/</w:t>
            </w:r>
            <w:r w:rsidR="00054C54">
              <w:rPr>
                <w:rFonts w:eastAsia="Times New Roman" w:cs="Times New Roman"/>
                <w:b/>
                <w:bCs/>
                <w:color w:val="000000"/>
              </w:rPr>
              <w:br/>
            </w:r>
            <w:r w:rsidRPr="00054C54">
              <w:rPr>
                <w:rFonts w:eastAsia="Times New Roman" w:cs="Times New Roman"/>
                <w:b/>
                <w:bCs/>
                <w:color w:val="000000"/>
              </w:rPr>
              <w:t>engagement/participation</w:t>
            </w:r>
          </w:p>
        </w:tc>
        <w:tc>
          <w:tcPr>
            <w:tcW w:w="1842" w:type="dxa"/>
            <w:tcBorders>
              <w:top w:val="single" w:sz="4" w:space="0" w:color="auto"/>
              <w:left w:val="nil"/>
              <w:bottom w:val="single" w:sz="4" w:space="0" w:color="auto"/>
              <w:right w:val="nil"/>
            </w:tcBorders>
            <w:shd w:val="clear" w:color="auto" w:fill="auto"/>
            <w:vAlign w:val="center"/>
            <w:hideMark/>
          </w:tcPr>
          <w:p w14:paraId="57368F90" w14:textId="77777777" w:rsidR="00C46A90" w:rsidRPr="00054C54" w:rsidRDefault="00C46A90" w:rsidP="00054C54">
            <w:pPr>
              <w:spacing w:after="0" w:line="240" w:lineRule="auto"/>
              <w:rPr>
                <w:rFonts w:eastAsia="Times New Roman" w:cs="Times New Roman"/>
                <w:b/>
                <w:bCs/>
                <w:color w:val="000000"/>
              </w:rPr>
            </w:pPr>
            <w:r w:rsidRPr="00054C54">
              <w:rPr>
                <w:rFonts w:eastAsia="Times New Roman" w:cs="Times New Roman"/>
                <w:b/>
                <w:bCs/>
                <w:color w:val="000000"/>
              </w:rPr>
              <w:t>Community organisations – developing new and existing</w:t>
            </w:r>
          </w:p>
        </w:tc>
        <w:tc>
          <w:tcPr>
            <w:tcW w:w="1701" w:type="dxa"/>
            <w:tcBorders>
              <w:top w:val="single" w:sz="4" w:space="0" w:color="auto"/>
              <w:left w:val="nil"/>
              <w:bottom w:val="single" w:sz="4" w:space="0" w:color="auto"/>
              <w:right w:val="nil"/>
            </w:tcBorders>
            <w:shd w:val="clear" w:color="auto" w:fill="auto"/>
            <w:vAlign w:val="center"/>
            <w:hideMark/>
          </w:tcPr>
          <w:p w14:paraId="632E65B8" w14:textId="77777777" w:rsidR="00C46A90" w:rsidRPr="00054C54" w:rsidRDefault="00C46A90" w:rsidP="00054C54">
            <w:pPr>
              <w:spacing w:after="0" w:line="240" w:lineRule="auto"/>
              <w:rPr>
                <w:rFonts w:eastAsia="Times New Roman" w:cs="Times New Roman"/>
                <w:b/>
                <w:bCs/>
                <w:color w:val="000000"/>
              </w:rPr>
            </w:pPr>
            <w:r w:rsidRPr="00054C54">
              <w:rPr>
                <w:rFonts w:eastAsia="Times New Roman" w:cs="Times New Roman"/>
                <w:b/>
                <w:bCs/>
                <w:color w:val="000000"/>
              </w:rPr>
              <w:t>Community coalition, community partnership, community task force</w:t>
            </w:r>
          </w:p>
        </w:tc>
        <w:tc>
          <w:tcPr>
            <w:tcW w:w="2268" w:type="dxa"/>
            <w:tcBorders>
              <w:top w:val="single" w:sz="4" w:space="0" w:color="auto"/>
              <w:left w:val="nil"/>
              <w:bottom w:val="single" w:sz="4" w:space="0" w:color="auto"/>
              <w:right w:val="nil"/>
            </w:tcBorders>
            <w:shd w:val="clear" w:color="auto" w:fill="auto"/>
            <w:vAlign w:val="center"/>
            <w:hideMark/>
          </w:tcPr>
          <w:p w14:paraId="06013EF4" w14:textId="7F72D3B2" w:rsidR="00C46A90" w:rsidRPr="00054C54" w:rsidRDefault="00C46A90" w:rsidP="00054C54">
            <w:pPr>
              <w:spacing w:after="0" w:line="240" w:lineRule="auto"/>
              <w:rPr>
                <w:rFonts w:eastAsia="Times New Roman" w:cs="Times New Roman"/>
                <w:b/>
                <w:bCs/>
                <w:color w:val="000000"/>
              </w:rPr>
            </w:pPr>
            <w:r w:rsidRPr="00054C54">
              <w:rPr>
                <w:rFonts w:eastAsia="Times New Roman" w:cs="Times New Roman"/>
                <w:b/>
                <w:bCs/>
                <w:color w:val="000000"/>
              </w:rPr>
              <w:t>Any peer strategy (</w:t>
            </w:r>
            <w:r w:rsidR="00DB2258" w:rsidRPr="00054C54">
              <w:rPr>
                <w:rFonts w:eastAsia="Times New Roman" w:cs="Times New Roman"/>
                <w:b/>
                <w:bCs/>
                <w:color w:val="000000"/>
              </w:rPr>
              <w:t>e.g.,</w:t>
            </w:r>
            <w:r w:rsidRPr="00054C54">
              <w:rPr>
                <w:rFonts w:eastAsia="Times New Roman" w:cs="Times New Roman"/>
                <w:b/>
                <w:bCs/>
                <w:color w:val="000000"/>
              </w:rPr>
              <w:t xml:space="preserve"> peer counselling, peer education, peer leaders, peer leadership, role models, peer support) </w:t>
            </w:r>
          </w:p>
        </w:tc>
        <w:tc>
          <w:tcPr>
            <w:tcW w:w="1843" w:type="dxa"/>
            <w:tcBorders>
              <w:top w:val="single" w:sz="4" w:space="0" w:color="auto"/>
              <w:left w:val="nil"/>
              <w:bottom w:val="single" w:sz="4" w:space="0" w:color="auto"/>
              <w:right w:val="nil"/>
            </w:tcBorders>
            <w:shd w:val="clear" w:color="auto" w:fill="auto"/>
            <w:vAlign w:val="center"/>
            <w:hideMark/>
          </w:tcPr>
          <w:p w14:paraId="78D8DAD2" w14:textId="2994FF5D" w:rsidR="00C46A90" w:rsidRPr="00054C54" w:rsidRDefault="00C46A90" w:rsidP="00054C54">
            <w:pPr>
              <w:spacing w:after="0" w:line="240" w:lineRule="auto"/>
              <w:rPr>
                <w:rFonts w:eastAsia="Times New Roman" w:cs="Times New Roman"/>
                <w:b/>
                <w:bCs/>
                <w:color w:val="000000"/>
              </w:rPr>
            </w:pPr>
            <w:r w:rsidRPr="00054C54">
              <w:rPr>
                <w:rFonts w:eastAsia="Times New Roman" w:cs="Times New Roman"/>
                <w:b/>
                <w:bCs/>
                <w:color w:val="000000"/>
              </w:rPr>
              <w:t>Non-peer health advocacy</w:t>
            </w:r>
            <w:r w:rsidR="00DB2258" w:rsidRPr="00054C54">
              <w:rPr>
                <w:rFonts w:eastAsia="Times New Roman" w:cs="Times New Roman"/>
                <w:b/>
                <w:bCs/>
                <w:color w:val="000000"/>
              </w:rPr>
              <w:t xml:space="preserve"> </w:t>
            </w:r>
            <w:r w:rsidRPr="00054C54">
              <w:rPr>
                <w:rFonts w:eastAsia="Times New Roman" w:cs="Times New Roman"/>
                <w:b/>
                <w:bCs/>
                <w:color w:val="000000"/>
              </w:rPr>
              <w:t>(</w:t>
            </w:r>
            <w:r w:rsidR="00DB2258" w:rsidRPr="00054C54">
              <w:rPr>
                <w:rFonts w:eastAsia="Times New Roman" w:cs="Times New Roman"/>
                <w:b/>
                <w:bCs/>
                <w:color w:val="000000"/>
              </w:rPr>
              <w:t>e.g.,</w:t>
            </w:r>
            <w:r w:rsidRPr="00054C54">
              <w:rPr>
                <w:rFonts w:eastAsia="Times New Roman" w:cs="Times New Roman"/>
                <w:b/>
                <w:bCs/>
                <w:color w:val="000000"/>
              </w:rPr>
              <w:t xml:space="preserve"> lay health workers, community health)</w:t>
            </w:r>
          </w:p>
        </w:tc>
        <w:tc>
          <w:tcPr>
            <w:tcW w:w="1276" w:type="dxa"/>
            <w:tcBorders>
              <w:top w:val="single" w:sz="4" w:space="0" w:color="auto"/>
              <w:left w:val="nil"/>
              <w:bottom w:val="single" w:sz="4" w:space="0" w:color="auto"/>
              <w:right w:val="nil"/>
            </w:tcBorders>
            <w:shd w:val="clear" w:color="auto" w:fill="auto"/>
            <w:vAlign w:val="center"/>
            <w:hideMark/>
          </w:tcPr>
          <w:p w14:paraId="324FB5BB" w14:textId="09A54C0E" w:rsidR="00C46A90" w:rsidRPr="00054C54" w:rsidRDefault="00C46A90" w:rsidP="00054C54">
            <w:pPr>
              <w:spacing w:after="0" w:line="240" w:lineRule="auto"/>
              <w:rPr>
                <w:rFonts w:eastAsia="Times New Roman" w:cs="Times New Roman"/>
                <w:b/>
                <w:bCs/>
                <w:color w:val="000000"/>
              </w:rPr>
            </w:pPr>
            <w:r w:rsidRPr="00054C54">
              <w:rPr>
                <w:rFonts w:eastAsia="Times New Roman" w:cs="Times New Roman"/>
                <w:b/>
                <w:bCs/>
                <w:color w:val="000000"/>
              </w:rPr>
              <w:t xml:space="preserve">Social networks (explicit </w:t>
            </w:r>
            <w:r w:rsidR="00DB2258" w:rsidRPr="00054C54">
              <w:rPr>
                <w:rFonts w:eastAsia="Times New Roman" w:cs="Times New Roman"/>
                <w:b/>
                <w:bCs/>
                <w:color w:val="000000"/>
              </w:rPr>
              <w:t xml:space="preserve">mention of social </w:t>
            </w:r>
            <w:r w:rsidRPr="00054C54">
              <w:rPr>
                <w:rFonts w:eastAsia="Times New Roman" w:cs="Times New Roman"/>
                <w:b/>
                <w:bCs/>
                <w:color w:val="000000"/>
              </w:rPr>
              <w:t>network)</w:t>
            </w:r>
          </w:p>
        </w:tc>
      </w:tr>
      <w:tr w:rsidR="00054C54" w:rsidRPr="00054C54" w14:paraId="2FB65C4B" w14:textId="77777777" w:rsidTr="00054C54">
        <w:trPr>
          <w:trHeight w:val="111"/>
        </w:trPr>
        <w:tc>
          <w:tcPr>
            <w:tcW w:w="3369" w:type="dxa"/>
            <w:tcBorders>
              <w:top w:val="single" w:sz="4" w:space="0" w:color="auto"/>
              <w:left w:val="nil"/>
              <w:bottom w:val="nil"/>
              <w:right w:val="nil"/>
            </w:tcBorders>
            <w:shd w:val="clear" w:color="auto" w:fill="auto"/>
            <w:vAlign w:val="center"/>
            <w:hideMark/>
          </w:tcPr>
          <w:p w14:paraId="6E875B4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Abell et al (2009)</w:t>
            </w:r>
          </w:p>
        </w:tc>
        <w:tc>
          <w:tcPr>
            <w:tcW w:w="2977" w:type="dxa"/>
            <w:tcBorders>
              <w:top w:val="single" w:sz="4" w:space="0" w:color="auto"/>
              <w:left w:val="nil"/>
              <w:bottom w:val="nil"/>
              <w:right w:val="nil"/>
            </w:tcBorders>
            <w:shd w:val="clear" w:color="auto" w:fill="auto"/>
            <w:vAlign w:val="center"/>
            <w:hideMark/>
          </w:tcPr>
          <w:p w14:paraId="59C5685E"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single" w:sz="4" w:space="0" w:color="auto"/>
              <w:left w:val="nil"/>
              <w:bottom w:val="nil"/>
              <w:right w:val="nil"/>
            </w:tcBorders>
            <w:shd w:val="clear" w:color="auto" w:fill="auto"/>
            <w:vAlign w:val="center"/>
            <w:hideMark/>
          </w:tcPr>
          <w:p w14:paraId="0541B332"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701" w:type="dxa"/>
            <w:tcBorders>
              <w:top w:val="single" w:sz="4" w:space="0" w:color="auto"/>
              <w:left w:val="nil"/>
              <w:bottom w:val="nil"/>
              <w:right w:val="nil"/>
            </w:tcBorders>
            <w:shd w:val="clear" w:color="auto" w:fill="auto"/>
            <w:vAlign w:val="center"/>
            <w:hideMark/>
          </w:tcPr>
          <w:p w14:paraId="44843EDC"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single" w:sz="4" w:space="0" w:color="auto"/>
              <w:left w:val="nil"/>
              <w:bottom w:val="nil"/>
              <w:right w:val="nil"/>
            </w:tcBorders>
            <w:shd w:val="clear" w:color="auto" w:fill="auto"/>
            <w:vAlign w:val="center"/>
            <w:hideMark/>
          </w:tcPr>
          <w:p w14:paraId="206C528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single" w:sz="4" w:space="0" w:color="auto"/>
              <w:left w:val="nil"/>
              <w:bottom w:val="nil"/>
              <w:right w:val="nil"/>
            </w:tcBorders>
            <w:shd w:val="clear" w:color="auto" w:fill="auto"/>
            <w:vAlign w:val="center"/>
            <w:hideMark/>
          </w:tcPr>
          <w:p w14:paraId="76A66E9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276" w:type="dxa"/>
            <w:tcBorders>
              <w:top w:val="single" w:sz="4" w:space="0" w:color="auto"/>
              <w:left w:val="nil"/>
              <w:bottom w:val="nil"/>
              <w:right w:val="nil"/>
            </w:tcBorders>
            <w:shd w:val="clear" w:color="auto" w:fill="auto"/>
            <w:vAlign w:val="center"/>
            <w:hideMark/>
          </w:tcPr>
          <w:p w14:paraId="69EC77A1"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DB2258" w:rsidRPr="00054C54" w14:paraId="526A3B67" w14:textId="77777777" w:rsidTr="00054C54">
        <w:trPr>
          <w:trHeight w:val="125"/>
        </w:trPr>
        <w:tc>
          <w:tcPr>
            <w:tcW w:w="3369" w:type="dxa"/>
            <w:tcBorders>
              <w:top w:val="nil"/>
              <w:left w:val="nil"/>
              <w:bottom w:val="nil"/>
              <w:right w:val="nil"/>
            </w:tcBorders>
            <w:shd w:val="clear" w:color="auto" w:fill="auto"/>
            <w:vAlign w:val="center"/>
            <w:hideMark/>
          </w:tcPr>
          <w:p w14:paraId="01FF65F1"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 xml:space="preserve">Bradley et al. (2020) </w:t>
            </w:r>
          </w:p>
        </w:tc>
        <w:tc>
          <w:tcPr>
            <w:tcW w:w="2977" w:type="dxa"/>
            <w:tcBorders>
              <w:top w:val="nil"/>
              <w:left w:val="nil"/>
              <w:bottom w:val="nil"/>
              <w:right w:val="nil"/>
            </w:tcBorders>
            <w:shd w:val="clear" w:color="auto" w:fill="auto"/>
            <w:vAlign w:val="center"/>
            <w:hideMark/>
          </w:tcPr>
          <w:p w14:paraId="3DF686F9"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35A4CFAF"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701" w:type="dxa"/>
            <w:tcBorders>
              <w:top w:val="nil"/>
              <w:left w:val="nil"/>
              <w:bottom w:val="nil"/>
              <w:right w:val="nil"/>
            </w:tcBorders>
            <w:shd w:val="clear" w:color="auto" w:fill="auto"/>
            <w:vAlign w:val="center"/>
            <w:hideMark/>
          </w:tcPr>
          <w:p w14:paraId="0EC03329"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7E77636A"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843" w:type="dxa"/>
            <w:tcBorders>
              <w:top w:val="nil"/>
              <w:left w:val="nil"/>
              <w:bottom w:val="nil"/>
              <w:right w:val="nil"/>
            </w:tcBorders>
            <w:shd w:val="clear" w:color="auto" w:fill="auto"/>
            <w:vAlign w:val="center"/>
            <w:hideMark/>
          </w:tcPr>
          <w:p w14:paraId="452DCA33"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08B2E79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DB2258" w:rsidRPr="00054C54" w14:paraId="6DA46036" w14:textId="77777777" w:rsidTr="00054C54">
        <w:trPr>
          <w:trHeight w:val="100"/>
        </w:trPr>
        <w:tc>
          <w:tcPr>
            <w:tcW w:w="3369" w:type="dxa"/>
            <w:tcBorders>
              <w:top w:val="nil"/>
              <w:left w:val="nil"/>
              <w:bottom w:val="nil"/>
              <w:right w:val="nil"/>
            </w:tcBorders>
            <w:shd w:val="clear" w:color="auto" w:fill="auto"/>
            <w:vAlign w:val="center"/>
            <w:hideMark/>
          </w:tcPr>
          <w:p w14:paraId="5075D22E"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Brown et al. (2020)</w:t>
            </w:r>
          </w:p>
        </w:tc>
        <w:tc>
          <w:tcPr>
            <w:tcW w:w="2977" w:type="dxa"/>
            <w:tcBorders>
              <w:top w:val="nil"/>
              <w:left w:val="nil"/>
              <w:bottom w:val="nil"/>
              <w:right w:val="nil"/>
            </w:tcBorders>
            <w:shd w:val="clear" w:color="auto" w:fill="auto"/>
            <w:vAlign w:val="center"/>
            <w:hideMark/>
          </w:tcPr>
          <w:p w14:paraId="530D20E7"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842" w:type="dxa"/>
            <w:tcBorders>
              <w:top w:val="nil"/>
              <w:left w:val="nil"/>
              <w:bottom w:val="nil"/>
              <w:right w:val="nil"/>
            </w:tcBorders>
            <w:shd w:val="clear" w:color="auto" w:fill="auto"/>
            <w:vAlign w:val="center"/>
            <w:hideMark/>
          </w:tcPr>
          <w:p w14:paraId="39B410DD"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4BF7CB0C"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2268" w:type="dxa"/>
            <w:tcBorders>
              <w:top w:val="nil"/>
              <w:left w:val="nil"/>
              <w:bottom w:val="nil"/>
              <w:right w:val="nil"/>
            </w:tcBorders>
            <w:shd w:val="clear" w:color="auto" w:fill="auto"/>
            <w:vAlign w:val="center"/>
            <w:hideMark/>
          </w:tcPr>
          <w:p w14:paraId="7C35604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843" w:type="dxa"/>
            <w:tcBorders>
              <w:top w:val="nil"/>
              <w:left w:val="nil"/>
              <w:bottom w:val="nil"/>
              <w:right w:val="nil"/>
            </w:tcBorders>
            <w:shd w:val="clear" w:color="auto" w:fill="auto"/>
            <w:vAlign w:val="center"/>
            <w:hideMark/>
          </w:tcPr>
          <w:p w14:paraId="26BA6FBD"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595D5C22"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r>
      <w:tr w:rsidR="00DB2258" w:rsidRPr="00054C54" w14:paraId="4CCD55F0" w14:textId="77777777" w:rsidTr="00054C54">
        <w:trPr>
          <w:trHeight w:val="100"/>
        </w:trPr>
        <w:tc>
          <w:tcPr>
            <w:tcW w:w="3369" w:type="dxa"/>
            <w:tcBorders>
              <w:top w:val="nil"/>
              <w:left w:val="nil"/>
              <w:bottom w:val="nil"/>
              <w:right w:val="nil"/>
            </w:tcBorders>
            <w:shd w:val="clear" w:color="auto" w:fill="auto"/>
            <w:vAlign w:val="center"/>
            <w:hideMark/>
          </w:tcPr>
          <w:p w14:paraId="560BEBFB"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 xml:space="preserve">Gewirtz et al. (2015) </w:t>
            </w:r>
          </w:p>
        </w:tc>
        <w:tc>
          <w:tcPr>
            <w:tcW w:w="2977" w:type="dxa"/>
            <w:tcBorders>
              <w:top w:val="nil"/>
              <w:left w:val="nil"/>
              <w:bottom w:val="nil"/>
              <w:right w:val="nil"/>
            </w:tcBorders>
            <w:shd w:val="clear" w:color="auto" w:fill="auto"/>
            <w:vAlign w:val="center"/>
            <w:hideMark/>
          </w:tcPr>
          <w:p w14:paraId="2268D979"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2B6BAFE7"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5D480C8E"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3016830C"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nil"/>
              <w:left w:val="nil"/>
              <w:bottom w:val="nil"/>
              <w:right w:val="nil"/>
            </w:tcBorders>
            <w:shd w:val="clear" w:color="auto" w:fill="auto"/>
            <w:vAlign w:val="center"/>
            <w:hideMark/>
          </w:tcPr>
          <w:p w14:paraId="6AAE2691"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276" w:type="dxa"/>
            <w:tcBorders>
              <w:top w:val="nil"/>
              <w:left w:val="nil"/>
              <w:bottom w:val="nil"/>
              <w:right w:val="nil"/>
            </w:tcBorders>
            <w:shd w:val="clear" w:color="auto" w:fill="auto"/>
            <w:vAlign w:val="center"/>
            <w:hideMark/>
          </w:tcPr>
          <w:p w14:paraId="360A8642"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DB2258" w:rsidRPr="00054C54" w14:paraId="574D10CE" w14:textId="77777777" w:rsidTr="00054C54">
        <w:trPr>
          <w:trHeight w:val="100"/>
        </w:trPr>
        <w:tc>
          <w:tcPr>
            <w:tcW w:w="3369" w:type="dxa"/>
            <w:tcBorders>
              <w:top w:val="nil"/>
              <w:left w:val="nil"/>
              <w:bottom w:val="nil"/>
              <w:right w:val="nil"/>
            </w:tcBorders>
            <w:shd w:val="clear" w:color="auto" w:fill="auto"/>
            <w:vAlign w:val="center"/>
            <w:hideMark/>
          </w:tcPr>
          <w:p w14:paraId="7C66A85B"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Lee et al. (2010)</w:t>
            </w:r>
          </w:p>
        </w:tc>
        <w:tc>
          <w:tcPr>
            <w:tcW w:w="2977" w:type="dxa"/>
            <w:tcBorders>
              <w:top w:val="nil"/>
              <w:left w:val="nil"/>
              <w:bottom w:val="nil"/>
              <w:right w:val="nil"/>
            </w:tcBorders>
            <w:shd w:val="clear" w:color="auto" w:fill="auto"/>
            <w:vAlign w:val="center"/>
            <w:hideMark/>
          </w:tcPr>
          <w:p w14:paraId="0955B8E7"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38A3238D"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6597A373"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05665AB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nil"/>
              <w:left w:val="nil"/>
              <w:bottom w:val="nil"/>
              <w:right w:val="nil"/>
            </w:tcBorders>
            <w:shd w:val="clear" w:color="auto" w:fill="auto"/>
            <w:vAlign w:val="center"/>
            <w:hideMark/>
          </w:tcPr>
          <w:p w14:paraId="42B282C2"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554F1E5F"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DB2258" w:rsidRPr="00054C54" w14:paraId="66BC77D5" w14:textId="77777777" w:rsidTr="00054C54">
        <w:trPr>
          <w:trHeight w:val="100"/>
        </w:trPr>
        <w:tc>
          <w:tcPr>
            <w:tcW w:w="3369" w:type="dxa"/>
            <w:tcBorders>
              <w:top w:val="nil"/>
              <w:left w:val="nil"/>
              <w:bottom w:val="nil"/>
              <w:right w:val="nil"/>
            </w:tcBorders>
            <w:shd w:val="clear" w:color="auto" w:fill="auto"/>
            <w:vAlign w:val="center"/>
            <w:hideMark/>
          </w:tcPr>
          <w:p w14:paraId="428A971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McWhirter (2006)</w:t>
            </w:r>
          </w:p>
        </w:tc>
        <w:tc>
          <w:tcPr>
            <w:tcW w:w="2977" w:type="dxa"/>
            <w:tcBorders>
              <w:top w:val="nil"/>
              <w:left w:val="nil"/>
              <w:bottom w:val="nil"/>
              <w:right w:val="nil"/>
            </w:tcBorders>
            <w:shd w:val="clear" w:color="auto" w:fill="auto"/>
            <w:vAlign w:val="center"/>
            <w:hideMark/>
          </w:tcPr>
          <w:p w14:paraId="59D20DB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6A6400B6"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197C35EA"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4D2D05C8"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843" w:type="dxa"/>
            <w:tcBorders>
              <w:top w:val="nil"/>
              <w:left w:val="nil"/>
              <w:bottom w:val="nil"/>
              <w:right w:val="nil"/>
            </w:tcBorders>
            <w:shd w:val="clear" w:color="auto" w:fill="auto"/>
            <w:vAlign w:val="center"/>
            <w:hideMark/>
          </w:tcPr>
          <w:p w14:paraId="5343B733"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67D80ECB"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r>
      <w:tr w:rsidR="00DB2258" w:rsidRPr="00054C54" w14:paraId="59BB578A" w14:textId="77777777" w:rsidTr="00054C54">
        <w:trPr>
          <w:trHeight w:val="237"/>
        </w:trPr>
        <w:tc>
          <w:tcPr>
            <w:tcW w:w="3369" w:type="dxa"/>
            <w:tcBorders>
              <w:top w:val="nil"/>
              <w:left w:val="nil"/>
              <w:bottom w:val="nil"/>
              <w:right w:val="nil"/>
            </w:tcBorders>
            <w:shd w:val="clear" w:color="auto" w:fill="auto"/>
            <w:vAlign w:val="center"/>
            <w:hideMark/>
          </w:tcPr>
          <w:p w14:paraId="674E0A68" w14:textId="77777777" w:rsidR="00C46A90" w:rsidRPr="00054C54" w:rsidRDefault="00C46A90" w:rsidP="00054C54">
            <w:pPr>
              <w:spacing w:after="0" w:line="240" w:lineRule="auto"/>
              <w:rPr>
                <w:rFonts w:eastAsia="Times New Roman" w:cs="Times New Roman"/>
              </w:rPr>
            </w:pPr>
            <w:r w:rsidRPr="00054C54">
              <w:rPr>
                <w:rFonts w:eastAsia="Times New Roman" w:cs="Times New Roman"/>
              </w:rPr>
              <w:t xml:space="preserve">Nabors et al. (2004)  </w:t>
            </w:r>
          </w:p>
        </w:tc>
        <w:tc>
          <w:tcPr>
            <w:tcW w:w="2977" w:type="dxa"/>
            <w:tcBorders>
              <w:top w:val="nil"/>
              <w:left w:val="nil"/>
              <w:bottom w:val="nil"/>
              <w:right w:val="nil"/>
            </w:tcBorders>
            <w:shd w:val="clear" w:color="auto" w:fill="auto"/>
            <w:vAlign w:val="center"/>
            <w:hideMark/>
          </w:tcPr>
          <w:p w14:paraId="37F2246E"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5F6C51F9"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5991984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418B6E9A"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nil"/>
              <w:left w:val="nil"/>
              <w:bottom w:val="nil"/>
              <w:right w:val="nil"/>
            </w:tcBorders>
            <w:shd w:val="clear" w:color="auto" w:fill="auto"/>
            <w:vAlign w:val="center"/>
            <w:hideMark/>
          </w:tcPr>
          <w:p w14:paraId="1D1ED42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42BCA2B8"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DB2258" w:rsidRPr="00054C54" w14:paraId="00D51F48" w14:textId="77777777" w:rsidTr="00054C54">
        <w:trPr>
          <w:trHeight w:val="100"/>
        </w:trPr>
        <w:tc>
          <w:tcPr>
            <w:tcW w:w="3369" w:type="dxa"/>
            <w:tcBorders>
              <w:top w:val="nil"/>
              <w:left w:val="nil"/>
              <w:bottom w:val="nil"/>
              <w:right w:val="nil"/>
            </w:tcBorders>
            <w:shd w:val="clear" w:color="auto" w:fill="auto"/>
            <w:vAlign w:val="center"/>
            <w:hideMark/>
          </w:tcPr>
          <w:p w14:paraId="031A3C27" w14:textId="77777777" w:rsidR="00C46A90" w:rsidRPr="00054C54" w:rsidRDefault="00C46A90" w:rsidP="00054C54">
            <w:pPr>
              <w:spacing w:after="0" w:line="240" w:lineRule="auto"/>
              <w:rPr>
                <w:rFonts w:eastAsia="Times New Roman" w:cs="Times New Roman"/>
              </w:rPr>
            </w:pPr>
            <w:r w:rsidRPr="00054C54">
              <w:rPr>
                <w:rFonts w:eastAsia="Times New Roman" w:cs="Times New Roman"/>
              </w:rPr>
              <w:t xml:space="preserve">Samuels et al. (2015) </w:t>
            </w:r>
          </w:p>
        </w:tc>
        <w:tc>
          <w:tcPr>
            <w:tcW w:w="2977" w:type="dxa"/>
            <w:tcBorders>
              <w:top w:val="nil"/>
              <w:left w:val="nil"/>
              <w:bottom w:val="nil"/>
              <w:right w:val="nil"/>
            </w:tcBorders>
            <w:shd w:val="clear" w:color="auto" w:fill="auto"/>
            <w:vAlign w:val="center"/>
            <w:hideMark/>
          </w:tcPr>
          <w:p w14:paraId="208250AD"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425DD2A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2466CD99"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16EA2F44"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nil"/>
              <w:left w:val="nil"/>
              <w:bottom w:val="nil"/>
              <w:right w:val="nil"/>
            </w:tcBorders>
            <w:shd w:val="clear" w:color="auto" w:fill="auto"/>
            <w:vAlign w:val="center"/>
            <w:hideMark/>
          </w:tcPr>
          <w:p w14:paraId="3123FE86"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4CE824B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054C54" w:rsidRPr="00054C54" w14:paraId="012A5281" w14:textId="77777777" w:rsidTr="00054C54">
        <w:trPr>
          <w:trHeight w:val="100"/>
        </w:trPr>
        <w:tc>
          <w:tcPr>
            <w:tcW w:w="3369" w:type="dxa"/>
            <w:tcBorders>
              <w:top w:val="nil"/>
              <w:left w:val="nil"/>
              <w:bottom w:val="nil"/>
              <w:right w:val="nil"/>
            </w:tcBorders>
            <w:shd w:val="clear" w:color="auto" w:fill="auto"/>
            <w:vAlign w:val="center"/>
            <w:hideMark/>
          </w:tcPr>
          <w:p w14:paraId="0B1DB36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Weinreb et al. (2016)</w:t>
            </w:r>
          </w:p>
        </w:tc>
        <w:tc>
          <w:tcPr>
            <w:tcW w:w="2977" w:type="dxa"/>
            <w:tcBorders>
              <w:top w:val="nil"/>
              <w:left w:val="nil"/>
              <w:bottom w:val="nil"/>
              <w:right w:val="nil"/>
            </w:tcBorders>
            <w:shd w:val="clear" w:color="auto" w:fill="auto"/>
            <w:vAlign w:val="center"/>
            <w:hideMark/>
          </w:tcPr>
          <w:p w14:paraId="0D770F6B"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nil"/>
              <w:right w:val="nil"/>
            </w:tcBorders>
            <w:shd w:val="clear" w:color="auto" w:fill="auto"/>
            <w:vAlign w:val="center"/>
            <w:hideMark/>
          </w:tcPr>
          <w:p w14:paraId="2B973AED"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nil"/>
              <w:right w:val="nil"/>
            </w:tcBorders>
            <w:shd w:val="clear" w:color="auto" w:fill="auto"/>
            <w:vAlign w:val="center"/>
            <w:hideMark/>
          </w:tcPr>
          <w:p w14:paraId="63BC570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nil"/>
              <w:right w:val="nil"/>
            </w:tcBorders>
            <w:shd w:val="clear" w:color="auto" w:fill="auto"/>
            <w:vAlign w:val="center"/>
            <w:hideMark/>
          </w:tcPr>
          <w:p w14:paraId="4B6356DC"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nil"/>
              <w:left w:val="nil"/>
              <w:bottom w:val="nil"/>
              <w:right w:val="nil"/>
            </w:tcBorders>
            <w:shd w:val="clear" w:color="auto" w:fill="auto"/>
            <w:vAlign w:val="center"/>
            <w:hideMark/>
          </w:tcPr>
          <w:p w14:paraId="3D0817A1"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nil"/>
              <w:right w:val="nil"/>
            </w:tcBorders>
            <w:shd w:val="clear" w:color="auto" w:fill="auto"/>
            <w:vAlign w:val="center"/>
            <w:hideMark/>
          </w:tcPr>
          <w:p w14:paraId="7A7F4FEE"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054C54" w:rsidRPr="00054C54" w14:paraId="3BFCB2FE" w14:textId="77777777" w:rsidTr="00054C54">
        <w:trPr>
          <w:trHeight w:val="100"/>
        </w:trPr>
        <w:tc>
          <w:tcPr>
            <w:tcW w:w="3369" w:type="dxa"/>
            <w:tcBorders>
              <w:top w:val="nil"/>
              <w:left w:val="nil"/>
              <w:bottom w:val="single" w:sz="4" w:space="0" w:color="auto"/>
              <w:right w:val="nil"/>
            </w:tcBorders>
            <w:shd w:val="clear" w:color="auto" w:fill="auto"/>
            <w:vAlign w:val="center"/>
            <w:hideMark/>
          </w:tcPr>
          <w:p w14:paraId="4FABC7D9" w14:textId="77777777" w:rsidR="00C46A90" w:rsidRPr="00054C54" w:rsidRDefault="00C46A90" w:rsidP="00054C54">
            <w:pPr>
              <w:spacing w:after="0" w:line="240" w:lineRule="auto"/>
              <w:rPr>
                <w:rFonts w:eastAsia="Times New Roman" w:cs="Times New Roman"/>
              </w:rPr>
            </w:pPr>
            <w:r w:rsidRPr="00054C54">
              <w:rPr>
                <w:rFonts w:eastAsia="Times New Roman" w:cs="Times New Roman"/>
              </w:rPr>
              <w:t>Zhang, Limaye &amp; Means (2021)</w:t>
            </w:r>
          </w:p>
        </w:tc>
        <w:tc>
          <w:tcPr>
            <w:tcW w:w="2977" w:type="dxa"/>
            <w:tcBorders>
              <w:top w:val="nil"/>
              <w:left w:val="nil"/>
              <w:bottom w:val="single" w:sz="4" w:space="0" w:color="auto"/>
              <w:right w:val="nil"/>
            </w:tcBorders>
            <w:shd w:val="clear" w:color="auto" w:fill="auto"/>
            <w:vAlign w:val="center"/>
            <w:hideMark/>
          </w:tcPr>
          <w:p w14:paraId="0C1EB763"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2" w:type="dxa"/>
            <w:tcBorders>
              <w:top w:val="nil"/>
              <w:left w:val="nil"/>
              <w:bottom w:val="single" w:sz="4" w:space="0" w:color="auto"/>
              <w:right w:val="nil"/>
            </w:tcBorders>
            <w:shd w:val="clear" w:color="auto" w:fill="auto"/>
            <w:vAlign w:val="center"/>
            <w:hideMark/>
          </w:tcPr>
          <w:p w14:paraId="116E10F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701" w:type="dxa"/>
            <w:tcBorders>
              <w:top w:val="nil"/>
              <w:left w:val="nil"/>
              <w:bottom w:val="single" w:sz="4" w:space="0" w:color="auto"/>
              <w:right w:val="nil"/>
            </w:tcBorders>
            <w:shd w:val="clear" w:color="auto" w:fill="auto"/>
            <w:vAlign w:val="center"/>
            <w:hideMark/>
          </w:tcPr>
          <w:p w14:paraId="468D3F20"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2268" w:type="dxa"/>
            <w:tcBorders>
              <w:top w:val="nil"/>
              <w:left w:val="nil"/>
              <w:bottom w:val="single" w:sz="4" w:space="0" w:color="auto"/>
              <w:right w:val="nil"/>
            </w:tcBorders>
            <w:shd w:val="clear" w:color="auto" w:fill="auto"/>
            <w:vAlign w:val="center"/>
            <w:hideMark/>
          </w:tcPr>
          <w:p w14:paraId="33BB8A57"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843" w:type="dxa"/>
            <w:tcBorders>
              <w:top w:val="nil"/>
              <w:left w:val="nil"/>
              <w:bottom w:val="single" w:sz="4" w:space="0" w:color="auto"/>
              <w:right w:val="nil"/>
            </w:tcBorders>
            <w:shd w:val="clear" w:color="auto" w:fill="auto"/>
            <w:vAlign w:val="center"/>
            <w:hideMark/>
          </w:tcPr>
          <w:p w14:paraId="3CB6EBAB"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c>
          <w:tcPr>
            <w:tcW w:w="1276" w:type="dxa"/>
            <w:tcBorders>
              <w:top w:val="nil"/>
              <w:left w:val="nil"/>
              <w:bottom w:val="single" w:sz="4" w:space="0" w:color="auto"/>
              <w:right w:val="nil"/>
            </w:tcBorders>
            <w:shd w:val="clear" w:color="auto" w:fill="auto"/>
            <w:vAlign w:val="center"/>
            <w:hideMark/>
          </w:tcPr>
          <w:p w14:paraId="507BE493"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0</w:t>
            </w:r>
          </w:p>
        </w:tc>
      </w:tr>
      <w:tr w:rsidR="00054C54" w:rsidRPr="00054C54" w14:paraId="0A93026E" w14:textId="77777777" w:rsidTr="00054C54">
        <w:trPr>
          <w:trHeight w:val="100"/>
        </w:trPr>
        <w:tc>
          <w:tcPr>
            <w:tcW w:w="3369" w:type="dxa"/>
            <w:tcBorders>
              <w:top w:val="single" w:sz="4" w:space="0" w:color="auto"/>
              <w:left w:val="nil"/>
              <w:bottom w:val="nil"/>
              <w:right w:val="nil"/>
            </w:tcBorders>
            <w:shd w:val="clear" w:color="auto" w:fill="auto"/>
            <w:vAlign w:val="center"/>
            <w:hideMark/>
          </w:tcPr>
          <w:p w14:paraId="686BA113"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Total</w:t>
            </w:r>
          </w:p>
        </w:tc>
        <w:tc>
          <w:tcPr>
            <w:tcW w:w="2977" w:type="dxa"/>
            <w:tcBorders>
              <w:top w:val="single" w:sz="4" w:space="0" w:color="auto"/>
              <w:left w:val="nil"/>
              <w:bottom w:val="nil"/>
              <w:right w:val="nil"/>
            </w:tcBorders>
            <w:shd w:val="clear" w:color="auto" w:fill="auto"/>
            <w:vAlign w:val="center"/>
            <w:hideMark/>
          </w:tcPr>
          <w:p w14:paraId="040F37D6"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1842" w:type="dxa"/>
            <w:tcBorders>
              <w:top w:val="single" w:sz="4" w:space="0" w:color="auto"/>
              <w:left w:val="nil"/>
              <w:bottom w:val="nil"/>
              <w:right w:val="nil"/>
            </w:tcBorders>
            <w:shd w:val="clear" w:color="auto" w:fill="auto"/>
            <w:vAlign w:val="center"/>
            <w:hideMark/>
          </w:tcPr>
          <w:p w14:paraId="56DDCFBA"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8</w:t>
            </w:r>
          </w:p>
        </w:tc>
        <w:tc>
          <w:tcPr>
            <w:tcW w:w="1701" w:type="dxa"/>
            <w:tcBorders>
              <w:top w:val="single" w:sz="4" w:space="0" w:color="auto"/>
              <w:left w:val="nil"/>
              <w:bottom w:val="nil"/>
              <w:right w:val="nil"/>
            </w:tcBorders>
            <w:shd w:val="clear" w:color="auto" w:fill="auto"/>
            <w:vAlign w:val="center"/>
            <w:hideMark/>
          </w:tcPr>
          <w:p w14:paraId="1676FB3F"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1</w:t>
            </w:r>
          </w:p>
        </w:tc>
        <w:tc>
          <w:tcPr>
            <w:tcW w:w="2268" w:type="dxa"/>
            <w:tcBorders>
              <w:top w:val="single" w:sz="4" w:space="0" w:color="auto"/>
              <w:left w:val="nil"/>
              <w:bottom w:val="nil"/>
              <w:right w:val="nil"/>
            </w:tcBorders>
            <w:shd w:val="clear" w:color="auto" w:fill="auto"/>
            <w:vAlign w:val="center"/>
            <w:hideMark/>
          </w:tcPr>
          <w:p w14:paraId="6D917035"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3</w:t>
            </w:r>
          </w:p>
        </w:tc>
        <w:tc>
          <w:tcPr>
            <w:tcW w:w="1843" w:type="dxa"/>
            <w:tcBorders>
              <w:top w:val="single" w:sz="4" w:space="0" w:color="auto"/>
              <w:left w:val="nil"/>
              <w:bottom w:val="nil"/>
              <w:right w:val="nil"/>
            </w:tcBorders>
            <w:shd w:val="clear" w:color="auto" w:fill="auto"/>
            <w:vAlign w:val="center"/>
            <w:hideMark/>
          </w:tcPr>
          <w:p w14:paraId="7F8A96AA"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2</w:t>
            </w:r>
          </w:p>
        </w:tc>
        <w:tc>
          <w:tcPr>
            <w:tcW w:w="1276" w:type="dxa"/>
            <w:tcBorders>
              <w:top w:val="single" w:sz="4" w:space="0" w:color="auto"/>
              <w:left w:val="nil"/>
              <w:bottom w:val="nil"/>
              <w:right w:val="nil"/>
            </w:tcBorders>
            <w:shd w:val="clear" w:color="auto" w:fill="auto"/>
            <w:vAlign w:val="center"/>
            <w:hideMark/>
          </w:tcPr>
          <w:p w14:paraId="02C2E9E1" w14:textId="77777777" w:rsidR="00C46A90" w:rsidRPr="00054C54" w:rsidRDefault="00C46A90" w:rsidP="00054C54">
            <w:pPr>
              <w:spacing w:after="0" w:line="240" w:lineRule="auto"/>
              <w:rPr>
                <w:rFonts w:eastAsia="Times New Roman" w:cs="Times New Roman"/>
                <w:color w:val="000000"/>
              </w:rPr>
            </w:pPr>
            <w:r w:rsidRPr="00054C54">
              <w:rPr>
                <w:rFonts w:eastAsia="Times New Roman" w:cs="Times New Roman"/>
                <w:color w:val="000000"/>
              </w:rPr>
              <w:t>2</w:t>
            </w:r>
          </w:p>
        </w:tc>
      </w:tr>
    </w:tbl>
    <w:p w14:paraId="7521D379" w14:textId="2C5DDF37" w:rsidR="00495B36" w:rsidRPr="00495B36" w:rsidRDefault="00495B36"/>
    <w:sectPr w:rsidR="00495B36" w:rsidRPr="00495B36" w:rsidSect="00A15B12">
      <w:pgSz w:w="16840" w:h="11900" w:orient="landscape"/>
      <w:pgMar w:top="490"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7B3"/>
    <w:multiLevelType w:val="hybridMultilevel"/>
    <w:tmpl w:val="ED5A3A10"/>
    <w:lvl w:ilvl="0" w:tplc="19A641E8">
      <w:start w:val="1"/>
      <w:numFmt w:val="bullet"/>
      <w:lvlText w:val=""/>
      <w:lvlJc w:val="left"/>
      <w:pPr>
        <w:ind w:left="720" w:hanging="360"/>
      </w:pPr>
      <w:rPr>
        <w:rFonts w:ascii="Symbol" w:eastAsiaTheme="minorHAnsi" w:hAnsi="Symbol"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2A0472C"/>
    <w:multiLevelType w:val="hybridMultilevel"/>
    <w:tmpl w:val="612EA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45207ED"/>
    <w:multiLevelType w:val="hybridMultilevel"/>
    <w:tmpl w:val="523C1778"/>
    <w:lvl w:ilvl="0" w:tplc="2A8A59D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BC77DE4"/>
    <w:multiLevelType w:val="hybridMultilevel"/>
    <w:tmpl w:val="E6645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B36"/>
    <w:rsid w:val="000135D9"/>
    <w:rsid w:val="00054C54"/>
    <w:rsid w:val="000A09CA"/>
    <w:rsid w:val="000D6EDD"/>
    <w:rsid w:val="001441A1"/>
    <w:rsid w:val="001F2188"/>
    <w:rsid w:val="002437D4"/>
    <w:rsid w:val="002D23C4"/>
    <w:rsid w:val="00321505"/>
    <w:rsid w:val="00337191"/>
    <w:rsid w:val="003F5CC6"/>
    <w:rsid w:val="00495B36"/>
    <w:rsid w:val="004A1760"/>
    <w:rsid w:val="004C284A"/>
    <w:rsid w:val="004D24EE"/>
    <w:rsid w:val="005E1BA8"/>
    <w:rsid w:val="00616AAD"/>
    <w:rsid w:val="006367E6"/>
    <w:rsid w:val="00671474"/>
    <w:rsid w:val="006B0506"/>
    <w:rsid w:val="006C25A4"/>
    <w:rsid w:val="006F430D"/>
    <w:rsid w:val="00781BB7"/>
    <w:rsid w:val="007A4AC1"/>
    <w:rsid w:val="007A7242"/>
    <w:rsid w:val="007C08E3"/>
    <w:rsid w:val="00884984"/>
    <w:rsid w:val="00890DAC"/>
    <w:rsid w:val="00896BB2"/>
    <w:rsid w:val="008B6945"/>
    <w:rsid w:val="0093386B"/>
    <w:rsid w:val="00A15B12"/>
    <w:rsid w:val="00A9650A"/>
    <w:rsid w:val="00B11084"/>
    <w:rsid w:val="00B21D95"/>
    <w:rsid w:val="00B3540E"/>
    <w:rsid w:val="00B36330"/>
    <w:rsid w:val="00B45591"/>
    <w:rsid w:val="00B64544"/>
    <w:rsid w:val="00BD60AE"/>
    <w:rsid w:val="00BF78FC"/>
    <w:rsid w:val="00C46A90"/>
    <w:rsid w:val="00C74D1F"/>
    <w:rsid w:val="00D24E85"/>
    <w:rsid w:val="00D468BE"/>
    <w:rsid w:val="00DB2258"/>
    <w:rsid w:val="00E227C9"/>
    <w:rsid w:val="00E70362"/>
    <w:rsid w:val="00EF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B36"/>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34"/>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table" w:styleId="TableGrid">
    <w:name w:val="Table Grid"/>
    <w:basedOn w:val="TableNormal"/>
    <w:uiPriority w:val="39"/>
    <w:rsid w:val="00495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5B36"/>
    <w:rPr>
      <w:color w:val="0563C1" w:themeColor="hyperlink"/>
      <w:u w:val="single"/>
    </w:rPr>
  </w:style>
  <w:style w:type="character" w:customStyle="1" w:styleId="UnresolvedMention">
    <w:name w:val="Unresolved Mention"/>
    <w:basedOn w:val="DefaultParagraphFont"/>
    <w:uiPriority w:val="99"/>
    <w:semiHidden/>
    <w:unhideWhenUsed/>
    <w:rsid w:val="00495B36"/>
    <w:rPr>
      <w:color w:val="605E5C"/>
      <w:shd w:val="clear" w:color="auto" w:fill="E1DFDD"/>
    </w:rPr>
  </w:style>
  <w:style w:type="paragraph" w:styleId="TOC2">
    <w:name w:val="toc 2"/>
    <w:basedOn w:val="Normal"/>
    <w:next w:val="Normal"/>
    <w:autoRedefine/>
    <w:uiPriority w:val="39"/>
    <w:unhideWhenUsed/>
    <w:rsid w:val="00BD60AE"/>
    <w:pPr>
      <w:spacing w:before="120" w:after="0"/>
      <w:ind w:left="240"/>
    </w:pPr>
    <w:rPr>
      <w:rFonts w:asciiTheme="minorHAnsi" w:hAnsiTheme="minorHAnsi"/>
      <w:b/>
      <w:bCs/>
      <w:sz w:val="22"/>
      <w:szCs w:val="22"/>
    </w:rPr>
  </w:style>
  <w:style w:type="paragraph" w:styleId="TOC1">
    <w:name w:val="toc 1"/>
    <w:basedOn w:val="Normal"/>
    <w:next w:val="Normal"/>
    <w:autoRedefine/>
    <w:uiPriority w:val="39"/>
    <w:unhideWhenUsed/>
    <w:rsid w:val="00BD60AE"/>
    <w:pPr>
      <w:spacing w:before="120" w:after="0"/>
    </w:pPr>
    <w:rPr>
      <w:rFonts w:asciiTheme="minorHAnsi" w:hAnsiTheme="minorHAnsi"/>
      <w:b/>
      <w:bCs/>
      <w:i/>
      <w:iCs/>
    </w:rPr>
  </w:style>
  <w:style w:type="paragraph" w:styleId="TOC3">
    <w:name w:val="toc 3"/>
    <w:basedOn w:val="Normal"/>
    <w:next w:val="Normal"/>
    <w:autoRedefine/>
    <w:uiPriority w:val="39"/>
    <w:semiHidden/>
    <w:unhideWhenUsed/>
    <w:rsid w:val="00BD60AE"/>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BD60AE"/>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BD60AE"/>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BD60AE"/>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BD60AE"/>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BD60AE"/>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BD60AE"/>
    <w:pPr>
      <w:spacing w:after="0"/>
      <w:ind w:left="1920"/>
    </w:pPr>
    <w:rPr>
      <w:rFonts w:asciiTheme="minorHAnsi" w:hAnsiTheme="minorHAnsi"/>
      <w:sz w:val="20"/>
      <w:szCs w:val="20"/>
    </w:rPr>
  </w:style>
  <w:style w:type="character" w:customStyle="1" w:styleId="f1000-at-ignore">
    <w:name w:val="f1000-at-ignore"/>
    <w:basedOn w:val="DefaultParagraphFont"/>
    <w:rsid w:val="002437D4"/>
  </w:style>
  <w:style w:type="character" w:customStyle="1" w:styleId="f1kat-hl">
    <w:name w:val="f1kat-hl"/>
    <w:basedOn w:val="DefaultParagraphFont"/>
    <w:rsid w:val="008B6945"/>
  </w:style>
  <w:style w:type="paragraph" w:styleId="BalloonText">
    <w:name w:val="Balloon Text"/>
    <w:basedOn w:val="Normal"/>
    <w:link w:val="BalloonTextChar"/>
    <w:uiPriority w:val="99"/>
    <w:semiHidden/>
    <w:unhideWhenUsed/>
    <w:rsid w:val="00BF7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8FC"/>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B36"/>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34"/>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table" w:styleId="TableGrid">
    <w:name w:val="Table Grid"/>
    <w:basedOn w:val="TableNormal"/>
    <w:uiPriority w:val="39"/>
    <w:rsid w:val="00495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5B36"/>
    <w:rPr>
      <w:color w:val="0563C1" w:themeColor="hyperlink"/>
      <w:u w:val="single"/>
    </w:rPr>
  </w:style>
  <w:style w:type="character" w:customStyle="1" w:styleId="UnresolvedMention">
    <w:name w:val="Unresolved Mention"/>
    <w:basedOn w:val="DefaultParagraphFont"/>
    <w:uiPriority w:val="99"/>
    <w:semiHidden/>
    <w:unhideWhenUsed/>
    <w:rsid w:val="00495B36"/>
    <w:rPr>
      <w:color w:val="605E5C"/>
      <w:shd w:val="clear" w:color="auto" w:fill="E1DFDD"/>
    </w:rPr>
  </w:style>
  <w:style w:type="paragraph" w:styleId="TOC2">
    <w:name w:val="toc 2"/>
    <w:basedOn w:val="Normal"/>
    <w:next w:val="Normal"/>
    <w:autoRedefine/>
    <w:uiPriority w:val="39"/>
    <w:unhideWhenUsed/>
    <w:rsid w:val="00BD60AE"/>
    <w:pPr>
      <w:spacing w:before="120" w:after="0"/>
      <w:ind w:left="240"/>
    </w:pPr>
    <w:rPr>
      <w:rFonts w:asciiTheme="minorHAnsi" w:hAnsiTheme="minorHAnsi"/>
      <w:b/>
      <w:bCs/>
      <w:sz w:val="22"/>
      <w:szCs w:val="22"/>
    </w:rPr>
  </w:style>
  <w:style w:type="paragraph" w:styleId="TOC1">
    <w:name w:val="toc 1"/>
    <w:basedOn w:val="Normal"/>
    <w:next w:val="Normal"/>
    <w:autoRedefine/>
    <w:uiPriority w:val="39"/>
    <w:unhideWhenUsed/>
    <w:rsid w:val="00BD60AE"/>
    <w:pPr>
      <w:spacing w:before="120" w:after="0"/>
    </w:pPr>
    <w:rPr>
      <w:rFonts w:asciiTheme="minorHAnsi" w:hAnsiTheme="minorHAnsi"/>
      <w:b/>
      <w:bCs/>
      <w:i/>
      <w:iCs/>
    </w:rPr>
  </w:style>
  <w:style w:type="paragraph" w:styleId="TOC3">
    <w:name w:val="toc 3"/>
    <w:basedOn w:val="Normal"/>
    <w:next w:val="Normal"/>
    <w:autoRedefine/>
    <w:uiPriority w:val="39"/>
    <w:semiHidden/>
    <w:unhideWhenUsed/>
    <w:rsid w:val="00BD60AE"/>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BD60AE"/>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BD60AE"/>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BD60AE"/>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BD60AE"/>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BD60AE"/>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BD60AE"/>
    <w:pPr>
      <w:spacing w:after="0"/>
      <w:ind w:left="1920"/>
    </w:pPr>
    <w:rPr>
      <w:rFonts w:asciiTheme="minorHAnsi" w:hAnsiTheme="minorHAnsi"/>
      <w:sz w:val="20"/>
      <w:szCs w:val="20"/>
    </w:rPr>
  </w:style>
  <w:style w:type="character" w:customStyle="1" w:styleId="f1000-at-ignore">
    <w:name w:val="f1000-at-ignore"/>
    <w:basedOn w:val="DefaultParagraphFont"/>
    <w:rsid w:val="002437D4"/>
  </w:style>
  <w:style w:type="character" w:customStyle="1" w:styleId="f1kat-hl">
    <w:name w:val="f1kat-hl"/>
    <w:basedOn w:val="DefaultParagraphFont"/>
    <w:rsid w:val="008B6945"/>
  </w:style>
  <w:style w:type="paragraph" w:styleId="BalloonText">
    <w:name w:val="Balloon Text"/>
    <w:basedOn w:val="Normal"/>
    <w:link w:val="BalloonTextChar"/>
    <w:uiPriority w:val="99"/>
    <w:semiHidden/>
    <w:unhideWhenUsed/>
    <w:rsid w:val="00BF7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8FC"/>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648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2415D-D6AD-475E-9172-CAA76795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Joseph</dc:creator>
  <cp:lastModifiedBy>Rosel Myra</cp:lastModifiedBy>
  <cp:revision>2</cp:revision>
  <dcterms:created xsi:type="dcterms:W3CDTF">2023-09-20T05:18:00Z</dcterms:created>
  <dcterms:modified xsi:type="dcterms:W3CDTF">2023-09-20T05:18:00Z</dcterms:modified>
</cp:coreProperties>
</file>