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F4C35" w14:textId="5705BDEE" w:rsidR="00E00401" w:rsidRPr="00E00401" w:rsidRDefault="00E00401" w:rsidP="00E00401">
      <w:pPr>
        <w:spacing w:after="120" w:line="240" w:lineRule="auto"/>
        <w:rPr>
          <w:rFonts w:ascii="Arial" w:hAnsi="Arial" w:cs="Arial"/>
          <w:i/>
          <w:iCs/>
          <w:color w:val="000000"/>
          <w:szCs w:val="20"/>
        </w:rPr>
      </w:pPr>
      <w:r w:rsidRPr="00E00401">
        <w:rPr>
          <w:rFonts w:ascii="Arial" w:hAnsi="Arial" w:cs="Arial"/>
          <w:i/>
          <w:iCs/>
          <w:color w:val="000000"/>
          <w:szCs w:val="20"/>
        </w:rPr>
        <w:t>Supplementary File 4</w:t>
      </w:r>
      <w:r>
        <w:rPr>
          <w:rFonts w:ascii="Arial" w:hAnsi="Arial" w:cs="Arial"/>
          <w:i/>
          <w:iCs/>
          <w:color w:val="000000"/>
          <w:szCs w:val="20"/>
        </w:rPr>
        <w:t>.</w:t>
      </w:r>
    </w:p>
    <w:p w14:paraId="5C559464" w14:textId="68C6C578" w:rsidR="007C17C7" w:rsidRDefault="00C524BE" w:rsidP="00E00401">
      <w:pPr>
        <w:spacing w:after="240" w:line="240" w:lineRule="auto"/>
        <w:rPr>
          <w:rFonts w:ascii="Arial" w:hAnsi="Arial" w:cs="Arial"/>
          <w:b/>
          <w:bCs/>
          <w:color w:val="000000"/>
          <w:sz w:val="24"/>
          <w:szCs w:val="21"/>
        </w:rPr>
      </w:pPr>
      <w:r>
        <w:rPr>
          <w:rFonts w:ascii="Arial" w:hAnsi="Arial" w:cs="Arial"/>
          <w:b/>
          <w:bCs/>
          <w:color w:val="000000"/>
          <w:sz w:val="24"/>
          <w:szCs w:val="21"/>
        </w:rPr>
        <w:t xml:space="preserve">Findings from </w:t>
      </w:r>
      <w:bookmarkStart w:id="0" w:name="_GoBack"/>
      <w:bookmarkEnd w:id="0"/>
      <w:r w:rsidR="00E00401">
        <w:rPr>
          <w:rFonts w:ascii="Arial" w:hAnsi="Arial" w:cs="Arial"/>
          <w:b/>
          <w:bCs/>
          <w:color w:val="000000"/>
          <w:sz w:val="24"/>
          <w:szCs w:val="21"/>
        </w:rPr>
        <w:t>Directors of Public Health Survey</w:t>
      </w:r>
    </w:p>
    <w:p w14:paraId="2F78FEA3" w14:textId="1108432E" w:rsidR="00E00401" w:rsidRPr="00E00401" w:rsidRDefault="00E00401" w:rsidP="00E00401">
      <w:pPr>
        <w:pStyle w:val="Heading2"/>
        <w:spacing w:after="120" w:line="240" w:lineRule="auto"/>
        <w:rPr>
          <w:rFonts w:ascii="Arial" w:hAnsi="Arial" w:cs="Arial"/>
          <w:bCs/>
          <w:color w:val="2E74B5" w:themeColor="accent1" w:themeShade="BF"/>
          <w:sz w:val="22"/>
          <w:szCs w:val="22"/>
        </w:rPr>
      </w:pPr>
      <w:r w:rsidRPr="00E00401">
        <w:rPr>
          <w:rFonts w:ascii="Arial" w:hAnsi="Arial" w:cs="Arial"/>
          <w:bCs/>
          <w:color w:val="2E74B5" w:themeColor="accent1" w:themeShade="BF"/>
          <w:sz w:val="22"/>
          <w:szCs w:val="22"/>
        </w:rPr>
        <w:t>Methods</w:t>
      </w:r>
    </w:p>
    <w:p w14:paraId="5C8BC35D" w14:textId="52C93825" w:rsidR="00CF59BD" w:rsidRPr="00E00401" w:rsidRDefault="00C6127B" w:rsidP="00E00401">
      <w:pPr>
        <w:spacing w:after="120" w:line="240" w:lineRule="auto"/>
        <w:jc w:val="both"/>
        <w:rPr>
          <w:rFonts w:ascii="Arial" w:hAnsi="Arial" w:cs="Arial"/>
          <w:color w:val="000000"/>
          <w:szCs w:val="20"/>
        </w:rPr>
      </w:pPr>
      <w:r w:rsidRPr="00E00401">
        <w:rPr>
          <w:rFonts w:ascii="Arial" w:hAnsi="Arial" w:cs="Arial"/>
          <w:color w:val="000000"/>
          <w:szCs w:val="20"/>
        </w:rPr>
        <w:t xml:space="preserve">In the survey, </w:t>
      </w:r>
      <w:proofErr w:type="spellStart"/>
      <w:r w:rsidR="00265762" w:rsidRPr="00E00401">
        <w:rPr>
          <w:rFonts w:ascii="Arial" w:hAnsi="Arial" w:cs="Arial"/>
          <w:color w:val="000000"/>
          <w:szCs w:val="20"/>
        </w:rPr>
        <w:t>DsPH</w:t>
      </w:r>
      <w:proofErr w:type="spellEnd"/>
      <w:r w:rsidRPr="00E00401">
        <w:rPr>
          <w:rFonts w:ascii="Arial" w:hAnsi="Arial" w:cs="Arial"/>
          <w:color w:val="000000"/>
          <w:szCs w:val="20"/>
        </w:rPr>
        <w:t xml:space="preserve"> were asked to report their local authority (LA), </w:t>
      </w:r>
      <w:r w:rsidR="00801FEC" w:rsidRPr="00E00401">
        <w:rPr>
          <w:rFonts w:ascii="Arial" w:hAnsi="Arial" w:cs="Arial"/>
          <w:color w:val="000000"/>
          <w:szCs w:val="20"/>
        </w:rPr>
        <w:t>allowing us</w:t>
      </w:r>
      <w:r w:rsidRPr="00E00401">
        <w:rPr>
          <w:rFonts w:ascii="Arial" w:hAnsi="Arial" w:cs="Arial"/>
          <w:color w:val="000000"/>
          <w:szCs w:val="20"/>
        </w:rPr>
        <w:t xml:space="preserve"> to explore </w:t>
      </w:r>
      <w:r w:rsidR="00801FEC" w:rsidRPr="00E00401">
        <w:rPr>
          <w:rFonts w:ascii="Arial" w:hAnsi="Arial" w:cs="Arial"/>
          <w:color w:val="000000"/>
          <w:szCs w:val="20"/>
        </w:rPr>
        <w:t>whether</w:t>
      </w:r>
      <w:r w:rsidRPr="00E00401">
        <w:rPr>
          <w:rFonts w:ascii="Arial" w:hAnsi="Arial" w:cs="Arial"/>
          <w:color w:val="000000"/>
          <w:szCs w:val="20"/>
        </w:rPr>
        <w:t xml:space="preserve"> LA demographics </w:t>
      </w:r>
      <w:r w:rsidR="00801FEC" w:rsidRPr="00E00401">
        <w:rPr>
          <w:rFonts w:ascii="Arial" w:hAnsi="Arial" w:cs="Arial"/>
          <w:color w:val="000000"/>
          <w:szCs w:val="20"/>
        </w:rPr>
        <w:t>affected</w:t>
      </w:r>
      <w:r w:rsidRPr="00E00401">
        <w:rPr>
          <w:rFonts w:ascii="Arial" w:hAnsi="Arial" w:cs="Arial"/>
          <w:color w:val="000000"/>
          <w:szCs w:val="20"/>
        </w:rPr>
        <w:t xml:space="preserve"> DPH’s perceived research priorities</w:t>
      </w:r>
      <w:r w:rsidR="00562CB4" w:rsidRPr="00E00401">
        <w:rPr>
          <w:rFonts w:ascii="Arial" w:hAnsi="Arial" w:cs="Arial"/>
          <w:color w:val="000000"/>
          <w:szCs w:val="20"/>
        </w:rPr>
        <w:t xml:space="preserve">. </w:t>
      </w:r>
      <w:r w:rsidRPr="00E00401">
        <w:rPr>
          <w:rFonts w:ascii="Arial" w:hAnsi="Arial" w:cs="Arial"/>
          <w:color w:val="000000"/>
          <w:szCs w:val="20"/>
        </w:rPr>
        <w:t>Specifically, we analysed the impact of</w:t>
      </w:r>
      <w:r w:rsidR="00562CB4" w:rsidRPr="00E00401">
        <w:rPr>
          <w:rFonts w:ascii="Arial" w:hAnsi="Arial" w:cs="Arial"/>
          <w:color w:val="000000"/>
          <w:szCs w:val="20"/>
        </w:rPr>
        <w:t xml:space="preserve"> population density</w:t>
      </w:r>
      <w:r w:rsidRPr="00E00401">
        <w:rPr>
          <w:rFonts w:ascii="Arial" w:hAnsi="Arial" w:cs="Arial"/>
          <w:color w:val="000000"/>
          <w:szCs w:val="20"/>
        </w:rPr>
        <w:t>,</w:t>
      </w:r>
      <w:r w:rsidR="00562CB4" w:rsidRPr="00E00401">
        <w:rPr>
          <w:rFonts w:ascii="Arial" w:hAnsi="Arial" w:cs="Arial"/>
          <w:color w:val="000000"/>
          <w:szCs w:val="20"/>
        </w:rPr>
        <w:t xml:space="preserve"> to explore whether priorities different in rural and urban areas, and index of mu</w:t>
      </w:r>
      <w:r w:rsidR="00CF59BD" w:rsidRPr="00E00401">
        <w:rPr>
          <w:rFonts w:ascii="Arial" w:hAnsi="Arial" w:cs="Arial"/>
          <w:color w:val="000000"/>
          <w:szCs w:val="20"/>
        </w:rPr>
        <w:t>ltiple deprivation (IMD). IMD measures relative deprivation in small areas in England called lower-layer super output areas. The Indices are based on a range of indicators, grouped into seven distinct domains: Income, Employment, Education, Skills and Training, Health and Disability, Crime, Barriers to Housing and Services, Living Environment. Each Index represents a different aspect of deprivation.</w:t>
      </w:r>
    </w:p>
    <w:p w14:paraId="12FE13F1" w14:textId="300ED57B" w:rsidR="00CF59BD" w:rsidRPr="00E00401" w:rsidRDefault="00CF59BD" w:rsidP="00E00401">
      <w:pPr>
        <w:spacing w:after="120" w:line="240" w:lineRule="auto"/>
        <w:jc w:val="both"/>
        <w:rPr>
          <w:rFonts w:ascii="Arial" w:hAnsi="Arial" w:cs="Arial"/>
          <w:color w:val="000000"/>
          <w:szCs w:val="20"/>
        </w:rPr>
      </w:pPr>
      <w:r w:rsidRPr="00E00401">
        <w:rPr>
          <w:rFonts w:ascii="Arial" w:hAnsi="Arial" w:cs="Arial"/>
          <w:color w:val="000000"/>
          <w:szCs w:val="20"/>
        </w:rPr>
        <w:t xml:space="preserve">Population density and IMD scores </w:t>
      </w:r>
      <w:r w:rsidR="00C6127B" w:rsidRPr="00E00401">
        <w:rPr>
          <w:rFonts w:ascii="Arial" w:hAnsi="Arial" w:cs="Arial"/>
          <w:color w:val="000000"/>
          <w:szCs w:val="20"/>
        </w:rPr>
        <w:t xml:space="preserve">for each LA </w:t>
      </w:r>
      <w:r w:rsidRPr="00E00401">
        <w:rPr>
          <w:rFonts w:ascii="Arial" w:hAnsi="Arial" w:cs="Arial"/>
          <w:color w:val="000000"/>
          <w:szCs w:val="20"/>
        </w:rPr>
        <w:t>were derived from ONS data</w:t>
      </w:r>
      <w:r w:rsidR="00E00401" w:rsidRPr="00E00401">
        <w:rPr>
          <w:rFonts w:ascii="Arial" w:hAnsi="Arial" w:cs="Arial"/>
          <w:color w:val="000000"/>
          <w:szCs w:val="20"/>
        </w:rPr>
        <w:t xml:space="preserve"> </w:t>
      </w:r>
      <w:r w:rsidRPr="00E00401">
        <w:rPr>
          <w:rFonts w:ascii="Arial" w:hAnsi="Arial" w:cs="Arial"/>
          <w:color w:val="000000"/>
          <w:szCs w:val="20"/>
        </w:rPr>
        <w:t xml:space="preserve"> on the population profiles for LAs in England</w:t>
      </w:r>
      <w:r w:rsidR="00E00401" w:rsidRPr="00E00401">
        <w:rPr>
          <w:rFonts w:ascii="Arial" w:hAnsi="Arial" w:cs="Arial"/>
          <w:color w:val="000000"/>
          <w:szCs w:val="20"/>
        </w:rPr>
        <w:t xml:space="preserve"> </w:t>
      </w:r>
      <w:r w:rsidR="00E00401" w:rsidRPr="00E00401">
        <w:rPr>
          <w:rFonts w:ascii="Arial" w:hAnsi="Arial" w:cs="Arial"/>
          <w:color w:val="000000"/>
          <w:szCs w:val="20"/>
        </w:rPr>
        <w:fldChar w:fldCharType="begin"/>
      </w:r>
      <w:r w:rsidR="00E00401" w:rsidRPr="00E00401">
        <w:rPr>
          <w:rFonts w:ascii="Arial" w:hAnsi="Arial" w:cs="Arial"/>
          <w:color w:val="000000"/>
          <w:szCs w:val="20"/>
        </w:rPr>
        <w:instrText xml:space="preserve"> ADDIN EN.CITE &lt;EndNote&gt;&lt;Cite&gt;&lt;Author&gt;Office for National Statistics&lt;/Author&gt;&lt;Year&gt;2022&lt;/Year&gt;&lt;RecNum&gt;128&lt;/RecNum&gt;&lt;DisplayText&gt;(1)&lt;/DisplayText&gt;&lt;record&gt;&lt;rec-number&gt;128&lt;/rec-number&gt;&lt;foreign-keys&gt;&lt;key app="EN" db-id="sarta9vatezrvie52edv2dtgdsdwr0a2twvr" timestamp="1675767360"&gt;128&lt;/key&gt;&lt;/foreign-keys&gt;&lt;ref-type name="Web Page"&gt;12&lt;/ref-type&gt;&lt;contributors&gt;&lt;authors&gt;&lt;author&gt;Office for National Statistics,&lt;/author&gt;&lt;/authors&gt;&lt;/contributors&gt;&lt;titles&gt;&lt;title&gt;Population profiles for local authorities in England&lt;/title&gt;&lt;/titles&gt;&lt;dates&gt;&lt;year&gt;2022&lt;/year&gt;&lt;/dates&gt;&lt;urls&gt;&lt;related-urls&gt;&lt;url&gt;https://www.ons.gov.uk/peoplepopulationandcommunity/populationandmigration/populationestimates/articles/populationprofilesforlocalauthoritiesinengland/2020-12-14&lt;/url&gt;&lt;/related-urls&gt;&lt;/urls&gt;&lt;/record&gt;&lt;/Cite&gt;&lt;/EndNote&gt;</w:instrText>
      </w:r>
      <w:r w:rsidR="00E00401" w:rsidRPr="00E00401">
        <w:rPr>
          <w:rFonts w:ascii="Arial" w:hAnsi="Arial" w:cs="Arial"/>
          <w:color w:val="000000"/>
          <w:szCs w:val="20"/>
        </w:rPr>
        <w:fldChar w:fldCharType="separate"/>
      </w:r>
      <w:r w:rsidR="00E00401" w:rsidRPr="00E00401">
        <w:rPr>
          <w:rFonts w:ascii="Arial" w:hAnsi="Arial" w:cs="Arial"/>
          <w:color w:val="000000"/>
          <w:szCs w:val="20"/>
        </w:rPr>
        <w:t>(1)</w:t>
      </w:r>
      <w:r w:rsidR="00E00401" w:rsidRPr="00E00401">
        <w:rPr>
          <w:rFonts w:ascii="Arial" w:hAnsi="Arial" w:cs="Arial"/>
          <w:color w:val="000000"/>
          <w:szCs w:val="20"/>
        </w:rPr>
        <w:fldChar w:fldCharType="end"/>
      </w:r>
      <w:r w:rsidRPr="00E00401">
        <w:rPr>
          <w:rFonts w:ascii="Arial" w:hAnsi="Arial" w:cs="Arial"/>
          <w:color w:val="000000"/>
          <w:szCs w:val="20"/>
        </w:rPr>
        <w:t xml:space="preserve">. The </w:t>
      </w:r>
      <w:r w:rsidR="00801FEC" w:rsidRPr="00E00401">
        <w:rPr>
          <w:rFonts w:ascii="Arial" w:hAnsi="Arial" w:cs="Arial"/>
          <w:color w:val="000000"/>
          <w:szCs w:val="20"/>
        </w:rPr>
        <w:t xml:space="preserve">ONS </w:t>
      </w:r>
      <w:r w:rsidRPr="00E00401">
        <w:rPr>
          <w:rFonts w:ascii="Arial" w:hAnsi="Arial" w:cs="Arial"/>
          <w:color w:val="000000"/>
          <w:szCs w:val="20"/>
        </w:rPr>
        <w:t xml:space="preserve">data records the following information for each LA: </w:t>
      </w:r>
      <w:r w:rsidR="00801FEC" w:rsidRPr="00E00401">
        <w:rPr>
          <w:rFonts w:ascii="Arial" w:hAnsi="Arial" w:cs="Arial"/>
          <w:color w:val="000000"/>
          <w:szCs w:val="20"/>
        </w:rPr>
        <w:t xml:space="preserve">population </w:t>
      </w:r>
      <w:r w:rsidRPr="00E00401">
        <w:rPr>
          <w:rFonts w:ascii="Arial" w:hAnsi="Arial" w:cs="Arial"/>
          <w:color w:val="000000"/>
          <w:szCs w:val="20"/>
        </w:rPr>
        <w:t xml:space="preserve">age, </w:t>
      </w:r>
      <w:r w:rsidR="00801FEC" w:rsidRPr="00E00401">
        <w:rPr>
          <w:rFonts w:ascii="Arial" w:hAnsi="Arial" w:cs="Arial"/>
          <w:color w:val="000000"/>
          <w:szCs w:val="20"/>
        </w:rPr>
        <w:t xml:space="preserve">population </w:t>
      </w:r>
      <w:r w:rsidRPr="00E00401">
        <w:rPr>
          <w:rFonts w:ascii="Arial" w:hAnsi="Arial" w:cs="Arial"/>
          <w:color w:val="000000"/>
          <w:szCs w:val="20"/>
        </w:rPr>
        <w:t>d</w:t>
      </w:r>
      <w:r w:rsidR="00801FEC" w:rsidRPr="00E00401">
        <w:rPr>
          <w:rFonts w:ascii="Arial" w:hAnsi="Arial" w:cs="Arial"/>
          <w:color w:val="000000"/>
          <w:szCs w:val="20"/>
        </w:rPr>
        <w:t xml:space="preserve">ensity (people per square kilometre), proportion of school </w:t>
      </w:r>
      <w:r w:rsidRPr="00E00401">
        <w:rPr>
          <w:rFonts w:ascii="Arial" w:hAnsi="Arial" w:cs="Arial"/>
          <w:color w:val="000000"/>
          <w:szCs w:val="20"/>
        </w:rPr>
        <w:t>children, age groups, ethnicity, employment, industry, proportion of population in key worker occupations, and deprivation (IMD2019 scores).</w:t>
      </w:r>
    </w:p>
    <w:p w14:paraId="2E9952E6" w14:textId="03BA1214" w:rsidR="00975C42" w:rsidRPr="00E00401" w:rsidRDefault="00CF59BD" w:rsidP="00E00401">
      <w:pPr>
        <w:spacing w:after="120" w:line="240" w:lineRule="auto"/>
        <w:jc w:val="both"/>
        <w:rPr>
          <w:rFonts w:ascii="Arial" w:hAnsi="Arial" w:cs="Arial"/>
          <w:color w:val="000000"/>
          <w:szCs w:val="20"/>
        </w:rPr>
      </w:pPr>
      <w:r w:rsidRPr="00E00401">
        <w:rPr>
          <w:rFonts w:ascii="Arial" w:hAnsi="Arial" w:cs="Arial"/>
          <w:color w:val="000000"/>
          <w:szCs w:val="20"/>
        </w:rPr>
        <w:t xml:space="preserve">In the ONS dataset, data is reported at </w:t>
      </w:r>
      <w:r w:rsidR="00C6127B" w:rsidRPr="00E00401">
        <w:rPr>
          <w:rFonts w:ascii="Arial" w:hAnsi="Arial" w:cs="Arial"/>
          <w:color w:val="000000"/>
          <w:szCs w:val="20"/>
        </w:rPr>
        <w:t xml:space="preserve">level of </w:t>
      </w:r>
      <w:r w:rsidRPr="00E00401">
        <w:rPr>
          <w:rFonts w:ascii="Arial" w:hAnsi="Arial" w:cs="Arial"/>
          <w:color w:val="000000"/>
          <w:szCs w:val="20"/>
        </w:rPr>
        <w:t>district council</w:t>
      </w:r>
      <w:r w:rsidR="00C6127B" w:rsidRPr="00E00401">
        <w:rPr>
          <w:rFonts w:ascii="Arial" w:hAnsi="Arial" w:cs="Arial"/>
          <w:color w:val="000000"/>
          <w:szCs w:val="20"/>
        </w:rPr>
        <w:t>s</w:t>
      </w:r>
      <w:r w:rsidRPr="00E00401">
        <w:rPr>
          <w:rFonts w:ascii="Arial" w:hAnsi="Arial" w:cs="Arial"/>
          <w:color w:val="000000"/>
          <w:szCs w:val="20"/>
        </w:rPr>
        <w:t>, borough</w:t>
      </w:r>
      <w:r w:rsidR="00C6127B" w:rsidRPr="00E00401">
        <w:rPr>
          <w:rFonts w:ascii="Arial" w:hAnsi="Arial" w:cs="Arial"/>
          <w:color w:val="000000"/>
          <w:szCs w:val="20"/>
        </w:rPr>
        <w:t>s</w:t>
      </w:r>
      <w:r w:rsidRPr="00E00401">
        <w:rPr>
          <w:rFonts w:ascii="Arial" w:hAnsi="Arial" w:cs="Arial"/>
          <w:color w:val="000000"/>
          <w:szCs w:val="20"/>
        </w:rPr>
        <w:t xml:space="preserve"> or unitary authorit</w:t>
      </w:r>
      <w:r w:rsidR="00C6127B" w:rsidRPr="00E00401">
        <w:rPr>
          <w:rFonts w:ascii="Arial" w:hAnsi="Arial" w:cs="Arial"/>
          <w:color w:val="000000"/>
          <w:szCs w:val="20"/>
        </w:rPr>
        <w:t>ies</w:t>
      </w:r>
      <w:r w:rsidRPr="00E00401">
        <w:rPr>
          <w:rFonts w:ascii="Arial" w:hAnsi="Arial" w:cs="Arial"/>
          <w:color w:val="000000"/>
          <w:szCs w:val="20"/>
        </w:rPr>
        <w:t xml:space="preserve">. For Public Health </w:t>
      </w:r>
      <w:r w:rsidR="009749EB" w:rsidRPr="00E00401">
        <w:rPr>
          <w:rFonts w:ascii="Arial" w:hAnsi="Arial" w:cs="Arial"/>
          <w:color w:val="000000"/>
          <w:szCs w:val="20"/>
        </w:rPr>
        <w:t>bodies, s</w:t>
      </w:r>
      <w:r w:rsidR="00562CB4" w:rsidRPr="00E00401">
        <w:rPr>
          <w:rFonts w:ascii="Arial" w:hAnsi="Arial" w:cs="Arial"/>
          <w:color w:val="000000"/>
          <w:szCs w:val="20"/>
        </w:rPr>
        <w:t xml:space="preserve">ome LAs have entered into shared agreements, </w:t>
      </w:r>
      <w:r w:rsidR="00975C42" w:rsidRPr="00E00401">
        <w:rPr>
          <w:rFonts w:ascii="Arial" w:hAnsi="Arial" w:cs="Arial"/>
          <w:color w:val="000000"/>
          <w:szCs w:val="20"/>
        </w:rPr>
        <w:t xml:space="preserve">so one DPH resides over several </w:t>
      </w:r>
      <w:r w:rsidR="00562CB4" w:rsidRPr="00E00401">
        <w:rPr>
          <w:rFonts w:ascii="Arial" w:hAnsi="Arial" w:cs="Arial"/>
          <w:color w:val="000000"/>
          <w:szCs w:val="20"/>
        </w:rPr>
        <w:t>LAs</w:t>
      </w:r>
      <w:r w:rsidR="009749EB" w:rsidRPr="00E00401">
        <w:rPr>
          <w:rFonts w:ascii="Arial" w:hAnsi="Arial" w:cs="Arial"/>
          <w:color w:val="000000"/>
          <w:szCs w:val="20"/>
        </w:rPr>
        <w:t>. When this is the case,</w:t>
      </w:r>
      <w:r w:rsidR="00975C42" w:rsidRPr="00E00401">
        <w:rPr>
          <w:rFonts w:ascii="Arial" w:hAnsi="Arial" w:cs="Arial"/>
          <w:color w:val="000000"/>
          <w:szCs w:val="20"/>
        </w:rPr>
        <w:t xml:space="preserve"> IMD score</w:t>
      </w:r>
      <w:r w:rsidR="009749EB" w:rsidRPr="00E00401">
        <w:rPr>
          <w:rFonts w:ascii="Arial" w:hAnsi="Arial" w:cs="Arial"/>
          <w:color w:val="000000"/>
          <w:szCs w:val="20"/>
        </w:rPr>
        <w:t>s</w:t>
      </w:r>
      <w:r w:rsidR="00975C42" w:rsidRPr="00E00401">
        <w:rPr>
          <w:rFonts w:ascii="Arial" w:hAnsi="Arial" w:cs="Arial"/>
          <w:color w:val="000000"/>
          <w:szCs w:val="20"/>
        </w:rPr>
        <w:t xml:space="preserve"> were derived as the mean of individual LAs weighted by </w:t>
      </w:r>
      <w:r w:rsidR="009749EB" w:rsidRPr="00E00401">
        <w:rPr>
          <w:rFonts w:ascii="Arial" w:hAnsi="Arial" w:cs="Arial"/>
          <w:color w:val="000000"/>
          <w:szCs w:val="20"/>
        </w:rPr>
        <w:t xml:space="preserve">the population size in each LA, and population density was derived by dividing the total population by the total surface area, for all relevant LAs. When </w:t>
      </w:r>
      <w:proofErr w:type="spellStart"/>
      <w:r w:rsidR="00265762" w:rsidRPr="00E00401">
        <w:rPr>
          <w:rFonts w:ascii="Arial" w:hAnsi="Arial" w:cs="Arial"/>
          <w:color w:val="000000"/>
          <w:szCs w:val="20"/>
        </w:rPr>
        <w:t>DsPH</w:t>
      </w:r>
      <w:proofErr w:type="spellEnd"/>
      <w:r w:rsidR="009749EB" w:rsidRPr="00E00401">
        <w:rPr>
          <w:rFonts w:ascii="Arial" w:hAnsi="Arial" w:cs="Arial"/>
          <w:color w:val="000000"/>
          <w:szCs w:val="20"/>
        </w:rPr>
        <w:t xml:space="preserve"> reported working at county-level, the list of their LAs was obtained from the county website.</w:t>
      </w:r>
    </w:p>
    <w:p w14:paraId="5670B66E" w14:textId="3BC6F619" w:rsidR="00A04E84" w:rsidRPr="00E00401" w:rsidRDefault="00A04E84" w:rsidP="00E00401">
      <w:pPr>
        <w:spacing w:after="120" w:line="240" w:lineRule="auto"/>
        <w:jc w:val="both"/>
        <w:rPr>
          <w:rFonts w:ascii="Arial" w:hAnsi="Arial" w:cs="Arial"/>
          <w:color w:val="000000"/>
          <w:szCs w:val="20"/>
        </w:rPr>
      </w:pPr>
      <w:r w:rsidRPr="00E00401">
        <w:rPr>
          <w:rFonts w:ascii="Arial" w:hAnsi="Arial" w:cs="Arial"/>
          <w:color w:val="000000"/>
          <w:szCs w:val="20"/>
        </w:rPr>
        <w:t xml:space="preserve">The LA demographics were used to conduct subgroup analyses of the survey results. </w:t>
      </w:r>
      <w:r w:rsidR="00C6127B" w:rsidRPr="00E00401">
        <w:rPr>
          <w:rFonts w:ascii="Arial" w:hAnsi="Arial" w:cs="Arial"/>
          <w:color w:val="000000"/>
          <w:szCs w:val="20"/>
        </w:rPr>
        <w:t xml:space="preserve">For the sample of </w:t>
      </w:r>
      <w:proofErr w:type="spellStart"/>
      <w:r w:rsidR="00265762" w:rsidRPr="00E00401">
        <w:rPr>
          <w:rFonts w:ascii="Arial" w:hAnsi="Arial" w:cs="Arial"/>
          <w:color w:val="000000"/>
          <w:szCs w:val="20"/>
        </w:rPr>
        <w:t>DsPH</w:t>
      </w:r>
      <w:proofErr w:type="spellEnd"/>
      <w:r w:rsidR="00C6127B" w:rsidRPr="00E00401">
        <w:rPr>
          <w:rFonts w:ascii="Arial" w:hAnsi="Arial" w:cs="Arial"/>
          <w:color w:val="000000"/>
          <w:szCs w:val="20"/>
        </w:rPr>
        <w:t xml:space="preserve"> who reported their LA</w:t>
      </w:r>
      <w:r w:rsidR="00BB72C2" w:rsidRPr="00E00401">
        <w:rPr>
          <w:rFonts w:ascii="Arial" w:hAnsi="Arial" w:cs="Arial"/>
          <w:color w:val="000000"/>
          <w:szCs w:val="20"/>
        </w:rPr>
        <w:t xml:space="preserve"> in the survey</w:t>
      </w:r>
      <w:r w:rsidR="00C6127B" w:rsidRPr="00E00401">
        <w:rPr>
          <w:rFonts w:ascii="Arial" w:hAnsi="Arial" w:cs="Arial"/>
          <w:color w:val="000000"/>
          <w:szCs w:val="20"/>
        </w:rPr>
        <w:t xml:space="preserve">, we compared the answers submitted by </w:t>
      </w:r>
      <w:proofErr w:type="spellStart"/>
      <w:r w:rsidR="00265762" w:rsidRPr="00E00401">
        <w:rPr>
          <w:rFonts w:ascii="Arial" w:hAnsi="Arial" w:cs="Arial"/>
          <w:color w:val="000000"/>
          <w:szCs w:val="20"/>
        </w:rPr>
        <w:t>DsPH</w:t>
      </w:r>
      <w:proofErr w:type="spellEnd"/>
      <w:r w:rsidR="00C6127B" w:rsidRPr="00E00401">
        <w:rPr>
          <w:rFonts w:ascii="Arial" w:hAnsi="Arial" w:cs="Arial"/>
          <w:color w:val="000000"/>
          <w:szCs w:val="20"/>
        </w:rPr>
        <w:t xml:space="preserve"> working in LAs where IMD is less than that the national (England) average to those where it is </w:t>
      </w:r>
      <w:r w:rsidR="00801FEC" w:rsidRPr="00E00401">
        <w:rPr>
          <w:rFonts w:ascii="Arial" w:hAnsi="Arial" w:cs="Arial"/>
          <w:color w:val="000000"/>
          <w:szCs w:val="20"/>
        </w:rPr>
        <w:t>greater</w:t>
      </w:r>
      <w:r w:rsidR="00C6127B" w:rsidRPr="00E00401">
        <w:rPr>
          <w:rFonts w:ascii="Arial" w:hAnsi="Arial" w:cs="Arial"/>
          <w:color w:val="000000"/>
          <w:szCs w:val="20"/>
        </w:rPr>
        <w:t>. Furthermore, we compared the results for the 10 most deprived (lowest IMD) and least deprived (highest IMD) LAs, to explore whether research priorities differ in the LAs with more extreme demographics. This subgroup analysis was r</w:t>
      </w:r>
      <w:r w:rsidR="00BB72C2" w:rsidRPr="00E00401">
        <w:rPr>
          <w:rFonts w:ascii="Arial" w:hAnsi="Arial" w:cs="Arial"/>
          <w:color w:val="000000"/>
          <w:szCs w:val="20"/>
        </w:rPr>
        <w:t>epeated for population density.</w:t>
      </w:r>
    </w:p>
    <w:p w14:paraId="5250B81B" w14:textId="5E64670C" w:rsidR="00E00401" w:rsidRPr="00E00401" w:rsidRDefault="00E00401" w:rsidP="00E00401">
      <w:pPr>
        <w:pStyle w:val="Heading2"/>
        <w:spacing w:after="120" w:line="240" w:lineRule="auto"/>
        <w:rPr>
          <w:rFonts w:ascii="Arial" w:hAnsi="Arial" w:cs="Arial"/>
          <w:bCs/>
          <w:color w:val="2E74B5" w:themeColor="accent1" w:themeShade="BF"/>
          <w:sz w:val="22"/>
          <w:szCs w:val="22"/>
        </w:rPr>
      </w:pPr>
      <w:r w:rsidRPr="00E00401">
        <w:rPr>
          <w:rFonts w:ascii="Arial" w:hAnsi="Arial" w:cs="Arial"/>
          <w:bCs/>
          <w:color w:val="2E74B5" w:themeColor="accent1" w:themeShade="BF"/>
          <w:sz w:val="22"/>
          <w:szCs w:val="22"/>
        </w:rPr>
        <w:t>Results</w:t>
      </w:r>
    </w:p>
    <w:p w14:paraId="34E460EE" w14:textId="719BB2FC" w:rsidR="00E00401" w:rsidRPr="00E00401" w:rsidRDefault="00E00401" w:rsidP="00E00401">
      <w:pPr>
        <w:pStyle w:val="Heading2"/>
        <w:spacing w:after="120" w:line="240" w:lineRule="auto"/>
        <w:rPr>
          <w:rFonts w:ascii="Arial" w:hAnsi="Arial" w:cs="Arial"/>
          <w:b w:val="0"/>
          <w:i/>
          <w:iCs/>
          <w:color w:val="2E74B5" w:themeColor="accent1" w:themeShade="BF"/>
          <w:sz w:val="22"/>
          <w:szCs w:val="22"/>
        </w:rPr>
      </w:pPr>
      <w:r w:rsidRPr="00E00401">
        <w:rPr>
          <w:rFonts w:ascii="Arial" w:hAnsi="Arial" w:cs="Arial"/>
          <w:b w:val="0"/>
          <w:i/>
          <w:iCs/>
          <w:color w:val="2E74B5" w:themeColor="accent1" w:themeShade="BF"/>
          <w:sz w:val="22"/>
          <w:szCs w:val="22"/>
        </w:rPr>
        <w:t>Sample description</w:t>
      </w:r>
    </w:p>
    <w:p w14:paraId="5A761360" w14:textId="6BE70248" w:rsidR="0008006D" w:rsidRPr="00E00401" w:rsidRDefault="00351D19" w:rsidP="00E00401">
      <w:pPr>
        <w:spacing w:after="120" w:line="240" w:lineRule="auto"/>
        <w:jc w:val="both"/>
        <w:rPr>
          <w:rFonts w:ascii="Arial" w:hAnsi="Arial" w:cs="Arial"/>
          <w:color w:val="000000"/>
          <w:szCs w:val="20"/>
        </w:rPr>
      </w:pPr>
      <w:r w:rsidRPr="00E00401">
        <w:rPr>
          <w:rFonts w:ascii="Arial" w:hAnsi="Arial" w:cs="Arial"/>
          <w:color w:val="000000"/>
          <w:szCs w:val="20"/>
        </w:rPr>
        <w:t xml:space="preserve">In the survey, </w:t>
      </w:r>
      <w:r w:rsidR="00AD4031" w:rsidRPr="00E00401">
        <w:rPr>
          <w:rFonts w:ascii="Arial" w:hAnsi="Arial" w:cs="Arial"/>
          <w:color w:val="000000"/>
          <w:szCs w:val="20"/>
        </w:rPr>
        <w:t xml:space="preserve">57 </w:t>
      </w:r>
      <w:proofErr w:type="spellStart"/>
      <w:r w:rsidRPr="00E00401">
        <w:rPr>
          <w:rFonts w:ascii="Arial" w:hAnsi="Arial" w:cs="Arial"/>
          <w:color w:val="000000"/>
          <w:szCs w:val="20"/>
        </w:rPr>
        <w:t>D</w:t>
      </w:r>
      <w:r w:rsidR="00AD4031" w:rsidRPr="00E00401">
        <w:rPr>
          <w:rFonts w:ascii="Arial" w:hAnsi="Arial" w:cs="Arial"/>
          <w:color w:val="000000"/>
          <w:szCs w:val="20"/>
        </w:rPr>
        <w:t>s</w:t>
      </w:r>
      <w:r w:rsidRPr="00E00401">
        <w:rPr>
          <w:rFonts w:ascii="Arial" w:hAnsi="Arial" w:cs="Arial"/>
          <w:color w:val="000000"/>
          <w:szCs w:val="20"/>
        </w:rPr>
        <w:t>PH</w:t>
      </w:r>
      <w:proofErr w:type="spellEnd"/>
      <w:r w:rsidRPr="00E00401">
        <w:rPr>
          <w:rFonts w:ascii="Arial" w:hAnsi="Arial" w:cs="Arial"/>
          <w:color w:val="000000"/>
          <w:szCs w:val="20"/>
        </w:rPr>
        <w:t xml:space="preserve"> took part</w:t>
      </w:r>
      <w:r w:rsidR="00AD4031" w:rsidRPr="00E00401">
        <w:rPr>
          <w:rFonts w:ascii="Arial" w:hAnsi="Arial" w:cs="Arial"/>
          <w:color w:val="000000"/>
          <w:szCs w:val="20"/>
        </w:rPr>
        <w:t xml:space="preserve"> (38% response rate) and one non-</w:t>
      </w:r>
      <w:proofErr w:type="spellStart"/>
      <w:r w:rsidR="00AD4031" w:rsidRPr="00E00401">
        <w:rPr>
          <w:rFonts w:ascii="Arial" w:hAnsi="Arial" w:cs="Arial"/>
          <w:color w:val="000000"/>
          <w:szCs w:val="20"/>
        </w:rPr>
        <w:t>DsPH</w:t>
      </w:r>
      <w:proofErr w:type="spellEnd"/>
      <w:r w:rsidRPr="00E00401">
        <w:rPr>
          <w:rFonts w:ascii="Arial" w:hAnsi="Arial" w:cs="Arial"/>
          <w:color w:val="000000"/>
          <w:szCs w:val="20"/>
        </w:rPr>
        <w:t xml:space="preserve">, where 51 </w:t>
      </w:r>
      <w:proofErr w:type="spellStart"/>
      <w:r w:rsidR="00AD4031" w:rsidRPr="00E00401">
        <w:rPr>
          <w:rFonts w:ascii="Arial" w:hAnsi="Arial" w:cs="Arial"/>
          <w:color w:val="000000"/>
          <w:szCs w:val="20"/>
        </w:rPr>
        <w:t>DsPHs</w:t>
      </w:r>
      <w:proofErr w:type="spellEnd"/>
      <w:r w:rsidR="00AD4031" w:rsidRPr="00E00401">
        <w:rPr>
          <w:rFonts w:ascii="Arial" w:hAnsi="Arial" w:cs="Arial"/>
          <w:color w:val="000000"/>
          <w:szCs w:val="20"/>
        </w:rPr>
        <w:t xml:space="preserve"> </w:t>
      </w:r>
      <w:r w:rsidRPr="00E00401">
        <w:rPr>
          <w:rFonts w:ascii="Arial" w:hAnsi="Arial" w:cs="Arial"/>
          <w:color w:val="000000"/>
          <w:szCs w:val="20"/>
        </w:rPr>
        <w:t>reported which LA in England they represent.</w:t>
      </w:r>
      <w:r w:rsidR="009749EB" w:rsidRPr="00E00401">
        <w:rPr>
          <w:rFonts w:ascii="Arial" w:hAnsi="Arial" w:cs="Arial"/>
          <w:color w:val="000000"/>
          <w:szCs w:val="20"/>
        </w:rPr>
        <w:t xml:space="preserve"> </w:t>
      </w:r>
      <w:r w:rsidRPr="00E00401">
        <w:rPr>
          <w:rFonts w:ascii="Arial" w:hAnsi="Arial" w:cs="Arial"/>
          <w:color w:val="000000"/>
          <w:szCs w:val="20"/>
        </w:rPr>
        <w:t xml:space="preserve">Of these 51 </w:t>
      </w:r>
      <w:proofErr w:type="spellStart"/>
      <w:r w:rsidRPr="00E00401">
        <w:rPr>
          <w:rFonts w:ascii="Arial" w:hAnsi="Arial" w:cs="Arial"/>
          <w:color w:val="000000"/>
          <w:szCs w:val="20"/>
        </w:rPr>
        <w:t>D</w:t>
      </w:r>
      <w:r w:rsidR="00265762" w:rsidRPr="00E00401">
        <w:rPr>
          <w:rFonts w:ascii="Arial" w:hAnsi="Arial" w:cs="Arial"/>
          <w:color w:val="000000"/>
          <w:szCs w:val="20"/>
        </w:rPr>
        <w:t>s</w:t>
      </w:r>
      <w:r w:rsidRPr="00E00401">
        <w:rPr>
          <w:rFonts w:ascii="Arial" w:hAnsi="Arial" w:cs="Arial"/>
          <w:color w:val="000000"/>
          <w:szCs w:val="20"/>
        </w:rPr>
        <w:t>PH</w:t>
      </w:r>
      <w:proofErr w:type="spellEnd"/>
      <w:r w:rsidRPr="00E00401">
        <w:rPr>
          <w:rFonts w:ascii="Arial" w:hAnsi="Arial" w:cs="Arial"/>
          <w:color w:val="000000"/>
          <w:szCs w:val="20"/>
        </w:rPr>
        <w:t xml:space="preserve">, 33 </w:t>
      </w:r>
      <w:r w:rsidR="0008006D" w:rsidRPr="00E00401">
        <w:rPr>
          <w:rFonts w:ascii="Arial" w:hAnsi="Arial" w:cs="Arial"/>
          <w:color w:val="000000"/>
          <w:szCs w:val="20"/>
        </w:rPr>
        <w:t xml:space="preserve">reported working </w:t>
      </w:r>
      <w:r w:rsidR="00801FEC" w:rsidRPr="00E00401">
        <w:rPr>
          <w:rFonts w:ascii="Arial" w:hAnsi="Arial" w:cs="Arial"/>
          <w:color w:val="000000"/>
          <w:szCs w:val="20"/>
        </w:rPr>
        <w:t xml:space="preserve">in </w:t>
      </w:r>
      <w:r w:rsidR="00141D54" w:rsidRPr="00E00401">
        <w:rPr>
          <w:rFonts w:ascii="Arial" w:hAnsi="Arial" w:cs="Arial"/>
          <w:color w:val="000000"/>
          <w:szCs w:val="20"/>
        </w:rPr>
        <w:t>a single LA (district council, borough or unitary authority)</w:t>
      </w:r>
      <w:r w:rsidRPr="00E00401">
        <w:rPr>
          <w:rFonts w:ascii="Arial" w:hAnsi="Arial" w:cs="Arial"/>
          <w:color w:val="000000"/>
          <w:szCs w:val="20"/>
        </w:rPr>
        <w:t>, 7</w:t>
      </w:r>
      <w:r w:rsidR="0008006D" w:rsidRPr="00E00401">
        <w:rPr>
          <w:rFonts w:ascii="Arial" w:hAnsi="Arial" w:cs="Arial"/>
          <w:color w:val="000000"/>
          <w:szCs w:val="20"/>
        </w:rPr>
        <w:t xml:space="preserve"> </w:t>
      </w:r>
      <w:proofErr w:type="spellStart"/>
      <w:r w:rsidRPr="00E00401">
        <w:rPr>
          <w:rFonts w:ascii="Arial" w:hAnsi="Arial" w:cs="Arial"/>
          <w:color w:val="000000"/>
          <w:szCs w:val="20"/>
        </w:rPr>
        <w:t>D</w:t>
      </w:r>
      <w:r w:rsidR="00265762" w:rsidRPr="00E00401">
        <w:rPr>
          <w:rFonts w:ascii="Arial" w:hAnsi="Arial" w:cs="Arial"/>
          <w:color w:val="000000"/>
          <w:szCs w:val="20"/>
        </w:rPr>
        <w:t>s</w:t>
      </w:r>
      <w:r w:rsidRPr="00E00401">
        <w:rPr>
          <w:rFonts w:ascii="Arial" w:hAnsi="Arial" w:cs="Arial"/>
          <w:color w:val="000000"/>
          <w:szCs w:val="20"/>
        </w:rPr>
        <w:t>PH</w:t>
      </w:r>
      <w:proofErr w:type="spellEnd"/>
      <w:r w:rsidRPr="00E00401">
        <w:rPr>
          <w:rFonts w:ascii="Arial" w:hAnsi="Arial" w:cs="Arial"/>
          <w:color w:val="000000"/>
          <w:szCs w:val="20"/>
        </w:rPr>
        <w:t xml:space="preserve"> reported working in two or more</w:t>
      </w:r>
      <w:r w:rsidR="0008006D" w:rsidRPr="00E00401">
        <w:rPr>
          <w:rFonts w:ascii="Arial" w:hAnsi="Arial" w:cs="Arial"/>
          <w:color w:val="000000"/>
          <w:szCs w:val="20"/>
        </w:rPr>
        <w:t xml:space="preserve"> </w:t>
      </w:r>
      <w:r w:rsidR="00141D54" w:rsidRPr="00E00401">
        <w:rPr>
          <w:rFonts w:ascii="Arial" w:hAnsi="Arial" w:cs="Arial"/>
          <w:color w:val="000000"/>
          <w:szCs w:val="20"/>
        </w:rPr>
        <w:t>LAs</w:t>
      </w:r>
      <w:r w:rsidR="0008006D" w:rsidRPr="00E00401">
        <w:rPr>
          <w:rFonts w:ascii="Arial" w:hAnsi="Arial" w:cs="Arial"/>
          <w:color w:val="000000"/>
          <w:szCs w:val="20"/>
        </w:rPr>
        <w:t xml:space="preserve">, while </w:t>
      </w:r>
      <w:r w:rsidRPr="00E00401">
        <w:rPr>
          <w:rFonts w:ascii="Arial" w:hAnsi="Arial" w:cs="Arial"/>
          <w:color w:val="000000"/>
          <w:szCs w:val="20"/>
        </w:rPr>
        <w:t>11</w:t>
      </w:r>
      <w:r w:rsidR="0008006D" w:rsidRPr="00E00401">
        <w:rPr>
          <w:rFonts w:ascii="Arial" w:hAnsi="Arial" w:cs="Arial"/>
          <w:color w:val="000000"/>
          <w:szCs w:val="20"/>
        </w:rPr>
        <w:t xml:space="preserve"> reported </w:t>
      </w:r>
      <w:r w:rsidRPr="00E00401">
        <w:rPr>
          <w:rFonts w:ascii="Arial" w:hAnsi="Arial" w:cs="Arial"/>
          <w:color w:val="000000"/>
          <w:szCs w:val="20"/>
        </w:rPr>
        <w:t xml:space="preserve">working at </w:t>
      </w:r>
      <w:r w:rsidR="0008006D" w:rsidRPr="00E00401">
        <w:rPr>
          <w:rFonts w:ascii="Arial" w:hAnsi="Arial" w:cs="Arial"/>
          <w:color w:val="000000"/>
          <w:szCs w:val="20"/>
        </w:rPr>
        <w:t>county</w:t>
      </w:r>
      <w:r w:rsidRPr="00E00401">
        <w:rPr>
          <w:rFonts w:ascii="Arial" w:hAnsi="Arial" w:cs="Arial"/>
          <w:color w:val="000000"/>
          <w:szCs w:val="20"/>
        </w:rPr>
        <w:t>-level</w:t>
      </w:r>
      <w:r w:rsidR="009749EB" w:rsidRPr="00E00401">
        <w:rPr>
          <w:rFonts w:ascii="Arial" w:hAnsi="Arial" w:cs="Arial"/>
          <w:color w:val="000000"/>
          <w:szCs w:val="20"/>
        </w:rPr>
        <w:t>.</w:t>
      </w:r>
    </w:p>
    <w:p w14:paraId="17256A8A" w14:textId="50A8C586" w:rsidR="009816EE" w:rsidRPr="00E00401" w:rsidRDefault="005666D5" w:rsidP="00E00401">
      <w:pPr>
        <w:spacing w:after="120" w:line="240" w:lineRule="auto"/>
        <w:jc w:val="both"/>
        <w:rPr>
          <w:rFonts w:ascii="Arial" w:hAnsi="Arial" w:cs="Arial"/>
          <w:color w:val="000000"/>
          <w:szCs w:val="20"/>
        </w:rPr>
      </w:pPr>
      <w:r w:rsidRPr="00E00401">
        <w:rPr>
          <w:rFonts w:ascii="Arial" w:hAnsi="Arial" w:cs="Arial"/>
          <w:color w:val="000000"/>
          <w:szCs w:val="20"/>
        </w:rPr>
        <w:t xml:space="preserve">Of the 51 </w:t>
      </w:r>
      <w:proofErr w:type="spellStart"/>
      <w:r w:rsidRPr="00E00401">
        <w:rPr>
          <w:rFonts w:ascii="Arial" w:hAnsi="Arial" w:cs="Arial"/>
          <w:color w:val="000000"/>
          <w:szCs w:val="20"/>
        </w:rPr>
        <w:t>DsPH</w:t>
      </w:r>
      <w:proofErr w:type="spellEnd"/>
      <w:r w:rsidRPr="00E00401">
        <w:rPr>
          <w:rFonts w:ascii="Arial" w:hAnsi="Arial" w:cs="Arial"/>
          <w:color w:val="000000"/>
          <w:szCs w:val="20"/>
        </w:rPr>
        <w:t xml:space="preserve">, 76.5% (39 </w:t>
      </w:r>
      <w:proofErr w:type="spellStart"/>
      <w:r w:rsidRPr="00E00401">
        <w:rPr>
          <w:rFonts w:ascii="Arial" w:hAnsi="Arial" w:cs="Arial"/>
          <w:color w:val="000000"/>
          <w:szCs w:val="20"/>
        </w:rPr>
        <w:t>DsPH</w:t>
      </w:r>
      <w:proofErr w:type="spellEnd"/>
      <w:r w:rsidRPr="00E00401">
        <w:rPr>
          <w:rFonts w:ascii="Arial" w:hAnsi="Arial" w:cs="Arial"/>
          <w:color w:val="000000"/>
          <w:szCs w:val="20"/>
        </w:rPr>
        <w:t>)</w:t>
      </w:r>
      <w:r w:rsidR="009816EE" w:rsidRPr="00E00401">
        <w:rPr>
          <w:rFonts w:ascii="Arial" w:hAnsi="Arial" w:cs="Arial"/>
          <w:color w:val="000000"/>
          <w:szCs w:val="20"/>
        </w:rPr>
        <w:t xml:space="preserve"> worked in LAs with a climate action plan</w:t>
      </w:r>
      <w:r w:rsidRPr="00E00401">
        <w:rPr>
          <w:rFonts w:ascii="Arial" w:hAnsi="Arial" w:cs="Arial"/>
          <w:color w:val="000000"/>
          <w:szCs w:val="20"/>
        </w:rPr>
        <w:t xml:space="preserve">; this is comparable to the overall proportion of LAs (74.4%) that have a climate action plan, suggesting the </w:t>
      </w:r>
      <w:proofErr w:type="spellStart"/>
      <w:r w:rsidRPr="00E00401">
        <w:rPr>
          <w:rFonts w:ascii="Arial" w:hAnsi="Arial" w:cs="Arial"/>
          <w:color w:val="000000"/>
          <w:szCs w:val="20"/>
        </w:rPr>
        <w:t>DsPH</w:t>
      </w:r>
      <w:proofErr w:type="spellEnd"/>
      <w:r w:rsidRPr="00E00401">
        <w:rPr>
          <w:rFonts w:ascii="Arial" w:hAnsi="Arial" w:cs="Arial"/>
          <w:color w:val="000000"/>
          <w:szCs w:val="20"/>
        </w:rPr>
        <w:t xml:space="preserve"> more likely to be engaged in climate action</w:t>
      </w:r>
      <w:r w:rsidR="00B76965" w:rsidRPr="00E00401">
        <w:rPr>
          <w:rFonts w:ascii="Arial" w:hAnsi="Arial" w:cs="Arial"/>
          <w:color w:val="000000"/>
          <w:szCs w:val="20"/>
        </w:rPr>
        <w:t xml:space="preserve"> were not overrepresented in our sample.</w:t>
      </w:r>
    </w:p>
    <w:p w14:paraId="7ED23A7D" w14:textId="7FA7FC8F" w:rsidR="0008006D" w:rsidRPr="00E00401" w:rsidRDefault="00E00401" w:rsidP="00E00401">
      <w:pPr>
        <w:spacing w:after="120" w:line="240" w:lineRule="auto"/>
        <w:jc w:val="both"/>
        <w:rPr>
          <w:rFonts w:ascii="Arial" w:hAnsi="Arial" w:cs="Arial"/>
          <w:color w:val="000000"/>
          <w:szCs w:val="20"/>
        </w:rPr>
      </w:pPr>
      <w:r w:rsidRPr="00E00401">
        <w:rPr>
          <w:rFonts w:ascii="Arial" w:hAnsi="Arial" w:cs="Arial"/>
          <w:b/>
          <w:bCs/>
          <w:color w:val="000000"/>
          <w:szCs w:val="20"/>
        </w:rPr>
        <w:fldChar w:fldCharType="begin"/>
      </w:r>
      <w:r w:rsidRPr="00E00401">
        <w:rPr>
          <w:rFonts w:ascii="Arial" w:hAnsi="Arial" w:cs="Arial"/>
          <w:b/>
          <w:bCs/>
          <w:color w:val="000000"/>
          <w:szCs w:val="20"/>
        </w:rPr>
        <w:instrText xml:space="preserve"> REF _Ref126660058 \h  \* MERGEFORMAT </w:instrText>
      </w:r>
      <w:r w:rsidRPr="00E00401">
        <w:rPr>
          <w:rFonts w:ascii="Arial" w:hAnsi="Arial" w:cs="Arial"/>
          <w:b/>
          <w:bCs/>
          <w:color w:val="000000"/>
          <w:szCs w:val="20"/>
        </w:rPr>
      </w:r>
      <w:r w:rsidRPr="00E00401">
        <w:rPr>
          <w:rFonts w:ascii="Arial" w:hAnsi="Arial" w:cs="Arial"/>
          <w:b/>
          <w:bCs/>
          <w:color w:val="000000"/>
          <w:szCs w:val="20"/>
        </w:rPr>
        <w:fldChar w:fldCharType="separate"/>
      </w:r>
      <w:r w:rsidRPr="00E00401">
        <w:rPr>
          <w:rFonts w:ascii="Arial" w:hAnsi="Arial" w:cs="Arial"/>
          <w:b/>
          <w:bCs/>
        </w:rPr>
        <w:t xml:space="preserve">Table </w:t>
      </w:r>
      <w:r w:rsidRPr="00E00401">
        <w:rPr>
          <w:rFonts w:ascii="Arial" w:hAnsi="Arial" w:cs="Arial"/>
          <w:b/>
          <w:bCs/>
          <w:noProof/>
        </w:rPr>
        <w:t>1</w:t>
      </w:r>
      <w:r w:rsidRPr="00E00401">
        <w:rPr>
          <w:rFonts w:ascii="Arial" w:hAnsi="Arial" w:cs="Arial"/>
          <w:b/>
          <w:bCs/>
          <w:color w:val="000000"/>
          <w:szCs w:val="20"/>
        </w:rPr>
        <w:fldChar w:fldCharType="end"/>
      </w:r>
      <w:r>
        <w:rPr>
          <w:rFonts w:ascii="Arial" w:hAnsi="Arial" w:cs="Arial"/>
          <w:color w:val="000000"/>
          <w:szCs w:val="20"/>
        </w:rPr>
        <w:t xml:space="preserve"> </w:t>
      </w:r>
      <w:r w:rsidR="00351D19" w:rsidRPr="00E00401">
        <w:rPr>
          <w:rFonts w:ascii="Arial" w:hAnsi="Arial" w:cs="Arial"/>
          <w:color w:val="000000"/>
          <w:szCs w:val="20"/>
        </w:rPr>
        <w:t>c</w:t>
      </w:r>
      <w:r w:rsidR="00CD64F8" w:rsidRPr="00E00401">
        <w:rPr>
          <w:rFonts w:ascii="Arial" w:hAnsi="Arial" w:cs="Arial"/>
          <w:color w:val="000000"/>
          <w:szCs w:val="20"/>
        </w:rPr>
        <w:t xml:space="preserve">ompares demographics of the sample of LAs </w:t>
      </w:r>
      <w:proofErr w:type="gramStart"/>
      <w:r w:rsidR="00CD64F8" w:rsidRPr="00E00401">
        <w:rPr>
          <w:rFonts w:ascii="Arial" w:hAnsi="Arial" w:cs="Arial"/>
          <w:color w:val="000000"/>
          <w:szCs w:val="20"/>
        </w:rPr>
        <w:t>whose</w:t>
      </w:r>
      <w:proofErr w:type="gramEnd"/>
      <w:r w:rsidR="00CD64F8" w:rsidRPr="00E00401">
        <w:rPr>
          <w:rFonts w:ascii="Arial" w:hAnsi="Arial" w:cs="Arial"/>
          <w:color w:val="000000"/>
          <w:szCs w:val="20"/>
        </w:rPr>
        <w:t xml:space="preserve"> </w:t>
      </w:r>
      <w:proofErr w:type="spellStart"/>
      <w:r w:rsidR="00265762" w:rsidRPr="00E00401">
        <w:rPr>
          <w:rFonts w:ascii="Arial" w:hAnsi="Arial" w:cs="Arial"/>
          <w:color w:val="000000"/>
          <w:szCs w:val="20"/>
        </w:rPr>
        <w:t>DsPH</w:t>
      </w:r>
      <w:proofErr w:type="spellEnd"/>
      <w:r w:rsidR="00CD64F8" w:rsidRPr="00E00401">
        <w:rPr>
          <w:rFonts w:ascii="Arial" w:hAnsi="Arial" w:cs="Arial"/>
          <w:color w:val="000000"/>
          <w:szCs w:val="20"/>
        </w:rPr>
        <w:t xml:space="preserve"> responded to the survey and England. The table </w:t>
      </w:r>
      <w:r w:rsidR="0008006D" w:rsidRPr="00E00401">
        <w:rPr>
          <w:rFonts w:ascii="Arial" w:hAnsi="Arial" w:cs="Arial"/>
          <w:color w:val="000000"/>
          <w:szCs w:val="20"/>
        </w:rPr>
        <w:t xml:space="preserve">indicates that the LAs of the surveyed </w:t>
      </w:r>
      <w:proofErr w:type="spellStart"/>
      <w:r w:rsidR="00265762" w:rsidRPr="00E00401">
        <w:rPr>
          <w:rFonts w:ascii="Arial" w:hAnsi="Arial" w:cs="Arial"/>
          <w:color w:val="000000"/>
          <w:szCs w:val="20"/>
        </w:rPr>
        <w:t>DsPH</w:t>
      </w:r>
      <w:proofErr w:type="spellEnd"/>
      <w:r w:rsidR="0008006D" w:rsidRPr="00E00401">
        <w:rPr>
          <w:rFonts w:ascii="Arial" w:hAnsi="Arial" w:cs="Arial"/>
          <w:color w:val="000000"/>
          <w:szCs w:val="20"/>
        </w:rPr>
        <w:t xml:space="preserve"> were representative of England in terms of IMD (</w:t>
      </w:r>
      <w:r w:rsidR="00CD64F8" w:rsidRPr="00E00401">
        <w:rPr>
          <w:rFonts w:ascii="Arial" w:hAnsi="Arial" w:cs="Arial"/>
          <w:color w:val="000000"/>
          <w:szCs w:val="20"/>
        </w:rPr>
        <w:t xml:space="preserve">23.0 </w:t>
      </w:r>
      <w:r w:rsidR="00141D54" w:rsidRPr="00E00401">
        <w:rPr>
          <w:rFonts w:ascii="Arial" w:hAnsi="Arial" w:cs="Arial"/>
          <w:color w:val="000000"/>
          <w:szCs w:val="20"/>
        </w:rPr>
        <w:t xml:space="preserve">for the survey sample </w:t>
      </w:r>
      <w:r w:rsidR="00CD64F8" w:rsidRPr="00E00401">
        <w:rPr>
          <w:rFonts w:ascii="Arial" w:hAnsi="Arial" w:cs="Arial"/>
          <w:color w:val="000000"/>
          <w:szCs w:val="20"/>
        </w:rPr>
        <w:t>compared to 21.7</w:t>
      </w:r>
      <w:r w:rsidR="00141D54" w:rsidRPr="00E00401">
        <w:rPr>
          <w:rFonts w:ascii="Arial" w:hAnsi="Arial" w:cs="Arial"/>
          <w:color w:val="000000"/>
          <w:szCs w:val="20"/>
        </w:rPr>
        <w:t xml:space="preserve"> for England</w:t>
      </w:r>
      <w:r w:rsidR="0008006D" w:rsidRPr="00E00401">
        <w:rPr>
          <w:rFonts w:ascii="Arial" w:hAnsi="Arial" w:cs="Arial"/>
          <w:color w:val="000000"/>
          <w:szCs w:val="20"/>
        </w:rPr>
        <w:t>) but more populated than En</w:t>
      </w:r>
      <w:r w:rsidR="003C7C57" w:rsidRPr="00E00401">
        <w:rPr>
          <w:rFonts w:ascii="Arial" w:hAnsi="Arial" w:cs="Arial"/>
          <w:color w:val="000000"/>
          <w:szCs w:val="20"/>
        </w:rPr>
        <w:t xml:space="preserve">gland on average, as the </w:t>
      </w:r>
      <w:r w:rsidR="00141D54" w:rsidRPr="00E00401">
        <w:rPr>
          <w:rFonts w:ascii="Arial" w:hAnsi="Arial" w:cs="Arial"/>
          <w:color w:val="000000"/>
          <w:szCs w:val="20"/>
        </w:rPr>
        <w:t xml:space="preserve">average </w:t>
      </w:r>
      <w:r w:rsidR="003C7C57" w:rsidRPr="00E00401">
        <w:rPr>
          <w:rFonts w:ascii="Arial" w:hAnsi="Arial" w:cs="Arial"/>
          <w:color w:val="000000"/>
          <w:szCs w:val="20"/>
        </w:rPr>
        <w:t xml:space="preserve">number of people per square km was </w:t>
      </w:r>
      <w:r w:rsidR="00141D54" w:rsidRPr="00E00401">
        <w:rPr>
          <w:rFonts w:ascii="Arial" w:hAnsi="Arial" w:cs="Arial"/>
          <w:color w:val="000000"/>
          <w:szCs w:val="20"/>
        </w:rPr>
        <w:t>3,</w:t>
      </w:r>
      <w:r w:rsidR="009749EB" w:rsidRPr="00E00401">
        <w:rPr>
          <w:rFonts w:ascii="Arial" w:hAnsi="Arial" w:cs="Arial"/>
          <w:color w:val="000000"/>
          <w:szCs w:val="20"/>
        </w:rPr>
        <w:t>08</w:t>
      </w:r>
      <w:r w:rsidR="00141D54" w:rsidRPr="00E00401">
        <w:rPr>
          <w:rFonts w:ascii="Arial" w:hAnsi="Arial" w:cs="Arial"/>
          <w:color w:val="000000"/>
          <w:szCs w:val="20"/>
        </w:rPr>
        <w:t>2 compared to 432 in England</w:t>
      </w:r>
      <w:r w:rsidR="009749EB" w:rsidRPr="00E00401">
        <w:rPr>
          <w:rFonts w:ascii="Arial" w:hAnsi="Arial" w:cs="Arial"/>
          <w:color w:val="000000"/>
          <w:szCs w:val="20"/>
        </w:rPr>
        <w:t>. Eleven</w:t>
      </w:r>
      <w:r w:rsidR="003C7C57" w:rsidRPr="00E00401">
        <w:rPr>
          <w:rFonts w:ascii="Arial" w:hAnsi="Arial" w:cs="Arial"/>
          <w:color w:val="000000"/>
          <w:szCs w:val="20"/>
        </w:rPr>
        <w:t xml:space="preserve"> of the 51 LAs (</w:t>
      </w:r>
      <w:r w:rsidR="009749EB" w:rsidRPr="00E00401">
        <w:rPr>
          <w:rFonts w:ascii="Arial" w:hAnsi="Arial" w:cs="Arial"/>
          <w:color w:val="000000"/>
          <w:szCs w:val="20"/>
        </w:rPr>
        <w:t>21.6</w:t>
      </w:r>
      <w:r w:rsidR="003C7C57" w:rsidRPr="00E00401">
        <w:rPr>
          <w:rFonts w:ascii="Arial" w:hAnsi="Arial" w:cs="Arial"/>
          <w:color w:val="000000"/>
          <w:szCs w:val="20"/>
        </w:rPr>
        <w:t>%) had population density lower than the national average</w:t>
      </w:r>
      <w:r w:rsidR="0008006D" w:rsidRPr="00E00401">
        <w:rPr>
          <w:rFonts w:ascii="Arial" w:hAnsi="Arial" w:cs="Arial"/>
          <w:color w:val="000000"/>
          <w:szCs w:val="20"/>
        </w:rPr>
        <w:t>.</w:t>
      </w:r>
    </w:p>
    <w:p w14:paraId="1A2A5F78" w14:textId="27808E90" w:rsidR="00E00401" w:rsidRDefault="00E00401" w:rsidP="00E00401">
      <w:pPr>
        <w:pStyle w:val="Caption"/>
      </w:pPr>
      <w:bookmarkStart w:id="1" w:name="_Ref113622084"/>
    </w:p>
    <w:p w14:paraId="09E9F2D9" w14:textId="77777777" w:rsidR="00E00401" w:rsidRPr="00E00401" w:rsidRDefault="00E00401" w:rsidP="00E00401"/>
    <w:p w14:paraId="621ACDD6" w14:textId="06298D05" w:rsidR="00CD64F8" w:rsidRPr="00E00401" w:rsidRDefault="00E00401" w:rsidP="00E00401">
      <w:pPr>
        <w:pStyle w:val="Caption"/>
      </w:pPr>
      <w:bookmarkStart w:id="2" w:name="_Ref126660058"/>
      <w:bookmarkEnd w:id="1"/>
      <w:r w:rsidRPr="00E00401">
        <w:lastRenderedPageBreak/>
        <w:t xml:space="preserve">Table </w:t>
      </w:r>
      <w:r w:rsidR="00C524BE">
        <w:fldChar w:fldCharType="begin"/>
      </w:r>
      <w:r w:rsidR="00C524BE">
        <w:instrText xml:space="preserve"> SEQ Table \* ARABIC </w:instrText>
      </w:r>
      <w:r w:rsidR="00C524BE">
        <w:fldChar w:fldCharType="separate"/>
      </w:r>
      <w:r w:rsidRPr="00E00401">
        <w:rPr>
          <w:noProof/>
        </w:rPr>
        <w:t>1</w:t>
      </w:r>
      <w:r w:rsidR="00C524BE">
        <w:rPr>
          <w:noProof/>
        </w:rPr>
        <w:fldChar w:fldCharType="end"/>
      </w:r>
      <w:bookmarkEnd w:id="2"/>
      <w:r w:rsidRPr="00E00401">
        <w:t xml:space="preserve">. </w:t>
      </w:r>
      <w:r w:rsidR="00CD64F8" w:rsidRPr="00E00401">
        <w:t>Demographics of the sample of LAs in the survey and the population (England)</w:t>
      </w:r>
      <w:r w:rsidR="00141D54" w:rsidRPr="00E00401">
        <w:t>.</w:t>
      </w:r>
    </w:p>
    <w:tbl>
      <w:tblPr>
        <w:tblStyle w:val="TableGrid"/>
        <w:tblW w:w="9007" w:type="dxa"/>
        <w:tblLayout w:type="fixed"/>
        <w:tblLook w:val="04A0" w:firstRow="1" w:lastRow="0" w:firstColumn="1" w:lastColumn="0" w:noHBand="0" w:noVBand="1"/>
      </w:tblPr>
      <w:tblGrid>
        <w:gridCol w:w="4106"/>
        <w:gridCol w:w="1701"/>
        <w:gridCol w:w="1701"/>
        <w:gridCol w:w="1499"/>
      </w:tblGrid>
      <w:tr w:rsidR="00CD64F8" w:rsidRPr="00E00401" w14:paraId="635612CF" w14:textId="77777777" w:rsidTr="00E00401">
        <w:trPr>
          <w:trHeight w:val="961"/>
        </w:trPr>
        <w:tc>
          <w:tcPr>
            <w:tcW w:w="4106" w:type="dxa"/>
            <w:noWrap/>
            <w:vAlign w:val="center"/>
            <w:hideMark/>
          </w:tcPr>
          <w:p w14:paraId="39577178" w14:textId="77777777" w:rsidR="00CD64F8" w:rsidRPr="00E00401" w:rsidRDefault="00CD64F8" w:rsidP="00E00401">
            <w:pPr>
              <w:spacing w:line="240" w:lineRule="auto"/>
              <w:rPr>
                <w:rFonts w:ascii="Arial" w:eastAsia="Times New Roman" w:hAnsi="Arial" w:cs="Arial"/>
                <w:sz w:val="24"/>
                <w:szCs w:val="24"/>
                <w:lang w:eastAsia="en-GB"/>
              </w:rPr>
            </w:pPr>
          </w:p>
        </w:tc>
        <w:tc>
          <w:tcPr>
            <w:tcW w:w="1701" w:type="dxa"/>
            <w:noWrap/>
            <w:vAlign w:val="center"/>
            <w:hideMark/>
          </w:tcPr>
          <w:p w14:paraId="6AA8E38E" w14:textId="77777777" w:rsidR="00CD64F8" w:rsidRPr="00E00401" w:rsidRDefault="00CD64F8" w:rsidP="00E00401">
            <w:pPr>
              <w:spacing w:line="240" w:lineRule="auto"/>
              <w:jc w:val="center"/>
              <w:rPr>
                <w:rFonts w:ascii="Arial" w:eastAsia="Times New Roman" w:hAnsi="Arial" w:cs="Arial"/>
                <w:b/>
                <w:color w:val="000000"/>
                <w:lang w:eastAsia="en-GB"/>
              </w:rPr>
            </w:pPr>
            <w:r w:rsidRPr="00E00401">
              <w:rPr>
                <w:rFonts w:ascii="Arial" w:eastAsia="Times New Roman" w:hAnsi="Arial" w:cs="Arial"/>
                <w:b/>
                <w:color w:val="000000"/>
                <w:lang w:eastAsia="en-GB"/>
              </w:rPr>
              <w:t>Survey – full sample</w:t>
            </w:r>
          </w:p>
        </w:tc>
        <w:tc>
          <w:tcPr>
            <w:tcW w:w="1701" w:type="dxa"/>
            <w:noWrap/>
            <w:vAlign w:val="center"/>
            <w:hideMark/>
          </w:tcPr>
          <w:p w14:paraId="6C2EAC0E" w14:textId="77777777" w:rsidR="00CD64F8" w:rsidRPr="00E00401" w:rsidRDefault="00CD64F8" w:rsidP="00E00401">
            <w:pPr>
              <w:spacing w:line="240" w:lineRule="auto"/>
              <w:jc w:val="center"/>
              <w:rPr>
                <w:rFonts w:ascii="Arial" w:eastAsia="Times New Roman" w:hAnsi="Arial" w:cs="Arial"/>
                <w:b/>
                <w:color w:val="000000"/>
                <w:lang w:eastAsia="en-GB"/>
              </w:rPr>
            </w:pPr>
            <w:r w:rsidRPr="00E00401">
              <w:rPr>
                <w:rFonts w:ascii="Arial" w:eastAsia="Times New Roman" w:hAnsi="Arial" w:cs="Arial"/>
                <w:b/>
                <w:color w:val="000000"/>
                <w:lang w:eastAsia="en-GB"/>
              </w:rPr>
              <w:t>Survey - disclosed LAs</w:t>
            </w:r>
          </w:p>
        </w:tc>
        <w:tc>
          <w:tcPr>
            <w:tcW w:w="1499" w:type="dxa"/>
            <w:noWrap/>
            <w:vAlign w:val="center"/>
            <w:hideMark/>
          </w:tcPr>
          <w:p w14:paraId="558B7D63" w14:textId="77777777" w:rsidR="00CD64F8" w:rsidRPr="00E00401" w:rsidRDefault="00CD64F8" w:rsidP="00E00401">
            <w:pPr>
              <w:spacing w:line="240" w:lineRule="auto"/>
              <w:jc w:val="center"/>
              <w:rPr>
                <w:rFonts w:ascii="Arial" w:eastAsia="Times New Roman" w:hAnsi="Arial" w:cs="Arial"/>
                <w:b/>
                <w:color w:val="000000"/>
                <w:lang w:eastAsia="en-GB"/>
              </w:rPr>
            </w:pPr>
            <w:r w:rsidRPr="00E00401">
              <w:rPr>
                <w:rFonts w:ascii="Arial" w:eastAsia="Times New Roman" w:hAnsi="Arial" w:cs="Arial"/>
                <w:b/>
                <w:color w:val="000000"/>
                <w:lang w:eastAsia="en-GB"/>
              </w:rPr>
              <w:t>England</w:t>
            </w:r>
          </w:p>
        </w:tc>
      </w:tr>
      <w:tr w:rsidR="00CD64F8" w:rsidRPr="00E00401" w14:paraId="597F8219" w14:textId="77777777" w:rsidTr="00E00401">
        <w:trPr>
          <w:trHeight w:val="847"/>
        </w:trPr>
        <w:tc>
          <w:tcPr>
            <w:tcW w:w="4106" w:type="dxa"/>
            <w:noWrap/>
            <w:vAlign w:val="center"/>
            <w:hideMark/>
          </w:tcPr>
          <w:p w14:paraId="781C72DA" w14:textId="77777777" w:rsidR="00CD64F8" w:rsidRPr="00E00401" w:rsidRDefault="00CD64F8"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Number of LAs</w:t>
            </w:r>
          </w:p>
          <w:p w14:paraId="766F055C" w14:textId="77777777" w:rsidR="00CD64F8" w:rsidRPr="00E00401" w:rsidRDefault="00CD64F8"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 of all LAs in England)</w:t>
            </w:r>
          </w:p>
        </w:tc>
        <w:tc>
          <w:tcPr>
            <w:tcW w:w="1701" w:type="dxa"/>
            <w:noWrap/>
            <w:vAlign w:val="center"/>
            <w:hideMark/>
          </w:tcPr>
          <w:p w14:paraId="1C2D977B"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58 (43%)</w:t>
            </w:r>
          </w:p>
        </w:tc>
        <w:tc>
          <w:tcPr>
            <w:tcW w:w="1701" w:type="dxa"/>
            <w:noWrap/>
            <w:vAlign w:val="center"/>
            <w:hideMark/>
          </w:tcPr>
          <w:p w14:paraId="1C19034E"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51 (38%)</w:t>
            </w:r>
          </w:p>
        </w:tc>
        <w:tc>
          <w:tcPr>
            <w:tcW w:w="1499" w:type="dxa"/>
            <w:noWrap/>
            <w:vAlign w:val="center"/>
            <w:hideMark/>
          </w:tcPr>
          <w:p w14:paraId="06A094F7"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135 (100%)</w:t>
            </w:r>
          </w:p>
        </w:tc>
      </w:tr>
      <w:tr w:rsidR="00CD64F8" w:rsidRPr="00E00401" w14:paraId="775F2EA1" w14:textId="77777777" w:rsidTr="00E00401">
        <w:trPr>
          <w:trHeight w:val="972"/>
        </w:trPr>
        <w:tc>
          <w:tcPr>
            <w:tcW w:w="4106" w:type="dxa"/>
            <w:noWrap/>
            <w:vAlign w:val="center"/>
            <w:hideMark/>
          </w:tcPr>
          <w:p w14:paraId="0BAEE608" w14:textId="77777777" w:rsidR="00CD64F8" w:rsidRPr="00E00401" w:rsidRDefault="00CD64F8"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Total population</w:t>
            </w:r>
          </w:p>
          <w:p w14:paraId="4FBB786D" w14:textId="77777777" w:rsidR="00CD64F8" w:rsidRPr="00E00401" w:rsidRDefault="00CD64F8"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 of total population in England)</w:t>
            </w:r>
          </w:p>
        </w:tc>
        <w:tc>
          <w:tcPr>
            <w:tcW w:w="1701" w:type="dxa"/>
            <w:noWrap/>
            <w:vAlign w:val="center"/>
            <w:hideMark/>
          </w:tcPr>
          <w:p w14:paraId="6607DE4A"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Unknown</w:t>
            </w:r>
          </w:p>
        </w:tc>
        <w:tc>
          <w:tcPr>
            <w:tcW w:w="1701" w:type="dxa"/>
            <w:noWrap/>
            <w:vAlign w:val="center"/>
            <w:hideMark/>
          </w:tcPr>
          <w:p w14:paraId="56E79DEA"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22,724,000 (43%)</w:t>
            </w:r>
          </w:p>
        </w:tc>
        <w:tc>
          <w:tcPr>
            <w:tcW w:w="1499" w:type="dxa"/>
            <w:noWrap/>
            <w:vAlign w:val="center"/>
            <w:hideMark/>
          </w:tcPr>
          <w:p w14:paraId="0EA1FC78"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53,012,456 (100%)</w:t>
            </w:r>
          </w:p>
        </w:tc>
      </w:tr>
      <w:tr w:rsidR="00CD64F8" w:rsidRPr="00E00401" w14:paraId="6D06B33B" w14:textId="77777777" w:rsidTr="00E00401">
        <w:trPr>
          <w:trHeight w:val="983"/>
        </w:trPr>
        <w:tc>
          <w:tcPr>
            <w:tcW w:w="4106" w:type="dxa"/>
            <w:noWrap/>
            <w:vAlign w:val="center"/>
            <w:hideMark/>
          </w:tcPr>
          <w:p w14:paraId="198CC8AF" w14:textId="77777777" w:rsidR="00CD64F8" w:rsidRPr="00E00401" w:rsidRDefault="00CD64F8"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Average IMD score</w:t>
            </w:r>
          </w:p>
        </w:tc>
        <w:tc>
          <w:tcPr>
            <w:tcW w:w="1701" w:type="dxa"/>
            <w:noWrap/>
            <w:vAlign w:val="center"/>
            <w:hideMark/>
          </w:tcPr>
          <w:p w14:paraId="48FB8E28"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Unknown</w:t>
            </w:r>
          </w:p>
        </w:tc>
        <w:tc>
          <w:tcPr>
            <w:tcW w:w="1701" w:type="dxa"/>
            <w:noWrap/>
            <w:vAlign w:val="center"/>
            <w:hideMark/>
          </w:tcPr>
          <w:p w14:paraId="7589714A"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Mean: 23.0</w:t>
            </w:r>
          </w:p>
          <w:p w14:paraId="34CC1F24"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Range: 10.2 to 42.4</w:t>
            </w:r>
          </w:p>
        </w:tc>
        <w:tc>
          <w:tcPr>
            <w:tcW w:w="1499" w:type="dxa"/>
            <w:noWrap/>
            <w:vAlign w:val="center"/>
            <w:hideMark/>
          </w:tcPr>
          <w:p w14:paraId="15D37A47" w14:textId="77777777" w:rsidR="00CD64F8" w:rsidRPr="00E00401" w:rsidRDefault="00CD64F8"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21.7</w:t>
            </w:r>
          </w:p>
        </w:tc>
      </w:tr>
      <w:tr w:rsidR="003C7C57" w:rsidRPr="00E00401" w14:paraId="632868A4" w14:textId="77777777" w:rsidTr="00E00401">
        <w:trPr>
          <w:trHeight w:val="999"/>
        </w:trPr>
        <w:tc>
          <w:tcPr>
            <w:tcW w:w="4106" w:type="dxa"/>
            <w:noWrap/>
            <w:vAlign w:val="center"/>
          </w:tcPr>
          <w:p w14:paraId="3516DC8A" w14:textId="77777777" w:rsidR="003C7C57" w:rsidRPr="00E00401" w:rsidRDefault="003C7C57"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Proportion of LAs with lower IMD scores than the national average</w:t>
            </w:r>
            <w:r w:rsidR="00A90996" w:rsidRPr="00E00401">
              <w:rPr>
                <w:rFonts w:ascii="Arial" w:eastAsia="Times New Roman" w:hAnsi="Arial" w:cs="Arial"/>
                <w:color w:val="000000"/>
                <w:lang w:eastAsia="en-GB"/>
              </w:rPr>
              <w:t xml:space="preserve"> (%)</w:t>
            </w:r>
          </w:p>
        </w:tc>
        <w:tc>
          <w:tcPr>
            <w:tcW w:w="1701" w:type="dxa"/>
            <w:noWrap/>
            <w:vAlign w:val="center"/>
          </w:tcPr>
          <w:p w14:paraId="49176895" w14:textId="77777777" w:rsidR="003C7C57" w:rsidRPr="00E00401" w:rsidRDefault="003C7C57"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Unknown</w:t>
            </w:r>
          </w:p>
        </w:tc>
        <w:tc>
          <w:tcPr>
            <w:tcW w:w="1701" w:type="dxa"/>
            <w:noWrap/>
            <w:vAlign w:val="center"/>
          </w:tcPr>
          <w:p w14:paraId="2213FCCA" w14:textId="77777777" w:rsidR="003C7C57" w:rsidRPr="00E00401" w:rsidRDefault="003C7C57"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25 (49.0%)</w:t>
            </w:r>
          </w:p>
        </w:tc>
        <w:tc>
          <w:tcPr>
            <w:tcW w:w="1499" w:type="dxa"/>
            <w:noWrap/>
            <w:vAlign w:val="center"/>
          </w:tcPr>
          <w:p w14:paraId="73D590FE" w14:textId="77777777" w:rsidR="003C7C57" w:rsidRPr="00E00401" w:rsidRDefault="00A90996"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194 (61.8%)</w:t>
            </w:r>
          </w:p>
        </w:tc>
      </w:tr>
      <w:tr w:rsidR="003C7C57" w:rsidRPr="00E00401" w14:paraId="2EB25E09" w14:textId="77777777" w:rsidTr="00E00401">
        <w:trPr>
          <w:trHeight w:val="971"/>
        </w:trPr>
        <w:tc>
          <w:tcPr>
            <w:tcW w:w="4106" w:type="dxa"/>
            <w:noWrap/>
            <w:vAlign w:val="center"/>
            <w:hideMark/>
          </w:tcPr>
          <w:p w14:paraId="20434BE6" w14:textId="77777777" w:rsidR="003C7C57" w:rsidRPr="00E00401" w:rsidRDefault="003C7C57"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Population density</w:t>
            </w:r>
          </w:p>
          <w:p w14:paraId="50C374BF" w14:textId="77777777" w:rsidR="003C7C57" w:rsidRPr="00E00401" w:rsidRDefault="003C7C57"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(people per sq. km)</w:t>
            </w:r>
          </w:p>
        </w:tc>
        <w:tc>
          <w:tcPr>
            <w:tcW w:w="1701" w:type="dxa"/>
            <w:noWrap/>
            <w:vAlign w:val="center"/>
            <w:hideMark/>
          </w:tcPr>
          <w:p w14:paraId="75629415" w14:textId="77777777" w:rsidR="003C7C57" w:rsidRPr="00E00401" w:rsidRDefault="003C7C57"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Unknown</w:t>
            </w:r>
          </w:p>
        </w:tc>
        <w:tc>
          <w:tcPr>
            <w:tcW w:w="1701" w:type="dxa"/>
            <w:noWrap/>
            <w:vAlign w:val="center"/>
            <w:hideMark/>
          </w:tcPr>
          <w:p w14:paraId="61D7DB85" w14:textId="77777777" w:rsidR="003C7C57" w:rsidRPr="00E00401" w:rsidRDefault="003C7C57"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Mean: 3,</w:t>
            </w:r>
            <w:r w:rsidR="00A90996" w:rsidRPr="00E00401">
              <w:rPr>
                <w:rFonts w:ascii="Arial" w:eastAsia="Times New Roman" w:hAnsi="Arial" w:cs="Arial"/>
                <w:color w:val="000000"/>
                <w:lang w:eastAsia="en-GB"/>
              </w:rPr>
              <w:t>082</w:t>
            </w:r>
          </w:p>
          <w:p w14:paraId="310D5AC1" w14:textId="77777777" w:rsidR="003C7C57" w:rsidRPr="00E00401" w:rsidRDefault="003C7C57"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Range: 64 to 16,427</w:t>
            </w:r>
          </w:p>
        </w:tc>
        <w:tc>
          <w:tcPr>
            <w:tcW w:w="1499" w:type="dxa"/>
            <w:noWrap/>
            <w:vAlign w:val="center"/>
            <w:hideMark/>
          </w:tcPr>
          <w:p w14:paraId="685F64FE" w14:textId="77777777" w:rsidR="003C7C57" w:rsidRPr="00E00401" w:rsidRDefault="003C7C57"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432</w:t>
            </w:r>
          </w:p>
        </w:tc>
      </w:tr>
      <w:tr w:rsidR="003C7C57" w:rsidRPr="00E00401" w14:paraId="0CDE2380" w14:textId="77777777" w:rsidTr="00E00401">
        <w:trPr>
          <w:trHeight w:val="986"/>
        </w:trPr>
        <w:tc>
          <w:tcPr>
            <w:tcW w:w="4106" w:type="dxa"/>
            <w:noWrap/>
            <w:vAlign w:val="center"/>
          </w:tcPr>
          <w:p w14:paraId="0BCE391E" w14:textId="77777777" w:rsidR="003C7C57" w:rsidRPr="00E00401" w:rsidRDefault="003C7C57" w:rsidP="00E00401">
            <w:pPr>
              <w:spacing w:line="240" w:lineRule="auto"/>
              <w:rPr>
                <w:rFonts w:ascii="Arial" w:eastAsia="Times New Roman" w:hAnsi="Arial" w:cs="Arial"/>
                <w:color w:val="000000"/>
                <w:lang w:eastAsia="en-GB"/>
              </w:rPr>
            </w:pPr>
            <w:r w:rsidRPr="00E00401">
              <w:rPr>
                <w:rFonts w:ascii="Arial" w:eastAsia="Times New Roman" w:hAnsi="Arial" w:cs="Arial"/>
                <w:color w:val="000000"/>
                <w:lang w:eastAsia="en-GB"/>
              </w:rPr>
              <w:t>Number of LAs with lower population density than the national average (%)</w:t>
            </w:r>
          </w:p>
        </w:tc>
        <w:tc>
          <w:tcPr>
            <w:tcW w:w="1701" w:type="dxa"/>
            <w:noWrap/>
            <w:vAlign w:val="center"/>
          </w:tcPr>
          <w:p w14:paraId="0171F012" w14:textId="77777777" w:rsidR="003C7C57" w:rsidRPr="00E00401" w:rsidRDefault="003C7C57"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Unknown</w:t>
            </w:r>
          </w:p>
        </w:tc>
        <w:tc>
          <w:tcPr>
            <w:tcW w:w="1701" w:type="dxa"/>
            <w:noWrap/>
            <w:vAlign w:val="center"/>
          </w:tcPr>
          <w:p w14:paraId="0B13908C" w14:textId="77777777" w:rsidR="003C7C57" w:rsidRPr="00E00401" w:rsidRDefault="00A90996"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11</w:t>
            </w:r>
            <w:r w:rsidR="003C7C57" w:rsidRPr="00E00401">
              <w:rPr>
                <w:rFonts w:ascii="Arial" w:eastAsia="Times New Roman" w:hAnsi="Arial" w:cs="Arial"/>
                <w:color w:val="000000"/>
                <w:lang w:eastAsia="en-GB"/>
              </w:rPr>
              <w:t xml:space="preserve"> (</w:t>
            </w:r>
            <w:r w:rsidRPr="00E00401">
              <w:rPr>
                <w:rFonts w:ascii="Arial" w:eastAsia="Times New Roman" w:hAnsi="Arial" w:cs="Arial"/>
                <w:color w:val="000000"/>
                <w:lang w:eastAsia="en-GB"/>
              </w:rPr>
              <w:t>21.6</w:t>
            </w:r>
            <w:r w:rsidR="003C7C57" w:rsidRPr="00E00401">
              <w:rPr>
                <w:rFonts w:ascii="Arial" w:eastAsia="Times New Roman" w:hAnsi="Arial" w:cs="Arial"/>
                <w:color w:val="000000"/>
                <w:lang w:eastAsia="en-GB"/>
              </w:rPr>
              <w:t>%)</w:t>
            </w:r>
          </w:p>
        </w:tc>
        <w:tc>
          <w:tcPr>
            <w:tcW w:w="1499" w:type="dxa"/>
            <w:noWrap/>
            <w:vAlign w:val="center"/>
          </w:tcPr>
          <w:p w14:paraId="089D1292" w14:textId="77777777" w:rsidR="003C7C57" w:rsidRPr="00E00401" w:rsidRDefault="00F07F35" w:rsidP="00E00401">
            <w:pPr>
              <w:spacing w:line="240" w:lineRule="auto"/>
              <w:jc w:val="center"/>
              <w:rPr>
                <w:rFonts w:ascii="Arial" w:eastAsia="Times New Roman" w:hAnsi="Arial" w:cs="Arial"/>
                <w:color w:val="000000"/>
                <w:lang w:eastAsia="en-GB"/>
              </w:rPr>
            </w:pPr>
            <w:r w:rsidRPr="00E00401">
              <w:rPr>
                <w:rFonts w:ascii="Arial" w:eastAsia="Times New Roman" w:hAnsi="Arial" w:cs="Arial"/>
                <w:color w:val="000000"/>
                <w:lang w:eastAsia="en-GB"/>
              </w:rPr>
              <w:t>121</w:t>
            </w:r>
            <w:r w:rsidR="00A90996" w:rsidRPr="00E00401">
              <w:rPr>
                <w:rFonts w:ascii="Arial" w:eastAsia="Times New Roman" w:hAnsi="Arial" w:cs="Arial"/>
                <w:color w:val="000000"/>
                <w:lang w:eastAsia="en-GB"/>
              </w:rPr>
              <w:t xml:space="preserve"> (38.5%)</w:t>
            </w:r>
          </w:p>
        </w:tc>
      </w:tr>
    </w:tbl>
    <w:p w14:paraId="11039D80" w14:textId="6CDE560E" w:rsidR="003814D1" w:rsidRPr="00E00401" w:rsidRDefault="00787E3B" w:rsidP="00E00401">
      <w:pPr>
        <w:spacing w:before="120" w:after="120" w:line="240" w:lineRule="auto"/>
        <w:jc w:val="both"/>
        <w:rPr>
          <w:rFonts w:ascii="Arial" w:hAnsi="Arial" w:cs="Arial"/>
          <w:color w:val="000000"/>
          <w:szCs w:val="20"/>
        </w:rPr>
      </w:pPr>
      <w:r w:rsidRPr="00E00401">
        <w:rPr>
          <w:rFonts w:ascii="Arial" w:hAnsi="Arial" w:cs="Arial"/>
          <w:color w:val="000000"/>
          <w:szCs w:val="20"/>
        </w:rPr>
        <w:t>Overall, IMD and population density were not correlated in the sample who reported their LA (Pearson correlation coefficient 0.21).</w:t>
      </w:r>
      <w:r w:rsidR="003814D1" w:rsidRPr="00E00401">
        <w:rPr>
          <w:rFonts w:ascii="Arial" w:hAnsi="Arial" w:cs="Arial"/>
          <w:color w:val="000000"/>
          <w:szCs w:val="20"/>
        </w:rPr>
        <w:t xml:space="preserve"> The distribution of the two characteristics is shown in </w:t>
      </w:r>
      <w:r w:rsidR="00B04805" w:rsidRPr="00E00401">
        <w:rPr>
          <w:rFonts w:ascii="Arial" w:hAnsi="Arial" w:cs="Arial"/>
          <w:color w:val="000000"/>
          <w:szCs w:val="20"/>
        </w:rPr>
        <w:fldChar w:fldCharType="begin"/>
      </w:r>
      <w:r w:rsidR="00B04805" w:rsidRPr="00E00401">
        <w:rPr>
          <w:rFonts w:ascii="Arial" w:hAnsi="Arial" w:cs="Arial"/>
          <w:color w:val="000000"/>
          <w:szCs w:val="20"/>
        </w:rPr>
        <w:instrText xml:space="preserve"> REF _Ref115705251 \h </w:instrText>
      </w:r>
      <w:r w:rsidR="00E00401">
        <w:rPr>
          <w:rFonts w:ascii="Arial" w:hAnsi="Arial" w:cs="Arial"/>
          <w:color w:val="000000"/>
          <w:szCs w:val="20"/>
        </w:rPr>
        <w:instrText xml:space="preserve"> \* MERGEFORMAT </w:instrText>
      </w:r>
      <w:r w:rsidR="00B04805" w:rsidRPr="00E00401">
        <w:rPr>
          <w:rFonts w:ascii="Arial" w:hAnsi="Arial" w:cs="Arial"/>
          <w:color w:val="000000"/>
          <w:szCs w:val="20"/>
        </w:rPr>
      </w:r>
      <w:r w:rsidR="00B04805" w:rsidRPr="00E00401">
        <w:rPr>
          <w:rFonts w:ascii="Arial" w:hAnsi="Arial" w:cs="Arial"/>
          <w:color w:val="000000"/>
          <w:szCs w:val="20"/>
        </w:rPr>
        <w:fldChar w:fldCharType="separate"/>
      </w:r>
      <w:r w:rsidR="00B04805" w:rsidRPr="00E00401">
        <w:rPr>
          <w:rFonts w:ascii="Arial" w:hAnsi="Arial" w:cs="Arial"/>
          <w:color w:val="000000"/>
          <w:szCs w:val="20"/>
        </w:rPr>
        <w:t>Figure 1</w:t>
      </w:r>
      <w:r w:rsidR="00B04805" w:rsidRPr="00E00401">
        <w:rPr>
          <w:rFonts w:ascii="Arial" w:hAnsi="Arial" w:cs="Arial"/>
          <w:color w:val="000000"/>
          <w:szCs w:val="20"/>
        </w:rPr>
        <w:fldChar w:fldCharType="end"/>
      </w:r>
      <w:r w:rsidR="00B04805" w:rsidRPr="00E00401">
        <w:rPr>
          <w:rFonts w:ascii="Arial" w:hAnsi="Arial" w:cs="Arial"/>
          <w:color w:val="000000"/>
          <w:szCs w:val="20"/>
        </w:rPr>
        <w:t>.</w:t>
      </w:r>
      <w:r w:rsidR="008D535D" w:rsidRPr="00E00401">
        <w:rPr>
          <w:rFonts w:ascii="Arial" w:hAnsi="Arial" w:cs="Arial"/>
          <w:color w:val="000000"/>
          <w:szCs w:val="20"/>
        </w:rPr>
        <w:t xml:space="preserve"> The figure suggests </w:t>
      </w:r>
      <w:r w:rsidR="00AD4031" w:rsidRPr="00E00401">
        <w:rPr>
          <w:rFonts w:ascii="Arial" w:hAnsi="Arial" w:cs="Arial"/>
          <w:color w:val="000000"/>
          <w:szCs w:val="20"/>
        </w:rPr>
        <w:t>a weak positive</w:t>
      </w:r>
      <w:r w:rsidR="008D535D" w:rsidRPr="00E00401">
        <w:rPr>
          <w:rFonts w:ascii="Arial" w:hAnsi="Arial" w:cs="Arial"/>
          <w:color w:val="000000"/>
          <w:szCs w:val="20"/>
        </w:rPr>
        <w:t xml:space="preserve"> correlation between IMD scores and population density, </w:t>
      </w:r>
      <w:r w:rsidR="00AD4031" w:rsidRPr="00E00401">
        <w:rPr>
          <w:rFonts w:ascii="Arial" w:hAnsi="Arial" w:cs="Arial"/>
          <w:color w:val="000000"/>
          <w:szCs w:val="20"/>
        </w:rPr>
        <w:t>with few LAs that have</w:t>
      </w:r>
      <w:r w:rsidR="008D535D" w:rsidRPr="00E00401">
        <w:rPr>
          <w:rFonts w:ascii="Arial" w:hAnsi="Arial" w:cs="Arial"/>
          <w:color w:val="000000"/>
          <w:szCs w:val="20"/>
        </w:rPr>
        <w:t xml:space="preserve"> low population density and high IMD score</w:t>
      </w:r>
      <w:r w:rsidR="00AD4031" w:rsidRPr="00E00401">
        <w:rPr>
          <w:rFonts w:ascii="Arial" w:hAnsi="Arial" w:cs="Arial"/>
          <w:color w:val="000000"/>
          <w:szCs w:val="20"/>
        </w:rPr>
        <w:t xml:space="preserve"> (deprived rural areas)</w:t>
      </w:r>
      <w:r w:rsidR="008D535D" w:rsidRPr="00E00401">
        <w:rPr>
          <w:rFonts w:ascii="Arial" w:hAnsi="Arial" w:cs="Arial"/>
          <w:color w:val="000000"/>
          <w:szCs w:val="20"/>
        </w:rPr>
        <w:t>.</w:t>
      </w:r>
    </w:p>
    <w:p w14:paraId="26EF6682" w14:textId="77777777" w:rsidR="00E00401" w:rsidRDefault="00E00401">
      <w:pPr>
        <w:spacing w:line="259" w:lineRule="auto"/>
        <w:rPr>
          <w:rFonts w:ascii="Arial" w:hAnsi="Arial" w:cs="Arial"/>
          <w:b/>
          <w:bCs/>
          <w:color w:val="44546A" w:themeColor="text2"/>
          <w:sz w:val="21"/>
          <w:szCs w:val="16"/>
        </w:rPr>
      </w:pPr>
      <w:bookmarkStart w:id="3" w:name="_Ref115705251"/>
      <w:r>
        <w:br w:type="page"/>
      </w:r>
    </w:p>
    <w:p w14:paraId="5AEBAAD7" w14:textId="272DE679" w:rsidR="003814D1" w:rsidRDefault="003814D1" w:rsidP="00E00401">
      <w:pPr>
        <w:pStyle w:val="Caption"/>
      </w:pPr>
      <w:r>
        <w:lastRenderedPageBreak/>
        <w:t xml:space="preserve">Figure </w:t>
      </w:r>
      <w:r w:rsidR="00C524BE">
        <w:fldChar w:fldCharType="begin"/>
      </w:r>
      <w:r w:rsidR="00C524BE">
        <w:instrText xml:space="preserve"> SEQ Figure \* ARABIC </w:instrText>
      </w:r>
      <w:r w:rsidR="00C524BE">
        <w:fldChar w:fldCharType="separate"/>
      </w:r>
      <w:r>
        <w:rPr>
          <w:noProof/>
        </w:rPr>
        <w:t>1</w:t>
      </w:r>
      <w:r w:rsidR="00C524BE">
        <w:rPr>
          <w:noProof/>
        </w:rPr>
        <w:fldChar w:fldCharType="end"/>
      </w:r>
      <w:bookmarkEnd w:id="3"/>
      <w:r>
        <w:t xml:space="preserve">. IMD and population density </w:t>
      </w:r>
      <w:r w:rsidR="00B04805">
        <w:t>for responders who reported their LA in the survey.</w:t>
      </w:r>
      <w:r>
        <w:t xml:space="preserve"> </w:t>
      </w:r>
    </w:p>
    <w:p w14:paraId="316307ED" w14:textId="4408647B" w:rsidR="003814D1" w:rsidRDefault="003814D1" w:rsidP="0008006D">
      <w:r>
        <w:rPr>
          <w:noProof/>
          <w:lang w:eastAsia="en-GB"/>
        </w:rPr>
        <w:drawing>
          <wp:inline distT="0" distB="0" distL="0" distR="0" wp14:anchorId="43F73BFB" wp14:editId="6CCC1B43">
            <wp:extent cx="5606980" cy="3012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d_vs_pop_density.jpeg"/>
                    <pic:cNvPicPr/>
                  </pic:nvPicPr>
                  <pic:blipFill>
                    <a:blip r:embed="rId6">
                      <a:extLst>
                        <a:ext uri="{28A0092B-C50C-407E-A947-70E740481C1C}">
                          <a14:useLocalDpi xmlns:a14="http://schemas.microsoft.com/office/drawing/2010/main" val="0"/>
                        </a:ext>
                      </a:extLst>
                    </a:blip>
                    <a:stretch>
                      <a:fillRect/>
                    </a:stretch>
                  </pic:blipFill>
                  <pic:spPr>
                    <a:xfrm>
                      <a:off x="0" y="0"/>
                      <a:ext cx="5641360" cy="3030911"/>
                    </a:xfrm>
                    <a:prstGeom prst="rect">
                      <a:avLst/>
                    </a:prstGeom>
                  </pic:spPr>
                </pic:pic>
              </a:graphicData>
            </a:graphic>
          </wp:inline>
        </w:drawing>
      </w:r>
    </w:p>
    <w:p w14:paraId="544E7683" w14:textId="4DC783DD" w:rsidR="0088182F" w:rsidRPr="00E00401" w:rsidRDefault="0088182F" w:rsidP="00E00401">
      <w:pPr>
        <w:pStyle w:val="Heading2"/>
        <w:spacing w:after="120" w:line="240" w:lineRule="auto"/>
        <w:rPr>
          <w:rFonts w:ascii="Arial" w:hAnsi="Arial" w:cs="Arial"/>
          <w:b w:val="0"/>
          <w:i/>
          <w:iCs/>
          <w:color w:val="2E74B5" w:themeColor="accent1" w:themeShade="BF"/>
          <w:sz w:val="22"/>
          <w:szCs w:val="22"/>
        </w:rPr>
      </w:pPr>
      <w:r w:rsidRPr="00E00401">
        <w:rPr>
          <w:rFonts w:ascii="Arial" w:hAnsi="Arial" w:cs="Arial"/>
          <w:b w:val="0"/>
          <w:i/>
          <w:iCs/>
          <w:color w:val="2E74B5" w:themeColor="accent1" w:themeShade="BF"/>
          <w:sz w:val="22"/>
          <w:szCs w:val="22"/>
        </w:rPr>
        <w:t>Summary of results</w:t>
      </w:r>
    </w:p>
    <w:p w14:paraId="7A1A993C" w14:textId="08A1684E" w:rsidR="0088182F" w:rsidRPr="00E00401" w:rsidRDefault="00487949" w:rsidP="00E00401">
      <w:pPr>
        <w:spacing w:before="120" w:after="120" w:line="240" w:lineRule="auto"/>
        <w:jc w:val="both"/>
        <w:rPr>
          <w:rFonts w:ascii="Arial" w:hAnsi="Arial" w:cs="Arial"/>
          <w:color w:val="000000"/>
          <w:szCs w:val="20"/>
        </w:rPr>
      </w:pPr>
      <w:r w:rsidRPr="00E00401">
        <w:rPr>
          <w:rFonts w:ascii="Arial" w:hAnsi="Arial" w:cs="Arial"/>
          <w:color w:val="000000"/>
          <w:szCs w:val="20"/>
        </w:rPr>
        <w:t xml:space="preserve">The research priorities of </w:t>
      </w:r>
      <w:proofErr w:type="spellStart"/>
      <w:r w:rsidRPr="00E00401">
        <w:rPr>
          <w:rFonts w:ascii="Arial" w:hAnsi="Arial" w:cs="Arial"/>
          <w:color w:val="000000"/>
          <w:szCs w:val="20"/>
        </w:rPr>
        <w:t>DsPHs</w:t>
      </w:r>
      <w:proofErr w:type="spellEnd"/>
      <w:r w:rsidRPr="00E00401">
        <w:rPr>
          <w:rFonts w:ascii="Arial" w:hAnsi="Arial" w:cs="Arial"/>
          <w:color w:val="000000"/>
          <w:szCs w:val="20"/>
        </w:rPr>
        <w:t xml:space="preserve"> are summarised in </w:t>
      </w:r>
      <w:r w:rsidRPr="00E00401">
        <w:rPr>
          <w:rFonts w:ascii="Arial" w:hAnsi="Arial" w:cs="Arial"/>
          <w:color w:val="000000"/>
          <w:szCs w:val="20"/>
        </w:rPr>
        <w:fldChar w:fldCharType="begin"/>
      </w:r>
      <w:r w:rsidRPr="00E00401">
        <w:rPr>
          <w:rFonts w:ascii="Arial" w:hAnsi="Arial" w:cs="Arial"/>
          <w:color w:val="000000"/>
          <w:szCs w:val="20"/>
        </w:rPr>
        <w:instrText xml:space="preserve"> REF _Ref115800418 \h </w:instrText>
      </w:r>
      <w:r w:rsidR="00E00401">
        <w:rPr>
          <w:rFonts w:ascii="Arial" w:hAnsi="Arial" w:cs="Arial"/>
          <w:color w:val="000000"/>
          <w:szCs w:val="20"/>
        </w:rPr>
        <w:instrText xml:space="preserve"> \* MERGEFORMAT </w:instrText>
      </w:r>
      <w:r w:rsidRPr="00E00401">
        <w:rPr>
          <w:rFonts w:ascii="Arial" w:hAnsi="Arial" w:cs="Arial"/>
          <w:color w:val="000000"/>
          <w:szCs w:val="20"/>
        </w:rPr>
      </w:r>
      <w:r w:rsidRPr="00E00401">
        <w:rPr>
          <w:rFonts w:ascii="Arial" w:hAnsi="Arial" w:cs="Arial"/>
          <w:color w:val="000000"/>
          <w:szCs w:val="20"/>
        </w:rPr>
        <w:fldChar w:fldCharType="separate"/>
      </w:r>
      <w:r w:rsidRPr="00E00401">
        <w:rPr>
          <w:rFonts w:ascii="Arial" w:hAnsi="Arial" w:cs="Arial"/>
          <w:color w:val="000000"/>
          <w:szCs w:val="20"/>
        </w:rPr>
        <w:t>Table 2</w:t>
      </w:r>
      <w:r w:rsidRPr="00E00401">
        <w:rPr>
          <w:rFonts w:ascii="Arial" w:hAnsi="Arial" w:cs="Arial"/>
          <w:color w:val="000000"/>
          <w:szCs w:val="20"/>
        </w:rPr>
        <w:fldChar w:fldCharType="end"/>
      </w:r>
      <w:r w:rsidRPr="00E00401">
        <w:rPr>
          <w:rFonts w:ascii="Arial" w:hAnsi="Arial" w:cs="Arial"/>
          <w:color w:val="000000"/>
          <w:szCs w:val="20"/>
        </w:rPr>
        <w:t>. The top four research topics taken forward for rapid reviews were:</w:t>
      </w:r>
    </w:p>
    <w:p w14:paraId="2BFB5F11" w14:textId="756E30C9" w:rsidR="00487949" w:rsidRPr="00E00401" w:rsidRDefault="00487949" w:rsidP="00E00401">
      <w:pPr>
        <w:pStyle w:val="ListParagraph"/>
        <w:numPr>
          <w:ilvl w:val="0"/>
          <w:numId w:val="12"/>
        </w:numPr>
        <w:spacing w:before="120" w:after="120" w:line="240" w:lineRule="auto"/>
        <w:jc w:val="both"/>
        <w:rPr>
          <w:rFonts w:ascii="Arial" w:hAnsi="Arial" w:cs="Arial"/>
          <w:color w:val="000000"/>
          <w:szCs w:val="20"/>
        </w:rPr>
      </w:pPr>
      <w:r w:rsidRPr="00E00401">
        <w:rPr>
          <w:rFonts w:ascii="Arial" w:hAnsi="Arial" w:cs="Arial"/>
          <w:color w:val="000000"/>
          <w:szCs w:val="20"/>
        </w:rPr>
        <w:t>Community engagement: the public acceptability of local actions (e.g. low traffic neighbourhoods);</w:t>
      </w:r>
    </w:p>
    <w:p w14:paraId="17D90D54" w14:textId="0A583822" w:rsidR="00487949" w:rsidRPr="00E00401" w:rsidRDefault="00487949" w:rsidP="00E00401">
      <w:pPr>
        <w:pStyle w:val="ListParagraph"/>
        <w:numPr>
          <w:ilvl w:val="0"/>
          <w:numId w:val="12"/>
        </w:numPr>
        <w:spacing w:before="120" w:after="120" w:line="240" w:lineRule="auto"/>
        <w:jc w:val="both"/>
        <w:rPr>
          <w:rFonts w:ascii="Arial" w:hAnsi="Arial" w:cs="Arial"/>
          <w:color w:val="000000"/>
          <w:szCs w:val="20"/>
        </w:rPr>
      </w:pPr>
      <w:r w:rsidRPr="00E00401">
        <w:rPr>
          <w:rFonts w:ascii="Arial" w:hAnsi="Arial" w:cs="Arial"/>
          <w:color w:val="000000"/>
          <w:szCs w:val="20"/>
        </w:rPr>
        <w:t>Community engagement: public understandings of climate change and its impacts on people’s health;</w:t>
      </w:r>
    </w:p>
    <w:p w14:paraId="1D7EE151" w14:textId="1F529751" w:rsidR="00487949" w:rsidRPr="00E00401" w:rsidRDefault="00487949" w:rsidP="00E00401">
      <w:pPr>
        <w:pStyle w:val="ListParagraph"/>
        <w:numPr>
          <w:ilvl w:val="0"/>
          <w:numId w:val="12"/>
        </w:numPr>
        <w:spacing w:before="120" w:after="120" w:line="240" w:lineRule="auto"/>
        <w:jc w:val="both"/>
        <w:rPr>
          <w:rFonts w:ascii="Arial" w:hAnsi="Arial" w:cs="Arial"/>
          <w:color w:val="000000"/>
          <w:szCs w:val="20"/>
        </w:rPr>
      </w:pPr>
      <w:r w:rsidRPr="00E00401">
        <w:rPr>
          <w:rFonts w:ascii="Arial" w:hAnsi="Arial" w:cs="Arial"/>
          <w:color w:val="000000"/>
          <w:szCs w:val="20"/>
        </w:rPr>
        <w:t>Economic implications: the evidence on the health and non-health-related costs and benefits of investing in climate change mitigation and adaptation activities;</w:t>
      </w:r>
    </w:p>
    <w:p w14:paraId="7DD5BB48" w14:textId="78CB63FA" w:rsidR="00487949" w:rsidRPr="00E00401" w:rsidRDefault="00487949" w:rsidP="00E00401">
      <w:pPr>
        <w:pStyle w:val="ListParagraph"/>
        <w:numPr>
          <w:ilvl w:val="0"/>
          <w:numId w:val="12"/>
        </w:numPr>
        <w:spacing w:before="120" w:after="120" w:line="240" w:lineRule="auto"/>
        <w:jc w:val="both"/>
        <w:rPr>
          <w:rFonts w:ascii="Arial" w:hAnsi="Arial" w:cs="Arial"/>
          <w:color w:val="000000"/>
          <w:szCs w:val="20"/>
        </w:rPr>
      </w:pPr>
      <w:r w:rsidRPr="00E00401">
        <w:rPr>
          <w:rFonts w:ascii="Arial" w:hAnsi="Arial" w:cs="Arial"/>
          <w:color w:val="000000"/>
          <w:szCs w:val="20"/>
        </w:rPr>
        <w:t>Economic implications: short, medium and long term budgetary implications of climate change mitigation and adaptation activities.</w:t>
      </w:r>
    </w:p>
    <w:p w14:paraId="65986FFD" w14:textId="240D2E81" w:rsidR="00487949" w:rsidRDefault="00487949" w:rsidP="00487949"/>
    <w:p w14:paraId="0A9C3F1D" w14:textId="77777777" w:rsidR="00E00401" w:rsidRDefault="00E00401">
      <w:pPr>
        <w:spacing w:line="259" w:lineRule="auto"/>
        <w:rPr>
          <w:rFonts w:ascii="Arial" w:hAnsi="Arial" w:cs="Arial"/>
          <w:b/>
          <w:bCs/>
          <w:color w:val="44546A" w:themeColor="text2"/>
          <w:sz w:val="21"/>
          <w:szCs w:val="16"/>
        </w:rPr>
      </w:pPr>
      <w:bookmarkStart w:id="4" w:name="_Ref115800418"/>
      <w:r>
        <w:br w:type="page"/>
      </w:r>
    </w:p>
    <w:p w14:paraId="2685C3F5" w14:textId="3F7BC75E" w:rsidR="00487949" w:rsidRDefault="00487949" w:rsidP="00E00401">
      <w:pPr>
        <w:pStyle w:val="Caption"/>
      </w:pPr>
      <w:r>
        <w:lastRenderedPageBreak/>
        <w:t xml:space="preserve">Table </w:t>
      </w:r>
      <w:r w:rsidR="00C524BE">
        <w:fldChar w:fldCharType="begin"/>
      </w:r>
      <w:r w:rsidR="00C524BE">
        <w:instrText xml:space="preserve"> SEQ Table \* ARABIC </w:instrText>
      </w:r>
      <w:r w:rsidR="00C524BE">
        <w:fldChar w:fldCharType="separate"/>
      </w:r>
      <w:r w:rsidR="00E00401">
        <w:rPr>
          <w:noProof/>
        </w:rPr>
        <w:t>2</w:t>
      </w:r>
      <w:r w:rsidR="00C524BE">
        <w:rPr>
          <w:noProof/>
        </w:rPr>
        <w:fldChar w:fldCharType="end"/>
      </w:r>
      <w:bookmarkEnd w:id="4"/>
      <w:r>
        <w:t>. Top three research priorities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677"/>
      </w:tblGrid>
      <w:tr w:rsidR="00487949" w:rsidRPr="00E00401" w14:paraId="0E0831F6" w14:textId="77777777" w:rsidTr="00E00401">
        <w:trPr>
          <w:trHeight w:val="610"/>
        </w:trPr>
        <w:tc>
          <w:tcPr>
            <w:tcW w:w="4390" w:type="dxa"/>
            <w:shd w:val="clear" w:color="auto" w:fill="D9E2F3" w:themeFill="accent5" w:themeFillTint="33"/>
            <w:noWrap/>
            <w:vAlign w:val="center"/>
            <w:hideMark/>
          </w:tcPr>
          <w:p w14:paraId="4055D16B" w14:textId="77777777" w:rsidR="00487949" w:rsidRPr="00E00401" w:rsidRDefault="00487949" w:rsidP="00643B37">
            <w:pPr>
              <w:spacing w:after="0" w:line="240" w:lineRule="auto"/>
              <w:jc w:val="center"/>
              <w:rPr>
                <w:rFonts w:ascii="Arial" w:eastAsia="Times New Roman" w:hAnsi="Arial" w:cs="Arial"/>
                <w:b/>
                <w:sz w:val="20"/>
                <w:szCs w:val="20"/>
                <w:lang w:eastAsia="en-GB"/>
              </w:rPr>
            </w:pPr>
            <w:r w:rsidRPr="00E00401">
              <w:rPr>
                <w:rFonts w:ascii="Arial" w:eastAsia="Times New Roman" w:hAnsi="Arial" w:cs="Arial"/>
                <w:b/>
                <w:sz w:val="20"/>
                <w:szCs w:val="20"/>
                <w:lang w:eastAsia="en-GB"/>
              </w:rPr>
              <w:t>Survey question</w:t>
            </w:r>
          </w:p>
        </w:tc>
        <w:tc>
          <w:tcPr>
            <w:tcW w:w="4677" w:type="dxa"/>
            <w:shd w:val="clear" w:color="auto" w:fill="D9E2F3" w:themeFill="accent5" w:themeFillTint="33"/>
            <w:vAlign w:val="center"/>
          </w:tcPr>
          <w:p w14:paraId="374FDE19" w14:textId="2A3E65B8" w:rsidR="00487949" w:rsidRPr="00E00401" w:rsidRDefault="00487949" w:rsidP="00487949">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Top three research priorities</w:t>
            </w:r>
          </w:p>
        </w:tc>
      </w:tr>
      <w:tr w:rsidR="00487949" w:rsidRPr="00E00401" w14:paraId="3F9D7C76" w14:textId="77777777" w:rsidTr="00E00401">
        <w:trPr>
          <w:trHeight w:val="1838"/>
        </w:trPr>
        <w:tc>
          <w:tcPr>
            <w:tcW w:w="4390" w:type="dxa"/>
            <w:tcBorders>
              <w:top w:val="single" w:sz="12" w:space="0" w:color="auto"/>
              <w:left w:val="single" w:sz="12" w:space="0" w:color="auto"/>
            </w:tcBorders>
            <w:shd w:val="clear" w:color="auto" w:fill="auto"/>
            <w:noWrap/>
            <w:vAlign w:val="center"/>
            <w:hideMark/>
          </w:tcPr>
          <w:p w14:paraId="5F2F169B" w14:textId="77777777" w:rsidR="00487949" w:rsidRPr="00E00401" w:rsidRDefault="00487949" w:rsidP="00643B37">
            <w:pPr>
              <w:pStyle w:val="ListParagraph"/>
              <w:numPr>
                <w:ilvl w:val="0"/>
                <w:numId w:val="1"/>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Areas where </w:t>
            </w:r>
            <w:r w:rsidRPr="00E00401">
              <w:rPr>
                <w:rFonts w:ascii="Arial" w:hAnsi="Arial" w:cs="Arial"/>
                <w:sz w:val="20"/>
                <w:szCs w:val="20"/>
              </w:rPr>
              <w:t>more evidence is needed by your local authority on ways to engage the public in local action to mitigate and adapt to the health impacts of climate change</w:t>
            </w:r>
          </w:p>
        </w:tc>
        <w:tc>
          <w:tcPr>
            <w:tcW w:w="4677" w:type="dxa"/>
            <w:tcBorders>
              <w:top w:val="single" w:sz="12" w:space="0" w:color="auto"/>
            </w:tcBorders>
            <w:vAlign w:val="center"/>
          </w:tcPr>
          <w:p w14:paraId="03D592C3" w14:textId="77777777" w:rsidR="00487949" w:rsidRPr="00E00401" w:rsidRDefault="00487949" w:rsidP="00487949">
            <w:pPr>
              <w:pStyle w:val="ListParagraph"/>
              <w:numPr>
                <w:ilvl w:val="0"/>
                <w:numId w:val="5"/>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The public acceptability of local actions (e.g. low traffic neighbourhoods) (84.5%)</w:t>
            </w:r>
          </w:p>
          <w:p w14:paraId="336BEEC0" w14:textId="77777777" w:rsidR="00487949" w:rsidRPr="00E00401" w:rsidRDefault="00487949" w:rsidP="00487949">
            <w:pPr>
              <w:pStyle w:val="ListParagraph"/>
              <w:numPr>
                <w:ilvl w:val="0"/>
                <w:numId w:val="5"/>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Public understandings of climate change and its impacts on people’s health (74.1%)</w:t>
            </w:r>
          </w:p>
          <w:p w14:paraId="2C832E8C" w14:textId="0A10466D" w:rsidR="00487949" w:rsidRPr="00E00401" w:rsidRDefault="00487949" w:rsidP="00487949">
            <w:pPr>
              <w:pStyle w:val="ListParagraph"/>
              <w:numPr>
                <w:ilvl w:val="0"/>
                <w:numId w:val="5"/>
              </w:numPr>
              <w:spacing w:after="0" w:line="240" w:lineRule="auto"/>
              <w:ind w:left="178" w:hanging="178"/>
              <w:rPr>
                <w:rFonts w:ascii="Arial" w:eastAsia="Times New Roman" w:hAnsi="Arial" w:cs="Arial"/>
                <w:color w:val="000000"/>
                <w:sz w:val="20"/>
                <w:szCs w:val="20"/>
                <w:lang w:eastAsia="en-GB"/>
              </w:rPr>
            </w:pPr>
            <w:r w:rsidRPr="00E00401">
              <w:rPr>
                <w:rFonts w:ascii="Arial" w:hAnsi="Arial" w:cs="Arial"/>
                <w:color w:val="000000"/>
                <w:sz w:val="20"/>
                <w:szCs w:val="20"/>
              </w:rPr>
              <w:t>Best practice in engaging with local businesses (48%)</w:t>
            </w:r>
          </w:p>
        </w:tc>
      </w:tr>
      <w:tr w:rsidR="00487949" w:rsidRPr="00E00401" w14:paraId="3C824653" w14:textId="77777777" w:rsidTr="00E00401">
        <w:trPr>
          <w:trHeight w:val="1984"/>
        </w:trPr>
        <w:tc>
          <w:tcPr>
            <w:tcW w:w="4390" w:type="dxa"/>
            <w:tcBorders>
              <w:top w:val="single" w:sz="12" w:space="0" w:color="auto"/>
              <w:left w:val="single" w:sz="12" w:space="0" w:color="auto"/>
            </w:tcBorders>
            <w:shd w:val="clear" w:color="auto" w:fill="auto"/>
            <w:noWrap/>
            <w:vAlign w:val="center"/>
            <w:hideMark/>
          </w:tcPr>
          <w:p w14:paraId="7F40B7B9" w14:textId="77777777" w:rsidR="00487949" w:rsidRPr="00E00401" w:rsidRDefault="00487949" w:rsidP="00643B37">
            <w:pPr>
              <w:pStyle w:val="ListParagraph"/>
              <w:numPr>
                <w:ilvl w:val="0"/>
                <w:numId w:val="1"/>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Groups or communities where </w:t>
            </w:r>
            <w:r w:rsidRPr="00E00401">
              <w:rPr>
                <w:rFonts w:ascii="Arial" w:hAnsi="Arial" w:cs="Arial"/>
                <w:sz w:val="20"/>
                <w:szCs w:val="20"/>
              </w:rPr>
              <w:t>more evidence is needed on effective ways to engage the public in local level actions to mitigate and adapt to the health impacts of climate change on health</w:t>
            </w:r>
          </w:p>
        </w:tc>
        <w:tc>
          <w:tcPr>
            <w:tcW w:w="4677" w:type="dxa"/>
            <w:tcBorders>
              <w:top w:val="single" w:sz="12" w:space="0" w:color="auto"/>
            </w:tcBorders>
            <w:vAlign w:val="center"/>
          </w:tcPr>
          <w:p w14:paraId="10FF0449" w14:textId="77777777" w:rsidR="00487949" w:rsidRPr="00E00401" w:rsidRDefault="00487949" w:rsidP="00487949">
            <w:pPr>
              <w:pStyle w:val="ListParagraph"/>
              <w:numPr>
                <w:ilvl w:val="0"/>
                <w:numId w:val="6"/>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(65.5%)</w:t>
            </w:r>
          </w:p>
          <w:p w14:paraId="4C8214C6" w14:textId="77777777" w:rsidR="00487949" w:rsidRPr="00E00401" w:rsidRDefault="00487949" w:rsidP="00487949">
            <w:pPr>
              <w:pStyle w:val="ListParagraph"/>
              <w:numPr>
                <w:ilvl w:val="0"/>
                <w:numId w:val="6"/>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Communities facing barriers to decent housing and local services (44.8%)</w:t>
            </w:r>
          </w:p>
          <w:p w14:paraId="70D52891" w14:textId="40182E33" w:rsidR="00487949" w:rsidRPr="00E00401" w:rsidRDefault="00487949" w:rsidP="00487949">
            <w:pPr>
              <w:pStyle w:val="ListParagraph"/>
              <w:numPr>
                <w:ilvl w:val="0"/>
                <w:numId w:val="6"/>
              </w:numPr>
              <w:spacing w:after="0" w:line="240" w:lineRule="auto"/>
              <w:ind w:left="178" w:hanging="178"/>
              <w:rPr>
                <w:rFonts w:ascii="Arial" w:eastAsia="Times New Roman" w:hAnsi="Arial" w:cs="Arial"/>
                <w:color w:val="000000"/>
                <w:sz w:val="20"/>
                <w:szCs w:val="20"/>
                <w:lang w:eastAsia="en-GB"/>
              </w:rPr>
            </w:pPr>
            <w:r w:rsidRPr="00E00401">
              <w:rPr>
                <w:rFonts w:ascii="Arial" w:hAnsi="Arial" w:cs="Arial"/>
                <w:color w:val="000000"/>
                <w:sz w:val="20"/>
                <w:szCs w:val="20"/>
              </w:rPr>
              <w:t>Communities from different ethnic and cultural backgrounds (41%)</w:t>
            </w:r>
          </w:p>
        </w:tc>
      </w:tr>
      <w:tr w:rsidR="00487949" w:rsidRPr="00E00401" w14:paraId="5BEDE9F8" w14:textId="77777777" w:rsidTr="00E00401">
        <w:trPr>
          <w:trHeight w:val="2891"/>
        </w:trPr>
        <w:tc>
          <w:tcPr>
            <w:tcW w:w="4390" w:type="dxa"/>
            <w:tcBorders>
              <w:top w:val="single" w:sz="12" w:space="0" w:color="auto"/>
              <w:left w:val="single" w:sz="12" w:space="0" w:color="auto"/>
            </w:tcBorders>
            <w:shd w:val="clear" w:color="auto" w:fill="auto"/>
            <w:noWrap/>
            <w:vAlign w:val="center"/>
            <w:hideMark/>
          </w:tcPr>
          <w:p w14:paraId="08687292" w14:textId="77777777" w:rsidR="00487949" w:rsidRPr="00E00401" w:rsidRDefault="00487949" w:rsidP="00643B37">
            <w:pPr>
              <w:pStyle w:val="ListParagraph"/>
              <w:numPr>
                <w:ilvl w:val="0"/>
                <w:numId w:val="1"/>
              </w:numPr>
              <w:spacing w:after="0" w:line="240" w:lineRule="auto"/>
              <w:ind w:left="164" w:hanging="284"/>
              <w:rPr>
                <w:rFonts w:ascii="Arial" w:eastAsia="Times New Roman" w:hAnsi="Arial" w:cs="Arial"/>
                <w:color w:val="000000"/>
                <w:sz w:val="20"/>
                <w:szCs w:val="20"/>
                <w:lang w:eastAsia="en-GB"/>
              </w:rPr>
            </w:pPr>
            <w:r w:rsidRPr="00E00401">
              <w:rPr>
                <w:rFonts w:ascii="Arial" w:hAnsi="Arial" w:cs="Arial"/>
                <w:i/>
                <w:sz w:val="20"/>
                <w:szCs w:val="20"/>
              </w:rPr>
              <w:t>Area</w:t>
            </w:r>
            <w:r w:rsidRPr="00E00401">
              <w:rPr>
                <w:rFonts w:ascii="Arial" w:hAnsi="Arial" w:cs="Arial"/>
                <w:sz w:val="20"/>
                <w:szCs w:val="20"/>
              </w:rPr>
              <w:t xml:space="preserve"> where more evidence is needed to understand the economic (cost) implications of actions to mitigate and adapt to the health impacts of climate change</w:t>
            </w:r>
          </w:p>
        </w:tc>
        <w:tc>
          <w:tcPr>
            <w:tcW w:w="4677" w:type="dxa"/>
            <w:tcBorders>
              <w:top w:val="single" w:sz="12" w:space="0" w:color="auto"/>
            </w:tcBorders>
            <w:vAlign w:val="center"/>
          </w:tcPr>
          <w:p w14:paraId="6FDE3C6D" w14:textId="63EEBD6F" w:rsidR="00487949" w:rsidRPr="00E00401" w:rsidRDefault="00487949" w:rsidP="00487949">
            <w:pPr>
              <w:pStyle w:val="ListParagraph"/>
              <w:numPr>
                <w:ilvl w:val="0"/>
                <w:numId w:val="7"/>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Evidence on the health and non-health-related costs and benefits of investing in climate change mitigation and adaptation activities (75.9%)</w:t>
            </w:r>
          </w:p>
          <w:p w14:paraId="7A4CD62A" w14:textId="77777777" w:rsidR="00487949" w:rsidRPr="00E00401" w:rsidRDefault="00487949" w:rsidP="00487949">
            <w:pPr>
              <w:pStyle w:val="ListParagraph"/>
              <w:numPr>
                <w:ilvl w:val="0"/>
                <w:numId w:val="7"/>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Evidence on the health and non-health-related costs and benefits of investing in climate change mitigation and adaptation activities (69%)</w:t>
            </w:r>
          </w:p>
          <w:p w14:paraId="29FFF886" w14:textId="65409365" w:rsidR="00487949" w:rsidRPr="00E00401" w:rsidRDefault="00487949" w:rsidP="00487949">
            <w:pPr>
              <w:pStyle w:val="ListParagraph"/>
              <w:numPr>
                <w:ilvl w:val="0"/>
                <w:numId w:val="7"/>
              </w:numPr>
              <w:spacing w:after="0" w:line="240" w:lineRule="auto"/>
              <w:ind w:left="178" w:hanging="178"/>
              <w:rPr>
                <w:rFonts w:ascii="Arial" w:eastAsia="Times New Roman" w:hAnsi="Arial" w:cs="Arial"/>
                <w:color w:val="000000"/>
                <w:sz w:val="20"/>
                <w:szCs w:val="20"/>
                <w:lang w:eastAsia="en-GB"/>
              </w:rPr>
            </w:pPr>
            <w:r w:rsidRPr="00E00401">
              <w:rPr>
                <w:rFonts w:ascii="Arial" w:hAnsi="Arial" w:cs="Arial"/>
                <w:color w:val="000000"/>
                <w:sz w:val="20"/>
                <w:szCs w:val="20"/>
              </w:rPr>
              <w:t>Best practice evidence on policies to financially incentivise local businesses to adopt climate change mitigation and adaptation activities (48%)</w:t>
            </w:r>
          </w:p>
        </w:tc>
      </w:tr>
      <w:tr w:rsidR="00487949" w:rsidRPr="00E00401" w14:paraId="3C94C063" w14:textId="77777777" w:rsidTr="00E00401">
        <w:trPr>
          <w:trHeight w:val="1701"/>
        </w:trPr>
        <w:tc>
          <w:tcPr>
            <w:tcW w:w="4390" w:type="dxa"/>
            <w:tcBorders>
              <w:top w:val="single" w:sz="12" w:space="0" w:color="auto"/>
              <w:left w:val="single" w:sz="12" w:space="0" w:color="auto"/>
              <w:bottom w:val="single" w:sz="12" w:space="0" w:color="auto"/>
            </w:tcBorders>
            <w:shd w:val="clear" w:color="auto" w:fill="auto"/>
            <w:noWrap/>
            <w:vAlign w:val="center"/>
            <w:hideMark/>
          </w:tcPr>
          <w:p w14:paraId="20069CB2" w14:textId="77777777" w:rsidR="00487949" w:rsidRPr="00E00401" w:rsidRDefault="00487949" w:rsidP="00487949">
            <w:pPr>
              <w:pStyle w:val="ListParagraph"/>
              <w:numPr>
                <w:ilvl w:val="0"/>
                <w:numId w:val="7"/>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Specific sectors where </w:t>
            </w:r>
            <w:r w:rsidRPr="00E00401">
              <w:rPr>
                <w:rFonts w:ascii="Arial" w:hAnsi="Arial" w:cs="Arial"/>
                <w:sz w:val="20"/>
                <w:szCs w:val="20"/>
              </w:rPr>
              <w:t>more evidence is needed to understand the economic (cost) implications of actions to mitigate and adapt to the health impacts of climate change</w:t>
            </w:r>
          </w:p>
        </w:tc>
        <w:tc>
          <w:tcPr>
            <w:tcW w:w="4677" w:type="dxa"/>
            <w:tcBorders>
              <w:top w:val="single" w:sz="12" w:space="0" w:color="auto"/>
            </w:tcBorders>
            <w:vAlign w:val="center"/>
          </w:tcPr>
          <w:p w14:paraId="6F03B849" w14:textId="77777777" w:rsidR="00487949" w:rsidRPr="00E00401" w:rsidRDefault="00487949" w:rsidP="00487949">
            <w:pPr>
              <w:pStyle w:val="ListParagraph"/>
              <w:numPr>
                <w:ilvl w:val="0"/>
                <w:numId w:val="8"/>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Built environment, building design, healthy homes schemes (60.3%)</w:t>
            </w:r>
          </w:p>
          <w:p w14:paraId="78CDDD75" w14:textId="77777777" w:rsidR="00487949" w:rsidRPr="00E00401" w:rsidRDefault="00487949" w:rsidP="00487949">
            <w:pPr>
              <w:pStyle w:val="ListParagraph"/>
              <w:numPr>
                <w:ilvl w:val="0"/>
                <w:numId w:val="8"/>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Healthier diets and sustainability of food supply (48.3%)</w:t>
            </w:r>
          </w:p>
          <w:p w14:paraId="38B616C8" w14:textId="36F905BC" w:rsidR="00487949" w:rsidRPr="00E00401" w:rsidRDefault="00487949" w:rsidP="00487949">
            <w:pPr>
              <w:pStyle w:val="ListParagraph"/>
              <w:numPr>
                <w:ilvl w:val="0"/>
                <w:numId w:val="8"/>
              </w:numPr>
              <w:spacing w:after="0" w:line="240" w:lineRule="auto"/>
              <w:ind w:left="178" w:hanging="178"/>
              <w:rPr>
                <w:rFonts w:ascii="Arial" w:eastAsia="Times New Roman" w:hAnsi="Arial" w:cs="Arial"/>
                <w:color w:val="000000"/>
                <w:sz w:val="20"/>
                <w:szCs w:val="20"/>
                <w:lang w:eastAsia="en-GB"/>
              </w:rPr>
            </w:pPr>
            <w:r w:rsidRPr="00E00401">
              <w:rPr>
                <w:rFonts w:ascii="Arial" w:hAnsi="Arial" w:cs="Arial"/>
                <w:color w:val="000000"/>
                <w:sz w:val="20"/>
                <w:szCs w:val="20"/>
              </w:rPr>
              <w:t>Active travel infrastructure and active lifestyles (38%)</w:t>
            </w:r>
          </w:p>
        </w:tc>
      </w:tr>
      <w:tr w:rsidR="00487949" w:rsidRPr="00E00401" w14:paraId="27503371" w14:textId="77777777" w:rsidTr="00E00401">
        <w:trPr>
          <w:trHeight w:val="1701"/>
        </w:trPr>
        <w:tc>
          <w:tcPr>
            <w:tcW w:w="4390" w:type="dxa"/>
            <w:tcBorders>
              <w:top w:val="single" w:sz="12" w:space="0" w:color="auto"/>
              <w:left w:val="single" w:sz="12" w:space="0" w:color="auto"/>
            </w:tcBorders>
            <w:shd w:val="clear" w:color="auto" w:fill="auto"/>
            <w:noWrap/>
            <w:vAlign w:val="center"/>
            <w:hideMark/>
          </w:tcPr>
          <w:p w14:paraId="1C00BF0D" w14:textId="77777777" w:rsidR="00487949" w:rsidRPr="00E00401" w:rsidRDefault="00487949" w:rsidP="00487949">
            <w:pPr>
              <w:pStyle w:val="ListParagraph"/>
              <w:numPr>
                <w:ilvl w:val="0"/>
                <w:numId w:val="7"/>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Groups or communities where </w:t>
            </w:r>
            <w:r w:rsidRPr="00E00401">
              <w:rPr>
                <w:rFonts w:ascii="Arial" w:hAnsi="Arial" w:cs="Arial"/>
                <w:sz w:val="20"/>
                <w:szCs w:val="20"/>
              </w:rPr>
              <w:t>more evidence is needed to understand the economic (cost) implications of actions to mitigate and adapt to the health impacts of climate change</w:t>
            </w:r>
          </w:p>
        </w:tc>
        <w:tc>
          <w:tcPr>
            <w:tcW w:w="4677" w:type="dxa"/>
            <w:tcBorders>
              <w:top w:val="single" w:sz="12" w:space="0" w:color="auto"/>
            </w:tcBorders>
            <w:vAlign w:val="center"/>
          </w:tcPr>
          <w:p w14:paraId="11D0CFF4" w14:textId="77777777" w:rsidR="00487949" w:rsidRPr="00E00401" w:rsidRDefault="00487949" w:rsidP="00487949">
            <w:pPr>
              <w:pStyle w:val="ListParagraph"/>
              <w:numPr>
                <w:ilvl w:val="0"/>
                <w:numId w:val="9"/>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(65.5%)</w:t>
            </w:r>
          </w:p>
          <w:p w14:paraId="4D7AA6BB" w14:textId="77777777" w:rsidR="00487949" w:rsidRPr="00E00401" w:rsidRDefault="00487949" w:rsidP="00487949">
            <w:pPr>
              <w:pStyle w:val="ListParagraph"/>
              <w:numPr>
                <w:ilvl w:val="0"/>
                <w:numId w:val="9"/>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(50%)</w:t>
            </w:r>
          </w:p>
          <w:p w14:paraId="63AE0DB1" w14:textId="238C1C3C" w:rsidR="00487949" w:rsidRPr="00E00401" w:rsidRDefault="00487949" w:rsidP="00487949">
            <w:pPr>
              <w:pStyle w:val="ListParagraph"/>
              <w:numPr>
                <w:ilvl w:val="0"/>
                <w:numId w:val="9"/>
              </w:numPr>
              <w:spacing w:after="0" w:line="240" w:lineRule="auto"/>
              <w:ind w:left="178" w:hanging="178"/>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All communities (45%)</w:t>
            </w:r>
          </w:p>
        </w:tc>
      </w:tr>
    </w:tbl>
    <w:p w14:paraId="19F3FDA1" w14:textId="7EF20F8F" w:rsidR="00487949" w:rsidRPr="0088182F" w:rsidRDefault="00487949" w:rsidP="00487949"/>
    <w:p w14:paraId="0FC09EF5" w14:textId="2BBB879E" w:rsidR="00896B9E" w:rsidRPr="00E00401" w:rsidRDefault="00896B9E" w:rsidP="00E00401">
      <w:pPr>
        <w:pStyle w:val="Heading2"/>
        <w:spacing w:after="120" w:line="240" w:lineRule="auto"/>
        <w:rPr>
          <w:rFonts w:ascii="Arial" w:hAnsi="Arial" w:cs="Arial"/>
          <w:b w:val="0"/>
          <w:i/>
          <w:iCs/>
          <w:color w:val="2E74B5" w:themeColor="accent1" w:themeShade="BF"/>
          <w:sz w:val="22"/>
          <w:szCs w:val="22"/>
        </w:rPr>
      </w:pPr>
      <w:r w:rsidRPr="00E00401">
        <w:rPr>
          <w:rFonts w:ascii="Arial" w:hAnsi="Arial" w:cs="Arial"/>
          <w:b w:val="0"/>
          <w:i/>
          <w:iCs/>
          <w:color w:val="2E74B5" w:themeColor="accent1" w:themeShade="BF"/>
          <w:sz w:val="22"/>
          <w:szCs w:val="22"/>
        </w:rPr>
        <w:t>Subgroup analysis</w:t>
      </w:r>
    </w:p>
    <w:p w14:paraId="1BD3402F" w14:textId="5A9D5316" w:rsidR="00F008CE" w:rsidRPr="00E00401" w:rsidRDefault="00F008CE" w:rsidP="00E00401">
      <w:pPr>
        <w:spacing w:before="120" w:after="120" w:line="240" w:lineRule="auto"/>
        <w:jc w:val="both"/>
        <w:rPr>
          <w:rFonts w:ascii="Arial" w:hAnsi="Arial" w:cs="Arial"/>
          <w:color w:val="000000"/>
          <w:szCs w:val="20"/>
        </w:rPr>
      </w:pPr>
      <w:r w:rsidRPr="00E00401">
        <w:rPr>
          <w:rFonts w:ascii="Arial" w:hAnsi="Arial" w:cs="Arial"/>
          <w:color w:val="000000"/>
          <w:szCs w:val="20"/>
        </w:rPr>
        <w:fldChar w:fldCharType="begin"/>
      </w:r>
      <w:r w:rsidRPr="00E00401">
        <w:rPr>
          <w:rFonts w:ascii="Arial" w:hAnsi="Arial" w:cs="Arial"/>
          <w:color w:val="000000"/>
          <w:szCs w:val="20"/>
        </w:rPr>
        <w:instrText xml:space="preserve"> REF _Ref113886527 \h </w:instrText>
      </w:r>
      <w:r w:rsidR="00E00401">
        <w:rPr>
          <w:rFonts w:ascii="Arial" w:hAnsi="Arial" w:cs="Arial"/>
          <w:color w:val="000000"/>
          <w:szCs w:val="20"/>
        </w:rPr>
        <w:instrText xml:space="preserve"> \* MERGEFORMAT </w:instrText>
      </w:r>
      <w:r w:rsidRPr="00E00401">
        <w:rPr>
          <w:rFonts w:ascii="Arial" w:hAnsi="Arial" w:cs="Arial"/>
          <w:color w:val="000000"/>
          <w:szCs w:val="20"/>
        </w:rPr>
      </w:r>
      <w:r w:rsidRPr="00E00401">
        <w:rPr>
          <w:rFonts w:ascii="Arial" w:hAnsi="Arial" w:cs="Arial"/>
          <w:color w:val="000000"/>
          <w:szCs w:val="20"/>
        </w:rPr>
        <w:fldChar w:fldCharType="separate"/>
      </w:r>
      <w:r w:rsidRPr="00E00401">
        <w:rPr>
          <w:rFonts w:ascii="Arial" w:hAnsi="Arial" w:cs="Arial"/>
          <w:color w:val="000000"/>
          <w:szCs w:val="20"/>
        </w:rPr>
        <w:t>Table 2</w:t>
      </w:r>
      <w:r w:rsidRPr="00E00401">
        <w:rPr>
          <w:rFonts w:ascii="Arial" w:hAnsi="Arial" w:cs="Arial"/>
          <w:color w:val="000000"/>
          <w:szCs w:val="20"/>
        </w:rPr>
        <w:fldChar w:fldCharType="end"/>
      </w:r>
      <w:r w:rsidRPr="00E00401">
        <w:rPr>
          <w:rFonts w:ascii="Arial" w:hAnsi="Arial" w:cs="Arial"/>
          <w:color w:val="000000"/>
          <w:szCs w:val="20"/>
        </w:rPr>
        <w:t xml:space="preserve"> and </w:t>
      </w:r>
      <w:r w:rsidRPr="00E00401">
        <w:rPr>
          <w:rFonts w:ascii="Arial" w:hAnsi="Arial" w:cs="Arial"/>
          <w:color w:val="000000"/>
          <w:szCs w:val="20"/>
        </w:rPr>
        <w:fldChar w:fldCharType="begin"/>
      </w:r>
      <w:r w:rsidRPr="00E00401">
        <w:rPr>
          <w:rFonts w:ascii="Arial" w:hAnsi="Arial" w:cs="Arial"/>
          <w:color w:val="000000"/>
          <w:szCs w:val="20"/>
        </w:rPr>
        <w:instrText xml:space="preserve"> REF _Ref113886528 \h </w:instrText>
      </w:r>
      <w:r w:rsidR="00E00401">
        <w:rPr>
          <w:rFonts w:ascii="Arial" w:hAnsi="Arial" w:cs="Arial"/>
          <w:color w:val="000000"/>
          <w:szCs w:val="20"/>
        </w:rPr>
        <w:instrText xml:space="preserve"> \* MERGEFORMAT </w:instrText>
      </w:r>
      <w:r w:rsidRPr="00E00401">
        <w:rPr>
          <w:rFonts w:ascii="Arial" w:hAnsi="Arial" w:cs="Arial"/>
          <w:color w:val="000000"/>
          <w:szCs w:val="20"/>
        </w:rPr>
      </w:r>
      <w:r w:rsidRPr="00E00401">
        <w:rPr>
          <w:rFonts w:ascii="Arial" w:hAnsi="Arial" w:cs="Arial"/>
          <w:color w:val="000000"/>
          <w:szCs w:val="20"/>
        </w:rPr>
        <w:fldChar w:fldCharType="separate"/>
      </w:r>
      <w:r w:rsidRPr="00E00401">
        <w:rPr>
          <w:rFonts w:ascii="Arial" w:hAnsi="Arial" w:cs="Arial"/>
          <w:color w:val="000000"/>
          <w:szCs w:val="20"/>
        </w:rPr>
        <w:t>Table 3</w:t>
      </w:r>
      <w:r w:rsidRPr="00E00401">
        <w:rPr>
          <w:rFonts w:ascii="Arial" w:hAnsi="Arial" w:cs="Arial"/>
          <w:color w:val="000000"/>
          <w:szCs w:val="20"/>
        </w:rPr>
        <w:fldChar w:fldCharType="end"/>
      </w:r>
      <w:r w:rsidRPr="00E00401">
        <w:rPr>
          <w:rFonts w:ascii="Arial" w:hAnsi="Arial" w:cs="Arial"/>
          <w:color w:val="000000"/>
          <w:szCs w:val="20"/>
        </w:rPr>
        <w:t xml:space="preserve"> show the differences in the top two research priorities for each research question, in the 10 most and least deprived LAs, and the ten least and most densely populated LAs, respectively. The tables suggest three key differences:</w:t>
      </w:r>
    </w:p>
    <w:p w14:paraId="1DBF2B34" w14:textId="77777777" w:rsidR="00E00401" w:rsidRDefault="00896B9E" w:rsidP="00E00401">
      <w:pPr>
        <w:pStyle w:val="ListParagraph"/>
        <w:numPr>
          <w:ilvl w:val="0"/>
          <w:numId w:val="13"/>
        </w:numPr>
        <w:spacing w:before="120" w:after="120" w:line="240" w:lineRule="auto"/>
        <w:jc w:val="both"/>
        <w:rPr>
          <w:rFonts w:ascii="Arial" w:hAnsi="Arial" w:cs="Arial"/>
          <w:color w:val="000000"/>
          <w:szCs w:val="20"/>
        </w:rPr>
      </w:pPr>
      <w:r w:rsidRPr="00E00401">
        <w:rPr>
          <w:rFonts w:ascii="Arial" w:hAnsi="Arial" w:cs="Arial"/>
          <w:color w:val="000000"/>
          <w:szCs w:val="20"/>
        </w:rPr>
        <w:t xml:space="preserve">Key research priorities in the most and the </w:t>
      </w:r>
      <w:r w:rsidR="008D535D" w:rsidRPr="00E00401">
        <w:rPr>
          <w:rFonts w:ascii="Arial" w:hAnsi="Arial" w:cs="Arial"/>
          <w:color w:val="000000"/>
          <w:szCs w:val="20"/>
        </w:rPr>
        <w:t xml:space="preserve">most </w:t>
      </w:r>
      <w:r w:rsidRPr="00E00401">
        <w:rPr>
          <w:rFonts w:ascii="Arial" w:hAnsi="Arial" w:cs="Arial"/>
          <w:color w:val="000000"/>
          <w:szCs w:val="20"/>
        </w:rPr>
        <w:t xml:space="preserve">deprived LAs differed for one survey question, about the sectors </w:t>
      </w:r>
      <w:r w:rsidR="0010750C" w:rsidRPr="00E00401">
        <w:rPr>
          <w:rFonts w:ascii="Arial" w:hAnsi="Arial" w:cs="Arial"/>
          <w:color w:val="000000"/>
          <w:szCs w:val="20"/>
        </w:rPr>
        <w:t>where</w:t>
      </w:r>
      <w:r w:rsidRPr="00E00401">
        <w:rPr>
          <w:rFonts w:ascii="Arial" w:hAnsi="Arial" w:cs="Arial"/>
          <w:color w:val="000000"/>
          <w:szCs w:val="20"/>
        </w:rPr>
        <w:t xml:space="preserve"> more evidence is needed to understand the economic (cost) implications of actions to mitigate or adapt to the health impacts of </w:t>
      </w:r>
      <w:r w:rsidRPr="00E00401">
        <w:rPr>
          <w:rFonts w:ascii="Arial" w:hAnsi="Arial" w:cs="Arial"/>
          <w:color w:val="000000"/>
          <w:szCs w:val="20"/>
        </w:rPr>
        <w:lastRenderedPageBreak/>
        <w:t>climate change</w:t>
      </w:r>
      <w:r w:rsidR="00F008CE" w:rsidRPr="00E00401">
        <w:rPr>
          <w:rFonts w:ascii="Arial" w:hAnsi="Arial" w:cs="Arial"/>
          <w:color w:val="000000"/>
          <w:szCs w:val="20"/>
        </w:rPr>
        <w:t>. T</w:t>
      </w:r>
      <w:r w:rsidRPr="00E00401">
        <w:rPr>
          <w:rFonts w:ascii="Arial" w:hAnsi="Arial" w:cs="Arial"/>
          <w:color w:val="000000"/>
          <w:szCs w:val="20"/>
        </w:rPr>
        <w:t xml:space="preserve">he two sectors considered key research priorities </w:t>
      </w:r>
      <w:r w:rsidR="00F008CE" w:rsidRPr="00E00401">
        <w:rPr>
          <w:rFonts w:ascii="Arial" w:hAnsi="Arial" w:cs="Arial"/>
          <w:color w:val="000000"/>
          <w:szCs w:val="20"/>
        </w:rPr>
        <w:t>overall</w:t>
      </w:r>
      <w:r w:rsidRPr="00E00401">
        <w:rPr>
          <w:rFonts w:ascii="Arial" w:hAnsi="Arial" w:cs="Arial"/>
          <w:color w:val="000000"/>
          <w:szCs w:val="20"/>
        </w:rPr>
        <w:t xml:space="preserve"> were “healthier diets and sustainability of food supply” and “built environment, building design, healthy homes schemes”. However, in the 10 LAs with the lowest IMD (</w:t>
      </w:r>
      <w:r w:rsidR="008D535D" w:rsidRPr="00E00401">
        <w:rPr>
          <w:rFonts w:ascii="Arial" w:hAnsi="Arial" w:cs="Arial"/>
          <w:color w:val="000000"/>
          <w:szCs w:val="20"/>
        </w:rPr>
        <w:t xml:space="preserve">least </w:t>
      </w:r>
      <w:r w:rsidRPr="00E00401">
        <w:rPr>
          <w:rFonts w:ascii="Arial" w:hAnsi="Arial" w:cs="Arial"/>
          <w:color w:val="000000"/>
          <w:szCs w:val="20"/>
        </w:rPr>
        <w:t xml:space="preserve">deprived), the two key sectors were “active travel infrastructure and active lifestyles” and “green spaces, green networks, green infrastructure”. When comparing the local authorities with IMD below and above the </w:t>
      </w:r>
      <w:r w:rsidR="00801FEC" w:rsidRPr="00E00401">
        <w:rPr>
          <w:rFonts w:ascii="Arial" w:hAnsi="Arial" w:cs="Arial"/>
          <w:color w:val="000000"/>
          <w:szCs w:val="20"/>
        </w:rPr>
        <w:t>national</w:t>
      </w:r>
      <w:r w:rsidRPr="00E00401">
        <w:rPr>
          <w:rFonts w:ascii="Arial" w:hAnsi="Arial" w:cs="Arial"/>
          <w:color w:val="000000"/>
          <w:szCs w:val="20"/>
        </w:rPr>
        <w:t xml:space="preserve"> average, the top two priorities </w:t>
      </w:r>
      <w:r w:rsidR="00801FEC" w:rsidRPr="00E00401">
        <w:rPr>
          <w:rFonts w:ascii="Arial" w:hAnsi="Arial" w:cs="Arial"/>
          <w:color w:val="000000"/>
          <w:szCs w:val="20"/>
        </w:rPr>
        <w:t>in both subgroups we identical to the sample overall</w:t>
      </w:r>
      <w:r w:rsidRPr="00E00401">
        <w:rPr>
          <w:rFonts w:ascii="Arial" w:hAnsi="Arial" w:cs="Arial"/>
          <w:color w:val="000000"/>
          <w:szCs w:val="20"/>
        </w:rPr>
        <w:t xml:space="preserve">, indicating that only the </w:t>
      </w:r>
      <w:r w:rsidR="006155AA" w:rsidRPr="00E00401">
        <w:rPr>
          <w:rFonts w:ascii="Arial" w:hAnsi="Arial" w:cs="Arial"/>
          <w:color w:val="000000"/>
          <w:szCs w:val="20"/>
        </w:rPr>
        <w:t xml:space="preserve">least </w:t>
      </w:r>
      <w:r w:rsidRPr="00E00401">
        <w:rPr>
          <w:rFonts w:ascii="Arial" w:hAnsi="Arial" w:cs="Arial"/>
          <w:color w:val="000000"/>
          <w:szCs w:val="20"/>
        </w:rPr>
        <w:t>deprived LAs differed in their views.</w:t>
      </w:r>
      <w:r w:rsidR="00E00401">
        <w:rPr>
          <w:rFonts w:ascii="Arial" w:hAnsi="Arial" w:cs="Arial"/>
          <w:color w:val="000000"/>
          <w:szCs w:val="20"/>
        </w:rPr>
        <w:t xml:space="preserve"> </w:t>
      </w:r>
    </w:p>
    <w:p w14:paraId="76C17CCF" w14:textId="77777777" w:rsidR="00E00401" w:rsidRDefault="00F008CE" w:rsidP="00E00401">
      <w:pPr>
        <w:pStyle w:val="ListParagraph"/>
        <w:numPr>
          <w:ilvl w:val="0"/>
          <w:numId w:val="13"/>
        </w:numPr>
        <w:spacing w:before="120" w:after="120" w:line="240" w:lineRule="auto"/>
        <w:jc w:val="both"/>
        <w:rPr>
          <w:rFonts w:ascii="Arial" w:hAnsi="Arial" w:cs="Arial"/>
          <w:color w:val="000000"/>
          <w:szCs w:val="20"/>
        </w:rPr>
      </w:pPr>
      <w:r w:rsidRPr="00E00401">
        <w:rPr>
          <w:rFonts w:ascii="Arial" w:hAnsi="Arial" w:cs="Arial"/>
          <w:color w:val="000000"/>
          <w:szCs w:val="20"/>
        </w:rPr>
        <w:t xml:space="preserve">The least and most densely populated LAs indicated different research priorities relating to groups and communities where more evidence is needed on effective ways to engage the public in local level actions to mitigate and adapt to the health impacts of climate change on health. The groups and communities considered key research priorities </w:t>
      </w:r>
      <w:r w:rsidR="00821EC9" w:rsidRPr="00E00401">
        <w:rPr>
          <w:rFonts w:ascii="Arial" w:hAnsi="Arial" w:cs="Arial"/>
          <w:color w:val="000000"/>
          <w:szCs w:val="20"/>
        </w:rPr>
        <w:t>overall</w:t>
      </w:r>
      <w:r w:rsidRPr="00E00401">
        <w:rPr>
          <w:rFonts w:ascii="Arial" w:hAnsi="Arial" w:cs="Arial"/>
          <w:color w:val="000000"/>
          <w:szCs w:val="20"/>
        </w:rPr>
        <w:t xml:space="preserve"> were “different income groups (e.g. richer and poorer households)” and “communities facing barriers to decent housing and local services”.  However, in the 10 LAs with the highest population density in the sample, the key groups and communities were “communities from different ethnic and cultural backgrounds” and “different age groups (e.g. children; older people)”</w:t>
      </w:r>
      <w:r w:rsidR="00821EC9" w:rsidRPr="00E00401">
        <w:rPr>
          <w:rFonts w:ascii="Arial" w:hAnsi="Arial" w:cs="Arial"/>
          <w:color w:val="000000"/>
          <w:szCs w:val="20"/>
        </w:rPr>
        <w:t xml:space="preserve">. The 10 LAs with the lowest population density in the sample, also indicated that “communities from different ethnic and cultural backgrounds” were a key research priority. These </w:t>
      </w:r>
      <w:r w:rsidR="00A049B9" w:rsidRPr="00E00401">
        <w:rPr>
          <w:rFonts w:ascii="Arial" w:hAnsi="Arial" w:cs="Arial"/>
          <w:color w:val="000000"/>
          <w:szCs w:val="20"/>
        </w:rPr>
        <w:t>differences</w:t>
      </w:r>
      <w:r w:rsidR="00821EC9" w:rsidRPr="00E00401">
        <w:rPr>
          <w:rFonts w:ascii="Arial" w:hAnsi="Arial" w:cs="Arial"/>
          <w:color w:val="000000"/>
          <w:szCs w:val="20"/>
        </w:rPr>
        <w:t xml:space="preserve"> were not sustained when </w:t>
      </w:r>
      <w:r w:rsidR="00A049B9" w:rsidRPr="00E00401">
        <w:rPr>
          <w:rFonts w:ascii="Arial" w:hAnsi="Arial" w:cs="Arial"/>
          <w:color w:val="000000"/>
          <w:szCs w:val="20"/>
        </w:rPr>
        <w:t xml:space="preserve">comparing local authorities with population density below and above the </w:t>
      </w:r>
      <w:r w:rsidR="00801FEC" w:rsidRPr="00E00401">
        <w:rPr>
          <w:rFonts w:ascii="Arial" w:hAnsi="Arial" w:cs="Arial"/>
          <w:color w:val="000000"/>
          <w:szCs w:val="20"/>
        </w:rPr>
        <w:t>national</w:t>
      </w:r>
      <w:r w:rsidR="00A049B9" w:rsidRPr="00E00401">
        <w:rPr>
          <w:rFonts w:ascii="Arial" w:hAnsi="Arial" w:cs="Arial"/>
          <w:color w:val="000000"/>
          <w:szCs w:val="20"/>
        </w:rPr>
        <w:t xml:space="preserve"> average, indicating that only the most densely populated LAs differed in their views.</w:t>
      </w:r>
    </w:p>
    <w:p w14:paraId="1B474D10" w14:textId="77777777" w:rsidR="00E00401" w:rsidRDefault="00F008CE" w:rsidP="00E00401">
      <w:pPr>
        <w:pStyle w:val="ListParagraph"/>
        <w:numPr>
          <w:ilvl w:val="0"/>
          <w:numId w:val="13"/>
        </w:numPr>
        <w:spacing w:before="120" w:after="120" w:line="240" w:lineRule="auto"/>
        <w:jc w:val="both"/>
        <w:rPr>
          <w:rFonts w:ascii="Arial" w:hAnsi="Arial" w:cs="Arial"/>
          <w:color w:val="000000"/>
          <w:szCs w:val="20"/>
        </w:rPr>
      </w:pPr>
      <w:r w:rsidRPr="00E00401">
        <w:rPr>
          <w:rFonts w:ascii="Arial" w:hAnsi="Arial" w:cs="Arial"/>
          <w:color w:val="000000"/>
          <w:szCs w:val="20"/>
        </w:rPr>
        <w:t xml:space="preserve">The least and most densely populated LAs indicated different research priorities relating to groups and communities where more evidence is needed on differential economic impacts of these local level actions to mitigate or adapt to the health impacts of climate change on health. The groups and communities considered key research priorities </w:t>
      </w:r>
      <w:r w:rsidR="00821EC9" w:rsidRPr="00E00401">
        <w:rPr>
          <w:rFonts w:ascii="Arial" w:hAnsi="Arial" w:cs="Arial"/>
          <w:color w:val="000000"/>
          <w:szCs w:val="20"/>
        </w:rPr>
        <w:t>overall</w:t>
      </w:r>
      <w:r w:rsidRPr="00E00401">
        <w:rPr>
          <w:rFonts w:ascii="Arial" w:hAnsi="Arial" w:cs="Arial"/>
          <w:color w:val="000000"/>
          <w:szCs w:val="20"/>
        </w:rPr>
        <w:t xml:space="preserve"> were “different income groups (e.g. richer and poorer households)” and “communities facing barriers to decent housing and local services”.  </w:t>
      </w:r>
      <w:r w:rsidR="00821EC9" w:rsidRPr="00E00401">
        <w:rPr>
          <w:rFonts w:ascii="Arial" w:hAnsi="Arial" w:cs="Arial"/>
          <w:color w:val="000000"/>
          <w:szCs w:val="20"/>
        </w:rPr>
        <w:t xml:space="preserve">In the 10 </w:t>
      </w:r>
      <w:r w:rsidR="008634DB" w:rsidRPr="00E00401">
        <w:rPr>
          <w:rFonts w:ascii="Arial" w:hAnsi="Arial" w:cs="Arial"/>
          <w:color w:val="000000"/>
          <w:szCs w:val="20"/>
        </w:rPr>
        <w:t>most</w:t>
      </w:r>
      <w:r w:rsidR="00821EC9" w:rsidRPr="00E00401">
        <w:rPr>
          <w:rFonts w:ascii="Arial" w:hAnsi="Arial" w:cs="Arial"/>
          <w:color w:val="000000"/>
          <w:szCs w:val="20"/>
        </w:rPr>
        <w:t xml:space="preserve"> densely populated LAs, the priorities were </w:t>
      </w:r>
      <w:r w:rsidR="00A04E84" w:rsidRPr="00E00401">
        <w:rPr>
          <w:rFonts w:ascii="Arial" w:hAnsi="Arial" w:cs="Arial"/>
          <w:color w:val="000000"/>
          <w:szCs w:val="20"/>
        </w:rPr>
        <w:t>“all communities” and “communities from different ethnic and cultural backgrounds”</w:t>
      </w:r>
      <w:r w:rsidR="00821EC9" w:rsidRPr="00E00401">
        <w:rPr>
          <w:rFonts w:ascii="Arial" w:hAnsi="Arial" w:cs="Arial"/>
          <w:color w:val="000000"/>
          <w:szCs w:val="20"/>
        </w:rPr>
        <w:t>. When comparing the local authorities with population density below and above the England average, the top two priorities were the same as those for the sample overall, indicating that only the most densely populated LAs differed in their views.</w:t>
      </w:r>
    </w:p>
    <w:p w14:paraId="5E8D865D" w14:textId="44BCD515" w:rsidR="00906C4D" w:rsidRPr="00E00401" w:rsidRDefault="00A049B9" w:rsidP="00E00401">
      <w:pPr>
        <w:pStyle w:val="ListParagraph"/>
        <w:numPr>
          <w:ilvl w:val="0"/>
          <w:numId w:val="13"/>
        </w:numPr>
        <w:spacing w:before="120" w:after="120" w:line="240" w:lineRule="auto"/>
        <w:jc w:val="both"/>
        <w:rPr>
          <w:rFonts w:ascii="Arial" w:hAnsi="Arial" w:cs="Arial"/>
          <w:color w:val="000000"/>
          <w:szCs w:val="20"/>
        </w:rPr>
      </w:pPr>
      <w:r w:rsidRPr="00E00401">
        <w:rPr>
          <w:rFonts w:ascii="Arial" w:hAnsi="Arial" w:cs="Arial"/>
          <w:color w:val="000000"/>
          <w:szCs w:val="20"/>
        </w:rPr>
        <w:t>Finally, when comparing key research priorities for the LAs with IMD or population density greater than the national average, the survey results did not change significantly.</w:t>
      </w:r>
      <w:r w:rsidR="00906C4D">
        <w:br w:type="page"/>
      </w:r>
    </w:p>
    <w:p w14:paraId="7953990D" w14:textId="77777777" w:rsidR="00906C4D" w:rsidRDefault="00906C4D" w:rsidP="00E00401">
      <w:pPr>
        <w:pStyle w:val="Caption"/>
        <w:sectPr w:rsidR="00906C4D">
          <w:pgSz w:w="11906" w:h="16838"/>
          <w:pgMar w:top="1440" w:right="1440" w:bottom="1440" w:left="1440" w:header="708" w:footer="708" w:gutter="0"/>
          <w:cols w:space="708"/>
          <w:docGrid w:linePitch="360"/>
        </w:sectPr>
      </w:pPr>
    </w:p>
    <w:p w14:paraId="0B453B80" w14:textId="6F9929BB" w:rsidR="00906C4D" w:rsidRDefault="00906C4D" w:rsidP="00E00401">
      <w:pPr>
        <w:pStyle w:val="Caption"/>
      </w:pPr>
      <w:bookmarkStart w:id="5" w:name="_Ref113886527"/>
      <w:r>
        <w:lastRenderedPageBreak/>
        <w:t xml:space="preserve">Table </w:t>
      </w:r>
      <w:r w:rsidR="00C524BE">
        <w:fldChar w:fldCharType="begin"/>
      </w:r>
      <w:r w:rsidR="00C524BE">
        <w:instrText xml:space="preserve"> SEQ Table \* ARABIC </w:instrText>
      </w:r>
      <w:r w:rsidR="00C524BE">
        <w:fldChar w:fldCharType="separate"/>
      </w:r>
      <w:r w:rsidR="00E00401">
        <w:rPr>
          <w:noProof/>
        </w:rPr>
        <w:t>3</w:t>
      </w:r>
      <w:r w:rsidR="00C524BE">
        <w:rPr>
          <w:noProof/>
        </w:rPr>
        <w:fldChar w:fldCharType="end"/>
      </w:r>
      <w:bookmarkEnd w:id="5"/>
      <w:r>
        <w:t>. Differences in top two research priorities, by IMD score</w:t>
      </w:r>
    </w:p>
    <w:tbl>
      <w:tblPr>
        <w:tblW w:w="14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5245"/>
        <w:gridCol w:w="2410"/>
        <w:gridCol w:w="2299"/>
      </w:tblGrid>
      <w:tr w:rsidR="00906C4D" w:rsidRPr="00E00401" w14:paraId="6FF419CD" w14:textId="77777777" w:rsidTr="00E00401">
        <w:trPr>
          <w:trHeight w:val="300"/>
        </w:trPr>
        <w:tc>
          <w:tcPr>
            <w:tcW w:w="4106" w:type="dxa"/>
            <w:vMerge w:val="restart"/>
            <w:shd w:val="clear" w:color="auto" w:fill="D9E2F3" w:themeFill="accent5" w:themeFillTint="33"/>
            <w:noWrap/>
            <w:vAlign w:val="center"/>
            <w:hideMark/>
          </w:tcPr>
          <w:p w14:paraId="3E67D8EC" w14:textId="190E90F3" w:rsidR="00906C4D" w:rsidRPr="00E00401" w:rsidRDefault="00906C4D" w:rsidP="00906C4D">
            <w:pPr>
              <w:spacing w:after="0" w:line="240" w:lineRule="auto"/>
              <w:jc w:val="center"/>
              <w:rPr>
                <w:rFonts w:ascii="Arial" w:eastAsia="Times New Roman" w:hAnsi="Arial" w:cs="Arial"/>
                <w:b/>
                <w:sz w:val="20"/>
                <w:szCs w:val="20"/>
                <w:lang w:eastAsia="en-GB"/>
              </w:rPr>
            </w:pPr>
            <w:r w:rsidRPr="00E00401">
              <w:rPr>
                <w:rFonts w:ascii="Arial" w:eastAsia="Times New Roman" w:hAnsi="Arial" w:cs="Arial"/>
                <w:b/>
                <w:sz w:val="20"/>
                <w:szCs w:val="20"/>
                <w:lang w:eastAsia="en-GB"/>
              </w:rPr>
              <w:t>Survey question</w:t>
            </w:r>
          </w:p>
        </w:tc>
        <w:tc>
          <w:tcPr>
            <w:tcW w:w="9954" w:type="dxa"/>
            <w:gridSpan w:val="3"/>
            <w:shd w:val="clear" w:color="auto" w:fill="D9E2F3" w:themeFill="accent5" w:themeFillTint="33"/>
            <w:vAlign w:val="center"/>
          </w:tcPr>
          <w:p w14:paraId="739E056B" w14:textId="6D84DE53" w:rsidR="00906C4D" w:rsidRPr="00E00401" w:rsidRDefault="00906C4D" w:rsidP="00906C4D">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Top two research priorities</w:t>
            </w:r>
          </w:p>
        </w:tc>
      </w:tr>
      <w:tr w:rsidR="00906C4D" w:rsidRPr="00E00401" w14:paraId="0FB99CC2" w14:textId="77777777" w:rsidTr="00E00401">
        <w:trPr>
          <w:trHeight w:val="300"/>
        </w:trPr>
        <w:tc>
          <w:tcPr>
            <w:tcW w:w="4106" w:type="dxa"/>
            <w:vMerge/>
            <w:tcBorders>
              <w:bottom w:val="single" w:sz="12" w:space="0" w:color="auto"/>
            </w:tcBorders>
            <w:shd w:val="clear" w:color="auto" w:fill="D9E2F3" w:themeFill="accent5" w:themeFillTint="33"/>
            <w:noWrap/>
            <w:vAlign w:val="bottom"/>
          </w:tcPr>
          <w:p w14:paraId="3A73048A" w14:textId="77777777" w:rsidR="00906C4D" w:rsidRPr="00E00401" w:rsidRDefault="00906C4D" w:rsidP="00906C4D">
            <w:pPr>
              <w:spacing w:after="0" w:line="240" w:lineRule="auto"/>
              <w:rPr>
                <w:rFonts w:ascii="Arial" w:eastAsia="Times New Roman" w:hAnsi="Arial" w:cs="Arial"/>
                <w:b/>
                <w:sz w:val="20"/>
                <w:szCs w:val="20"/>
                <w:lang w:eastAsia="en-GB"/>
              </w:rPr>
            </w:pPr>
          </w:p>
        </w:tc>
        <w:tc>
          <w:tcPr>
            <w:tcW w:w="5245" w:type="dxa"/>
            <w:tcBorders>
              <w:bottom w:val="single" w:sz="12" w:space="0" w:color="auto"/>
            </w:tcBorders>
            <w:shd w:val="clear" w:color="auto" w:fill="D9E2F3" w:themeFill="accent5" w:themeFillTint="33"/>
            <w:vAlign w:val="center"/>
          </w:tcPr>
          <w:p w14:paraId="6981E351" w14:textId="03271666" w:rsidR="00906C4D" w:rsidRPr="00E00401" w:rsidRDefault="00906C4D" w:rsidP="00906C4D">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All LAs</w:t>
            </w:r>
          </w:p>
        </w:tc>
        <w:tc>
          <w:tcPr>
            <w:tcW w:w="2410" w:type="dxa"/>
            <w:tcBorders>
              <w:bottom w:val="single" w:sz="12" w:space="0" w:color="auto"/>
            </w:tcBorders>
            <w:shd w:val="clear" w:color="auto" w:fill="D9E2F3" w:themeFill="accent5" w:themeFillTint="33"/>
            <w:noWrap/>
            <w:vAlign w:val="center"/>
          </w:tcPr>
          <w:p w14:paraId="36FA9BAE" w14:textId="74F9ABA4" w:rsidR="00906C4D" w:rsidRPr="00E00401" w:rsidRDefault="00906C4D" w:rsidP="00906C4D">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LAs with 10 lowest IMD scores</w:t>
            </w:r>
          </w:p>
        </w:tc>
        <w:tc>
          <w:tcPr>
            <w:tcW w:w="2299" w:type="dxa"/>
            <w:tcBorders>
              <w:bottom w:val="single" w:sz="12" w:space="0" w:color="auto"/>
            </w:tcBorders>
            <w:shd w:val="clear" w:color="auto" w:fill="D9E2F3" w:themeFill="accent5" w:themeFillTint="33"/>
            <w:noWrap/>
            <w:vAlign w:val="center"/>
          </w:tcPr>
          <w:p w14:paraId="47332259" w14:textId="57CDA5AB" w:rsidR="00906C4D" w:rsidRPr="00E00401" w:rsidRDefault="00906C4D" w:rsidP="00906C4D">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LAs with 10 highest IMD scores</w:t>
            </w:r>
          </w:p>
        </w:tc>
      </w:tr>
      <w:tr w:rsidR="00EF3597" w:rsidRPr="00E00401" w14:paraId="630A02B3" w14:textId="77777777" w:rsidTr="0041687B">
        <w:trPr>
          <w:trHeight w:val="624"/>
        </w:trPr>
        <w:tc>
          <w:tcPr>
            <w:tcW w:w="4106" w:type="dxa"/>
            <w:vMerge w:val="restart"/>
            <w:tcBorders>
              <w:top w:val="single" w:sz="12" w:space="0" w:color="auto"/>
              <w:left w:val="single" w:sz="12" w:space="0" w:color="auto"/>
            </w:tcBorders>
            <w:shd w:val="clear" w:color="auto" w:fill="auto"/>
            <w:noWrap/>
            <w:vAlign w:val="center"/>
            <w:hideMark/>
          </w:tcPr>
          <w:p w14:paraId="028EC643" w14:textId="0C35952D" w:rsidR="00EF3597" w:rsidRPr="00E00401" w:rsidRDefault="00EF3597" w:rsidP="003807D8">
            <w:pPr>
              <w:pStyle w:val="ListParagraph"/>
              <w:numPr>
                <w:ilvl w:val="0"/>
                <w:numId w:val="11"/>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Areas where </w:t>
            </w:r>
            <w:r w:rsidRPr="00E00401">
              <w:rPr>
                <w:rFonts w:ascii="Arial" w:hAnsi="Arial" w:cs="Arial"/>
                <w:sz w:val="20"/>
                <w:szCs w:val="20"/>
              </w:rPr>
              <w:t>more evidence is needed by your local authority on ways to engage the public in local action to mitigate and adapt to the health impacts of climate change</w:t>
            </w:r>
          </w:p>
        </w:tc>
        <w:tc>
          <w:tcPr>
            <w:tcW w:w="5245" w:type="dxa"/>
            <w:tcBorders>
              <w:top w:val="single" w:sz="12" w:space="0" w:color="auto"/>
            </w:tcBorders>
            <w:vAlign w:val="center"/>
          </w:tcPr>
          <w:p w14:paraId="28BBAC66" w14:textId="0DE49459"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The public acceptability of local actions (e.g. low traffic neighbourhoods) (84.5%)</w:t>
            </w:r>
          </w:p>
        </w:tc>
        <w:tc>
          <w:tcPr>
            <w:tcW w:w="2410" w:type="dxa"/>
            <w:tcBorders>
              <w:top w:val="single" w:sz="12" w:space="0" w:color="auto"/>
            </w:tcBorders>
            <w:shd w:val="clear" w:color="auto" w:fill="auto"/>
            <w:noWrap/>
            <w:vAlign w:val="center"/>
            <w:hideMark/>
          </w:tcPr>
          <w:p w14:paraId="3A58A453" w14:textId="44D8D09E"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w:t>
            </w:r>
            <w:r w:rsidRPr="00E00401">
              <w:rPr>
                <w:rFonts w:ascii="Arial" w:hAnsi="Arial" w:cs="Arial"/>
                <w:color w:val="000000"/>
                <w:sz w:val="20"/>
                <w:szCs w:val="20"/>
              </w:rPr>
              <w:t xml:space="preserve"> (80%)</w:t>
            </w:r>
          </w:p>
        </w:tc>
        <w:tc>
          <w:tcPr>
            <w:tcW w:w="2299" w:type="dxa"/>
            <w:tcBorders>
              <w:top w:val="single" w:sz="12" w:space="0" w:color="auto"/>
              <w:right w:val="single" w:sz="12" w:space="0" w:color="auto"/>
            </w:tcBorders>
            <w:shd w:val="clear" w:color="auto" w:fill="auto"/>
            <w:noWrap/>
            <w:vAlign w:val="center"/>
            <w:hideMark/>
          </w:tcPr>
          <w:p w14:paraId="75A4CF88" w14:textId="08033510"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(100%)</w:t>
            </w:r>
          </w:p>
        </w:tc>
      </w:tr>
      <w:tr w:rsidR="00EF3597" w:rsidRPr="00E00401" w14:paraId="1108D681" w14:textId="77777777" w:rsidTr="0041687B">
        <w:trPr>
          <w:trHeight w:val="624"/>
        </w:trPr>
        <w:tc>
          <w:tcPr>
            <w:tcW w:w="4106" w:type="dxa"/>
            <w:vMerge/>
            <w:tcBorders>
              <w:left w:val="single" w:sz="12" w:space="0" w:color="auto"/>
              <w:bottom w:val="single" w:sz="12" w:space="0" w:color="auto"/>
            </w:tcBorders>
            <w:shd w:val="clear" w:color="auto" w:fill="auto"/>
            <w:noWrap/>
            <w:vAlign w:val="center"/>
            <w:hideMark/>
          </w:tcPr>
          <w:p w14:paraId="121686DD" w14:textId="2DC403B7" w:rsidR="00EF3597" w:rsidRPr="00E00401" w:rsidRDefault="00EF3597" w:rsidP="0041687B">
            <w:pPr>
              <w:spacing w:after="0" w:line="240" w:lineRule="auto"/>
              <w:rPr>
                <w:rFonts w:ascii="Arial" w:eastAsia="Times New Roman" w:hAnsi="Arial" w:cs="Arial"/>
                <w:color w:val="000000"/>
                <w:sz w:val="20"/>
                <w:szCs w:val="20"/>
                <w:lang w:eastAsia="en-GB"/>
              </w:rPr>
            </w:pPr>
          </w:p>
        </w:tc>
        <w:tc>
          <w:tcPr>
            <w:tcW w:w="5245" w:type="dxa"/>
            <w:tcBorders>
              <w:bottom w:val="single" w:sz="12" w:space="0" w:color="auto"/>
            </w:tcBorders>
            <w:vAlign w:val="center"/>
          </w:tcPr>
          <w:p w14:paraId="7F1165A0" w14:textId="60432250"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Public understandings of climate change and its impacts on people’s health (74.1%)</w:t>
            </w:r>
          </w:p>
        </w:tc>
        <w:tc>
          <w:tcPr>
            <w:tcW w:w="2410" w:type="dxa"/>
            <w:tcBorders>
              <w:bottom w:val="single" w:sz="12" w:space="0" w:color="auto"/>
            </w:tcBorders>
            <w:shd w:val="clear" w:color="auto" w:fill="auto"/>
            <w:noWrap/>
            <w:vAlign w:val="center"/>
            <w:hideMark/>
          </w:tcPr>
          <w:p w14:paraId="05408D1A" w14:textId="0FB62DB2"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w:t>
            </w:r>
            <w:r w:rsidRPr="00E00401">
              <w:rPr>
                <w:rFonts w:ascii="Arial" w:hAnsi="Arial" w:cs="Arial"/>
                <w:color w:val="000000"/>
                <w:sz w:val="20"/>
                <w:szCs w:val="20"/>
              </w:rPr>
              <w:t xml:space="preserve"> (60%)</w:t>
            </w:r>
          </w:p>
        </w:tc>
        <w:tc>
          <w:tcPr>
            <w:tcW w:w="2299" w:type="dxa"/>
            <w:tcBorders>
              <w:bottom w:val="single" w:sz="12" w:space="0" w:color="auto"/>
              <w:right w:val="single" w:sz="12" w:space="0" w:color="auto"/>
            </w:tcBorders>
            <w:shd w:val="clear" w:color="auto" w:fill="auto"/>
            <w:noWrap/>
            <w:vAlign w:val="center"/>
            <w:hideMark/>
          </w:tcPr>
          <w:p w14:paraId="1871D67F" w14:textId="7635D587"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(70%)</w:t>
            </w:r>
          </w:p>
        </w:tc>
      </w:tr>
      <w:tr w:rsidR="00EF3597" w:rsidRPr="00E00401" w14:paraId="1FCA6E3A" w14:textId="77777777" w:rsidTr="0041687B">
        <w:trPr>
          <w:trHeight w:val="624"/>
        </w:trPr>
        <w:tc>
          <w:tcPr>
            <w:tcW w:w="4106" w:type="dxa"/>
            <w:vMerge w:val="restart"/>
            <w:tcBorders>
              <w:top w:val="single" w:sz="12" w:space="0" w:color="auto"/>
              <w:left w:val="single" w:sz="12" w:space="0" w:color="auto"/>
            </w:tcBorders>
            <w:shd w:val="clear" w:color="auto" w:fill="auto"/>
            <w:noWrap/>
            <w:vAlign w:val="center"/>
            <w:hideMark/>
          </w:tcPr>
          <w:p w14:paraId="1B19D195" w14:textId="54CDB4C5" w:rsidR="00EF3597" w:rsidRPr="00E00401" w:rsidRDefault="00EF3597" w:rsidP="00487949">
            <w:pPr>
              <w:pStyle w:val="ListParagraph"/>
              <w:numPr>
                <w:ilvl w:val="0"/>
                <w:numId w:val="11"/>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Groups or communities where </w:t>
            </w:r>
            <w:r w:rsidRPr="00E00401">
              <w:rPr>
                <w:rFonts w:ascii="Arial" w:hAnsi="Arial" w:cs="Arial"/>
                <w:sz w:val="20"/>
                <w:szCs w:val="20"/>
              </w:rPr>
              <w:t>more evidence is needed on effective ways to engage the public in local level actions to mitigate and adapt to the health impacts of climate change on health</w:t>
            </w:r>
          </w:p>
        </w:tc>
        <w:tc>
          <w:tcPr>
            <w:tcW w:w="5245" w:type="dxa"/>
            <w:tcBorders>
              <w:top w:val="single" w:sz="12" w:space="0" w:color="auto"/>
            </w:tcBorders>
            <w:vAlign w:val="center"/>
          </w:tcPr>
          <w:p w14:paraId="6D9B134A" w14:textId="49E2CBF4"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(65.5%)</w:t>
            </w:r>
          </w:p>
        </w:tc>
        <w:tc>
          <w:tcPr>
            <w:tcW w:w="2410" w:type="dxa"/>
            <w:tcBorders>
              <w:top w:val="single" w:sz="12" w:space="0" w:color="auto"/>
            </w:tcBorders>
            <w:shd w:val="clear" w:color="auto" w:fill="auto"/>
            <w:noWrap/>
            <w:vAlign w:val="center"/>
            <w:hideMark/>
          </w:tcPr>
          <w:p w14:paraId="4889F5E1" w14:textId="2F0965B9"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(70%)</w:t>
            </w:r>
          </w:p>
        </w:tc>
        <w:tc>
          <w:tcPr>
            <w:tcW w:w="2299" w:type="dxa"/>
            <w:tcBorders>
              <w:top w:val="single" w:sz="12" w:space="0" w:color="auto"/>
              <w:right w:val="single" w:sz="12" w:space="0" w:color="auto"/>
            </w:tcBorders>
            <w:shd w:val="clear" w:color="auto" w:fill="auto"/>
            <w:noWrap/>
            <w:vAlign w:val="center"/>
            <w:hideMark/>
          </w:tcPr>
          <w:p w14:paraId="6FAA8DC8" w14:textId="410CB47C"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(80%)</w:t>
            </w:r>
          </w:p>
        </w:tc>
      </w:tr>
      <w:tr w:rsidR="00EF3597" w:rsidRPr="00E00401" w14:paraId="77AC01A6" w14:textId="77777777" w:rsidTr="00BB72C2">
        <w:trPr>
          <w:trHeight w:val="624"/>
        </w:trPr>
        <w:tc>
          <w:tcPr>
            <w:tcW w:w="4106" w:type="dxa"/>
            <w:vMerge/>
            <w:tcBorders>
              <w:left w:val="single" w:sz="12" w:space="0" w:color="auto"/>
              <w:bottom w:val="single" w:sz="12" w:space="0" w:color="auto"/>
            </w:tcBorders>
            <w:shd w:val="clear" w:color="auto" w:fill="auto"/>
            <w:noWrap/>
            <w:vAlign w:val="center"/>
            <w:hideMark/>
          </w:tcPr>
          <w:p w14:paraId="33F36B55" w14:textId="53CF4411" w:rsidR="00EF3597" w:rsidRPr="00E00401" w:rsidRDefault="00EF3597" w:rsidP="0041687B">
            <w:pPr>
              <w:spacing w:after="0" w:line="240" w:lineRule="auto"/>
              <w:ind w:left="164" w:hanging="284"/>
              <w:rPr>
                <w:rFonts w:ascii="Arial" w:eastAsia="Times New Roman" w:hAnsi="Arial" w:cs="Arial"/>
                <w:color w:val="000000"/>
                <w:sz w:val="20"/>
                <w:szCs w:val="20"/>
                <w:lang w:eastAsia="en-GB"/>
              </w:rPr>
            </w:pPr>
          </w:p>
        </w:tc>
        <w:tc>
          <w:tcPr>
            <w:tcW w:w="5245" w:type="dxa"/>
            <w:tcBorders>
              <w:bottom w:val="single" w:sz="12" w:space="0" w:color="auto"/>
            </w:tcBorders>
            <w:vAlign w:val="center"/>
          </w:tcPr>
          <w:p w14:paraId="3D4B979A" w14:textId="0366EE2C"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Communities facing barriers to decent housing and local services (44.8%)</w:t>
            </w:r>
          </w:p>
        </w:tc>
        <w:tc>
          <w:tcPr>
            <w:tcW w:w="2410" w:type="dxa"/>
            <w:tcBorders>
              <w:bottom w:val="single" w:sz="12" w:space="0" w:color="auto"/>
            </w:tcBorders>
            <w:shd w:val="clear" w:color="auto" w:fill="FFFFFF" w:themeFill="background1"/>
            <w:noWrap/>
            <w:vAlign w:val="center"/>
            <w:hideMark/>
          </w:tcPr>
          <w:p w14:paraId="1C696191" w14:textId="06EF312E" w:rsidR="00BB72C2" w:rsidRPr="00E00401" w:rsidRDefault="00BB72C2"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Unchanged </w:t>
            </w:r>
            <w:r w:rsidR="00EF3597" w:rsidRPr="00E00401">
              <w:rPr>
                <w:rFonts w:ascii="Arial" w:eastAsia="Times New Roman" w:hAnsi="Arial" w:cs="Arial"/>
                <w:color w:val="000000"/>
                <w:sz w:val="20"/>
                <w:szCs w:val="20"/>
                <w:lang w:eastAsia="en-GB"/>
              </w:rPr>
              <w:t>(40%)</w:t>
            </w:r>
          </w:p>
        </w:tc>
        <w:tc>
          <w:tcPr>
            <w:tcW w:w="2299" w:type="dxa"/>
            <w:tcBorders>
              <w:bottom w:val="single" w:sz="12" w:space="0" w:color="auto"/>
              <w:right w:val="single" w:sz="12" w:space="0" w:color="auto"/>
            </w:tcBorders>
            <w:shd w:val="clear" w:color="auto" w:fill="FFFFFF" w:themeFill="background1"/>
            <w:noWrap/>
            <w:vAlign w:val="center"/>
            <w:hideMark/>
          </w:tcPr>
          <w:p w14:paraId="11D0A84F" w14:textId="53337D2E" w:rsidR="00EF3597" w:rsidRPr="00E00401" w:rsidRDefault="00EF359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(70%)</w:t>
            </w:r>
          </w:p>
        </w:tc>
      </w:tr>
      <w:tr w:rsidR="00906C4D" w:rsidRPr="00E00401" w14:paraId="69A435EE" w14:textId="77777777" w:rsidTr="0041687B">
        <w:trPr>
          <w:trHeight w:val="624"/>
        </w:trPr>
        <w:tc>
          <w:tcPr>
            <w:tcW w:w="4106" w:type="dxa"/>
            <w:vMerge w:val="restart"/>
            <w:tcBorders>
              <w:top w:val="single" w:sz="12" w:space="0" w:color="auto"/>
              <w:left w:val="single" w:sz="12" w:space="0" w:color="auto"/>
            </w:tcBorders>
            <w:shd w:val="clear" w:color="auto" w:fill="auto"/>
            <w:noWrap/>
            <w:vAlign w:val="center"/>
            <w:hideMark/>
          </w:tcPr>
          <w:p w14:paraId="1CC823A9" w14:textId="392E5CCB" w:rsidR="003807D8" w:rsidRPr="00E00401" w:rsidRDefault="00906C4D" w:rsidP="003807D8">
            <w:pPr>
              <w:pStyle w:val="ListParagraph"/>
              <w:numPr>
                <w:ilvl w:val="0"/>
                <w:numId w:val="11"/>
              </w:numPr>
              <w:spacing w:after="0" w:line="240" w:lineRule="auto"/>
              <w:ind w:left="164" w:hanging="284"/>
              <w:rPr>
                <w:rFonts w:ascii="Arial" w:hAnsi="Arial" w:cs="Arial"/>
                <w:sz w:val="20"/>
                <w:szCs w:val="20"/>
              </w:rPr>
            </w:pPr>
            <w:r w:rsidRPr="00E00401">
              <w:rPr>
                <w:rFonts w:ascii="Arial" w:hAnsi="Arial" w:cs="Arial"/>
                <w:i/>
                <w:sz w:val="20"/>
                <w:szCs w:val="20"/>
              </w:rPr>
              <w:t>Area</w:t>
            </w:r>
            <w:r w:rsidRPr="00E00401">
              <w:rPr>
                <w:rFonts w:ascii="Arial" w:hAnsi="Arial" w:cs="Arial"/>
                <w:sz w:val="20"/>
                <w:szCs w:val="20"/>
              </w:rPr>
              <w:t xml:space="preserve"> where more evidence is needed to understand the economic (cost) implications of actions to mitigate and adapt to the health impacts of climate change</w:t>
            </w:r>
          </w:p>
        </w:tc>
        <w:tc>
          <w:tcPr>
            <w:tcW w:w="5245" w:type="dxa"/>
            <w:tcBorders>
              <w:top w:val="single" w:sz="12" w:space="0" w:color="auto"/>
            </w:tcBorders>
            <w:vAlign w:val="center"/>
          </w:tcPr>
          <w:p w14:paraId="630426A8" w14:textId="688B102A"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Evidence on the health and non-health-related costs and benefits of investing in climate change mitigation and adaptation activities (</w:t>
            </w:r>
            <w:r w:rsidR="00EF3597" w:rsidRPr="00E00401">
              <w:rPr>
                <w:rFonts w:ascii="Arial" w:eastAsia="Times New Roman" w:hAnsi="Arial" w:cs="Arial"/>
                <w:color w:val="000000"/>
                <w:sz w:val="20"/>
                <w:szCs w:val="20"/>
                <w:lang w:eastAsia="en-GB"/>
              </w:rPr>
              <w:t>75.9</w:t>
            </w:r>
            <w:r w:rsidRPr="00E00401">
              <w:rPr>
                <w:rFonts w:ascii="Arial" w:eastAsia="Times New Roman" w:hAnsi="Arial" w:cs="Arial"/>
                <w:color w:val="000000"/>
                <w:sz w:val="20"/>
                <w:szCs w:val="20"/>
                <w:lang w:eastAsia="en-GB"/>
              </w:rPr>
              <w:t>%)</w:t>
            </w:r>
          </w:p>
        </w:tc>
        <w:tc>
          <w:tcPr>
            <w:tcW w:w="2410" w:type="dxa"/>
            <w:tcBorders>
              <w:top w:val="single" w:sz="12" w:space="0" w:color="auto"/>
            </w:tcBorders>
            <w:shd w:val="clear" w:color="auto" w:fill="auto"/>
            <w:noWrap/>
            <w:vAlign w:val="center"/>
            <w:hideMark/>
          </w:tcPr>
          <w:p w14:paraId="450CC2AA" w14:textId="783E9901"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w:t>
            </w:r>
            <w:r w:rsidR="00EF3597" w:rsidRPr="00E00401">
              <w:rPr>
                <w:rFonts w:ascii="Arial" w:eastAsia="Times New Roman" w:hAnsi="Arial" w:cs="Arial"/>
                <w:color w:val="000000"/>
                <w:sz w:val="20"/>
                <w:szCs w:val="20"/>
                <w:lang w:eastAsia="en-GB"/>
              </w:rPr>
              <w:t>90</w:t>
            </w:r>
            <w:r w:rsidRPr="00E00401">
              <w:rPr>
                <w:rFonts w:ascii="Arial" w:eastAsia="Times New Roman" w:hAnsi="Arial" w:cs="Arial"/>
                <w:color w:val="000000"/>
                <w:sz w:val="20"/>
                <w:szCs w:val="20"/>
                <w:lang w:eastAsia="en-GB"/>
              </w:rPr>
              <w:t>%)</w:t>
            </w:r>
          </w:p>
        </w:tc>
        <w:tc>
          <w:tcPr>
            <w:tcW w:w="2299" w:type="dxa"/>
            <w:tcBorders>
              <w:top w:val="single" w:sz="12" w:space="0" w:color="auto"/>
              <w:right w:val="single" w:sz="12" w:space="0" w:color="auto"/>
            </w:tcBorders>
            <w:shd w:val="clear" w:color="auto" w:fill="auto"/>
            <w:noWrap/>
            <w:vAlign w:val="center"/>
            <w:hideMark/>
          </w:tcPr>
          <w:p w14:paraId="1594DD69" w14:textId="6A6232D0"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w:t>
            </w:r>
            <w:r w:rsidR="002B2067" w:rsidRPr="00E00401">
              <w:rPr>
                <w:rFonts w:ascii="Arial" w:eastAsia="Times New Roman" w:hAnsi="Arial" w:cs="Arial"/>
                <w:color w:val="000000"/>
                <w:sz w:val="20"/>
                <w:szCs w:val="20"/>
                <w:lang w:eastAsia="en-GB"/>
              </w:rPr>
              <w:t>80</w:t>
            </w:r>
            <w:r w:rsidRPr="00E00401">
              <w:rPr>
                <w:rFonts w:ascii="Arial" w:eastAsia="Times New Roman" w:hAnsi="Arial" w:cs="Arial"/>
                <w:color w:val="000000"/>
                <w:sz w:val="20"/>
                <w:szCs w:val="20"/>
                <w:lang w:eastAsia="en-GB"/>
              </w:rPr>
              <w:t>%)</w:t>
            </w:r>
          </w:p>
        </w:tc>
      </w:tr>
      <w:tr w:rsidR="00906C4D" w:rsidRPr="00E00401" w14:paraId="3605A89A" w14:textId="77777777" w:rsidTr="0041687B">
        <w:trPr>
          <w:trHeight w:val="624"/>
        </w:trPr>
        <w:tc>
          <w:tcPr>
            <w:tcW w:w="4106" w:type="dxa"/>
            <w:vMerge/>
            <w:tcBorders>
              <w:left w:val="single" w:sz="12" w:space="0" w:color="auto"/>
              <w:bottom w:val="single" w:sz="12" w:space="0" w:color="auto"/>
            </w:tcBorders>
            <w:shd w:val="clear" w:color="auto" w:fill="auto"/>
            <w:noWrap/>
            <w:vAlign w:val="center"/>
            <w:hideMark/>
          </w:tcPr>
          <w:p w14:paraId="5BB5E25F" w14:textId="5173300B" w:rsidR="00906C4D" w:rsidRPr="00E00401" w:rsidRDefault="00906C4D" w:rsidP="0041687B">
            <w:pPr>
              <w:spacing w:after="0" w:line="240" w:lineRule="auto"/>
              <w:ind w:left="164" w:hanging="284"/>
              <w:rPr>
                <w:rFonts w:ascii="Arial" w:eastAsia="Times New Roman" w:hAnsi="Arial" w:cs="Arial"/>
                <w:color w:val="000000"/>
                <w:sz w:val="20"/>
                <w:szCs w:val="20"/>
                <w:lang w:eastAsia="en-GB"/>
              </w:rPr>
            </w:pPr>
          </w:p>
        </w:tc>
        <w:tc>
          <w:tcPr>
            <w:tcW w:w="5245" w:type="dxa"/>
            <w:tcBorders>
              <w:bottom w:val="single" w:sz="12" w:space="0" w:color="auto"/>
            </w:tcBorders>
            <w:vAlign w:val="center"/>
          </w:tcPr>
          <w:p w14:paraId="489659A0" w14:textId="5F799A09"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Evidence on the health and non-health-related costs and benefits of investing in climate change mitigation and adaptation activities (</w:t>
            </w:r>
            <w:r w:rsidR="00EF3597" w:rsidRPr="00E00401">
              <w:rPr>
                <w:rFonts w:ascii="Arial" w:eastAsia="Times New Roman" w:hAnsi="Arial" w:cs="Arial"/>
                <w:color w:val="000000"/>
                <w:sz w:val="20"/>
                <w:szCs w:val="20"/>
                <w:lang w:eastAsia="en-GB"/>
              </w:rPr>
              <w:t>69</w:t>
            </w:r>
            <w:r w:rsidRPr="00E00401">
              <w:rPr>
                <w:rFonts w:ascii="Arial" w:eastAsia="Times New Roman" w:hAnsi="Arial" w:cs="Arial"/>
                <w:color w:val="000000"/>
                <w:sz w:val="20"/>
                <w:szCs w:val="20"/>
                <w:lang w:eastAsia="en-GB"/>
              </w:rPr>
              <w:t>%)</w:t>
            </w:r>
          </w:p>
        </w:tc>
        <w:tc>
          <w:tcPr>
            <w:tcW w:w="2410" w:type="dxa"/>
            <w:tcBorders>
              <w:bottom w:val="single" w:sz="12" w:space="0" w:color="auto"/>
            </w:tcBorders>
            <w:shd w:val="clear" w:color="auto" w:fill="auto"/>
            <w:noWrap/>
            <w:vAlign w:val="center"/>
            <w:hideMark/>
          </w:tcPr>
          <w:p w14:paraId="6BBA3A77" w14:textId="50B80A14"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Unchanged </w:t>
            </w:r>
            <w:r w:rsidR="00EF3597" w:rsidRPr="00E00401">
              <w:rPr>
                <w:rFonts w:ascii="Arial" w:eastAsia="Times New Roman" w:hAnsi="Arial" w:cs="Arial"/>
                <w:color w:val="000000"/>
                <w:sz w:val="20"/>
                <w:szCs w:val="20"/>
                <w:lang w:eastAsia="en-GB"/>
              </w:rPr>
              <w:t>(70</w:t>
            </w:r>
            <w:r w:rsidRPr="00E00401">
              <w:rPr>
                <w:rFonts w:ascii="Arial" w:eastAsia="Times New Roman" w:hAnsi="Arial" w:cs="Arial"/>
                <w:color w:val="000000"/>
                <w:sz w:val="20"/>
                <w:szCs w:val="20"/>
                <w:lang w:eastAsia="en-GB"/>
              </w:rPr>
              <w:t>%)</w:t>
            </w:r>
          </w:p>
        </w:tc>
        <w:tc>
          <w:tcPr>
            <w:tcW w:w="2299" w:type="dxa"/>
            <w:tcBorders>
              <w:bottom w:val="single" w:sz="12" w:space="0" w:color="auto"/>
              <w:right w:val="single" w:sz="12" w:space="0" w:color="auto"/>
            </w:tcBorders>
            <w:shd w:val="clear" w:color="auto" w:fill="auto"/>
            <w:noWrap/>
            <w:vAlign w:val="center"/>
            <w:hideMark/>
          </w:tcPr>
          <w:p w14:paraId="6261CCE8" w14:textId="58A45F87"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w:t>
            </w:r>
            <w:r w:rsidR="002B2067" w:rsidRPr="00E00401">
              <w:rPr>
                <w:rFonts w:ascii="Arial" w:eastAsia="Times New Roman" w:hAnsi="Arial" w:cs="Arial"/>
                <w:color w:val="000000"/>
                <w:sz w:val="20"/>
                <w:szCs w:val="20"/>
                <w:lang w:eastAsia="en-GB"/>
              </w:rPr>
              <w:t>8</w:t>
            </w:r>
            <w:r w:rsidRPr="00E00401">
              <w:rPr>
                <w:rFonts w:ascii="Arial" w:eastAsia="Times New Roman" w:hAnsi="Arial" w:cs="Arial"/>
                <w:color w:val="000000"/>
                <w:sz w:val="20"/>
                <w:szCs w:val="20"/>
                <w:lang w:eastAsia="en-GB"/>
              </w:rPr>
              <w:t>0%)</w:t>
            </w:r>
          </w:p>
        </w:tc>
      </w:tr>
      <w:tr w:rsidR="002B2067" w:rsidRPr="00E00401" w14:paraId="504B0BE3" w14:textId="77777777" w:rsidTr="0041687B">
        <w:trPr>
          <w:trHeight w:val="624"/>
        </w:trPr>
        <w:tc>
          <w:tcPr>
            <w:tcW w:w="4106" w:type="dxa"/>
            <w:vMerge w:val="restart"/>
            <w:tcBorders>
              <w:top w:val="single" w:sz="12" w:space="0" w:color="auto"/>
              <w:left w:val="single" w:sz="12" w:space="0" w:color="auto"/>
              <w:bottom w:val="single" w:sz="12" w:space="0" w:color="auto"/>
            </w:tcBorders>
            <w:shd w:val="clear" w:color="auto" w:fill="auto"/>
            <w:noWrap/>
            <w:vAlign w:val="center"/>
            <w:hideMark/>
          </w:tcPr>
          <w:p w14:paraId="1221FAE2" w14:textId="366E8C31" w:rsidR="003807D8" w:rsidRPr="00E00401" w:rsidRDefault="002B2067" w:rsidP="003807D8">
            <w:pPr>
              <w:pStyle w:val="ListParagraph"/>
              <w:numPr>
                <w:ilvl w:val="0"/>
                <w:numId w:val="11"/>
              </w:numPr>
              <w:spacing w:after="0" w:line="240" w:lineRule="auto"/>
              <w:ind w:left="164" w:hanging="284"/>
              <w:rPr>
                <w:rFonts w:ascii="Arial" w:hAnsi="Arial" w:cs="Arial"/>
                <w:sz w:val="20"/>
                <w:szCs w:val="20"/>
              </w:rPr>
            </w:pPr>
            <w:r w:rsidRPr="00E00401">
              <w:rPr>
                <w:rFonts w:ascii="Arial" w:eastAsia="Times New Roman" w:hAnsi="Arial" w:cs="Arial"/>
                <w:color w:val="000000"/>
                <w:sz w:val="20"/>
                <w:szCs w:val="20"/>
                <w:lang w:eastAsia="en-GB"/>
              </w:rPr>
              <w:t xml:space="preserve">Specific sectors where </w:t>
            </w:r>
            <w:r w:rsidRPr="00E00401">
              <w:rPr>
                <w:rFonts w:ascii="Arial" w:hAnsi="Arial" w:cs="Arial"/>
                <w:sz w:val="20"/>
                <w:szCs w:val="20"/>
              </w:rPr>
              <w:t>more evidence is needed to understand the economic (cost) implications of actions to mitigate and adapt to the health impacts of climate change</w:t>
            </w:r>
          </w:p>
        </w:tc>
        <w:tc>
          <w:tcPr>
            <w:tcW w:w="5245" w:type="dxa"/>
            <w:tcBorders>
              <w:top w:val="single" w:sz="12" w:space="0" w:color="auto"/>
              <w:bottom w:val="single" w:sz="4" w:space="0" w:color="auto"/>
            </w:tcBorders>
            <w:vAlign w:val="center"/>
          </w:tcPr>
          <w:p w14:paraId="56CA3931" w14:textId="32A33F0C" w:rsidR="002B2067" w:rsidRPr="00E00401" w:rsidRDefault="002B206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Built environment, building design, healthy homes schemes (60.3%)</w:t>
            </w:r>
          </w:p>
        </w:tc>
        <w:tc>
          <w:tcPr>
            <w:tcW w:w="2410" w:type="dxa"/>
            <w:tcBorders>
              <w:top w:val="single" w:sz="12" w:space="0" w:color="auto"/>
              <w:bottom w:val="single" w:sz="4" w:space="0" w:color="auto"/>
            </w:tcBorders>
            <w:shd w:val="clear" w:color="auto" w:fill="D9D9D9" w:themeFill="background1" w:themeFillShade="D9"/>
            <w:noWrap/>
            <w:vAlign w:val="center"/>
            <w:hideMark/>
          </w:tcPr>
          <w:p w14:paraId="3CA268E6" w14:textId="5E0A0202" w:rsidR="002B2067" w:rsidRPr="00E00401" w:rsidRDefault="002B206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Green spaces, green networks, green infrastructure (60%)</w:t>
            </w:r>
          </w:p>
        </w:tc>
        <w:tc>
          <w:tcPr>
            <w:tcW w:w="2299" w:type="dxa"/>
            <w:tcBorders>
              <w:top w:val="single" w:sz="12" w:space="0" w:color="auto"/>
              <w:bottom w:val="single" w:sz="4" w:space="0" w:color="auto"/>
              <w:right w:val="single" w:sz="12" w:space="0" w:color="auto"/>
            </w:tcBorders>
            <w:shd w:val="clear" w:color="auto" w:fill="FFFFFF" w:themeFill="background1"/>
            <w:noWrap/>
            <w:vAlign w:val="center"/>
            <w:hideMark/>
          </w:tcPr>
          <w:p w14:paraId="3D9F0D41" w14:textId="54BEE646" w:rsidR="002B2067" w:rsidRPr="00E00401" w:rsidRDefault="002B206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(60%)</w:t>
            </w:r>
          </w:p>
        </w:tc>
      </w:tr>
      <w:tr w:rsidR="002B2067" w:rsidRPr="00E00401" w14:paraId="60680026" w14:textId="77777777" w:rsidTr="0041687B">
        <w:trPr>
          <w:trHeight w:val="624"/>
        </w:trPr>
        <w:tc>
          <w:tcPr>
            <w:tcW w:w="4106" w:type="dxa"/>
            <w:vMerge/>
            <w:tcBorders>
              <w:top w:val="single" w:sz="12" w:space="0" w:color="auto"/>
              <w:left w:val="single" w:sz="12" w:space="0" w:color="auto"/>
            </w:tcBorders>
            <w:shd w:val="clear" w:color="auto" w:fill="auto"/>
            <w:noWrap/>
            <w:vAlign w:val="center"/>
            <w:hideMark/>
          </w:tcPr>
          <w:p w14:paraId="6A13E1B9" w14:textId="4B06F71A" w:rsidR="002B2067" w:rsidRPr="00E00401" w:rsidRDefault="002B2067" w:rsidP="0041687B">
            <w:pPr>
              <w:spacing w:after="0" w:line="240" w:lineRule="auto"/>
              <w:ind w:left="164" w:hanging="284"/>
              <w:rPr>
                <w:rFonts w:ascii="Arial" w:eastAsia="Times New Roman" w:hAnsi="Arial" w:cs="Arial"/>
                <w:color w:val="000000"/>
                <w:sz w:val="20"/>
                <w:szCs w:val="20"/>
                <w:lang w:eastAsia="en-GB"/>
              </w:rPr>
            </w:pPr>
          </w:p>
        </w:tc>
        <w:tc>
          <w:tcPr>
            <w:tcW w:w="5245" w:type="dxa"/>
            <w:tcBorders>
              <w:top w:val="single" w:sz="4" w:space="0" w:color="auto"/>
            </w:tcBorders>
            <w:vAlign w:val="center"/>
          </w:tcPr>
          <w:p w14:paraId="6818B932" w14:textId="1BE4F398" w:rsidR="002B2067" w:rsidRPr="00E00401" w:rsidRDefault="002B206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Healthier diets and sustainability of food supply (48.3%)</w:t>
            </w:r>
          </w:p>
        </w:tc>
        <w:tc>
          <w:tcPr>
            <w:tcW w:w="2410" w:type="dxa"/>
            <w:tcBorders>
              <w:top w:val="single" w:sz="4" w:space="0" w:color="auto"/>
            </w:tcBorders>
            <w:shd w:val="clear" w:color="auto" w:fill="D9D9D9" w:themeFill="background1" w:themeFillShade="D9"/>
            <w:noWrap/>
            <w:vAlign w:val="center"/>
            <w:hideMark/>
          </w:tcPr>
          <w:p w14:paraId="17C76361" w14:textId="1C7DCE59" w:rsidR="002B2067" w:rsidRPr="00E00401" w:rsidRDefault="002B206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Active travel infrastructure and active lifestyles (50%)</w:t>
            </w:r>
          </w:p>
        </w:tc>
        <w:tc>
          <w:tcPr>
            <w:tcW w:w="2299" w:type="dxa"/>
            <w:tcBorders>
              <w:top w:val="single" w:sz="4" w:space="0" w:color="auto"/>
              <w:right w:val="single" w:sz="12" w:space="0" w:color="auto"/>
            </w:tcBorders>
            <w:shd w:val="clear" w:color="auto" w:fill="FFFFFF" w:themeFill="background1"/>
            <w:noWrap/>
            <w:vAlign w:val="center"/>
            <w:hideMark/>
          </w:tcPr>
          <w:p w14:paraId="573C4CAA" w14:textId="008AB2F2" w:rsidR="002B2067" w:rsidRPr="00E00401" w:rsidRDefault="002B2067"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(50%)</w:t>
            </w:r>
          </w:p>
        </w:tc>
      </w:tr>
      <w:tr w:rsidR="00906C4D" w:rsidRPr="00E00401" w14:paraId="63B9D3CF" w14:textId="77777777" w:rsidTr="0041687B">
        <w:trPr>
          <w:trHeight w:val="624"/>
        </w:trPr>
        <w:tc>
          <w:tcPr>
            <w:tcW w:w="4106" w:type="dxa"/>
            <w:vMerge w:val="restart"/>
            <w:tcBorders>
              <w:top w:val="single" w:sz="12" w:space="0" w:color="auto"/>
              <w:left w:val="single" w:sz="12" w:space="0" w:color="auto"/>
            </w:tcBorders>
            <w:shd w:val="clear" w:color="auto" w:fill="auto"/>
            <w:noWrap/>
            <w:vAlign w:val="center"/>
            <w:hideMark/>
          </w:tcPr>
          <w:p w14:paraId="10DA89B3" w14:textId="4A05107D" w:rsidR="003807D8" w:rsidRPr="00E00401" w:rsidRDefault="00906C4D" w:rsidP="003807D8">
            <w:pPr>
              <w:pStyle w:val="ListParagraph"/>
              <w:numPr>
                <w:ilvl w:val="0"/>
                <w:numId w:val="11"/>
              </w:numPr>
              <w:spacing w:after="0" w:line="240" w:lineRule="auto"/>
              <w:ind w:left="164" w:hanging="284"/>
              <w:rPr>
                <w:rFonts w:ascii="Arial" w:hAnsi="Arial" w:cs="Arial"/>
                <w:sz w:val="20"/>
                <w:szCs w:val="20"/>
              </w:rPr>
            </w:pPr>
            <w:r w:rsidRPr="00E00401">
              <w:rPr>
                <w:rFonts w:ascii="Arial" w:eastAsia="Times New Roman" w:hAnsi="Arial" w:cs="Arial"/>
                <w:color w:val="000000"/>
                <w:sz w:val="20"/>
                <w:szCs w:val="20"/>
                <w:lang w:eastAsia="en-GB"/>
              </w:rPr>
              <w:t xml:space="preserve">Groups or communities where </w:t>
            </w:r>
            <w:r w:rsidRPr="00E00401">
              <w:rPr>
                <w:rFonts w:ascii="Arial" w:hAnsi="Arial" w:cs="Arial"/>
                <w:sz w:val="20"/>
                <w:szCs w:val="20"/>
              </w:rPr>
              <w:t>more evidence is needed to understand the economic (cost) implications of actions to mitigate and adapt to the health impacts of climate change</w:t>
            </w:r>
          </w:p>
        </w:tc>
        <w:tc>
          <w:tcPr>
            <w:tcW w:w="5245" w:type="dxa"/>
            <w:tcBorders>
              <w:top w:val="single" w:sz="12" w:space="0" w:color="auto"/>
            </w:tcBorders>
            <w:vAlign w:val="center"/>
          </w:tcPr>
          <w:p w14:paraId="7ED77379" w14:textId="4DB1499C"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w:t>
            </w:r>
            <w:r w:rsidR="002B2067" w:rsidRPr="00E00401">
              <w:rPr>
                <w:rFonts w:ascii="Arial" w:eastAsia="Times New Roman" w:hAnsi="Arial" w:cs="Arial"/>
                <w:color w:val="000000"/>
                <w:sz w:val="20"/>
                <w:szCs w:val="20"/>
                <w:lang w:eastAsia="en-GB"/>
              </w:rPr>
              <w:t>65.5</w:t>
            </w:r>
            <w:r w:rsidRPr="00E00401">
              <w:rPr>
                <w:rFonts w:ascii="Arial" w:eastAsia="Times New Roman" w:hAnsi="Arial" w:cs="Arial"/>
                <w:color w:val="000000"/>
                <w:sz w:val="20"/>
                <w:szCs w:val="20"/>
                <w:lang w:eastAsia="en-GB"/>
              </w:rPr>
              <w:t>%)</w:t>
            </w:r>
          </w:p>
        </w:tc>
        <w:tc>
          <w:tcPr>
            <w:tcW w:w="2410" w:type="dxa"/>
            <w:tcBorders>
              <w:top w:val="single" w:sz="12" w:space="0" w:color="auto"/>
            </w:tcBorders>
            <w:shd w:val="clear" w:color="auto" w:fill="auto"/>
            <w:noWrap/>
            <w:vAlign w:val="center"/>
            <w:hideMark/>
          </w:tcPr>
          <w:p w14:paraId="2AE14DFA" w14:textId="7D22E3D7"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w:t>
            </w:r>
            <w:r w:rsidR="002B2067" w:rsidRPr="00E00401">
              <w:rPr>
                <w:rFonts w:ascii="Arial" w:eastAsia="Times New Roman" w:hAnsi="Arial" w:cs="Arial"/>
                <w:color w:val="000000"/>
                <w:sz w:val="20"/>
                <w:szCs w:val="20"/>
                <w:lang w:eastAsia="en-GB"/>
              </w:rPr>
              <w:t>60</w:t>
            </w:r>
            <w:r w:rsidRPr="00E00401">
              <w:rPr>
                <w:rFonts w:ascii="Arial" w:eastAsia="Times New Roman" w:hAnsi="Arial" w:cs="Arial"/>
                <w:color w:val="000000"/>
                <w:sz w:val="20"/>
                <w:szCs w:val="20"/>
                <w:lang w:eastAsia="en-GB"/>
              </w:rPr>
              <w:t>%)</w:t>
            </w:r>
          </w:p>
        </w:tc>
        <w:tc>
          <w:tcPr>
            <w:tcW w:w="2299" w:type="dxa"/>
            <w:tcBorders>
              <w:top w:val="single" w:sz="12" w:space="0" w:color="auto"/>
              <w:right w:val="single" w:sz="12" w:space="0" w:color="auto"/>
            </w:tcBorders>
            <w:shd w:val="clear" w:color="auto" w:fill="auto"/>
            <w:noWrap/>
            <w:vAlign w:val="center"/>
            <w:hideMark/>
          </w:tcPr>
          <w:p w14:paraId="20794145" w14:textId="0F3042B1"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w:t>
            </w:r>
            <w:r w:rsidR="002B2067" w:rsidRPr="00E00401">
              <w:rPr>
                <w:rFonts w:ascii="Arial" w:eastAsia="Times New Roman" w:hAnsi="Arial" w:cs="Arial"/>
                <w:color w:val="000000"/>
                <w:sz w:val="20"/>
                <w:szCs w:val="20"/>
                <w:lang w:eastAsia="en-GB"/>
              </w:rPr>
              <w:t>8</w:t>
            </w:r>
            <w:r w:rsidRPr="00E00401">
              <w:rPr>
                <w:rFonts w:ascii="Arial" w:eastAsia="Times New Roman" w:hAnsi="Arial" w:cs="Arial"/>
                <w:color w:val="000000"/>
                <w:sz w:val="20"/>
                <w:szCs w:val="20"/>
                <w:lang w:eastAsia="en-GB"/>
              </w:rPr>
              <w:t>0%)</w:t>
            </w:r>
          </w:p>
        </w:tc>
      </w:tr>
      <w:tr w:rsidR="00906C4D" w:rsidRPr="00E00401" w14:paraId="6E8C01A4" w14:textId="77777777" w:rsidTr="0041687B">
        <w:trPr>
          <w:trHeight w:val="624"/>
        </w:trPr>
        <w:tc>
          <w:tcPr>
            <w:tcW w:w="4106" w:type="dxa"/>
            <w:vMerge/>
            <w:tcBorders>
              <w:left w:val="single" w:sz="12" w:space="0" w:color="auto"/>
              <w:bottom w:val="single" w:sz="12" w:space="0" w:color="auto"/>
            </w:tcBorders>
            <w:shd w:val="clear" w:color="auto" w:fill="auto"/>
            <w:noWrap/>
            <w:vAlign w:val="center"/>
            <w:hideMark/>
          </w:tcPr>
          <w:p w14:paraId="6AFF9D30" w14:textId="654289DE" w:rsidR="00906C4D" w:rsidRPr="00E00401" w:rsidRDefault="00906C4D" w:rsidP="0041687B">
            <w:pPr>
              <w:spacing w:after="0" w:line="240" w:lineRule="auto"/>
              <w:rPr>
                <w:rFonts w:ascii="Arial" w:eastAsia="Times New Roman" w:hAnsi="Arial" w:cs="Arial"/>
                <w:color w:val="000000"/>
                <w:sz w:val="20"/>
                <w:szCs w:val="20"/>
                <w:lang w:eastAsia="en-GB"/>
              </w:rPr>
            </w:pPr>
          </w:p>
        </w:tc>
        <w:tc>
          <w:tcPr>
            <w:tcW w:w="5245" w:type="dxa"/>
            <w:tcBorders>
              <w:bottom w:val="single" w:sz="12" w:space="0" w:color="auto"/>
            </w:tcBorders>
            <w:vAlign w:val="center"/>
          </w:tcPr>
          <w:p w14:paraId="07A9E537" w14:textId="360E2663"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w:t>
            </w:r>
            <w:r w:rsidR="002B2067" w:rsidRPr="00E00401">
              <w:rPr>
                <w:rFonts w:ascii="Arial" w:eastAsia="Times New Roman" w:hAnsi="Arial" w:cs="Arial"/>
                <w:color w:val="000000"/>
                <w:sz w:val="20"/>
                <w:szCs w:val="20"/>
                <w:lang w:eastAsia="en-GB"/>
              </w:rPr>
              <w:t>50</w:t>
            </w:r>
            <w:r w:rsidRPr="00E00401">
              <w:rPr>
                <w:rFonts w:ascii="Arial" w:eastAsia="Times New Roman" w:hAnsi="Arial" w:cs="Arial"/>
                <w:color w:val="000000"/>
                <w:sz w:val="20"/>
                <w:szCs w:val="20"/>
                <w:lang w:eastAsia="en-GB"/>
              </w:rPr>
              <w:t>%)</w:t>
            </w:r>
          </w:p>
        </w:tc>
        <w:tc>
          <w:tcPr>
            <w:tcW w:w="2410" w:type="dxa"/>
            <w:tcBorders>
              <w:bottom w:val="single" w:sz="12" w:space="0" w:color="auto"/>
            </w:tcBorders>
            <w:shd w:val="clear" w:color="auto" w:fill="auto"/>
            <w:noWrap/>
            <w:vAlign w:val="center"/>
            <w:hideMark/>
          </w:tcPr>
          <w:p w14:paraId="6B3E3757" w14:textId="39615D83"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(50%)</w:t>
            </w:r>
          </w:p>
        </w:tc>
        <w:tc>
          <w:tcPr>
            <w:tcW w:w="2299" w:type="dxa"/>
            <w:tcBorders>
              <w:bottom w:val="single" w:sz="12" w:space="0" w:color="auto"/>
              <w:right w:val="single" w:sz="12" w:space="0" w:color="auto"/>
            </w:tcBorders>
            <w:shd w:val="clear" w:color="auto" w:fill="auto"/>
            <w:noWrap/>
            <w:vAlign w:val="center"/>
            <w:hideMark/>
          </w:tcPr>
          <w:p w14:paraId="4CDDFD04" w14:textId="178F3EAF" w:rsidR="00906C4D" w:rsidRPr="00E00401" w:rsidRDefault="00906C4D"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w:t>
            </w:r>
            <w:r w:rsidR="002B2067" w:rsidRPr="00E00401">
              <w:rPr>
                <w:rFonts w:ascii="Arial" w:eastAsia="Times New Roman" w:hAnsi="Arial" w:cs="Arial"/>
                <w:color w:val="000000"/>
                <w:sz w:val="20"/>
                <w:szCs w:val="20"/>
                <w:lang w:eastAsia="en-GB"/>
              </w:rPr>
              <w:t>8</w:t>
            </w:r>
            <w:r w:rsidRPr="00E00401">
              <w:rPr>
                <w:rFonts w:ascii="Arial" w:eastAsia="Times New Roman" w:hAnsi="Arial" w:cs="Arial"/>
                <w:color w:val="000000"/>
                <w:sz w:val="20"/>
                <w:szCs w:val="20"/>
                <w:lang w:eastAsia="en-GB"/>
              </w:rPr>
              <w:t>0%)</w:t>
            </w:r>
          </w:p>
        </w:tc>
      </w:tr>
    </w:tbl>
    <w:p w14:paraId="3362C169" w14:textId="77777777" w:rsidR="00E00401" w:rsidRDefault="00E00401" w:rsidP="00E00401">
      <w:pPr>
        <w:pStyle w:val="Caption"/>
      </w:pPr>
      <w:bookmarkStart w:id="6" w:name="_Ref113886528"/>
    </w:p>
    <w:p w14:paraId="73B07418" w14:textId="77777777" w:rsidR="00E00401" w:rsidRDefault="00E00401">
      <w:pPr>
        <w:spacing w:line="259" w:lineRule="auto"/>
        <w:rPr>
          <w:rFonts w:ascii="Arial" w:hAnsi="Arial" w:cs="Arial"/>
          <w:b/>
          <w:bCs/>
          <w:color w:val="44546A" w:themeColor="text2"/>
          <w:sz w:val="21"/>
          <w:szCs w:val="16"/>
        </w:rPr>
      </w:pPr>
      <w:r>
        <w:br w:type="page"/>
      </w:r>
    </w:p>
    <w:p w14:paraId="4019B4F8" w14:textId="6EA2B96D" w:rsidR="00D621F5" w:rsidRDefault="00D621F5" w:rsidP="00E00401">
      <w:pPr>
        <w:pStyle w:val="Caption"/>
      </w:pPr>
      <w:r>
        <w:t xml:space="preserve">Table </w:t>
      </w:r>
      <w:r w:rsidR="00C524BE">
        <w:fldChar w:fldCharType="begin"/>
      </w:r>
      <w:r w:rsidR="00C524BE">
        <w:instrText xml:space="preserve"> SEQ Table \* ARABIC </w:instrText>
      </w:r>
      <w:r w:rsidR="00C524BE">
        <w:fldChar w:fldCharType="separate"/>
      </w:r>
      <w:r w:rsidR="00E00401">
        <w:rPr>
          <w:noProof/>
        </w:rPr>
        <w:t>4</w:t>
      </w:r>
      <w:r w:rsidR="00C524BE">
        <w:rPr>
          <w:noProof/>
        </w:rPr>
        <w:fldChar w:fldCharType="end"/>
      </w:r>
      <w:bookmarkEnd w:id="6"/>
      <w:r>
        <w:t>.</w:t>
      </w:r>
      <w:r w:rsidRPr="00D621F5">
        <w:t xml:space="preserve"> </w:t>
      </w:r>
      <w:r>
        <w:t>Differences in top two research priorities, by population density</w:t>
      </w:r>
    </w:p>
    <w:tbl>
      <w:tblPr>
        <w:tblW w:w="14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4536"/>
        <w:gridCol w:w="2835"/>
        <w:gridCol w:w="3008"/>
      </w:tblGrid>
      <w:tr w:rsidR="00D621F5" w:rsidRPr="00E00401" w14:paraId="7B83A582" w14:textId="77777777" w:rsidTr="00E00401">
        <w:trPr>
          <w:trHeight w:val="300"/>
        </w:trPr>
        <w:tc>
          <w:tcPr>
            <w:tcW w:w="3681" w:type="dxa"/>
            <w:vMerge w:val="restart"/>
            <w:shd w:val="clear" w:color="auto" w:fill="D9E2F3" w:themeFill="accent5" w:themeFillTint="33"/>
            <w:noWrap/>
            <w:vAlign w:val="center"/>
            <w:hideMark/>
          </w:tcPr>
          <w:p w14:paraId="33A324D6" w14:textId="77777777" w:rsidR="00D621F5" w:rsidRPr="00E00401" w:rsidRDefault="00D621F5" w:rsidP="00EA5F7D">
            <w:pPr>
              <w:spacing w:after="0" w:line="240" w:lineRule="auto"/>
              <w:jc w:val="center"/>
              <w:rPr>
                <w:rFonts w:ascii="Arial" w:eastAsia="Times New Roman" w:hAnsi="Arial" w:cs="Arial"/>
                <w:b/>
                <w:sz w:val="20"/>
                <w:szCs w:val="20"/>
                <w:lang w:eastAsia="en-GB"/>
              </w:rPr>
            </w:pPr>
            <w:r w:rsidRPr="00E00401">
              <w:rPr>
                <w:rFonts w:ascii="Arial" w:eastAsia="Times New Roman" w:hAnsi="Arial" w:cs="Arial"/>
                <w:b/>
                <w:sz w:val="20"/>
                <w:szCs w:val="20"/>
                <w:lang w:eastAsia="en-GB"/>
              </w:rPr>
              <w:t>Survey question</w:t>
            </w:r>
          </w:p>
        </w:tc>
        <w:tc>
          <w:tcPr>
            <w:tcW w:w="10379" w:type="dxa"/>
            <w:gridSpan w:val="3"/>
            <w:shd w:val="clear" w:color="auto" w:fill="D9E2F3" w:themeFill="accent5" w:themeFillTint="33"/>
            <w:vAlign w:val="center"/>
          </w:tcPr>
          <w:p w14:paraId="14C8EEF3" w14:textId="7A31FCCF" w:rsidR="00D621F5" w:rsidRPr="00E00401" w:rsidRDefault="00D621F5" w:rsidP="00EA5F7D">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Top two research priorities</w:t>
            </w:r>
            <w:r w:rsidR="006262DD" w:rsidRPr="00E00401">
              <w:rPr>
                <w:rFonts w:ascii="Arial" w:eastAsia="Times New Roman" w:hAnsi="Arial" w:cs="Arial"/>
                <w:b/>
                <w:color w:val="000000"/>
                <w:sz w:val="20"/>
                <w:szCs w:val="20"/>
                <w:lang w:eastAsia="en-GB"/>
              </w:rPr>
              <w:t xml:space="preserve"> (% listed as one of three top priorities)</w:t>
            </w:r>
          </w:p>
        </w:tc>
      </w:tr>
      <w:tr w:rsidR="00D621F5" w:rsidRPr="00E00401" w14:paraId="4ED3BBC9" w14:textId="77777777" w:rsidTr="00E00401">
        <w:trPr>
          <w:trHeight w:val="300"/>
        </w:trPr>
        <w:tc>
          <w:tcPr>
            <w:tcW w:w="3681" w:type="dxa"/>
            <w:vMerge/>
            <w:tcBorders>
              <w:bottom w:val="single" w:sz="12" w:space="0" w:color="auto"/>
            </w:tcBorders>
            <w:shd w:val="clear" w:color="auto" w:fill="D9E2F3" w:themeFill="accent5" w:themeFillTint="33"/>
            <w:noWrap/>
            <w:vAlign w:val="bottom"/>
          </w:tcPr>
          <w:p w14:paraId="04716624" w14:textId="77777777" w:rsidR="00D621F5" w:rsidRPr="00E00401" w:rsidRDefault="00D621F5" w:rsidP="00EA5F7D">
            <w:pPr>
              <w:spacing w:after="0" w:line="240" w:lineRule="auto"/>
              <w:rPr>
                <w:rFonts w:ascii="Arial" w:eastAsia="Times New Roman" w:hAnsi="Arial" w:cs="Arial"/>
                <w:b/>
                <w:sz w:val="20"/>
                <w:szCs w:val="20"/>
                <w:lang w:eastAsia="en-GB"/>
              </w:rPr>
            </w:pPr>
          </w:p>
        </w:tc>
        <w:tc>
          <w:tcPr>
            <w:tcW w:w="4536" w:type="dxa"/>
            <w:tcBorders>
              <w:bottom w:val="single" w:sz="12" w:space="0" w:color="auto"/>
            </w:tcBorders>
            <w:shd w:val="clear" w:color="auto" w:fill="D9E2F3" w:themeFill="accent5" w:themeFillTint="33"/>
            <w:vAlign w:val="center"/>
          </w:tcPr>
          <w:p w14:paraId="0D681493" w14:textId="77777777" w:rsidR="00D621F5" w:rsidRPr="00E00401" w:rsidRDefault="00D621F5" w:rsidP="00EA5F7D">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All LAs</w:t>
            </w:r>
          </w:p>
        </w:tc>
        <w:tc>
          <w:tcPr>
            <w:tcW w:w="2835" w:type="dxa"/>
            <w:tcBorders>
              <w:bottom w:val="single" w:sz="12" w:space="0" w:color="auto"/>
            </w:tcBorders>
            <w:shd w:val="clear" w:color="auto" w:fill="D9E2F3" w:themeFill="accent5" w:themeFillTint="33"/>
            <w:noWrap/>
            <w:vAlign w:val="center"/>
          </w:tcPr>
          <w:p w14:paraId="6CEA064B" w14:textId="11F1975A" w:rsidR="00D621F5" w:rsidRPr="00E00401" w:rsidRDefault="00D621F5" w:rsidP="00EA5F7D">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LAs with 10 lowest population densities</w:t>
            </w:r>
          </w:p>
        </w:tc>
        <w:tc>
          <w:tcPr>
            <w:tcW w:w="3008" w:type="dxa"/>
            <w:tcBorders>
              <w:bottom w:val="single" w:sz="12" w:space="0" w:color="auto"/>
            </w:tcBorders>
            <w:shd w:val="clear" w:color="auto" w:fill="D9E2F3" w:themeFill="accent5" w:themeFillTint="33"/>
            <w:noWrap/>
            <w:vAlign w:val="center"/>
          </w:tcPr>
          <w:p w14:paraId="6900629B" w14:textId="0C642C52" w:rsidR="00D621F5" w:rsidRPr="00E00401" w:rsidRDefault="00D621F5" w:rsidP="00D621F5">
            <w:pPr>
              <w:spacing w:after="0" w:line="240" w:lineRule="auto"/>
              <w:jc w:val="center"/>
              <w:rPr>
                <w:rFonts w:ascii="Arial" w:eastAsia="Times New Roman" w:hAnsi="Arial" w:cs="Arial"/>
                <w:b/>
                <w:color w:val="000000"/>
                <w:sz w:val="20"/>
                <w:szCs w:val="20"/>
                <w:lang w:eastAsia="en-GB"/>
              </w:rPr>
            </w:pPr>
            <w:r w:rsidRPr="00E00401">
              <w:rPr>
                <w:rFonts w:ascii="Arial" w:eastAsia="Times New Roman" w:hAnsi="Arial" w:cs="Arial"/>
                <w:b/>
                <w:color w:val="000000"/>
                <w:sz w:val="20"/>
                <w:szCs w:val="20"/>
                <w:lang w:eastAsia="en-GB"/>
              </w:rPr>
              <w:t>LAs with 10 highest population densities</w:t>
            </w:r>
          </w:p>
        </w:tc>
      </w:tr>
      <w:tr w:rsidR="0041687B" w:rsidRPr="00E00401" w14:paraId="47BFA728" w14:textId="77777777" w:rsidTr="0041687B">
        <w:trPr>
          <w:trHeight w:val="624"/>
        </w:trPr>
        <w:tc>
          <w:tcPr>
            <w:tcW w:w="3681" w:type="dxa"/>
            <w:vMerge w:val="restart"/>
            <w:tcBorders>
              <w:top w:val="single" w:sz="12" w:space="0" w:color="auto"/>
              <w:left w:val="single" w:sz="12" w:space="0" w:color="auto"/>
            </w:tcBorders>
            <w:shd w:val="clear" w:color="auto" w:fill="auto"/>
            <w:noWrap/>
            <w:vAlign w:val="center"/>
            <w:hideMark/>
          </w:tcPr>
          <w:p w14:paraId="2BD7E1F1" w14:textId="58BA0032" w:rsidR="0041687B" w:rsidRPr="00E00401" w:rsidRDefault="0041687B" w:rsidP="0041687B">
            <w:pPr>
              <w:pStyle w:val="ListParagraph"/>
              <w:numPr>
                <w:ilvl w:val="0"/>
                <w:numId w:val="2"/>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Areas where </w:t>
            </w:r>
            <w:r w:rsidRPr="00E00401">
              <w:rPr>
                <w:rFonts w:ascii="Arial" w:hAnsi="Arial" w:cs="Arial"/>
                <w:sz w:val="20"/>
                <w:szCs w:val="20"/>
              </w:rPr>
              <w:t>more evidence is needed by your local authority on ways to engage the public in local action to mitigate and adapt to the health impacts of climate change</w:t>
            </w:r>
          </w:p>
        </w:tc>
        <w:tc>
          <w:tcPr>
            <w:tcW w:w="4536" w:type="dxa"/>
            <w:tcBorders>
              <w:top w:val="single" w:sz="12" w:space="0" w:color="auto"/>
            </w:tcBorders>
            <w:vAlign w:val="center"/>
          </w:tcPr>
          <w:p w14:paraId="14039ED0" w14:textId="1B8E531D"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The public acceptability of local actions (e.g. low traffic neighbourhoods) (84.5%)</w:t>
            </w:r>
          </w:p>
        </w:tc>
        <w:tc>
          <w:tcPr>
            <w:tcW w:w="2835" w:type="dxa"/>
            <w:tcBorders>
              <w:top w:val="single" w:sz="12" w:space="0" w:color="auto"/>
            </w:tcBorders>
            <w:shd w:val="clear" w:color="auto" w:fill="auto"/>
            <w:noWrap/>
            <w:vAlign w:val="center"/>
          </w:tcPr>
          <w:p w14:paraId="69F0573E" w14:textId="4780D0E7"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(60%)</w:t>
            </w:r>
          </w:p>
        </w:tc>
        <w:tc>
          <w:tcPr>
            <w:tcW w:w="3008" w:type="dxa"/>
            <w:tcBorders>
              <w:top w:val="single" w:sz="12" w:space="0" w:color="auto"/>
              <w:right w:val="single" w:sz="12" w:space="0" w:color="auto"/>
            </w:tcBorders>
            <w:shd w:val="clear" w:color="auto" w:fill="auto"/>
            <w:noWrap/>
            <w:vAlign w:val="center"/>
          </w:tcPr>
          <w:p w14:paraId="444FE2E1" w14:textId="40BE083D"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but order reversed (80%)</w:t>
            </w:r>
          </w:p>
        </w:tc>
      </w:tr>
      <w:tr w:rsidR="0041687B" w:rsidRPr="00E00401" w14:paraId="0ED5118B" w14:textId="77777777" w:rsidTr="0041687B">
        <w:trPr>
          <w:trHeight w:val="624"/>
        </w:trPr>
        <w:tc>
          <w:tcPr>
            <w:tcW w:w="3681" w:type="dxa"/>
            <w:vMerge/>
            <w:tcBorders>
              <w:left w:val="single" w:sz="12" w:space="0" w:color="auto"/>
              <w:bottom w:val="single" w:sz="12" w:space="0" w:color="auto"/>
            </w:tcBorders>
            <w:shd w:val="clear" w:color="auto" w:fill="auto"/>
            <w:noWrap/>
            <w:vAlign w:val="center"/>
            <w:hideMark/>
          </w:tcPr>
          <w:p w14:paraId="1E7C8612" w14:textId="77777777" w:rsidR="0041687B" w:rsidRPr="00E00401" w:rsidRDefault="0041687B" w:rsidP="0041687B">
            <w:pPr>
              <w:spacing w:after="0" w:line="240" w:lineRule="auto"/>
              <w:ind w:left="164" w:hanging="284"/>
              <w:rPr>
                <w:rFonts w:ascii="Arial" w:eastAsia="Times New Roman" w:hAnsi="Arial" w:cs="Arial"/>
                <w:color w:val="000000"/>
                <w:sz w:val="20"/>
                <w:szCs w:val="20"/>
                <w:lang w:eastAsia="en-GB"/>
              </w:rPr>
            </w:pPr>
          </w:p>
        </w:tc>
        <w:tc>
          <w:tcPr>
            <w:tcW w:w="4536" w:type="dxa"/>
            <w:tcBorders>
              <w:bottom w:val="single" w:sz="12" w:space="0" w:color="auto"/>
            </w:tcBorders>
            <w:vAlign w:val="center"/>
          </w:tcPr>
          <w:p w14:paraId="2A302088" w14:textId="1C547D05"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Public understandings of climate change and its impacts on people’s health (74.1%)</w:t>
            </w:r>
          </w:p>
        </w:tc>
        <w:tc>
          <w:tcPr>
            <w:tcW w:w="2835" w:type="dxa"/>
            <w:tcBorders>
              <w:bottom w:val="single" w:sz="12" w:space="0" w:color="auto"/>
            </w:tcBorders>
            <w:shd w:val="clear" w:color="auto" w:fill="auto"/>
            <w:noWrap/>
            <w:vAlign w:val="center"/>
          </w:tcPr>
          <w:p w14:paraId="135CB988" w14:textId="15DA13AA"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(60%)</w:t>
            </w:r>
          </w:p>
        </w:tc>
        <w:tc>
          <w:tcPr>
            <w:tcW w:w="3008" w:type="dxa"/>
            <w:tcBorders>
              <w:bottom w:val="single" w:sz="12" w:space="0" w:color="auto"/>
              <w:right w:val="single" w:sz="12" w:space="0" w:color="auto"/>
            </w:tcBorders>
            <w:shd w:val="clear" w:color="auto" w:fill="auto"/>
            <w:noWrap/>
            <w:vAlign w:val="center"/>
          </w:tcPr>
          <w:p w14:paraId="67464BC1" w14:textId="0565F104"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but order reversed (90%)</w:t>
            </w:r>
          </w:p>
        </w:tc>
      </w:tr>
      <w:tr w:rsidR="0041687B" w:rsidRPr="00E00401" w14:paraId="5D28A32D" w14:textId="77777777" w:rsidTr="0041687B">
        <w:trPr>
          <w:trHeight w:val="624"/>
        </w:trPr>
        <w:tc>
          <w:tcPr>
            <w:tcW w:w="3681" w:type="dxa"/>
            <w:vMerge w:val="restart"/>
            <w:tcBorders>
              <w:top w:val="single" w:sz="12" w:space="0" w:color="auto"/>
              <w:left w:val="single" w:sz="12" w:space="0" w:color="auto"/>
            </w:tcBorders>
            <w:shd w:val="clear" w:color="auto" w:fill="auto"/>
            <w:noWrap/>
            <w:vAlign w:val="center"/>
            <w:hideMark/>
          </w:tcPr>
          <w:p w14:paraId="1F0EC097" w14:textId="107D56E6" w:rsidR="0041687B" w:rsidRPr="00E00401" w:rsidRDefault="0041687B" w:rsidP="0041687B">
            <w:pPr>
              <w:pStyle w:val="ListParagraph"/>
              <w:numPr>
                <w:ilvl w:val="0"/>
                <w:numId w:val="2"/>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Groups or communities where </w:t>
            </w:r>
            <w:r w:rsidRPr="00E00401">
              <w:rPr>
                <w:rFonts w:ascii="Arial" w:hAnsi="Arial" w:cs="Arial"/>
                <w:sz w:val="20"/>
                <w:szCs w:val="20"/>
              </w:rPr>
              <w:t>more evidence is needed on effective ways to engage the public in local level actions to mitigate and adapt to the health impacts of climate change on health</w:t>
            </w:r>
          </w:p>
        </w:tc>
        <w:tc>
          <w:tcPr>
            <w:tcW w:w="4536" w:type="dxa"/>
            <w:tcBorders>
              <w:top w:val="single" w:sz="12" w:space="0" w:color="auto"/>
            </w:tcBorders>
            <w:vAlign w:val="center"/>
          </w:tcPr>
          <w:p w14:paraId="13FF1216" w14:textId="53F049C6"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(65.5%)</w:t>
            </w:r>
          </w:p>
        </w:tc>
        <w:tc>
          <w:tcPr>
            <w:tcW w:w="2835" w:type="dxa"/>
            <w:tcBorders>
              <w:top w:val="single" w:sz="12" w:space="0" w:color="auto"/>
            </w:tcBorders>
            <w:shd w:val="clear" w:color="auto" w:fill="FFFFFF" w:themeFill="background1"/>
            <w:noWrap/>
            <w:vAlign w:val="center"/>
          </w:tcPr>
          <w:p w14:paraId="3B65966E" w14:textId="37013811"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(80%)</w:t>
            </w:r>
          </w:p>
        </w:tc>
        <w:tc>
          <w:tcPr>
            <w:tcW w:w="3008" w:type="dxa"/>
            <w:tcBorders>
              <w:top w:val="single" w:sz="12" w:space="0" w:color="auto"/>
              <w:right w:val="single" w:sz="12" w:space="0" w:color="auto"/>
            </w:tcBorders>
            <w:shd w:val="clear" w:color="auto" w:fill="D9D9D9" w:themeFill="background1" w:themeFillShade="D9"/>
            <w:noWrap/>
            <w:vAlign w:val="center"/>
          </w:tcPr>
          <w:p w14:paraId="4348DBE4" w14:textId="1E849484" w:rsidR="0041687B" w:rsidRPr="00E00401" w:rsidRDefault="0041687B" w:rsidP="0041687B">
            <w:pPr>
              <w:spacing w:after="0" w:line="240" w:lineRule="auto"/>
              <w:rPr>
                <w:rFonts w:ascii="Arial" w:eastAsia="Times New Roman" w:hAnsi="Arial" w:cs="Arial"/>
                <w:color w:val="FF0000"/>
                <w:sz w:val="20"/>
                <w:szCs w:val="20"/>
                <w:lang w:eastAsia="en-GB"/>
              </w:rPr>
            </w:pPr>
            <w:r w:rsidRPr="00E00401">
              <w:rPr>
                <w:rFonts w:ascii="Arial" w:hAnsi="Arial" w:cs="Arial"/>
                <w:color w:val="000000" w:themeColor="text1"/>
                <w:sz w:val="20"/>
                <w:szCs w:val="20"/>
              </w:rPr>
              <w:t>Communities from different ethnic and cultural backgrounds (70%)</w:t>
            </w:r>
          </w:p>
        </w:tc>
      </w:tr>
      <w:tr w:rsidR="0041687B" w:rsidRPr="00E00401" w14:paraId="3C4857F2" w14:textId="77777777" w:rsidTr="0041687B">
        <w:trPr>
          <w:trHeight w:val="624"/>
        </w:trPr>
        <w:tc>
          <w:tcPr>
            <w:tcW w:w="3681" w:type="dxa"/>
            <w:vMerge/>
            <w:tcBorders>
              <w:left w:val="single" w:sz="12" w:space="0" w:color="auto"/>
              <w:bottom w:val="single" w:sz="12" w:space="0" w:color="auto"/>
            </w:tcBorders>
            <w:shd w:val="clear" w:color="auto" w:fill="auto"/>
            <w:noWrap/>
            <w:vAlign w:val="center"/>
            <w:hideMark/>
          </w:tcPr>
          <w:p w14:paraId="7B08DE05" w14:textId="77777777" w:rsidR="0041687B" w:rsidRPr="00E00401" w:rsidRDefault="0041687B" w:rsidP="0041687B">
            <w:pPr>
              <w:spacing w:after="0" w:line="240" w:lineRule="auto"/>
              <w:ind w:left="164" w:hanging="284"/>
              <w:rPr>
                <w:rFonts w:ascii="Arial" w:eastAsia="Times New Roman" w:hAnsi="Arial" w:cs="Arial"/>
                <w:color w:val="000000"/>
                <w:sz w:val="20"/>
                <w:szCs w:val="20"/>
                <w:lang w:eastAsia="en-GB"/>
              </w:rPr>
            </w:pPr>
          </w:p>
        </w:tc>
        <w:tc>
          <w:tcPr>
            <w:tcW w:w="4536" w:type="dxa"/>
            <w:tcBorders>
              <w:bottom w:val="single" w:sz="12" w:space="0" w:color="auto"/>
            </w:tcBorders>
            <w:vAlign w:val="center"/>
          </w:tcPr>
          <w:p w14:paraId="1E3A5C81" w14:textId="0EE5EDDC"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Communities facing barriers to decent housing and local services (44.8%)</w:t>
            </w:r>
          </w:p>
        </w:tc>
        <w:tc>
          <w:tcPr>
            <w:tcW w:w="2835" w:type="dxa"/>
            <w:tcBorders>
              <w:bottom w:val="single" w:sz="12" w:space="0" w:color="auto"/>
            </w:tcBorders>
            <w:shd w:val="clear" w:color="auto" w:fill="D9D9D9" w:themeFill="background1" w:themeFillShade="D9"/>
            <w:noWrap/>
            <w:vAlign w:val="center"/>
          </w:tcPr>
          <w:p w14:paraId="3FFB8FEA" w14:textId="32A34060" w:rsidR="0041687B" w:rsidRPr="00E00401" w:rsidRDefault="0041687B" w:rsidP="0041687B">
            <w:pPr>
              <w:spacing w:line="240" w:lineRule="auto"/>
              <w:rPr>
                <w:rFonts w:ascii="Arial" w:hAnsi="Arial" w:cs="Arial"/>
                <w:color w:val="000000" w:themeColor="text1"/>
                <w:sz w:val="20"/>
                <w:szCs w:val="20"/>
              </w:rPr>
            </w:pPr>
            <w:r w:rsidRPr="00E00401">
              <w:rPr>
                <w:rFonts w:ascii="Arial" w:hAnsi="Arial" w:cs="Arial"/>
                <w:color w:val="000000" w:themeColor="text1"/>
                <w:sz w:val="20"/>
                <w:szCs w:val="20"/>
              </w:rPr>
              <w:t>Communities from different ethnic and cultural backgrounds (40%)</w:t>
            </w:r>
          </w:p>
        </w:tc>
        <w:tc>
          <w:tcPr>
            <w:tcW w:w="3008" w:type="dxa"/>
            <w:tcBorders>
              <w:bottom w:val="single" w:sz="12" w:space="0" w:color="auto"/>
              <w:right w:val="single" w:sz="12" w:space="0" w:color="auto"/>
            </w:tcBorders>
            <w:shd w:val="clear" w:color="auto" w:fill="D9D9D9" w:themeFill="background1" w:themeFillShade="D9"/>
            <w:noWrap/>
            <w:vAlign w:val="center"/>
          </w:tcPr>
          <w:p w14:paraId="30CCCFB0" w14:textId="6219879B" w:rsidR="0041687B" w:rsidRPr="00E00401" w:rsidRDefault="0041687B" w:rsidP="0041687B">
            <w:pPr>
              <w:spacing w:after="0" w:line="240" w:lineRule="auto"/>
              <w:rPr>
                <w:rFonts w:ascii="Arial" w:eastAsia="Times New Roman" w:hAnsi="Arial" w:cs="Arial"/>
                <w:color w:val="000000" w:themeColor="text1"/>
                <w:sz w:val="20"/>
                <w:szCs w:val="20"/>
                <w:lang w:eastAsia="en-GB"/>
              </w:rPr>
            </w:pPr>
            <w:r w:rsidRPr="00E00401">
              <w:rPr>
                <w:rFonts w:ascii="Arial" w:hAnsi="Arial" w:cs="Arial"/>
                <w:color w:val="000000" w:themeColor="text1"/>
                <w:sz w:val="20"/>
                <w:szCs w:val="20"/>
              </w:rPr>
              <w:t>Different age groups (e.g. children; older people) (50%)</w:t>
            </w:r>
          </w:p>
        </w:tc>
      </w:tr>
      <w:tr w:rsidR="0041687B" w:rsidRPr="00E00401" w14:paraId="3385E510" w14:textId="77777777" w:rsidTr="0041687B">
        <w:trPr>
          <w:trHeight w:val="624"/>
        </w:trPr>
        <w:tc>
          <w:tcPr>
            <w:tcW w:w="3681" w:type="dxa"/>
            <w:vMerge w:val="restart"/>
            <w:tcBorders>
              <w:top w:val="single" w:sz="12" w:space="0" w:color="auto"/>
              <w:left w:val="single" w:sz="12" w:space="0" w:color="auto"/>
            </w:tcBorders>
            <w:shd w:val="clear" w:color="auto" w:fill="auto"/>
            <w:noWrap/>
            <w:vAlign w:val="center"/>
            <w:hideMark/>
          </w:tcPr>
          <w:p w14:paraId="3E62C3EB" w14:textId="6A5EEC65" w:rsidR="0041687B" w:rsidRPr="00E00401" w:rsidRDefault="0041687B" w:rsidP="0041687B">
            <w:pPr>
              <w:pStyle w:val="ListParagraph"/>
              <w:numPr>
                <w:ilvl w:val="0"/>
                <w:numId w:val="2"/>
              </w:numPr>
              <w:spacing w:after="0" w:line="240" w:lineRule="auto"/>
              <w:ind w:left="164" w:hanging="284"/>
              <w:rPr>
                <w:rFonts w:ascii="Arial" w:eastAsia="Times New Roman" w:hAnsi="Arial" w:cs="Arial"/>
                <w:color w:val="000000"/>
                <w:sz w:val="20"/>
                <w:szCs w:val="20"/>
                <w:lang w:eastAsia="en-GB"/>
              </w:rPr>
            </w:pPr>
            <w:r w:rsidRPr="00E00401">
              <w:rPr>
                <w:rFonts w:ascii="Arial" w:hAnsi="Arial" w:cs="Arial"/>
                <w:i/>
                <w:sz w:val="20"/>
                <w:szCs w:val="20"/>
              </w:rPr>
              <w:t>Area</w:t>
            </w:r>
            <w:r w:rsidRPr="00E00401">
              <w:rPr>
                <w:rFonts w:ascii="Arial" w:hAnsi="Arial" w:cs="Arial"/>
                <w:sz w:val="20"/>
                <w:szCs w:val="20"/>
              </w:rPr>
              <w:t xml:space="preserve"> where more evidence is needed to understand the economic (cost) implications of actions to mitigate and adapt to the health impacts of climate change</w:t>
            </w:r>
          </w:p>
        </w:tc>
        <w:tc>
          <w:tcPr>
            <w:tcW w:w="4536" w:type="dxa"/>
            <w:tcBorders>
              <w:top w:val="single" w:sz="12" w:space="0" w:color="auto"/>
            </w:tcBorders>
            <w:vAlign w:val="center"/>
          </w:tcPr>
          <w:p w14:paraId="6E02E283" w14:textId="0AA8EB4B"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Evidence on the health and non-health-related costs and benefits of investing in climate change mitigation and adaptation activities (75.9%)</w:t>
            </w:r>
          </w:p>
        </w:tc>
        <w:tc>
          <w:tcPr>
            <w:tcW w:w="2835" w:type="dxa"/>
            <w:tcBorders>
              <w:top w:val="single" w:sz="12" w:space="0" w:color="auto"/>
            </w:tcBorders>
            <w:shd w:val="clear" w:color="auto" w:fill="auto"/>
            <w:noWrap/>
            <w:vAlign w:val="center"/>
          </w:tcPr>
          <w:p w14:paraId="7FB8BB1D" w14:textId="011885E5"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(70%)</w:t>
            </w:r>
          </w:p>
        </w:tc>
        <w:tc>
          <w:tcPr>
            <w:tcW w:w="3008" w:type="dxa"/>
            <w:tcBorders>
              <w:top w:val="single" w:sz="12" w:space="0" w:color="auto"/>
              <w:right w:val="single" w:sz="12" w:space="0" w:color="auto"/>
            </w:tcBorders>
            <w:shd w:val="clear" w:color="auto" w:fill="auto"/>
            <w:noWrap/>
            <w:vAlign w:val="center"/>
          </w:tcPr>
          <w:p w14:paraId="6CEF4DBB" w14:textId="279A8EEB"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(80%)</w:t>
            </w:r>
          </w:p>
        </w:tc>
      </w:tr>
      <w:tr w:rsidR="0041687B" w:rsidRPr="00E00401" w14:paraId="602EC055" w14:textId="77777777" w:rsidTr="0041687B">
        <w:trPr>
          <w:trHeight w:val="624"/>
        </w:trPr>
        <w:tc>
          <w:tcPr>
            <w:tcW w:w="3681" w:type="dxa"/>
            <w:vMerge/>
            <w:tcBorders>
              <w:left w:val="single" w:sz="12" w:space="0" w:color="auto"/>
              <w:bottom w:val="single" w:sz="12" w:space="0" w:color="auto"/>
            </w:tcBorders>
            <w:shd w:val="clear" w:color="auto" w:fill="auto"/>
            <w:noWrap/>
            <w:vAlign w:val="center"/>
            <w:hideMark/>
          </w:tcPr>
          <w:p w14:paraId="32B16078" w14:textId="77777777" w:rsidR="0041687B" w:rsidRPr="00E00401" w:rsidRDefault="0041687B" w:rsidP="0041687B">
            <w:pPr>
              <w:spacing w:after="0" w:line="240" w:lineRule="auto"/>
              <w:ind w:left="164" w:hanging="284"/>
              <w:rPr>
                <w:rFonts w:ascii="Arial" w:eastAsia="Times New Roman" w:hAnsi="Arial" w:cs="Arial"/>
                <w:color w:val="000000"/>
                <w:sz w:val="20"/>
                <w:szCs w:val="20"/>
                <w:lang w:eastAsia="en-GB"/>
              </w:rPr>
            </w:pPr>
          </w:p>
        </w:tc>
        <w:tc>
          <w:tcPr>
            <w:tcW w:w="4536" w:type="dxa"/>
            <w:tcBorders>
              <w:bottom w:val="single" w:sz="12" w:space="0" w:color="auto"/>
            </w:tcBorders>
            <w:vAlign w:val="center"/>
          </w:tcPr>
          <w:p w14:paraId="59CEA446" w14:textId="6CCA9926"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Evidence on the health and non-health-related costs and benefits of investing in climate change mitigation and adaptation activities (69%)</w:t>
            </w:r>
          </w:p>
        </w:tc>
        <w:tc>
          <w:tcPr>
            <w:tcW w:w="2835" w:type="dxa"/>
            <w:tcBorders>
              <w:bottom w:val="single" w:sz="12" w:space="0" w:color="auto"/>
            </w:tcBorders>
            <w:shd w:val="clear" w:color="auto" w:fill="auto"/>
            <w:noWrap/>
            <w:vAlign w:val="center"/>
          </w:tcPr>
          <w:p w14:paraId="6780F29C" w14:textId="4DDC00D3"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(60%)</w:t>
            </w:r>
          </w:p>
        </w:tc>
        <w:tc>
          <w:tcPr>
            <w:tcW w:w="3008" w:type="dxa"/>
            <w:tcBorders>
              <w:bottom w:val="single" w:sz="12" w:space="0" w:color="auto"/>
              <w:right w:val="single" w:sz="12" w:space="0" w:color="auto"/>
            </w:tcBorders>
            <w:shd w:val="clear" w:color="auto" w:fill="auto"/>
            <w:noWrap/>
            <w:vAlign w:val="center"/>
          </w:tcPr>
          <w:p w14:paraId="58E83B10" w14:textId="3DE1222C"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(70%)</w:t>
            </w:r>
          </w:p>
        </w:tc>
      </w:tr>
      <w:tr w:rsidR="0041687B" w:rsidRPr="00E00401" w14:paraId="79E4616B" w14:textId="77777777" w:rsidTr="0041687B">
        <w:trPr>
          <w:trHeight w:val="624"/>
        </w:trPr>
        <w:tc>
          <w:tcPr>
            <w:tcW w:w="3681" w:type="dxa"/>
            <w:vMerge w:val="restart"/>
            <w:tcBorders>
              <w:top w:val="single" w:sz="12" w:space="0" w:color="auto"/>
              <w:left w:val="single" w:sz="12" w:space="0" w:color="auto"/>
              <w:bottom w:val="single" w:sz="12" w:space="0" w:color="auto"/>
            </w:tcBorders>
            <w:shd w:val="clear" w:color="auto" w:fill="auto"/>
            <w:noWrap/>
            <w:vAlign w:val="center"/>
            <w:hideMark/>
          </w:tcPr>
          <w:p w14:paraId="7C956FD1" w14:textId="293630FF" w:rsidR="0041687B" w:rsidRPr="00E00401" w:rsidRDefault="0041687B" w:rsidP="0041687B">
            <w:pPr>
              <w:pStyle w:val="ListParagraph"/>
              <w:numPr>
                <w:ilvl w:val="0"/>
                <w:numId w:val="2"/>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Specific sectors where </w:t>
            </w:r>
            <w:r w:rsidRPr="00E00401">
              <w:rPr>
                <w:rFonts w:ascii="Arial" w:hAnsi="Arial" w:cs="Arial"/>
                <w:sz w:val="20"/>
                <w:szCs w:val="20"/>
              </w:rPr>
              <w:t>more evidence is needed to understand the economic (cost) implications of actions to mitigate and adapt to the health impacts of climate change</w:t>
            </w:r>
          </w:p>
        </w:tc>
        <w:tc>
          <w:tcPr>
            <w:tcW w:w="4536" w:type="dxa"/>
            <w:tcBorders>
              <w:top w:val="single" w:sz="12" w:space="0" w:color="auto"/>
              <w:bottom w:val="single" w:sz="4" w:space="0" w:color="auto"/>
            </w:tcBorders>
            <w:vAlign w:val="center"/>
          </w:tcPr>
          <w:p w14:paraId="0BEF9732" w14:textId="594E4BDF"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Built environment, building design, healthy homes schemes (60.3%)</w:t>
            </w:r>
          </w:p>
        </w:tc>
        <w:tc>
          <w:tcPr>
            <w:tcW w:w="2835" w:type="dxa"/>
            <w:tcBorders>
              <w:top w:val="single" w:sz="12" w:space="0" w:color="auto"/>
              <w:bottom w:val="single" w:sz="4" w:space="0" w:color="auto"/>
            </w:tcBorders>
            <w:shd w:val="clear" w:color="auto" w:fill="auto"/>
            <w:noWrap/>
            <w:vAlign w:val="center"/>
          </w:tcPr>
          <w:p w14:paraId="01880CCB" w14:textId="7D3F3690"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(60%)</w:t>
            </w:r>
          </w:p>
        </w:tc>
        <w:tc>
          <w:tcPr>
            <w:tcW w:w="3008" w:type="dxa"/>
            <w:tcBorders>
              <w:top w:val="single" w:sz="12" w:space="0" w:color="auto"/>
              <w:bottom w:val="single" w:sz="4" w:space="0" w:color="auto"/>
              <w:right w:val="single" w:sz="12" w:space="0" w:color="auto"/>
            </w:tcBorders>
            <w:shd w:val="clear" w:color="auto" w:fill="FFFFFF" w:themeFill="background1"/>
            <w:noWrap/>
            <w:vAlign w:val="center"/>
          </w:tcPr>
          <w:p w14:paraId="5B5F80FD" w14:textId="7D1D32AA"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(60%)</w:t>
            </w:r>
          </w:p>
        </w:tc>
      </w:tr>
      <w:tr w:rsidR="0041687B" w:rsidRPr="00E00401" w14:paraId="1B91F41C" w14:textId="77777777" w:rsidTr="0041687B">
        <w:trPr>
          <w:trHeight w:val="624"/>
        </w:trPr>
        <w:tc>
          <w:tcPr>
            <w:tcW w:w="3681" w:type="dxa"/>
            <w:vMerge/>
            <w:tcBorders>
              <w:top w:val="single" w:sz="12" w:space="0" w:color="auto"/>
              <w:left w:val="single" w:sz="12" w:space="0" w:color="auto"/>
            </w:tcBorders>
            <w:shd w:val="clear" w:color="auto" w:fill="auto"/>
            <w:noWrap/>
            <w:vAlign w:val="center"/>
            <w:hideMark/>
          </w:tcPr>
          <w:p w14:paraId="497A46AC" w14:textId="77777777" w:rsidR="0041687B" w:rsidRPr="00E00401" w:rsidRDefault="0041687B" w:rsidP="0041687B">
            <w:pPr>
              <w:spacing w:after="0" w:line="240" w:lineRule="auto"/>
              <w:ind w:left="164" w:hanging="284"/>
              <w:rPr>
                <w:rFonts w:ascii="Arial" w:eastAsia="Times New Roman" w:hAnsi="Arial" w:cs="Arial"/>
                <w:color w:val="000000"/>
                <w:sz w:val="20"/>
                <w:szCs w:val="20"/>
                <w:lang w:eastAsia="en-GB"/>
              </w:rPr>
            </w:pPr>
          </w:p>
        </w:tc>
        <w:tc>
          <w:tcPr>
            <w:tcW w:w="4536" w:type="dxa"/>
            <w:tcBorders>
              <w:top w:val="single" w:sz="4" w:space="0" w:color="auto"/>
            </w:tcBorders>
            <w:vAlign w:val="center"/>
          </w:tcPr>
          <w:p w14:paraId="72F6179D" w14:textId="3E334298"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Healthier diets and sustainability of food supply (48.3%)</w:t>
            </w:r>
          </w:p>
        </w:tc>
        <w:tc>
          <w:tcPr>
            <w:tcW w:w="2835" w:type="dxa"/>
            <w:tcBorders>
              <w:top w:val="single" w:sz="4" w:space="0" w:color="auto"/>
            </w:tcBorders>
            <w:shd w:val="clear" w:color="auto" w:fill="FFFFFF" w:themeFill="background1"/>
            <w:noWrap/>
            <w:vAlign w:val="center"/>
          </w:tcPr>
          <w:p w14:paraId="65F4C7C9" w14:textId="5D3BF8BC"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(40%)</w:t>
            </w:r>
          </w:p>
        </w:tc>
        <w:tc>
          <w:tcPr>
            <w:tcW w:w="3008" w:type="dxa"/>
            <w:tcBorders>
              <w:top w:val="single" w:sz="4" w:space="0" w:color="auto"/>
              <w:right w:val="single" w:sz="12" w:space="0" w:color="auto"/>
            </w:tcBorders>
            <w:shd w:val="clear" w:color="auto" w:fill="FFFFFF" w:themeFill="background1"/>
            <w:noWrap/>
            <w:vAlign w:val="center"/>
          </w:tcPr>
          <w:p w14:paraId="7AA15DA1" w14:textId="353FF582"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(50%)</w:t>
            </w:r>
          </w:p>
        </w:tc>
      </w:tr>
      <w:tr w:rsidR="0041687B" w:rsidRPr="00E00401" w14:paraId="2F254C9A" w14:textId="77777777" w:rsidTr="0041687B">
        <w:trPr>
          <w:trHeight w:val="624"/>
        </w:trPr>
        <w:tc>
          <w:tcPr>
            <w:tcW w:w="3681" w:type="dxa"/>
            <w:vMerge w:val="restart"/>
            <w:tcBorders>
              <w:top w:val="single" w:sz="12" w:space="0" w:color="auto"/>
              <w:left w:val="single" w:sz="12" w:space="0" w:color="auto"/>
            </w:tcBorders>
            <w:shd w:val="clear" w:color="auto" w:fill="auto"/>
            <w:noWrap/>
            <w:vAlign w:val="center"/>
            <w:hideMark/>
          </w:tcPr>
          <w:p w14:paraId="494E8B25" w14:textId="446AF356" w:rsidR="0041687B" w:rsidRPr="00E00401" w:rsidRDefault="0041687B" w:rsidP="0041687B">
            <w:pPr>
              <w:pStyle w:val="ListParagraph"/>
              <w:numPr>
                <w:ilvl w:val="0"/>
                <w:numId w:val="2"/>
              </w:numPr>
              <w:spacing w:after="0" w:line="240" w:lineRule="auto"/>
              <w:ind w:left="164" w:hanging="284"/>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Groups or communities where </w:t>
            </w:r>
            <w:r w:rsidRPr="00E00401">
              <w:rPr>
                <w:rFonts w:ascii="Arial" w:hAnsi="Arial" w:cs="Arial"/>
                <w:sz w:val="20"/>
                <w:szCs w:val="20"/>
              </w:rPr>
              <w:t>more evidence is needed to understand the economic (cost) implications of actions to mitigate and adapt to the health impacts of climate change</w:t>
            </w:r>
          </w:p>
        </w:tc>
        <w:tc>
          <w:tcPr>
            <w:tcW w:w="4536" w:type="dxa"/>
            <w:tcBorders>
              <w:top w:val="single" w:sz="12" w:space="0" w:color="auto"/>
            </w:tcBorders>
            <w:vAlign w:val="center"/>
          </w:tcPr>
          <w:p w14:paraId="653CF463" w14:textId="2D387C1D"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Different income groups (e.g. richer and poorer households) (65.5%)</w:t>
            </w:r>
          </w:p>
        </w:tc>
        <w:tc>
          <w:tcPr>
            <w:tcW w:w="2835" w:type="dxa"/>
            <w:tcBorders>
              <w:top w:val="single" w:sz="12" w:space="0" w:color="auto"/>
            </w:tcBorders>
            <w:shd w:val="clear" w:color="auto" w:fill="auto"/>
            <w:noWrap/>
            <w:vAlign w:val="center"/>
          </w:tcPr>
          <w:p w14:paraId="6E787405" w14:textId="23381035" w:rsidR="0041687B" w:rsidRPr="00E00401" w:rsidRDefault="0041687B" w:rsidP="0041687B">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(80%)</w:t>
            </w:r>
          </w:p>
        </w:tc>
        <w:tc>
          <w:tcPr>
            <w:tcW w:w="3008" w:type="dxa"/>
            <w:tcBorders>
              <w:top w:val="single" w:sz="12" w:space="0" w:color="auto"/>
              <w:right w:val="single" w:sz="12" w:space="0" w:color="auto"/>
            </w:tcBorders>
            <w:shd w:val="clear" w:color="auto" w:fill="D9D9D9" w:themeFill="background1" w:themeFillShade="D9"/>
            <w:noWrap/>
            <w:vAlign w:val="center"/>
          </w:tcPr>
          <w:p w14:paraId="1E07DFE6" w14:textId="1FC6A74B" w:rsidR="0041687B" w:rsidRPr="00E00401" w:rsidRDefault="0041687B" w:rsidP="0041687B">
            <w:pPr>
              <w:spacing w:after="0" w:line="240" w:lineRule="auto"/>
              <w:rPr>
                <w:rFonts w:ascii="Arial" w:eastAsia="Times New Roman" w:hAnsi="Arial" w:cs="Arial"/>
                <w:color w:val="000000" w:themeColor="text1"/>
                <w:sz w:val="20"/>
                <w:szCs w:val="20"/>
                <w:lang w:eastAsia="en-GB"/>
              </w:rPr>
            </w:pPr>
            <w:r w:rsidRPr="00E00401">
              <w:rPr>
                <w:rFonts w:ascii="Arial" w:hAnsi="Arial" w:cs="Arial"/>
                <w:color w:val="000000" w:themeColor="text1"/>
                <w:sz w:val="20"/>
                <w:szCs w:val="20"/>
              </w:rPr>
              <w:t>All communities (60%)</w:t>
            </w:r>
          </w:p>
        </w:tc>
      </w:tr>
      <w:tr w:rsidR="006262DD" w:rsidRPr="00E00401" w14:paraId="0500143E" w14:textId="77777777" w:rsidTr="0041687B">
        <w:trPr>
          <w:trHeight w:val="624"/>
        </w:trPr>
        <w:tc>
          <w:tcPr>
            <w:tcW w:w="3681" w:type="dxa"/>
            <w:vMerge/>
            <w:tcBorders>
              <w:left w:val="single" w:sz="12" w:space="0" w:color="auto"/>
              <w:bottom w:val="single" w:sz="12" w:space="0" w:color="auto"/>
            </w:tcBorders>
            <w:shd w:val="clear" w:color="auto" w:fill="auto"/>
            <w:noWrap/>
            <w:vAlign w:val="center"/>
            <w:hideMark/>
          </w:tcPr>
          <w:p w14:paraId="44F885D0" w14:textId="77777777" w:rsidR="002B2067" w:rsidRPr="00E00401" w:rsidRDefault="002B2067" w:rsidP="006262DD">
            <w:pPr>
              <w:spacing w:after="0" w:line="240" w:lineRule="auto"/>
              <w:rPr>
                <w:rFonts w:ascii="Arial" w:eastAsia="Times New Roman" w:hAnsi="Arial" w:cs="Arial"/>
                <w:color w:val="000000"/>
                <w:sz w:val="20"/>
                <w:szCs w:val="20"/>
                <w:lang w:eastAsia="en-GB"/>
              </w:rPr>
            </w:pPr>
          </w:p>
        </w:tc>
        <w:tc>
          <w:tcPr>
            <w:tcW w:w="4536" w:type="dxa"/>
            <w:tcBorders>
              <w:bottom w:val="single" w:sz="12" w:space="0" w:color="auto"/>
            </w:tcBorders>
            <w:vAlign w:val="center"/>
          </w:tcPr>
          <w:p w14:paraId="0D325C8D" w14:textId="05BA4774" w:rsidR="002B2067" w:rsidRPr="00E00401" w:rsidRDefault="006C4E0B" w:rsidP="006262DD">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 xml:space="preserve">Communities facing barriers to decent housing and local services </w:t>
            </w:r>
            <w:r w:rsidR="002B2067" w:rsidRPr="00E00401">
              <w:rPr>
                <w:rFonts w:ascii="Arial" w:eastAsia="Times New Roman" w:hAnsi="Arial" w:cs="Arial"/>
                <w:color w:val="000000"/>
                <w:sz w:val="20"/>
                <w:szCs w:val="20"/>
                <w:lang w:eastAsia="en-GB"/>
              </w:rPr>
              <w:t>(50%)</w:t>
            </w:r>
          </w:p>
        </w:tc>
        <w:tc>
          <w:tcPr>
            <w:tcW w:w="2835" w:type="dxa"/>
            <w:tcBorders>
              <w:bottom w:val="single" w:sz="12" w:space="0" w:color="auto"/>
            </w:tcBorders>
            <w:shd w:val="clear" w:color="auto" w:fill="auto"/>
            <w:noWrap/>
            <w:vAlign w:val="center"/>
          </w:tcPr>
          <w:p w14:paraId="6015347C" w14:textId="0095106A" w:rsidR="002B2067" w:rsidRPr="00E00401" w:rsidRDefault="002B2067" w:rsidP="006262DD">
            <w:pPr>
              <w:spacing w:after="0" w:line="240" w:lineRule="auto"/>
              <w:rPr>
                <w:rFonts w:ascii="Arial" w:eastAsia="Times New Roman" w:hAnsi="Arial" w:cs="Arial"/>
                <w:color w:val="000000"/>
                <w:sz w:val="20"/>
                <w:szCs w:val="20"/>
                <w:lang w:eastAsia="en-GB"/>
              </w:rPr>
            </w:pPr>
            <w:r w:rsidRPr="00E00401">
              <w:rPr>
                <w:rFonts w:ascii="Arial" w:eastAsia="Times New Roman" w:hAnsi="Arial" w:cs="Arial"/>
                <w:color w:val="000000"/>
                <w:sz w:val="20"/>
                <w:szCs w:val="20"/>
                <w:lang w:eastAsia="en-GB"/>
              </w:rPr>
              <w:t>Unchanged (40%)</w:t>
            </w:r>
          </w:p>
        </w:tc>
        <w:tc>
          <w:tcPr>
            <w:tcW w:w="3008" w:type="dxa"/>
            <w:tcBorders>
              <w:bottom w:val="single" w:sz="12" w:space="0" w:color="auto"/>
              <w:right w:val="single" w:sz="12" w:space="0" w:color="auto"/>
            </w:tcBorders>
            <w:shd w:val="clear" w:color="auto" w:fill="FFFFFF" w:themeFill="background1"/>
            <w:noWrap/>
            <w:vAlign w:val="center"/>
          </w:tcPr>
          <w:p w14:paraId="288B59C8" w14:textId="07C43E1D" w:rsidR="002B2067" w:rsidRPr="00E00401" w:rsidRDefault="006C4E0B" w:rsidP="006262DD">
            <w:pPr>
              <w:spacing w:after="0" w:line="240" w:lineRule="auto"/>
              <w:rPr>
                <w:rFonts w:ascii="Arial" w:eastAsia="Times New Roman" w:hAnsi="Arial" w:cs="Arial"/>
                <w:color w:val="000000" w:themeColor="text1"/>
                <w:sz w:val="20"/>
                <w:szCs w:val="20"/>
                <w:lang w:eastAsia="en-GB"/>
              </w:rPr>
            </w:pPr>
            <w:r w:rsidRPr="00E00401">
              <w:rPr>
                <w:rFonts w:ascii="Arial" w:eastAsia="Times New Roman" w:hAnsi="Arial" w:cs="Arial"/>
                <w:color w:val="000000"/>
                <w:sz w:val="20"/>
                <w:szCs w:val="20"/>
                <w:lang w:eastAsia="en-GB"/>
              </w:rPr>
              <w:t>Different income groups (e.g. richer and poorer households) (65.5%)</w:t>
            </w:r>
          </w:p>
        </w:tc>
      </w:tr>
    </w:tbl>
    <w:p w14:paraId="370CCC78" w14:textId="77777777" w:rsidR="002A2A1D" w:rsidRDefault="002A2A1D" w:rsidP="0008006D"/>
    <w:p w14:paraId="3A16250E" w14:textId="0E3AEE06" w:rsidR="00E00401" w:rsidRPr="00E00401" w:rsidRDefault="00E00401" w:rsidP="00E00401">
      <w:pPr>
        <w:pStyle w:val="Heading2"/>
        <w:spacing w:after="120" w:line="240" w:lineRule="auto"/>
        <w:rPr>
          <w:rFonts w:ascii="Arial" w:hAnsi="Arial" w:cs="Arial"/>
          <w:bCs/>
          <w:color w:val="2E74B5" w:themeColor="accent1" w:themeShade="BF"/>
          <w:sz w:val="22"/>
          <w:szCs w:val="22"/>
        </w:rPr>
      </w:pPr>
      <w:r>
        <w:rPr>
          <w:rFonts w:ascii="Arial" w:hAnsi="Arial" w:cs="Arial"/>
          <w:bCs/>
          <w:color w:val="2E74B5" w:themeColor="accent1" w:themeShade="BF"/>
          <w:sz w:val="22"/>
          <w:szCs w:val="22"/>
        </w:rPr>
        <w:t>References</w:t>
      </w:r>
    </w:p>
    <w:p w14:paraId="76EC78B5" w14:textId="5EF8E1EC" w:rsidR="00E00401" w:rsidRPr="00E00401" w:rsidRDefault="00E00401" w:rsidP="00E00401">
      <w:pPr>
        <w:pStyle w:val="EndNoteBibliography"/>
        <w:rPr>
          <w:noProof/>
        </w:rPr>
      </w:pPr>
      <w:r>
        <w:fldChar w:fldCharType="begin"/>
      </w:r>
      <w:r>
        <w:instrText xml:space="preserve"> ADDIN EN.REFLIST </w:instrText>
      </w:r>
      <w:r>
        <w:fldChar w:fldCharType="separate"/>
      </w:r>
      <w:r w:rsidRPr="00E00401">
        <w:rPr>
          <w:noProof/>
        </w:rPr>
        <w:t>1.</w:t>
      </w:r>
      <w:r w:rsidRPr="00E00401">
        <w:rPr>
          <w:noProof/>
        </w:rPr>
        <w:tab/>
        <w:t xml:space="preserve">Office for National Statistics. Population profiles for local authorities in England 2022 [Available from: </w:t>
      </w:r>
      <w:hyperlink r:id="rId7" w:history="1">
        <w:r w:rsidRPr="00E00401">
          <w:rPr>
            <w:rStyle w:val="Hyperlink"/>
            <w:noProof/>
          </w:rPr>
          <w:t>https://www.ons.gov.uk/peoplepopulationandcommunity/populationandmigration/populationestimates/articles/populationprofilesforlocalauthoritiesinengland/2020-12-14</w:t>
        </w:r>
      </w:hyperlink>
      <w:r w:rsidRPr="00E00401">
        <w:rPr>
          <w:noProof/>
        </w:rPr>
        <w:t>.</w:t>
      </w:r>
    </w:p>
    <w:p w14:paraId="4EECE581" w14:textId="3F63E8F3" w:rsidR="00141D54" w:rsidRPr="0008006D" w:rsidRDefault="00E00401" w:rsidP="0008006D">
      <w:r>
        <w:fldChar w:fldCharType="end"/>
      </w:r>
    </w:p>
    <w:sectPr w:rsidR="00141D54" w:rsidRPr="0008006D" w:rsidSect="00906C4D">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92A01"/>
    <w:multiLevelType w:val="hybridMultilevel"/>
    <w:tmpl w:val="88ACB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75257"/>
    <w:multiLevelType w:val="hybridMultilevel"/>
    <w:tmpl w:val="2C9E2F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CB051B"/>
    <w:multiLevelType w:val="hybridMultilevel"/>
    <w:tmpl w:val="DF9E36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2602C"/>
    <w:multiLevelType w:val="hybridMultilevel"/>
    <w:tmpl w:val="F78EAA54"/>
    <w:lvl w:ilvl="0" w:tplc="9E52618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36EE3"/>
    <w:multiLevelType w:val="hybridMultilevel"/>
    <w:tmpl w:val="E0140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E570FE"/>
    <w:multiLevelType w:val="hybridMultilevel"/>
    <w:tmpl w:val="04B4CA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1538B2"/>
    <w:multiLevelType w:val="hybridMultilevel"/>
    <w:tmpl w:val="43A230C4"/>
    <w:lvl w:ilvl="0" w:tplc="C15A2E6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4D48B3"/>
    <w:multiLevelType w:val="hybridMultilevel"/>
    <w:tmpl w:val="9998DF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E5110F"/>
    <w:multiLevelType w:val="hybridMultilevel"/>
    <w:tmpl w:val="061CE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A1131C"/>
    <w:multiLevelType w:val="hybridMultilevel"/>
    <w:tmpl w:val="A7E0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134B28"/>
    <w:multiLevelType w:val="hybridMultilevel"/>
    <w:tmpl w:val="04B4CA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A57630"/>
    <w:multiLevelType w:val="hybridMultilevel"/>
    <w:tmpl w:val="314A2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E612D88"/>
    <w:multiLevelType w:val="hybridMultilevel"/>
    <w:tmpl w:val="CEC609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1"/>
  </w:num>
  <w:num w:numId="3">
    <w:abstractNumId w:val="3"/>
  </w:num>
  <w:num w:numId="4">
    <w:abstractNumId w:val="1"/>
  </w:num>
  <w:num w:numId="5">
    <w:abstractNumId w:val="4"/>
  </w:num>
  <w:num w:numId="6">
    <w:abstractNumId w:val="2"/>
  </w:num>
  <w:num w:numId="7">
    <w:abstractNumId w:val="8"/>
  </w:num>
  <w:num w:numId="8">
    <w:abstractNumId w:val="12"/>
  </w:num>
  <w:num w:numId="9">
    <w:abstractNumId w:val="0"/>
  </w:num>
  <w:num w:numId="10">
    <w:abstractNumId w:val="6"/>
  </w:num>
  <w:num w:numId="11">
    <w:abstractNumId w:val="5"/>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rta9vatezrvie52edv2dtgdsdwr0a2twvr&quot;&gt;GenReport&lt;record-ids&gt;&lt;item&gt;128&lt;/item&gt;&lt;/record-ids&gt;&lt;/item&gt;&lt;/Libraries&gt;"/>
  </w:docVars>
  <w:rsids>
    <w:rsidRoot w:val="00562CB4"/>
    <w:rsid w:val="0008006D"/>
    <w:rsid w:val="0010750C"/>
    <w:rsid w:val="00141D54"/>
    <w:rsid w:val="00156973"/>
    <w:rsid w:val="001A27A7"/>
    <w:rsid w:val="001B03B9"/>
    <w:rsid w:val="00265762"/>
    <w:rsid w:val="002736C6"/>
    <w:rsid w:val="002A2A1D"/>
    <w:rsid w:val="002B2067"/>
    <w:rsid w:val="00351D19"/>
    <w:rsid w:val="003807D8"/>
    <w:rsid w:val="003814D1"/>
    <w:rsid w:val="00397AA5"/>
    <w:rsid w:val="003C7C57"/>
    <w:rsid w:val="0041687B"/>
    <w:rsid w:val="00443E74"/>
    <w:rsid w:val="00487949"/>
    <w:rsid w:val="004A009D"/>
    <w:rsid w:val="00507423"/>
    <w:rsid w:val="00521D07"/>
    <w:rsid w:val="00562CB4"/>
    <w:rsid w:val="005666D5"/>
    <w:rsid w:val="006155AA"/>
    <w:rsid w:val="006262DD"/>
    <w:rsid w:val="00637567"/>
    <w:rsid w:val="006653FA"/>
    <w:rsid w:val="00666967"/>
    <w:rsid w:val="006C0FE5"/>
    <w:rsid w:val="006C4E0B"/>
    <w:rsid w:val="0070069B"/>
    <w:rsid w:val="00787E3B"/>
    <w:rsid w:val="00794180"/>
    <w:rsid w:val="007A4A16"/>
    <w:rsid w:val="007F35D2"/>
    <w:rsid w:val="00801FEC"/>
    <w:rsid w:val="00821EC9"/>
    <w:rsid w:val="008634DB"/>
    <w:rsid w:val="0088182F"/>
    <w:rsid w:val="00896B9E"/>
    <w:rsid w:val="008D535D"/>
    <w:rsid w:val="00906C4D"/>
    <w:rsid w:val="009749EB"/>
    <w:rsid w:val="00975C42"/>
    <w:rsid w:val="009816EE"/>
    <w:rsid w:val="009C401C"/>
    <w:rsid w:val="009E1547"/>
    <w:rsid w:val="00A049B9"/>
    <w:rsid w:val="00A04E84"/>
    <w:rsid w:val="00A51833"/>
    <w:rsid w:val="00A90996"/>
    <w:rsid w:val="00AD4031"/>
    <w:rsid w:val="00AF7447"/>
    <w:rsid w:val="00B04805"/>
    <w:rsid w:val="00B76965"/>
    <w:rsid w:val="00BB72C2"/>
    <w:rsid w:val="00BC45F3"/>
    <w:rsid w:val="00BF5FF6"/>
    <w:rsid w:val="00C32F19"/>
    <w:rsid w:val="00C524BE"/>
    <w:rsid w:val="00C6127B"/>
    <w:rsid w:val="00C85FFF"/>
    <w:rsid w:val="00C87A10"/>
    <w:rsid w:val="00CD64F8"/>
    <w:rsid w:val="00CF1F71"/>
    <w:rsid w:val="00CF59BD"/>
    <w:rsid w:val="00D1313F"/>
    <w:rsid w:val="00D3394A"/>
    <w:rsid w:val="00D540CD"/>
    <w:rsid w:val="00D621F5"/>
    <w:rsid w:val="00E00401"/>
    <w:rsid w:val="00E67F30"/>
    <w:rsid w:val="00EF3597"/>
    <w:rsid w:val="00F008CE"/>
    <w:rsid w:val="00F01E9D"/>
    <w:rsid w:val="00F07F35"/>
    <w:rsid w:val="00F33412"/>
    <w:rsid w:val="00FB259B"/>
    <w:rsid w:val="00FE75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61B6"/>
  <w15:chartTrackingRefBased/>
  <w15:docId w15:val="{65F325A2-CE03-468A-A02B-614E252D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5A8"/>
    <w:pPr>
      <w:spacing w:line="360" w:lineRule="auto"/>
    </w:pPr>
  </w:style>
  <w:style w:type="paragraph" w:styleId="Heading1">
    <w:name w:val="heading 1"/>
    <w:basedOn w:val="Normal"/>
    <w:next w:val="Normal"/>
    <w:link w:val="Heading1Char"/>
    <w:uiPriority w:val="9"/>
    <w:qFormat/>
    <w:rsid w:val="001B03B9"/>
    <w:pPr>
      <w:keepNext/>
      <w:keepLines/>
      <w:spacing w:before="360" w:after="12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1B03B9"/>
    <w:pPr>
      <w:keepNext/>
      <w:keepLines/>
      <w:spacing w:before="40" w:after="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C87A10"/>
    <w:pPr>
      <w:keepNext/>
      <w:keepLines/>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6653FA"/>
    <w:pPr>
      <w:keepNext/>
      <w:keepLines/>
      <w:spacing w:before="200" w:after="0"/>
      <w:outlineLvl w:val="3"/>
    </w:pPr>
    <w:rPr>
      <w:rFonts w:ascii="Calibri" w:eastAsiaTheme="majorEastAsia" w:hAnsi="Calibri" w:cstheme="majorBidi"/>
      <w:bCs/>
      <w:i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3B9"/>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1B03B9"/>
    <w:rPr>
      <w:rFonts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C87A10"/>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6653FA"/>
    <w:rPr>
      <w:rFonts w:ascii="Calibri" w:eastAsiaTheme="majorEastAsia" w:hAnsi="Calibri" w:cstheme="majorBidi"/>
      <w:bCs/>
      <w:iCs/>
      <w:color w:val="000000" w:themeColor="text1"/>
      <w:u w:val="single"/>
    </w:rPr>
  </w:style>
  <w:style w:type="paragraph" w:styleId="Caption">
    <w:name w:val="caption"/>
    <w:basedOn w:val="Normal"/>
    <w:next w:val="Normal"/>
    <w:autoRedefine/>
    <w:uiPriority w:val="35"/>
    <w:unhideWhenUsed/>
    <w:qFormat/>
    <w:rsid w:val="00E00401"/>
    <w:pPr>
      <w:spacing w:after="80"/>
    </w:pPr>
    <w:rPr>
      <w:rFonts w:ascii="Arial" w:hAnsi="Arial" w:cs="Arial"/>
      <w:b/>
      <w:bCs/>
      <w:color w:val="44546A" w:themeColor="text2"/>
      <w:sz w:val="21"/>
      <w:szCs w:val="16"/>
    </w:rPr>
  </w:style>
  <w:style w:type="table" w:styleId="TableGrid">
    <w:name w:val="Table Grid"/>
    <w:basedOn w:val="TableNormal"/>
    <w:uiPriority w:val="39"/>
    <w:rsid w:val="00CD6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41D54"/>
    <w:rPr>
      <w:sz w:val="16"/>
      <w:szCs w:val="16"/>
    </w:rPr>
  </w:style>
  <w:style w:type="paragraph" w:styleId="CommentText">
    <w:name w:val="annotation text"/>
    <w:basedOn w:val="Normal"/>
    <w:link w:val="CommentTextChar"/>
    <w:uiPriority w:val="99"/>
    <w:unhideWhenUsed/>
    <w:rsid w:val="00141D54"/>
    <w:pPr>
      <w:spacing w:line="240" w:lineRule="auto"/>
    </w:pPr>
    <w:rPr>
      <w:sz w:val="20"/>
      <w:szCs w:val="20"/>
    </w:rPr>
  </w:style>
  <w:style w:type="character" w:customStyle="1" w:styleId="CommentTextChar">
    <w:name w:val="Comment Text Char"/>
    <w:basedOn w:val="DefaultParagraphFont"/>
    <w:link w:val="CommentText"/>
    <w:uiPriority w:val="99"/>
    <w:rsid w:val="00141D54"/>
    <w:rPr>
      <w:sz w:val="20"/>
      <w:szCs w:val="20"/>
    </w:rPr>
  </w:style>
  <w:style w:type="paragraph" w:styleId="CommentSubject">
    <w:name w:val="annotation subject"/>
    <w:basedOn w:val="CommentText"/>
    <w:next w:val="CommentText"/>
    <w:link w:val="CommentSubjectChar"/>
    <w:uiPriority w:val="99"/>
    <w:semiHidden/>
    <w:unhideWhenUsed/>
    <w:rsid w:val="00141D54"/>
    <w:rPr>
      <w:b/>
      <w:bCs/>
    </w:rPr>
  </w:style>
  <w:style w:type="character" w:customStyle="1" w:styleId="CommentSubjectChar">
    <w:name w:val="Comment Subject Char"/>
    <w:basedOn w:val="CommentTextChar"/>
    <w:link w:val="CommentSubject"/>
    <w:uiPriority w:val="99"/>
    <w:semiHidden/>
    <w:rsid w:val="00141D54"/>
    <w:rPr>
      <w:b/>
      <w:bCs/>
      <w:sz w:val="20"/>
      <w:szCs w:val="20"/>
    </w:rPr>
  </w:style>
  <w:style w:type="paragraph" w:styleId="BalloonText">
    <w:name w:val="Balloon Text"/>
    <w:basedOn w:val="Normal"/>
    <w:link w:val="BalloonTextChar"/>
    <w:uiPriority w:val="99"/>
    <w:semiHidden/>
    <w:unhideWhenUsed/>
    <w:rsid w:val="00141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D54"/>
    <w:rPr>
      <w:rFonts w:ascii="Segoe UI" w:hAnsi="Segoe UI" w:cs="Segoe UI"/>
      <w:sz w:val="18"/>
      <w:szCs w:val="18"/>
    </w:rPr>
  </w:style>
  <w:style w:type="paragraph" w:styleId="ListParagraph">
    <w:name w:val="List Paragraph"/>
    <w:basedOn w:val="Normal"/>
    <w:uiPriority w:val="34"/>
    <w:qFormat/>
    <w:rsid w:val="0041687B"/>
    <w:pPr>
      <w:ind w:left="720"/>
      <w:contextualSpacing/>
    </w:pPr>
  </w:style>
  <w:style w:type="paragraph" w:styleId="Revision">
    <w:name w:val="Revision"/>
    <w:hidden/>
    <w:uiPriority w:val="99"/>
    <w:semiHidden/>
    <w:rsid w:val="007A4A16"/>
    <w:pPr>
      <w:spacing w:after="0" w:line="240" w:lineRule="auto"/>
    </w:pPr>
  </w:style>
  <w:style w:type="character" w:styleId="Hyperlink">
    <w:name w:val="Hyperlink"/>
    <w:basedOn w:val="DefaultParagraphFont"/>
    <w:uiPriority w:val="99"/>
    <w:unhideWhenUsed/>
    <w:rsid w:val="00C85FFF"/>
    <w:rPr>
      <w:color w:val="0563C1" w:themeColor="hyperlink"/>
      <w:u w:val="single"/>
    </w:rPr>
  </w:style>
  <w:style w:type="character" w:customStyle="1" w:styleId="UnresolvedMention1">
    <w:name w:val="Unresolved Mention1"/>
    <w:basedOn w:val="DefaultParagraphFont"/>
    <w:uiPriority w:val="99"/>
    <w:semiHidden/>
    <w:unhideWhenUsed/>
    <w:rsid w:val="00C85FFF"/>
    <w:rPr>
      <w:color w:val="605E5C"/>
      <w:shd w:val="clear" w:color="auto" w:fill="E1DFDD"/>
    </w:rPr>
  </w:style>
  <w:style w:type="paragraph" w:customStyle="1" w:styleId="EndNoteBibliographyTitle">
    <w:name w:val="EndNote Bibliography Title"/>
    <w:basedOn w:val="Normal"/>
    <w:link w:val="EndNoteBibliographyTitleChar"/>
    <w:rsid w:val="00E00401"/>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E00401"/>
    <w:rPr>
      <w:rFonts w:ascii="Calibri" w:hAnsi="Calibri" w:cs="Calibri"/>
      <w:lang w:val="en-US"/>
    </w:rPr>
  </w:style>
  <w:style w:type="paragraph" w:customStyle="1" w:styleId="EndNoteBibliography">
    <w:name w:val="EndNote Bibliography"/>
    <w:basedOn w:val="Normal"/>
    <w:link w:val="EndNoteBibliographyChar"/>
    <w:rsid w:val="00E00401"/>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E00401"/>
    <w:rPr>
      <w:rFonts w:ascii="Calibri" w:hAnsi="Calibri" w:cs="Calibri"/>
      <w:lang w:val="en-US"/>
    </w:rPr>
  </w:style>
  <w:style w:type="character" w:customStyle="1" w:styleId="UnresolvedMention">
    <w:name w:val="Unresolved Mention"/>
    <w:basedOn w:val="DefaultParagraphFont"/>
    <w:uiPriority w:val="99"/>
    <w:semiHidden/>
    <w:unhideWhenUsed/>
    <w:rsid w:val="00E00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120254">
      <w:bodyDiv w:val="1"/>
      <w:marLeft w:val="0"/>
      <w:marRight w:val="0"/>
      <w:marTop w:val="0"/>
      <w:marBottom w:val="0"/>
      <w:divBdr>
        <w:top w:val="none" w:sz="0" w:space="0" w:color="auto"/>
        <w:left w:val="none" w:sz="0" w:space="0" w:color="auto"/>
        <w:bottom w:val="none" w:sz="0" w:space="0" w:color="auto"/>
        <w:right w:val="none" w:sz="0" w:space="0" w:color="auto"/>
      </w:divBdr>
    </w:div>
    <w:div w:id="622227516">
      <w:bodyDiv w:val="1"/>
      <w:marLeft w:val="0"/>
      <w:marRight w:val="0"/>
      <w:marTop w:val="0"/>
      <w:marBottom w:val="0"/>
      <w:divBdr>
        <w:top w:val="none" w:sz="0" w:space="0" w:color="auto"/>
        <w:left w:val="none" w:sz="0" w:space="0" w:color="auto"/>
        <w:bottom w:val="none" w:sz="0" w:space="0" w:color="auto"/>
        <w:right w:val="none" w:sz="0" w:space="0" w:color="auto"/>
      </w:divBdr>
    </w:div>
    <w:div w:id="1013796937">
      <w:bodyDiv w:val="1"/>
      <w:marLeft w:val="0"/>
      <w:marRight w:val="0"/>
      <w:marTop w:val="0"/>
      <w:marBottom w:val="0"/>
      <w:divBdr>
        <w:top w:val="none" w:sz="0" w:space="0" w:color="auto"/>
        <w:left w:val="none" w:sz="0" w:space="0" w:color="auto"/>
        <w:bottom w:val="none" w:sz="0" w:space="0" w:color="auto"/>
        <w:right w:val="none" w:sz="0" w:space="0" w:color="auto"/>
      </w:divBdr>
    </w:div>
    <w:div w:id="1397556954">
      <w:bodyDiv w:val="1"/>
      <w:marLeft w:val="0"/>
      <w:marRight w:val="0"/>
      <w:marTop w:val="0"/>
      <w:marBottom w:val="0"/>
      <w:divBdr>
        <w:top w:val="none" w:sz="0" w:space="0" w:color="auto"/>
        <w:left w:val="none" w:sz="0" w:space="0" w:color="auto"/>
        <w:bottom w:val="none" w:sz="0" w:space="0" w:color="auto"/>
        <w:right w:val="none" w:sz="0" w:space="0" w:color="auto"/>
      </w:divBdr>
    </w:div>
    <w:div w:id="1420564557">
      <w:bodyDiv w:val="1"/>
      <w:marLeft w:val="0"/>
      <w:marRight w:val="0"/>
      <w:marTop w:val="0"/>
      <w:marBottom w:val="0"/>
      <w:divBdr>
        <w:top w:val="none" w:sz="0" w:space="0" w:color="auto"/>
        <w:left w:val="none" w:sz="0" w:space="0" w:color="auto"/>
        <w:bottom w:val="none" w:sz="0" w:space="0" w:color="auto"/>
        <w:right w:val="none" w:sz="0" w:space="0" w:color="auto"/>
      </w:divBdr>
    </w:div>
    <w:div w:id="1561356742">
      <w:bodyDiv w:val="1"/>
      <w:marLeft w:val="0"/>
      <w:marRight w:val="0"/>
      <w:marTop w:val="0"/>
      <w:marBottom w:val="0"/>
      <w:divBdr>
        <w:top w:val="none" w:sz="0" w:space="0" w:color="auto"/>
        <w:left w:val="none" w:sz="0" w:space="0" w:color="auto"/>
        <w:bottom w:val="none" w:sz="0" w:space="0" w:color="auto"/>
        <w:right w:val="none" w:sz="0" w:space="0" w:color="auto"/>
      </w:divBdr>
    </w:div>
    <w:div w:id="1699772648">
      <w:bodyDiv w:val="1"/>
      <w:marLeft w:val="0"/>
      <w:marRight w:val="0"/>
      <w:marTop w:val="0"/>
      <w:marBottom w:val="0"/>
      <w:divBdr>
        <w:top w:val="none" w:sz="0" w:space="0" w:color="auto"/>
        <w:left w:val="none" w:sz="0" w:space="0" w:color="auto"/>
        <w:bottom w:val="none" w:sz="0" w:space="0" w:color="auto"/>
        <w:right w:val="none" w:sz="0" w:space="0" w:color="auto"/>
      </w:divBdr>
    </w:div>
    <w:div w:id="205600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ons.gov.uk/peoplepopulationandcommunity/populationandmigration/populationestimates/articles/populationprofilesforlocalauthoritiesinengland/2020-12-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1E9D8-B0D4-441C-8464-3526F72C5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2539</Words>
  <Characters>14474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York</Company>
  <LinksUpToDate>false</LinksUpToDate>
  <CharactersWithSpaces>16980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Jankovic</dc:creator>
  <cp:keywords/>
  <dc:description/>
  <cp:lastModifiedBy>Graham, H.M.</cp:lastModifiedBy>
  <cp:revision>3</cp:revision>
  <dcterms:created xsi:type="dcterms:W3CDTF">2023-02-07T18:09:00Z</dcterms:created>
  <dcterms:modified xsi:type="dcterms:W3CDTF">2023-02-25T14:42:00Z</dcterms:modified>
</cp:coreProperties>
</file>