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FC9" w:rsidRDefault="006A2B04" w:rsidP="006A2B04">
      <w:pPr>
        <w:pStyle w:val="NoSpacing"/>
        <w:rPr>
          <w:rFonts w:ascii="Times New Roman" w:hAnsi="Times New Roman" w:cs="Times New Roman"/>
          <w:b/>
          <w:sz w:val="24"/>
          <w:szCs w:val="24"/>
        </w:rPr>
      </w:pPr>
      <w:r>
        <w:rPr>
          <w:rFonts w:ascii="Times New Roman" w:hAnsi="Times New Roman" w:cs="Times New Roman"/>
          <w:b/>
          <w:sz w:val="24"/>
          <w:szCs w:val="24"/>
        </w:rPr>
        <w:t xml:space="preserve">Supplementary File 1: </w:t>
      </w:r>
      <w:r w:rsidRPr="006A2B04">
        <w:rPr>
          <w:rFonts w:ascii="Times New Roman" w:hAnsi="Times New Roman" w:cs="Times New Roman"/>
          <w:b/>
          <w:sz w:val="24"/>
          <w:szCs w:val="24"/>
        </w:rPr>
        <w:t>Variable definitions for some of</w:t>
      </w:r>
      <w:r>
        <w:rPr>
          <w:rFonts w:ascii="Times New Roman" w:hAnsi="Times New Roman" w:cs="Times New Roman"/>
          <w:b/>
          <w:sz w:val="24"/>
          <w:szCs w:val="24"/>
        </w:rPr>
        <w:t xml:space="preserve"> the independent variables</w:t>
      </w:r>
    </w:p>
    <w:p w:rsidR="00DD0FC9" w:rsidRPr="00B24993" w:rsidRDefault="00DD0FC9" w:rsidP="00DD0FC9">
      <w:pPr>
        <w:pStyle w:val="NoSpacing"/>
        <w:rPr>
          <w:rFonts w:ascii="Times New Roman" w:hAnsi="Times New Roman" w:cs="Times New Roman"/>
          <w:b/>
          <w:sz w:val="24"/>
          <w:szCs w:val="24"/>
        </w:rPr>
      </w:pPr>
    </w:p>
    <w:tbl>
      <w:tblPr>
        <w:tblStyle w:val="TableGrid"/>
        <w:tblW w:w="10342" w:type="dxa"/>
        <w:tblLayout w:type="fixed"/>
        <w:tblLook w:val="04A0" w:firstRow="1" w:lastRow="0" w:firstColumn="1" w:lastColumn="0" w:noHBand="0" w:noVBand="1"/>
      </w:tblPr>
      <w:tblGrid>
        <w:gridCol w:w="1975"/>
        <w:gridCol w:w="3330"/>
        <w:gridCol w:w="5037"/>
      </w:tblGrid>
      <w:tr w:rsidR="00DD0FC9" w:rsidRPr="00B24993" w:rsidTr="004F3E84">
        <w:tc>
          <w:tcPr>
            <w:tcW w:w="1975" w:type="dxa"/>
          </w:tcPr>
          <w:p w:rsidR="00DD0FC9" w:rsidRPr="00B24993" w:rsidRDefault="00DD0FC9" w:rsidP="004F3E84">
            <w:pPr>
              <w:rPr>
                <w:rFonts w:ascii="Times New Roman" w:hAnsi="Times New Roman" w:cs="Times New Roman"/>
                <w:b/>
                <w:sz w:val="20"/>
                <w:szCs w:val="20"/>
              </w:rPr>
            </w:pPr>
            <w:r w:rsidRPr="00B24993">
              <w:rPr>
                <w:rFonts w:ascii="Times New Roman" w:hAnsi="Times New Roman" w:cs="Times New Roman"/>
                <w:b/>
                <w:sz w:val="20"/>
                <w:szCs w:val="20"/>
              </w:rPr>
              <w:t xml:space="preserve">Variables </w:t>
            </w:r>
          </w:p>
        </w:tc>
        <w:tc>
          <w:tcPr>
            <w:tcW w:w="3330" w:type="dxa"/>
          </w:tcPr>
          <w:p w:rsidR="00DD0FC9" w:rsidRPr="00B24993" w:rsidRDefault="00DD0FC9" w:rsidP="004F3E84">
            <w:pPr>
              <w:rPr>
                <w:rFonts w:ascii="Times New Roman" w:hAnsi="Times New Roman" w:cs="Times New Roman"/>
                <w:b/>
                <w:sz w:val="20"/>
                <w:szCs w:val="20"/>
              </w:rPr>
            </w:pPr>
            <w:r w:rsidRPr="00B24993">
              <w:rPr>
                <w:rFonts w:ascii="Times New Roman" w:hAnsi="Times New Roman" w:cs="Times New Roman"/>
                <w:b/>
                <w:sz w:val="20"/>
                <w:szCs w:val="20"/>
              </w:rPr>
              <w:t xml:space="preserve">Variable type and category </w:t>
            </w:r>
          </w:p>
        </w:tc>
        <w:tc>
          <w:tcPr>
            <w:tcW w:w="5037" w:type="dxa"/>
          </w:tcPr>
          <w:p w:rsidR="00DD0FC9" w:rsidRPr="00B24993" w:rsidRDefault="00DD0FC9" w:rsidP="004F3E84">
            <w:pPr>
              <w:rPr>
                <w:rFonts w:ascii="Times New Roman" w:hAnsi="Times New Roman" w:cs="Times New Roman"/>
                <w:b/>
                <w:sz w:val="20"/>
                <w:szCs w:val="20"/>
              </w:rPr>
            </w:pPr>
            <w:r w:rsidRPr="00B24993">
              <w:rPr>
                <w:rFonts w:ascii="Times New Roman" w:hAnsi="Times New Roman" w:cs="Times New Roman"/>
                <w:b/>
                <w:sz w:val="20"/>
                <w:szCs w:val="20"/>
              </w:rPr>
              <w:t>Measurement/Definition</w:t>
            </w:r>
          </w:p>
        </w:tc>
      </w:tr>
      <w:tr w:rsidR="00DD0FC9" w:rsidRPr="00B24993" w:rsidTr="004F3E84">
        <w:tc>
          <w:tcPr>
            <w:tcW w:w="1975"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 xml:space="preserve">Size of the child at birth </w:t>
            </w:r>
          </w:p>
        </w:tc>
        <w:tc>
          <w:tcPr>
            <w:tcW w:w="3330"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Categorical data, categorized as “Large”, “Average” and “Small”.</w:t>
            </w:r>
          </w:p>
        </w:tc>
        <w:tc>
          <w:tcPr>
            <w:tcW w:w="5037"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In the EDHS survey, mothers were asked to estimate the size of their child based on their experience or by comparison with a previous child. Mothers’ perceived baby size at birth response options were ‘greater than average’, ‘average’, and ‘smaller than average ’and         ‘very small’. This variable was recoded as “Large”, “Average” or “Small”, which is below average, smaller than average or very small.</w:t>
            </w:r>
          </w:p>
        </w:tc>
      </w:tr>
      <w:tr w:rsidR="00DD0FC9" w:rsidRPr="00B24993" w:rsidTr="004F3E84">
        <w:tc>
          <w:tcPr>
            <w:tcW w:w="1975"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color w:val="000000" w:themeColor="text1"/>
                <w:sz w:val="20"/>
                <w:szCs w:val="20"/>
              </w:rPr>
              <w:t xml:space="preserve">Currently breastfeeding </w:t>
            </w:r>
          </w:p>
        </w:tc>
        <w:tc>
          <w:tcPr>
            <w:tcW w:w="3330"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Binary data, categorized as “Yes” or “No”</w:t>
            </w:r>
          </w:p>
        </w:tc>
        <w:tc>
          <w:tcPr>
            <w:tcW w:w="5037"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 xml:space="preserve">Categorized as “Yes” if the child is </w:t>
            </w:r>
            <w:r w:rsidRPr="00B24993">
              <w:rPr>
                <w:rFonts w:ascii="Times New Roman" w:hAnsi="Times New Roman" w:cs="Times New Roman"/>
                <w:color w:val="000000" w:themeColor="text1"/>
                <w:sz w:val="20"/>
                <w:szCs w:val="20"/>
              </w:rPr>
              <w:t xml:space="preserve">currently breastfeeding </w:t>
            </w:r>
            <w:r w:rsidRPr="00B24993">
              <w:rPr>
                <w:rFonts w:ascii="Times New Roman" w:hAnsi="Times New Roman" w:cs="Times New Roman"/>
                <w:sz w:val="20"/>
                <w:szCs w:val="20"/>
              </w:rPr>
              <w:t xml:space="preserve">“No” otherwise. </w:t>
            </w:r>
          </w:p>
        </w:tc>
      </w:tr>
      <w:tr w:rsidR="00DD0FC9" w:rsidRPr="00B24993" w:rsidTr="004F3E84">
        <w:tc>
          <w:tcPr>
            <w:tcW w:w="1975"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 xml:space="preserve">Early initiation of breastfeeding </w:t>
            </w:r>
          </w:p>
        </w:tc>
        <w:tc>
          <w:tcPr>
            <w:tcW w:w="3330"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Binary data, categorized as “Yes” or “No”</w:t>
            </w:r>
          </w:p>
        </w:tc>
        <w:tc>
          <w:tcPr>
            <w:tcW w:w="5037"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color w:val="000000"/>
                <w:sz w:val="20"/>
                <w:szCs w:val="20"/>
              </w:rPr>
              <w:t>Children </w:t>
            </w:r>
            <w:r w:rsidRPr="00B24993">
              <w:rPr>
                <w:rFonts w:ascii="Times New Roman" w:hAnsi="Times New Roman" w:cs="Times New Roman"/>
                <w:color w:val="000000"/>
                <w:spacing w:val="-8"/>
                <w:sz w:val="20"/>
                <w:szCs w:val="20"/>
              </w:rPr>
              <w:t>born in the past 2 years</w:t>
            </w:r>
            <w:r w:rsidRPr="00B24993">
              <w:rPr>
                <w:rFonts w:ascii="Times New Roman" w:hAnsi="Times New Roman" w:cs="Times New Roman"/>
                <w:color w:val="000000"/>
                <w:sz w:val="20"/>
                <w:szCs w:val="20"/>
              </w:rPr>
              <w:t> who started breas</w:t>
            </w:r>
            <w:r w:rsidRPr="00B24993">
              <w:rPr>
                <w:rFonts w:ascii="Times New Roman" w:hAnsi="Times New Roman" w:cs="Times New Roman"/>
                <w:color w:val="000000"/>
                <w:spacing w:val="1"/>
                <w:sz w:val="20"/>
                <w:szCs w:val="20"/>
              </w:rPr>
              <w:t>t</w:t>
            </w:r>
            <w:r w:rsidRPr="00B24993">
              <w:rPr>
                <w:rFonts w:ascii="Times New Roman" w:hAnsi="Times New Roman" w:cs="Times New Roman"/>
                <w:color w:val="000000"/>
                <w:sz w:val="20"/>
                <w:szCs w:val="20"/>
              </w:rPr>
              <w:t>feed</w:t>
            </w:r>
            <w:r w:rsidRPr="00B24993">
              <w:rPr>
                <w:rFonts w:ascii="Times New Roman" w:hAnsi="Times New Roman" w:cs="Times New Roman"/>
                <w:color w:val="000000"/>
                <w:spacing w:val="-2"/>
                <w:sz w:val="20"/>
                <w:szCs w:val="20"/>
              </w:rPr>
              <w:t>i</w:t>
            </w:r>
            <w:r w:rsidRPr="00B24993">
              <w:rPr>
                <w:rFonts w:ascii="Times New Roman" w:hAnsi="Times New Roman" w:cs="Times New Roman"/>
                <w:color w:val="000000"/>
                <w:sz w:val="20"/>
                <w:szCs w:val="20"/>
              </w:rPr>
              <w:t>ng within one hour </w:t>
            </w:r>
            <w:r w:rsidRPr="00B24993">
              <w:rPr>
                <w:rFonts w:ascii="Times New Roman" w:hAnsi="Times New Roman" w:cs="Times New Roman"/>
                <w:color w:val="000000"/>
                <w:spacing w:val="-5"/>
                <w:sz w:val="20"/>
                <w:szCs w:val="20"/>
              </w:rPr>
              <w:t>of birth</w:t>
            </w:r>
            <w:r w:rsidRPr="00B24993">
              <w:rPr>
                <w:rFonts w:ascii="Times New Roman" w:hAnsi="Times New Roman" w:cs="Times New Roman"/>
                <w:color w:val="000000"/>
                <w:sz w:val="20"/>
                <w:szCs w:val="20"/>
              </w:rPr>
              <w:t xml:space="preserve"> was coded as “Yes” </w:t>
            </w:r>
            <w:r w:rsidRPr="00B24993">
              <w:rPr>
                <w:rFonts w:ascii="Times New Roman" w:hAnsi="Times New Roman" w:cs="Times New Roman"/>
                <w:sz w:val="20"/>
                <w:szCs w:val="20"/>
              </w:rPr>
              <w:t>or “No”</w:t>
            </w:r>
          </w:p>
        </w:tc>
      </w:tr>
      <w:tr w:rsidR="00DD0FC9" w:rsidRPr="00B24993" w:rsidTr="004F3E84">
        <w:tc>
          <w:tcPr>
            <w:tcW w:w="1975"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Had diarrhea in the last 2 weeks</w:t>
            </w:r>
          </w:p>
        </w:tc>
        <w:tc>
          <w:tcPr>
            <w:tcW w:w="3330"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Binary data, categorized as “Yes” or “No”</w:t>
            </w:r>
          </w:p>
        </w:tc>
        <w:tc>
          <w:tcPr>
            <w:tcW w:w="5037"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Mothers were asked if their children had diarrhea in the past 2 weeks prior to the survey. The response was recorded as “yes” and “no.”</w:t>
            </w:r>
          </w:p>
        </w:tc>
      </w:tr>
      <w:tr w:rsidR="00DD0FC9" w:rsidRPr="00B24993" w:rsidTr="004F3E84">
        <w:tc>
          <w:tcPr>
            <w:tcW w:w="1975"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Had fever in the last 2 weeks</w:t>
            </w:r>
          </w:p>
        </w:tc>
        <w:tc>
          <w:tcPr>
            <w:tcW w:w="3330"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Binary data, categorized as “Yes” or “No”</w:t>
            </w:r>
          </w:p>
        </w:tc>
        <w:tc>
          <w:tcPr>
            <w:tcW w:w="5037"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Mothers were asked if their children had fever and children with fever at any time in the 2 weeks preceding the survey were recorded as “yes” if not “no”</w:t>
            </w:r>
          </w:p>
        </w:tc>
      </w:tr>
      <w:tr w:rsidR="00DD0FC9" w:rsidRPr="00B24993" w:rsidTr="004F3E84">
        <w:tc>
          <w:tcPr>
            <w:tcW w:w="1975"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Full vaccination</w:t>
            </w:r>
          </w:p>
          <w:p w:rsidR="00DD0FC9" w:rsidRPr="00B24993" w:rsidRDefault="00DD0FC9" w:rsidP="004F3E84">
            <w:pPr>
              <w:jc w:val="center"/>
              <w:rPr>
                <w:rFonts w:ascii="Times New Roman" w:hAnsi="Times New Roman" w:cs="Times New Roman"/>
                <w:sz w:val="20"/>
                <w:szCs w:val="20"/>
              </w:rPr>
            </w:pPr>
          </w:p>
        </w:tc>
        <w:tc>
          <w:tcPr>
            <w:tcW w:w="3330"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Binary data, categorized as “Yes” or “No”</w:t>
            </w:r>
          </w:p>
        </w:tc>
        <w:tc>
          <w:tcPr>
            <w:tcW w:w="5037" w:type="dxa"/>
          </w:tcPr>
          <w:p w:rsidR="00DD0FC9" w:rsidRPr="00B24993" w:rsidRDefault="00DD0FC9" w:rsidP="004F3E84">
            <w:pPr>
              <w:jc w:val="both"/>
              <w:rPr>
                <w:rFonts w:ascii="Times New Roman" w:hAnsi="Times New Roman" w:cs="Times New Roman"/>
                <w:sz w:val="20"/>
                <w:szCs w:val="20"/>
              </w:rPr>
            </w:pPr>
            <w:r w:rsidRPr="00B24993">
              <w:rPr>
                <w:rFonts w:ascii="Times New Roman" w:hAnsi="Times New Roman" w:cs="Times New Roman"/>
                <w:sz w:val="20"/>
                <w:szCs w:val="20"/>
              </w:rPr>
              <w:t xml:space="preserve">“Yes” if the child received a Bacillus </w:t>
            </w:r>
            <w:proofErr w:type="spellStart"/>
            <w:r w:rsidRPr="00B24993">
              <w:rPr>
                <w:rFonts w:ascii="Times New Roman" w:hAnsi="Times New Roman" w:cs="Times New Roman"/>
                <w:sz w:val="20"/>
                <w:szCs w:val="20"/>
              </w:rPr>
              <w:t>Calmette</w:t>
            </w:r>
            <w:proofErr w:type="spellEnd"/>
            <w:r w:rsidRPr="00B24993">
              <w:rPr>
                <w:rFonts w:ascii="Times New Roman" w:hAnsi="Times New Roman" w:cs="Times New Roman"/>
                <w:sz w:val="20"/>
                <w:szCs w:val="20"/>
              </w:rPr>
              <w:t>–</w:t>
            </w:r>
            <w:proofErr w:type="spellStart"/>
            <w:r w:rsidRPr="00B24993">
              <w:rPr>
                <w:rFonts w:ascii="Times New Roman" w:hAnsi="Times New Roman" w:cs="Times New Roman"/>
                <w:sz w:val="20"/>
                <w:szCs w:val="20"/>
              </w:rPr>
              <w:t>Guérin</w:t>
            </w:r>
            <w:proofErr w:type="spellEnd"/>
            <w:r w:rsidRPr="00B24993">
              <w:rPr>
                <w:rFonts w:ascii="Times New Roman" w:hAnsi="Times New Roman" w:cs="Times New Roman"/>
                <w:sz w:val="20"/>
                <w:szCs w:val="20"/>
              </w:rPr>
              <w:t xml:space="preserve"> (BCG) vaccination against tuberculosis; 3 doses of </w:t>
            </w:r>
            <w:proofErr w:type="spellStart"/>
            <w:r w:rsidRPr="00B24993">
              <w:rPr>
                <w:rFonts w:ascii="Times New Roman" w:hAnsi="Times New Roman" w:cs="Times New Roman"/>
                <w:sz w:val="20"/>
                <w:szCs w:val="20"/>
              </w:rPr>
              <w:t>Diptheria</w:t>
            </w:r>
            <w:proofErr w:type="spellEnd"/>
            <w:r w:rsidRPr="00B24993">
              <w:rPr>
                <w:rFonts w:ascii="Times New Roman" w:hAnsi="Times New Roman" w:cs="Times New Roman"/>
                <w:sz w:val="20"/>
                <w:szCs w:val="20"/>
              </w:rPr>
              <w:t xml:space="preserve">, pertussis, and tetanus vaccine (DPT); ≥3 doses of polio vaccine (OPV); and 1 dose of measles vaccine; no otherwise. </w:t>
            </w:r>
          </w:p>
        </w:tc>
      </w:tr>
      <w:tr w:rsidR="00DD0FC9" w:rsidRPr="00B24993" w:rsidTr="004F3E84">
        <w:tc>
          <w:tcPr>
            <w:tcW w:w="1975"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Mother's age</w:t>
            </w:r>
          </w:p>
        </w:tc>
        <w:tc>
          <w:tcPr>
            <w:tcW w:w="3330"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Categorical data, categorized as “&lt;18”, “18-24”, “25-34”, or “&gt;=35”</w:t>
            </w:r>
          </w:p>
        </w:tc>
        <w:tc>
          <w:tcPr>
            <w:tcW w:w="5037"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 xml:space="preserve">The self-reported age of the mother (in years) was categorized into four categories as “&lt;18”, “18-24”, “25-34”, and “≥ 35”. </w:t>
            </w:r>
          </w:p>
        </w:tc>
      </w:tr>
      <w:tr w:rsidR="00DD0FC9" w:rsidRPr="00B24993" w:rsidTr="004F3E84">
        <w:tc>
          <w:tcPr>
            <w:tcW w:w="1975" w:type="dxa"/>
          </w:tcPr>
          <w:p w:rsidR="00DD0FC9" w:rsidRPr="00B24993" w:rsidRDefault="000F5B01" w:rsidP="000F5B01">
            <w:pPr>
              <w:rPr>
                <w:rFonts w:ascii="Times New Roman" w:hAnsi="Times New Roman" w:cs="Times New Roman"/>
                <w:sz w:val="20"/>
                <w:szCs w:val="20"/>
              </w:rPr>
            </w:pPr>
            <w:r>
              <w:rPr>
                <w:rFonts w:ascii="Times New Roman" w:hAnsi="Times New Roman" w:cs="Times New Roman"/>
                <w:sz w:val="20"/>
                <w:szCs w:val="20"/>
              </w:rPr>
              <w:t>Maternal stature</w:t>
            </w:r>
          </w:p>
        </w:tc>
        <w:tc>
          <w:tcPr>
            <w:tcW w:w="3330" w:type="dxa"/>
          </w:tcPr>
          <w:p w:rsidR="00DD0FC9" w:rsidRPr="00B24993" w:rsidRDefault="000F5B01" w:rsidP="000F5B01">
            <w:pPr>
              <w:jc w:val="both"/>
              <w:rPr>
                <w:rFonts w:ascii="Times New Roman" w:hAnsi="Times New Roman" w:cs="Times New Roman"/>
                <w:sz w:val="20"/>
                <w:szCs w:val="20"/>
              </w:rPr>
            </w:pPr>
            <w:r w:rsidRPr="00B24993">
              <w:rPr>
                <w:rFonts w:ascii="Times New Roman" w:hAnsi="Times New Roman" w:cs="Times New Roman"/>
                <w:sz w:val="20"/>
                <w:szCs w:val="20"/>
              </w:rPr>
              <w:t xml:space="preserve">Categorical data, categorized as </w:t>
            </w:r>
            <w:r w:rsidRPr="000F5B01">
              <w:rPr>
                <w:rFonts w:ascii="Times New Roman" w:hAnsi="Times New Roman" w:cs="Times New Roman"/>
                <w:sz w:val="20"/>
                <w:szCs w:val="20"/>
              </w:rPr>
              <w:t>(</w:t>
            </w:r>
            <w:r>
              <w:rPr>
                <w:rFonts w:ascii="Times New Roman" w:hAnsi="Times New Roman" w:cs="Times New Roman"/>
                <w:sz w:val="20"/>
                <w:szCs w:val="20"/>
              </w:rPr>
              <w:t>normal/tall, short, or very short)</w:t>
            </w:r>
            <w:r>
              <w:rPr>
                <w:rFonts w:ascii="Times New Roman" w:hAnsi="Times New Roman" w:cs="Times New Roman"/>
                <w:sz w:val="20"/>
                <w:szCs w:val="20"/>
              </w:rPr>
              <w:tab/>
            </w:r>
          </w:p>
        </w:tc>
        <w:tc>
          <w:tcPr>
            <w:tcW w:w="5037" w:type="dxa"/>
          </w:tcPr>
          <w:p w:rsidR="000F5B01" w:rsidRPr="00B24993" w:rsidRDefault="008820CE" w:rsidP="000F5B01">
            <w:pPr>
              <w:jc w:val="both"/>
              <w:rPr>
                <w:rFonts w:ascii="Times New Roman" w:hAnsi="Times New Roman" w:cs="Times New Roman"/>
                <w:sz w:val="20"/>
                <w:szCs w:val="20"/>
              </w:rPr>
            </w:pPr>
            <w:r>
              <w:rPr>
                <w:rFonts w:ascii="Times New Roman" w:hAnsi="Times New Roman" w:cs="Times New Roman"/>
                <w:sz w:val="20"/>
                <w:szCs w:val="20"/>
              </w:rPr>
              <w:t>Maternal stature</w:t>
            </w:r>
            <w:r w:rsidRPr="000F5B01">
              <w:rPr>
                <w:rFonts w:ascii="Times New Roman" w:hAnsi="Times New Roman" w:cs="Times New Roman"/>
                <w:sz w:val="20"/>
                <w:szCs w:val="20"/>
              </w:rPr>
              <w:t xml:space="preserve"> </w:t>
            </w:r>
            <w:r>
              <w:rPr>
                <w:rFonts w:ascii="Times New Roman" w:hAnsi="Times New Roman" w:cs="Times New Roman"/>
                <w:sz w:val="20"/>
                <w:szCs w:val="20"/>
              </w:rPr>
              <w:t xml:space="preserve">was measured and </w:t>
            </w:r>
            <w:r w:rsidR="000F5B01" w:rsidRPr="000F5B01">
              <w:rPr>
                <w:rFonts w:ascii="Times New Roman" w:hAnsi="Times New Roman" w:cs="Times New Roman"/>
                <w:sz w:val="20"/>
                <w:szCs w:val="20"/>
              </w:rPr>
              <w:t>categorized</w:t>
            </w:r>
            <w:r>
              <w:rPr>
                <w:rFonts w:ascii="Times New Roman" w:hAnsi="Times New Roman" w:cs="Times New Roman"/>
                <w:sz w:val="20"/>
                <w:szCs w:val="20"/>
              </w:rPr>
              <w:t xml:space="preserve"> maternal height as: very short </w:t>
            </w:r>
            <w:r w:rsidR="000F5B01" w:rsidRPr="000F5B01">
              <w:rPr>
                <w:rFonts w:ascii="Times New Roman" w:hAnsi="Times New Roman" w:cs="Times New Roman"/>
                <w:sz w:val="20"/>
                <w:szCs w:val="20"/>
              </w:rPr>
              <w:t>(&lt; 145.0 cm), short (145</w:t>
            </w:r>
            <w:r>
              <w:rPr>
                <w:rFonts w:ascii="Times New Roman" w:hAnsi="Times New Roman" w:cs="Times New Roman"/>
                <w:sz w:val="20"/>
                <w:szCs w:val="20"/>
              </w:rPr>
              <w:t xml:space="preserve">.0 to 154.9 cm) and normal/tall </w:t>
            </w:r>
            <w:bookmarkStart w:id="0" w:name="_GoBack"/>
            <w:bookmarkEnd w:id="0"/>
            <w:r w:rsidR="000F5B01" w:rsidRPr="000F5B01">
              <w:rPr>
                <w:rFonts w:ascii="Times New Roman" w:hAnsi="Times New Roman" w:cs="Times New Roman"/>
                <w:sz w:val="20"/>
                <w:szCs w:val="20"/>
              </w:rPr>
              <w:t>(≥155.0 cm)</w:t>
            </w:r>
          </w:p>
        </w:tc>
      </w:tr>
      <w:tr w:rsidR="00DD0FC9" w:rsidRPr="00B24993" w:rsidTr="004F3E84">
        <w:tc>
          <w:tcPr>
            <w:tcW w:w="1975"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 xml:space="preserve">Mother's occupation </w:t>
            </w:r>
          </w:p>
        </w:tc>
        <w:tc>
          <w:tcPr>
            <w:tcW w:w="3330"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Categorical data, categorized as “Not working”, “Non agriculture”, or “Agriculture”</w:t>
            </w:r>
          </w:p>
        </w:tc>
        <w:tc>
          <w:tcPr>
            <w:tcW w:w="5037" w:type="dxa"/>
          </w:tcPr>
          <w:p w:rsidR="00DD0FC9" w:rsidRPr="00B24993" w:rsidRDefault="00DD0FC9" w:rsidP="004F3E84">
            <w:pPr>
              <w:rPr>
                <w:rFonts w:ascii="Times New Roman" w:hAnsi="Times New Roman" w:cs="Times New Roman"/>
                <w:sz w:val="20"/>
                <w:szCs w:val="20"/>
              </w:rPr>
            </w:pPr>
            <w:r w:rsidRPr="00B24993">
              <w:rPr>
                <w:rFonts w:ascii="Times New Roman" w:hAnsi="Times New Roman" w:cs="Times New Roman"/>
                <w:sz w:val="20"/>
                <w:szCs w:val="20"/>
              </w:rPr>
              <w:t>The survey asked women about their occupational status the responses were numerous. For this analysis, we re-coded the mother's occupation status into three categories for adequate sampling as “Not working”, “Non agriculture”, or “Agriculture”</w:t>
            </w:r>
          </w:p>
        </w:tc>
      </w:tr>
      <w:tr w:rsidR="00DD0FC9" w:rsidRPr="00B24993" w:rsidTr="004F3E84">
        <w:tc>
          <w:tcPr>
            <w:tcW w:w="1975"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Household Wealth index</w:t>
            </w:r>
            <w:r w:rsidRPr="00B24993">
              <w:rPr>
                <w:rFonts w:ascii="Times New Roman" w:hAnsi="Times New Roman" w:cs="Times New Roman"/>
                <w:i/>
                <w:sz w:val="20"/>
                <w:szCs w:val="20"/>
              </w:rPr>
              <w:t xml:space="preserve"> </w:t>
            </w:r>
          </w:p>
        </w:tc>
        <w:tc>
          <w:tcPr>
            <w:tcW w:w="3330"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Categorical data, categorized as “Poor”, “Middle”, or “Rich”</w:t>
            </w:r>
          </w:p>
        </w:tc>
        <w:tc>
          <w:tcPr>
            <w:tcW w:w="5037"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The household wealth index was calculated based on household assets, such as televisions and bicycles. Principal components analysis was applied to generate the wealth index as a continuous scale of relative wealth. The wealth index was categorized into five wealth quintiles: 'very poor', 'poor', 'middle', 'rich' and 'very rich. For this analysis, we re-coded the wealth index into three categories for adequate sampling in each category: 'poor' (poor and very poor), 'middle' and 'rich' (rich and very rich).</w:t>
            </w:r>
          </w:p>
        </w:tc>
      </w:tr>
      <w:tr w:rsidR="00DD0FC9" w:rsidRPr="00B24993" w:rsidTr="004F3E84">
        <w:tc>
          <w:tcPr>
            <w:tcW w:w="1975"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 xml:space="preserve">Toilet facility </w:t>
            </w:r>
          </w:p>
        </w:tc>
        <w:tc>
          <w:tcPr>
            <w:tcW w:w="3330"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 xml:space="preserve">Categorical data, categorized </w:t>
            </w:r>
            <w:proofErr w:type="gramStart"/>
            <w:r w:rsidRPr="00B24993">
              <w:rPr>
                <w:rFonts w:ascii="Times New Roman" w:hAnsi="Times New Roman" w:cs="Times New Roman"/>
                <w:sz w:val="20"/>
                <w:szCs w:val="20"/>
              </w:rPr>
              <w:t>as  “</w:t>
            </w:r>
            <w:proofErr w:type="gramEnd"/>
            <w:r w:rsidRPr="00B24993">
              <w:rPr>
                <w:rFonts w:ascii="Times New Roman" w:hAnsi="Times New Roman" w:cs="Times New Roman"/>
                <w:sz w:val="20"/>
                <w:szCs w:val="20"/>
              </w:rPr>
              <w:t>Improved",  "Unimproved" or "Open defecation."</w:t>
            </w:r>
          </w:p>
        </w:tc>
        <w:tc>
          <w:tcPr>
            <w:tcW w:w="5037"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 xml:space="preserve">Based on the WHO definition, facilities would be considered improved if any of the following </w:t>
            </w:r>
            <w:proofErr w:type="spellStart"/>
            <w:r w:rsidRPr="00B24993">
              <w:rPr>
                <w:rFonts w:ascii="Times New Roman" w:hAnsi="Times New Roman" w:cs="Times New Roman"/>
                <w:sz w:val="20"/>
                <w:szCs w:val="20"/>
              </w:rPr>
              <w:t>occured</w:t>
            </w:r>
            <w:proofErr w:type="spellEnd"/>
            <w:r w:rsidRPr="00B24993">
              <w:rPr>
                <w:rFonts w:ascii="Times New Roman" w:hAnsi="Times New Roman" w:cs="Times New Roman"/>
                <w:sz w:val="20"/>
                <w:szCs w:val="20"/>
              </w:rPr>
              <w:t xml:space="preserve">: flush/pour flush toilets to piped sewer systems, septic tanks, and pit latrines; ventilated improved pit (VIP) latrines; pit latrines with slabs; and composting toilets. Unimproved sanitation included:  flush or pour-flush to elsewhere; pit latrine without a slab or open pit; bucket, hanging toilet or hanging latrine. Other facilities, including households with no facility or use of bush/field, were considered as open defecation. </w:t>
            </w:r>
          </w:p>
        </w:tc>
      </w:tr>
      <w:tr w:rsidR="00DD0FC9" w:rsidRPr="00B24993" w:rsidTr="004F3E84">
        <w:tc>
          <w:tcPr>
            <w:tcW w:w="1975"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lastRenderedPageBreak/>
              <w:t xml:space="preserve">Source of drinking water </w:t>
            </w:r>
          </w:p>
        </w:tc>
        <w:tc>
          <w:tcPr>
            <w:tcW w:w="3330"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 xml:space="preserve">Categorical data, categorized as “Improved”, or  “Unimproved” </w:t>
            </w:r>
          </w:p>
        </w:tc>
        <w:tc>
          <w:tcPr>
            <w:tcW w:w="5037"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 xml:space="preserve">Improved sources of drinking water included piped water, public taps, standpipes, tube wells, boreholes, protected dug wells and springs, and rainwater. Other sources of drinking water were regarded as unimproved. </w:t>
            </w:r>
          </w:p>
        </w:tc>
      </w:tr>
      <w:tr w:rsidR="00DD0FC9" w:rsidRPr="00B24993" w:rsidTr="004F3E84">
        <w:tc>
          <w:tcPr>
            <w:tcW w:w="1975"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Region of residence</w:t>
            </w:r>
          </w:p>
        </w:tc>
        <w:tc>
          <w:tcPr>
            <w:tcW w:w="3330"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Categorical data, “Agrarian”, “Pastoralist”, or “City Administrations”</w:t>
            </w:r>
          </w:p>
        </w:tc>
        <w:tc>
          <w:tcPr>
            <w:tcW w:w="5037" w:type="dxa"/>
          </w:tcPr>
          <w:p w:rsidR="00DD0FC9" w:rsidRPr="00B24993" w:rsidRDefault="00DD0FC9" w:rsidP="004F3E84">
            <w:pPr>
              <w:pStyle w:val="NoSpacing"/>
              <w:rPr>
                <w:rFonts w:ascii="Times New Roman" w:hAnsi="Times New Roman" w:cs="Times New Roman"/>
                <w:sz w:val="20"/>
                <w:szCs w:val="20"/>
              </w:rPr>
            </w:pPr>
            <w:r w:rsidRPr="00B24993">
              <w:rPr>
                <w:rFonts w:ascii="Times New Roman" w:hAnsi="Times New Roman" w:cs="Times New Roman"/>
                <w:sz w:val="20"/>
                <w:szCs w:val="20"/>
              </w:rPr>
              <w:t xml:space="preserve">The variable was recoded as ‘agrarian’ (encompassing Tigray, Amhara, Oromia, </w:t>
            </w:r>
            <w:proofErr w:type="spellStart"/>
            <w:r w:rsidRPr="00B24993">
              <w:rPr>
                <w:rFonts w:ascii="Times New Roman" w:hAnsi="Times New Roman" w:cs="Times New Roman"/>
                <w:sz w:val="20"/>
                <w:szCs w:val="20"/>
              </w:rPr>
              <w:t>Benishangul</w:t>
            </w:r>
            <w:proofErr w:type="spellEnd"/>
            <w:r w:rsidRPr="00B24993">
              <w:rPr>
                <w:rFonts w:ascii="Times New Roman" w:hAnsi="Times New Roman" w:cs="Times New Roman"/>
                <w:sz w:val="20"/>
                <w:szCs w:val="20"/>
              </w:rPr>
              <w:t xml:space="preserve">, SNNPR, and </w:t>
            </w:r>
            <w:proofErr w:type="spellStart"/>
            <w:r w:rsidRPr="00B24993">
              <w:rPr>
                <w:rFonts w:ascii="Times New Roman" w:hAnsi="Times New Roman" w:cs="Times New Roman"/>
                <w:sz w:val="20"/>
                <w:szCs w:val="20"/>
              </w:rPr>
              <w:t>Gambela</w:t>
            </w:r>
            <w:proofErr w:type="spellEnd"/>
            <w:r w:rsidRPr="00B24993">
              <w:rPr>
                <w:rFonts w:ascii="Times New Roman" w:hAnsi="Times New Roman" w:cs="Times New Roman"/>
                <w:sz w:val="20"/>
                <w:szCs w:val="20"/>
              </w:rPr>
              <w:t xml:space="preserve"> regions), ‘pastoralist’ (Afar and Somali regions), or ‘city dweller’ (Addis Ababa, Dire </w:t>
            </w:r>
            <w:proofErr w:type="spellStart"/>
            <w:r w:rsidRPr="00B24993">
              <w:rPr>
                <w:rFonts w:ascii="Times New Roman" w:hAnsi="Times New Roman" w:cs="Times New Roman"/>
                <w:sz w:val="20"/>
                <w:szCs w:val="20"/>
              </w:rPr>
              <w:t>Dawa</w:t>
            </w:r>
            <w:proofErr w:type="spellEnd"/>
            <w:r w:rsidRPr="00B24993">
              <w:rPr>
                <w:rFonts w:ascii="Times New Roman" w:hAnsi="Times New Roman" w:cs="Times New Roman"/>
                <w:sz w:val="20"/>
                <w:szCs w:val="20"/>
              </w:rPr>
              <w:t xml:space="preserve"> cites, and Harari regions). An agrarian society is any community whose economy is based on producing and maintaining crops and farmland. A pastoralist society is any community whose economy is based on raising livestock. A city-dweller society is any city community. </w:t>
            </w:r>
          </w:p>
        </w:tc>
      </w:tr>
    </w:tbl>
    <w:p w:rsidR="00DD0FC9" w:rsidRPr="00B24993" w:rsidRDefault="00DD0FC9" w:rsidP="00DD0FC9">
      <w:pPr>
        <w:rPr>
          <w:rFonts w:ascii="Times New Roman" w:hAnsi="Times New Roman" w:cs="Times New Roman"/>
        </w:rPr>
      </w:pPr>
      <w:proofErr w:type="gramStart"/>
      <w:r w:rsidRPr="00B24993">
        <w:rPr>
          <w:rFonts w:ascii="Times New Roman" w:hAnsi="Times New Roman" w:cs="Times New Roman"/>
        </w:rPr>
        <w:t>kg</w:t>
      </w:r>
      <w:proofErr w:type="gramEnd"/>
      <w:r w:rsidRPr="00B24993">
        <w:rPr>
          <w:rFonts w:ascii="Times New Roman" w:hAnsi="Times New Roman" w:cs="Times New Roman"/>
        </w:rPr>
        <w:t>, weight measured in kilograms; m</w:t>
      </w:r>
      <w:r w:rsidRPr="00B24993">
        <w:rPr>
          <w:rFonts w:ascii="Times New Roman" w:hAnsi="Times New Roman" w:cs="Times New Roman"/>
          <w:vertAlign w:val="superscript"/>
        </w:rPr>
        <w:t>2</w:t>
      </w:r>
      <w:r w:rsidRPr="00B24993">
        <w:rPr>
          <w:rFonts w:ascii="Times New Roman" w:hAnsi="Times New Roman" w:cs="Times New Roman"/>
        </w:rPr>
        <w:t xml:space="preserve"> height measured in square meters</w:t>
      </w:r>
    </w:p>
    <w:p w:rsidR="0006183E" w:rsidRDefault="0006183E"/>
    <w:sectPr w:rsidR="000618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E5F" w:rsidRDefault="00A02E5F" w:rsidP="00CB475F">
      <w:pPr>
        <w:spacing w:after="0" w:line="240" w:lineRule="auto"/>
      </w:pPr>
      <w:r>
        <w:separator/>
      </w:r>
    </w:p>
  </w:endnote>
  <w:endnote w:type="continuationSeparator" w:id="0">
    <w:p w:rsidR="00A02E5F" w:rsidRDefault="00A02E5F" w:rsidP="00CB4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75F" w:rsidRDefault="00CB47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780466"/>
      <w:docPartObj>
        <w:docPartGallery w:val="Page Numbers (Bottom of Page)"/>
        <w:docPartUnique/>
      </w:docPartObj>
    </w:sdtPr>
    <w:sdtEndPr>
      <w:rPr>
        <w:noProof/>
      </w:rPr>
    </w:sdtEndPr>
    <w:sdtContent>
      <w:p w:rsidR="00CB475F" w:rsidRDefault="00CB475F">
        <w:pPr>
          <w:pStyle w:val="Footer"/>
          <w:jc w:val="right"/>
        </w:pPr>
        <w:r>
          <w:fldChar w:fldCharType="begin"/>
        </w:r>
        <w:r>
          <w:instrText xml:space="preserve"> PAGE   \* MERGEFORMAT </w:instrText>
        </w:r>
        <w:r>
          <w:fldChar w:fldCharType="separate"/>
        </w:r>
        <w:r w:rsidR="008820CE">
          <w:rPr>
            <w:noProof/>
          </w:rPr>
          <w:t>2</w:t>
        </w:r>
        <w:r>
          <w:rPr>
            <w:noProof/>
          </w:rPr>
          <w:fldChar w:fldCharType="end"/>
        </w:r>
      </w:p>
    </w:sdtContent>
  </w:sdt>
  <w:p w:rsidR="00CB475F" w:rsidRDefault="00CB47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75F" w:rsidRDefault="00CB47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E5F" w:rsidRDefault="00A02E5F" w:rsidP="00CB475F">
      <w:pPr>
        <w:spacing w:after="0" w:line="240" w:lineRule="auto"/>
      </w:pPr>
      <w:r>
        <w:separator/>
      </w:r>
    </w:p>
  </w:footnote>
  <w:footnote w:type="continuationSeparator" w:id="0">
    <w:p w:rsidR="00A02E5F" w:rsidRDefault="00A02E5F" w:rsidP="00CB47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75F" w:rsidRDefault="00CB47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75F" w:rsidRDefault="00CB47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75F" w:rsidRDefault="00CB47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FC9"/>
    <w:rsid w:val="0006183E"/>
    <w:rsid w:val="000F5B01"/>
    <w:rsid w:val="006A2B04"/>
    <w:rsid w:val="00792C39"/>
    <w:rsid w:val="008820CE"/>
    <w:rsid w:val="00904BEC"/>
    <w:rsid w:val="009409B4"/>
    <w:rsid w:val="00A02E5F"/>
    <w:rsid w:val="00CB475F"/>
    <w:rsid w:val="00DD0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9A815A-6FB9-40C3-80DC-4C45BAAD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F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D0FC9"/>
    <w:pPr>
      <w:spacing w:after="0" w:line="240" w:lineRule="auto"/>
    </w:pPr>
  </w:style>
  <w:style w:type="table" w:styleId="TableGrid">
    <w:name w:val="Table Grid"/>
    <w:basedOn w:val="TableNormal"/>
    <w:uiPriority w:val="39"/>
    <w:rsid w:val="00DD0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DD0FC9"/>
  </w:style>
  <w:style w:type="paragraph" w:styleId="Header">
    <w:name w:val="header"/>
    <w:basedOn w:val="Normal"/>
    <w:link w:val="HeaderChar"/>
    <w:uiPriority w:val="99"/>
    <w:unhideWhenUsed/>
    <w:rsid w:val="00CB4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75F"/>
  </w:style>
  <w:style w:type="paragraph" w:styleId="Footer">
    <w:name w:val="footer"/>
    <w:basedOn w:val="Normal"/>
    <w:link w:val="FooterChar"/>
    <w:uiPriority w:val="99"/>
    <w:unhideWhenUsed/>
    <w:rsid w:val="00CB4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698</Words>
  <Characters>3983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Biniyam</dc:creator>
  <cp:keywords/>
  <dc:description/>
  <cp:lastModifiedBy>Biniyam</cp:lastModifiedBy>
  <cp:revision>7</cp:revision>
  <dcterms:created xsi:type="dcterms:W3CDTF">2023-01-09T12:27:00Z</dcterms:created>
  <dcterms:modified xsi:type="dcterms:W3CDTF">2023-07-13T09:15:00Z</dcterms:modified>
</cp:coreProperties>
</file>