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4A7E6" w14:textId="77777777" w:rsidR="00F47D19" w:rsidRPr="00254C2B" w:rsidRDefault="00F47D19" w:rsidP="00F47D19">
      <w:pPr>
        <w:autoSpaceDE w:val="0"/>
        <w:autoSpaceDN w:val="0"/>
        <w:adjustRightInd w:val="0"/>
        <w:spacing w:after="0" w:line="240" w:lineRule="auto"/>
        <w:jc w:val="both"/>
        <w:rPr>
          <w:rFonts w:ascii="Calibri" w:eastAsia="Times New Roman" w:hAnsi="Calibri" w:cs="Calibri"/>
          <w:b/>
          <w:bCs/>
          <w:sz w:val="20"/>
          <w:szCs w:val="20"/>
        </w:rPr>
      </w:pPr>
      <w:r w:rsidRPr="00254C2B">
        <w:rPr>
          <w:rFonts w:ascii="Calibri" w:eastAsia="Times New Roman" w:hAnsi="Calibri" w:cs="Calibri"/>
          <w:b/>
          <w:bCs/>
          <w:sz w:val="20"/>
          <w:szCs w:val="20"/>
        </w:rPr>
        <w:t>Table S1: Perinatal, stillbirth and neonatal death rates per 1,000 births by Indigenous status and remoteness area (2020)</w:t>
      </w:r>
      <w:r w:rsidRPr="00254C2B">
        <w:rPr>
          <w:rFonts w:ascii="Calibri" w:eastAsia="Times New Roman" w:hAnsi="Calibri" w:cs="Calibri"/>
          <w:b/>
          <w:bCs/>
          <w:sz w:val="20"/>
          <w:szCs w:val="20"/>
        </w:rPr>
        <w:fldChar w:fldCharType="begin"/>
      </w:r>
      <w:r w:rsidRPr="00254C2B">
        <w:rPr>
          <w:rFonts w:ascii="Calibri" w:eastAsia="Times New Roman" w:hAnsi="Calibri" w:cs="Calibri"/>
          <w:b/>
          <w:bCs/>
          <w:sz w:val="20"/>
          <w:szCs w:val="20"/>
        </w:rPr>
        <w:instrText xml:space="preserve"> ADDIN EN.CITE &lt;EndNote&gt;&lt;Cite&gt;&lt;Author&gt;Australian Institute of Health Welfare (AIHW)&lt;/Author&gt;&lt;Year&gt;2022&lt;/Year&gt;&lt;RecNum&gt;3324&lt;/RecNum&gt;&lt;DisplayText&gt;&lt;style face="superscript"&gt;4&lt;/style&gt;&lt;/DisplayText&gt;&lt;record&gt;&lt;rec-number&gt;3324&lt;/rec-number&gt;&lt;foreign-keys&gt;&lt;key app="EN" db-id="er2see5zctsdspearrrxsvwmw9daewd5fstf" timestamp="1646192331"&gt;3324&lt;/key&gt;&lt;/foreign-keys&gt;&lt;ref-type name="Web Page"&gt;12&lt;/ref-type&gt;&lt;contributors&gt;&lt;authors&gt;&lt;author&gt;Australian Institute of Health Welfare (AIHW),&lt;/author&gt;&lt;/authors&gt;&lt;/contributors&gt;&lt;titles&gt;&lt;title&gt;Australia&amp;apos;s mothers and babies&lt;/title&gt;&lt;/titles&gt;&lt;number&gt;31 January 2023&lt;/number&gt;&lt;dates&gt;&lt;year&gt;2022&lt;/year&gt;&lt;/dates&gt;&lt;pub-location&gt;Canberra&lt;/pub-location&gt;&lt;publisher&gt;AIHW&lt;/publisher&gt;&lt;urls&gt;&lt;related-urls&gt;&lt;url&gt;https://www.aihw.gov.au/reports/mothers-babies/australias-mothers-babies&lt;/url&gt;&lt;/related-urls&gt;&lt;/urls&gt;&lt;/record&gt;&lt;/Cite&gt;&lt;/EndNote&gt;</w:instrText>
      </w:r>
      <w:r w:rsidRPr="00254C2B">
        <w:rPr>
          <w:rFonts w:ascii="Calibri" w:eastAsia="Times New Roman" w:hAnsi="Calibri" w:cs="Calibri"/>
          <w:b/>
          <w:bCs/>
          <w:sz w:val="20"/>
          <w:szCs w:val="20"/>
        </w:rPr>
        <w:fldChar w:fldCharType="separate"/>
      </w:r>
      <w:r w:rsidRPr="00254C2B">
        <w:rPr>
          <w:rFonts w:ascii="Calibri" w:eastAsia="Times New Roman" w:hAnsi="Calibri" w:cs="Calibri"/>
          <w:b/>
          <w:bCs/>
          <w:noProof/>
          <w:sz w:val="20"/>
          <w:szCs w:val="20"/>
          <w:vertAlign w:val="superscript"/>
        </w:rPr>
        <w:t>4</w:t>
      </w:r>
      <w:r w:rsidRPr="00254C2B">
        <w:rPr>
          <w:rFonts w:ascii="Calibri" w:eastAsia="Times New Roman" w:hAnsi="Calibri" w:cs="Calibri"/>
          <w:b/>
          <w:bCs/>
          <w:sz w:val="20"/>
          <w:szCs w:val="20"/>
        </w:rPr>
        <w:fldChar w:fldCharType="end"/>
      </w:r>
      <w:r w:rsidRPr="00254C2B">
        <w:rPr>
          <w:rFonts w:ascii="Calibri" w:eastAsia="Times New Roman" w:hAnsi="Calibri" w:cs="Calibri"/>
          <w:b/>
          <w:bCs/>
          <w:sz w:val="20"/>
          <w:szCs w:val="20"/>
        </w:rPr>
        <w:t>.</w:t>
      </w:r>
    </w:p>
    <w:tbl>
      <w:tblPr>
        <w:tblW w:w="9889" w:type="dxa"/>
        <w:tblBorders>
          <w:top w:val="single" w:sz="4" w:space="0" w:color="7F7F7F"/>
          <w:bottom w:val="single" w:sz="4" w:space="0" w:color="7F7F7F"/>
        </w:tblBorders>
        <w:tblLook w:val="04A0" w:firstRow="1" w:lastRow="0" w:firstColumn="1" w:lastColumn="0" w:noHBand="0" w:noVBand="1"/>
      </w:tblPr>
      <w:tblGrid>
        <w:gridCol w:w="1383"/>
        <w:gridCol w:w="1131"/>
        <w:gridCol w:w="1540"/>
        <w:gridCol w:w="1166"/>
        <w:gridCol w:w="1167"/>
        <w:gridCol w:w="1167"/>
        <w:gridCol w:w="1167"/>
        <w:gridCol w:w="1168"/>
      </w:tblGrid>
      <w:tr w:rsidR="00F47D19" w:rsidRPr="00F47D19" w14:paraId="7113F6DD" w14:textId="77777777" w:rsidTr="002E1E8F">
        <w:tc>
          <w:tcPr>
            <w:tcW w:w="1383" w:type="dxa"/>
            <w:tcBorders>
              <w:top w:val="single" w:sz="4" w:space="0" w:color="7F7F7F"/>
              <w:bottom w:val="single" w:sz="4" w:space="0" w:color="7F7F7F"/>
              <w:right w:val="single" w:sz="4" w:space="0" w:color="auto"/>
            </w:tcBorders>
            <w:shd w:val="clear" w:color="auto" w:fill="auto"/>
          </w:tcPr>
          <w:p w14:paraId="10E9D4E9"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bookmarkStart w:id="0" w:name="_Hlk97117819"/>
            <w:bookmarkStart w:id="1" w:name="_Hlk97121708"/>
          </w:p>
        </w:tc>
        <w:tc>
          <w:tcPr>
            <w:tcW w:w="2671" w:type="dxa"/>
            <w:gridSpan w:val="2"/>
            <w:tcBorders>
              <w:top w:val="single" w:sz="4" w:space="0" w:color="7F7F7F"/>
              <w:left w:val="single" w:sz="4" w:space="0" w:color="auto"/>
              <w:bottom w:val="single" w:sz="4" w:space="0" w:color="7F7F7F"/>
              <w:right w:val="single" w:sz="4" w:space="0" w:color="auto"/>
            </w:tcBorders>
            <w:shd w:val="clear" w:color="auto" w:fill="D9D9D9"/>
            <w:vAlign w:val="center"/>
          </w:tcPr>
          <w:p w14:paraId="7599A484"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Indigenous status</w:t>
            </w:r>
          </w:p>
        </w:tc>
        <w:tc>
          <w:tcPr>
            <w:tcW w:w="5835" w:type="dxa"/>
            <w:gridSpan w:val="5"/>
            <w:tcBorders>
              <w:left w:val="single" w:sz="4" w:space="0" w:color="auto"/>
              <w:bottom w:val="single" w:sz="4" w:space="0" w:color="7F7F7F"/>
            </w:tcBorders>
            <w:shd w:val="clear" w:color="auto" w:fill="BFBFBF"/>
            <w:vAlign w:val="center"/>
          </w:tcPr>
          <w:p w14:paraId="22494CCC"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Remoteness area</w:t>
            </w:r>
          </w:p>
        </w:tc>
      </w:tr>
      <w:bookmarkEnd w:id="0"/>
      <w:bookmarkEnd w:id="1"/>
      <w:tr w:rsidR="00F47D19" w:rsidRPr="00F47D19" w14:paraId="3FF23C6B" w14:textId="77777777" w:rsidTr="002E1E8F">
        <w:tc>
          <w:tcPr>
            <w:tcW w:w="1383" w:type="dxa"/>
            <w:tcBorders>
              <w:top w:val="single" w:sz="4" w:space="0" w:color="7F7F7F"/>
              <w:bottom w:val="single" w:sz="4" w:space="0" w:color="7F7F7F"/>
              <w:right w:val="single" w:sz="4" w:space="0" w:color="auto"/>
            </w:tcBorders>
            <w:shd w:val="clear" w:color="auto" w:fill="auto"/>
          </w:tcPr>
          <w:p w14:paraId="25F26470"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p>
        </w:tc>
        <w:tc>
          <w:tcPr>
            <w:tcW w:w="1131" w:type="dxa"/>
            <w:tcBorders>
              <w:top w:val="single" w:sz="4" w:space="0" w:color="7F7F7F"/>
              <w:left w:val="single" w:sz="4" w:space="0" w:color="auto"/>
              <w:bottom w:val="single" w:sz="4" w:space="0" w:color="7F7F7F"/>
            </w:tcBorders>
            <w:shd w:val="clear" w:color="auto" w:fill="D9D9D9"/>
            <w:vAlign w:val="bottom"/>
          </w:tcPr>
          <w:p w14:paraId="5F03E2BE"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Non-Indigenous</w:t>
            </w:r>
          </w:p>
        </w:tc>
        <w:tc>
          <w:tcPr>
            <w:tcW w:w="1540" w:type="dxa"/>
            <w:tcBorders>
              <w:top w:val="single" w:sz="4" w:space="0" w:color="7F7F7F"/>
              <w:bottom w:val="single" w:sz="4" w:space="0" w:color="7F7F7F"/>
              <w:right w:val="single" w:sz="4" w:space="0" w:color="auto"/>
            </w:tcBorders>
            <w:shd w:val="clear" w:color="auto" w:fill="D9D9D9"/>
            <w:vAlign w:val="bottom"/>
          </w:tcPr>
          <w:p w14:paraId="331E8CDC"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Aboriginal &amp; Torres Strait Islander</w:t>
            </w:r>
          </w:p>
        </w:tc>
        <w:tc>
          <w:tcPr>
            <w:tcW w:w="1166" w:type="dxa"/>
            <w:tcBorders>
              <w:top w:val="single" w:sz="4" w:space="0" w:color="7F7F7F"/>
              <w:left w:val="single" w:sz="4" w:space="0" w:color="auto"/>
              <w:bottom w:val="single" w:sz="4" w:space="0" w:color="7F7F7F"/>
            </w:tcBorders>
            <w:shd w:val="clear" w:color="auto" w:fill="BFBFBF"/>
            <w:vAlign w:val="bottom"/>
          </w:tcPr>
          <w:p w14:paraId="360E94BC"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Major cities</w:t>
            </w:r>
          </w:p>
          <w:p w14:paraId="686CCEB4"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RA1</w:t>
            </w:r>
          </w:p>
        </w:tc>
        <w:tc>
          <w:tcPr>
            <w:tcW w:w="1167" w:type="dxa"/>
            <w:tcBorders>
              <w:top w:val="single" w:sz="4" w:space="0" w:color="7F7F7F"/>
              <w:bottom w:val="single" w:sz="4" w:space="0" w:color="7F7F7F"/>
            </w:tcBorders>
            <w:shd w:val="clear" w:color="auto" w:fill="BFBFBF"/>
            <w:vAlign w:val="bottom"/>
          </w:tcPr>
          <w:p w14:paraId="3142CA80"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Inner regional</w:t>
            </w:r>
          </w:p>
          <w:p w14:paraId="6A5F54AF"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RA2</w:t>
            </w:r>
          </w:p>
        </w:tc>
        <w:tc>
          <w:tcPr>
            <w:tcW w:w="1167" w:type="dxa"/>
            <w:tcBorders>
              <w:top w:val="single" w:sz="4" w:space="0" w:color="7F7F7F"/>
              <w:bottom w:val="single" w:sz="4" w:space="0" w:color="7F7F7F"/>
            </w:tcBorders>
            <w:shd w:val="clear" w:color="auto" w:fill="BFBFBF"/>
            <w:vAlign w:val="bottom"/>
          </w:tcPr>
          <w:p w14:paraId="6640A2A7"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Outer regional</w:t>
            </w:r>
          </w:p>
          <w:p w14:paraId="58ACBBC8"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RA3</w:t>
            </w:r>
          </w:p>
        </w:tc>
        <w:tc>
          <w:tcPr>
            <w:tcW w:w="1167" w:type="dxa"/>
            <w:tcBorders>
              <w:top w:val="single" w:sz="4" w:space="0" w:color="7F7F7F"/>
              <w:bottom w:val="single" w:sz="4" w:space="0" w:color="7F7F7F"/>
            </w:tcBorders>
            <w:shd w:val="clear" w:color="auto" w:fill="BFBFBF"/>
            <w:vAlign w:val="bottom"/>
          </w:tcPr>
          <w:p w14:paraId="75ACBCB2"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Remote</w:t>
            </w:r>
          </w:p>
          <w:p w14:paraId="7ECFFF15"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RA4</w:t>
            </w:r>
          </w:p>
        </w:tc>
        <w:tc>
          <w:tcPr>
            <w:tcW w:w="1168" w:type="dxa"/>
            <w:tcBorders>
              <w:top w:val="single" w:sz="4" w:space="0" w:color="7F7F7F"/>
              <w:bottom w:val="single" w:sz="4" w:space="0" w:color="7F7F7F"/>
            </w:tcBorders>
            <w:shd w:val="clear" w:color="auto" w:fill="BFBFBF"/>
            <w:vAlign w:val="bottom"/>
          </w:tcPr>
          <w:p w14:paraId="0C79C3BD"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Very remote</w:t>
            </w:r>
          </w:p>
          <w:p w14:paraId="3656EDEC" w14:textId="77777777" w:rsidR="00F47D19" w:rsidRPr="00F47D19" w:rsidRDefault="00F47D19" w:rsidP="00F47D19">
            <w:pPr>
              <w:spacing w:after="0" w:line="240" w:lineRule="auto"/>
              <w:jc w:val="center"/>
              <w:rPr>
                <w:rFonts w:ascii="Calibri" w:eastAsia="Calibri" w:hAnsi="Calibri" w:cs="Calibri"/>
                <w:b/>
                <w:bCs/>
                <w:sz w:val="20"/>
                <w:szCs w:val="20"/>
              </w:rPr>
            </w:pPr>
            <w:r w:rsidRPr="00F47D19">
              <w:rPr>
                <w:rFonts w:ascii="Calibri" w:eastAsia="Calibri" w:hAnsi="Calibri" w:cs="Calibri"/>
                <w:b/>
                <w:bCs/>
                <w:sz w:val="20"/>
                <w:szCs w:val="20"/>
              </w:rPr>
              <w:t>RA5</w:t>
            </w:r>
          </w:p>
        </w:tc>
      </w:tr>
      <w:tr w:rsidR="00F47D19" w:rsidRPr="00F47D19" w14:paraId="581EE697" w14:textId="77777777" w:rsidTr="002E1E8F">
        <w:trPr>
          <w:trHeight w:val="598"/>
        </w:trPr>
        <w:tc>
          <w:tcPr>
            <w:tcW w:w="1383" w:type="dxa"/>
            <w:tcBorders>
              <w:top w:val="single" w:sz="4" w:space="0" w:color="7F7F7F"/>
              <w:bottom w:val="single" w:sz="4" w:space="0" w:color="7F7F7F"/>
              <w:right w:val="single" w:sz="4" w:space="0" w:color="auto"/>
            </w:tcBorders>
            <w:shd w:val="clear" w:color="auto" w:fill="auto"/>
          </w:tcPr>
          <w:p w14:paraId="4B04ABDD"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w:t>
            </w:r>
            <w:proofErr w:type="spellStart"/>
            <w:r w:rsidRPr="00F47D19">
              <w:rPr>
                <w:rFonts w:ascii="Calibri" w:eastAsia="Calibri" w:hAnsi="Calibri" w:cs="Calibri"/>
                <w:b/>
                <w:bCs/>
                <w:sz w:val="20"/>
                <w:szCs w:val="20"/>
                <w:vertAlign w:val="superscript"/>
                <w:lang w:val="en-US"/>
              </w:rPr>
              <w:t>a</w:t>
            </w:r>
            <w:r w:rsidRPr="00F47D19">
              <w:rPr>
                <w:rFonts w:ascii="Calibri" w:eastAsia="Calibri" w:hAnsi="Calibri" w:cs="Calibri"/>
                <w:b/>
                <w:bCs/>
                <w:sz w:val="20"/>
                <w:szCs w:val="20"/>
                <w:lang w:val="en-US"/>
              </w:rPr>
              <w:t>Perinatal</w:t>
            </w:r>
            <w:proofErr w:type="spellEnd"/>
            <w:r w:rsidRPr="00F47D19">
              <w:rPr>
                <w:rFonts w:ascii="Calibri" w:eastAsia="Calibri" w:hAnsi="Calibri" w:cs="Calibri"/>
                <w:b/>
                <w:bCs/>
                <w:sz w:val="20"/>
                <w:szCs w:val="20"/>
                <w:lang w:val="en-US"/>
              </w:rPr>
              <w:t xml:space="preserve"> death</w:t>
            </w:r>
          </w:p>
        </w:tc>
        <w:tc>
          <w:tcPr>
            <w:tcW w:w="1131" w:type="dxa"/>
            <w:tcBorders>
              <w:left w:val="single" w:sz="4" w:space="0" w:color="auto"/>
            </w:tcBorders>
            <w:shd w:val="clear" w:color="auto" w:fill="D9D9D9"/>
            <w:vAlign w:val="center"/>
          </w:tcPr>
          <w:p w14:paraId="0D4212B5"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9.8</w:t>
            </w:r>
          </w:p>
        </w:tc>
        <w:tc>
          <w:tcPr>
            <w:tcW w:w="1540" w:type="dxa"/>
            <w:tcBorders>
              <w:top w:val="single" w:sz="4" w:space="0" w:color="7F7F7F"/>
              <w:bottom w:val="single" w:sz="4" w:space="0" w:color="7F7F7F"/>
              <w:right w:val="single" w:sz="4" w:space="0" w:color="auto"/>
            </w:tcBorders>
            <w:shd w:val="clear" w:color="auto" w:fill="D9D9D9"/>
            <w:vAlign w:val="center"/>
          </w:tcPr>
          <w:p w14:paraId="3AD45FED"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17.0</w:t>
            </w:r>
          </w:p>
        </w:tc>
        <w:tc>
          <w:tcPr>
            <w:tcW w:w="1166" w:type="dxa"/>
            <w:tcBorders>
              <w:left w:val="single" w:sz="4" w:space="0" w:color="auto"/>
            </w:tcBorders>
            <w:shd w:val="clear" w:color="auto" w:fill="BFBFBF"/>
            <w:vAlign w:val="center"/>
          </w:tcPr>
          <w:p w14:paraId="0070ED74"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9.6</w:t>
            </w:r>
          </w:p>
        </w:tc>
        <w:tc>
          <w:tcPr>
            <w:tcW w:w="1167" w:type="dxa"/>
            <w:shd w:val="clear" w:color="auto" w:fill="BFBFBF"/>
            <w:vAlign w:val="center"/>
          </w:tcPr>
          <w:p w14:paraId="07523344"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10.5</w:t>
            </w:r>
          </w:p>
        </w:tc>
        <w:tc>
          <w:tcPr>
            <w:tcW w:w="1167" w:type="dxa"/>
            <w:shd w:val="clear" w:color="auto" w:fill="BFBFBF"/>
            <w:vAlign w:val="center"/>
          </w:tcPr>
          <w:p w14:paraId="77856D0D" w14:textId="77777777" w:rsidR="00F47D19" w:rsidRPr="00F47D19" w:rsidRDefault="00F47D19" w:rsidP="00F47D19">
            <w:pPr>
              <w:spacing w:after="0" w:line="240" w:lineRule="auto"/>
              <w:ind w:firstLineChars="100" w:firstLine="200"/>
              <w:jc w:val="center"/>
              <w:rPr>
                <w:rFonts w:ascii="Calibri" w:eastAsia="Calibri" w:hAnsi="Calibri" w:cs="Calibri"/>
                <w:sz w:val="20"/>
                <w:szCs w:val="20"/>
              </w:rPr>
            </w:pPr>
            <w:r w:rsidRPr="00F47D19">
              <w:rPr>
                <w:rFonts w:ascii="Calibri" w:eastAsia="Calibri" w:hAnsi="Calibri" w:cs="Calibri"/>
                <w:sz w:val="20"/>
                <w:szCs w:val="20"/>
              </w:rPr>
              <w:t>11.5</w:t>
            </w:r>
          </w:p>
        </w:tc>
        <w:tc>
          <w:tcPr>
            <w:tcW w:w="1167" w:type="dxa"/>
            <w:shd w:val="clear" w:color="auto" w:fill="BFBFBF"/>
            <w:vAlign w:val="center"/>
          </w:tcPr>
          <w:p w14:paraId="54B57DA6" w14:textId="77777777" w:rsidR="00F47D19" w:rsidRPr="00F47D19" w:rsidRDefault="00F47D19" w:rsidP="00F47D19">
            <w:pPr>
              <w:spacing w:after="0" w:line="240" w:lineRule="auto"/>
              <w:ind w:firstLineChars="100" w:firstLine="200"/>
              <w:jc w:val="center"/>
              <w:rPr>
                <w:rFonts w:ascii="Calibri" w:eastAsia="Calibri" w:hAnsi="Calibri" w:cs="Calibri"/>
                <w:sz w:val="20"/>
                <w:szCs w:val="20"/>
              </w:rPr>
            </w:pPr>
            <w:r w:rsidRPr="00F47D19">
              <w:rPr>
                <w:rFonts w:ascii="Calibri" w:eastAsia="Calibri" w:hAnsi="Calibri" w:cs="Calibri"/>
                <w:sz w:val="20"/>
                <w:szCs w:val="20"/>
              </w:rPr>
              <w:t>13.6</w:t>
            </w:r>
          </w:p>
        </w:tc>
        <w:tc>
          <w:tcPr>
            <w:tcW w:w="1168" w:type="dxa"/>
            <w:shd w:val="clear" w:color="auto" w:fill="BFBFBF"/>
            <w:vAlign w:val="center"/>
          </w:tcPr>
          <w:p w14:paraId="51A23D85" w14:textId="77777777" w:rsidR="00F47D19" w:rsidRPr="00F47D19" w:rsidRDefault="00F47D19" w:rsidP="00F47D19">
            <w:pPr>
              <w:spacing w:after="0" w:line="240" w:lineRule="auto"/>
              <w:ind w:firstLineChars="100" w:firstLine="200"/>
              <w:jc w:val="center"/>
              <w:rPr>
                <w:rFonts w:ascii="Calibri" w:eastAsia="Calibri" w:hAnsi="Calibri" w:cs="Calibri"/>
                <w:sz w:val="20"/>
                <w:szCs w:val="20"/>
              </w:rPr>
            </w:pPr>
            <w:r w:rsidRPr="00F47D19">
              <w:rPr>
                <w:rFonts w:ascii="Calibri" w:eastAsia="Calibri" w:hAnsi="Calibri" w:cs="Calibri"/>
                <w:sz w:val="20"/>
                <w:szCs w:val="20"/>
              </w:rPr>
              <w:t>15.3</w:t>
            </w:r>
          </w:p>
        </w:tc>
      </w:tr>
      <w:tr w:rsidR="00F47D19" w:rsidRPr="00F47D19" w14:paraId="7712362C" w14:textId="77777777" w:rsidTr="002E1E8F">
        <w:tc>
          <w:tcPr>
            <w:tcW w:w="1383" w:type="dxa"/>
            <w:tcBorders>
              <w:top w:val="single" w:sz="4" w:space="0" w:color="7F7F7F"/>
              <w:bottom w:val="single" w:sz="4" w:space="0" w:color="7F7F7F"/>
              <w:right w:val="single" w:sz="4" w:space="0" w:color="auto"/>
            </w:tcBorders>
            <w:shd w:val="clear" w:color="auto" w:fill="auto"/>
          </w:tcPr>
          <w:p w14:paraId="34810F70"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 xml:space="preserve"> *</w:t>
            </w:r>
            <w:proofErr w:type="spellStart"/>
            <w:r w:rsidRPr="00F47D19">
              <w:rPr>
                <w:rFonts w:ascii="Calibri" w:eastAsia="Calibri" w:hAnsi="Calibri" w:cs="Calibri"/>
                <w:b/>
                <w:bCs/>
                <w:sz w:val="20"/>
                <w:szCs w:val="20"/>
                <w:vertAlign w:val="superscript"/>
                <w:lang w:val="en-US"/>
              </w:rPr>
              <w:t>b</w:t>
            </w:r>
            <w:r w:rsidRPr="00F47D19">
              <w:rPr>
                <w:rFonts w:ascii="Calibri" w:eastAsia="Calibri" w:hAnsi="Calibri" w:cs="Calibri"/>
                <w:b/>
                <w:bCs/>
                <w:sz w:val="20"/>
                <w:szCs w:val="20"/>
                <w:lang w:val="en-US"/>
              </w:rPr>
              <w:t>Stillbirths</w:t>
            </w:r>
            <w:proofErr w:type="spellEnd"/>
          </w:p>
        </w:tc>
        <w:tc>
          <w:tcPr>
            <w:tcW w:w="1131" w:type="dxa"/>
            <w:tcBorders>
              <w:top w:val="single" w:sz="4" w:space="0" w:color="7F7F7F"/>
              <w:left w:val="single" w:sz="4" w:space="0" w:color="auto"/>
              <w:bottom w:val="single" w:sz="4" w:space="0" w:color="7F7F7F"/>
            </w:tcBorders>
            <w:shd w:val="clear" w:color="auto" w:fill="D9D9D9"/>
            <w:vAlign w:val="center"/>
          </w:tcPr>
          <w:p w14:paraId="563A1AB2"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7.4</w:t>
            </w:r>
          </w:p>
        </w:tc>
        <w:tc>
          <w:tcPr>
            <w:tcW w:w="1540" w:type="dxa"/>
            <w:tcBorders>
              <w:top w:val="single" w:sz="4" w:space="0" w:color="7F7F7F"/>
              <w:bottom w:val="single" w:sz="4" w:space="0" w:color="7F7F7F"/>
              <w:right w:val="single" w:sz="4" w:space="0" w:color="auto"/>
            </w:tcBorders>
            <w:shd w:val="clear" w:color="auto" w:fill="D9D9D9"/>
            <w:vAlign w:val="center"/>
          </w:tcPr>
          <w:p w14:paraId="0E1F04CB"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11.9</w:t>
            </w:r>
          </w:p>
        </w:tc>
        <w:tc>
          <w:tcPr>
            <w:tcW w:w="1166" w:type="dxa"/>
            <w:tcBorders>
              <w:top w:val="single" w:sz="4" w:space="0" w:color="7F7F7F"/>
              <w:left w:val="single" w:sz="4" w:space="0" w:color="auto"/>
              <w:bottom w:val="single" w:sz="4" w:space="0" w:color="7F7F7F"/>
            </w:tcBorders>
            <w:shd w:val="clear" w:color="auto" w:fill="BFBFBF"/>
            <w:vAlign w:val="bottom"/>
          </w:tcPr>
          <w:p w14:paraId="5707A953"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Times New Roman" w:hAnsi="Calibri" w:cs="Calibri"/>
                <w:sz w:val="16"/>
                <w:szCs w:val="16"/>
              </w:rPr>
              <w:t>7.3</w:t>
            </w:r>
          </w:p>
        </w:tc>
        <w:tc>
          <w:tcPr>
            <w:tcW w:w="1167" w:type="dxa"/>
            <w:tcBorders>
              <w:top w:val="single" w:sz="4" w:space="0" w:color="7F7F7F"/>
              <w:bottom w:val="single" w:sz="4" w:space="0" w:color="7F7F7F"/>
            </w:tcBorders>
            <w:shd w:val="clear" w:color="auto" w:fill="BFBFBF"/>
            <w:vAlign w:val="bottom"/>
          </w:tcPr>
          <w:p w14:paraId="5BF7BD3A"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8.0</w:t>
            </w:r>
          </w:p>
        </w:tc>
        <w:tc>
          <w:tcPr>
            <w:tcW w:w="1167" w:type="dxa"/>
            <w:tcBorders>
              <w:top w:val="single" w:sz="4" w:space="0" w:color="7F7F7F"/>
              <w:bottom w:val="single" w:sz="4" w:space="0" w:color="7F7F7F"/>
            </w:tcBorders>
            <w:shd w:val="clear" w:color="auto" w:fill="BFBFBF"/>
            <w:vAlign w:val="bottom"/>
          </w:tcPr>
          <w:p w14:paraId="4A233F60"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8.3</w:t>
            </w:r>
          </w:p>
        </w:tc>
        <w:tc>
          <w:tcPr>
            <w:tcW w:w="1167" w:type="dxa"/>
            <w:tcBorders>
              <w:top w:val="single" w:sz="4" w:space="0" w:color="7F7F7F"/>
              <w:bottom w:val="single" w:sz="4" w:space="0" w:color="7F7F7F"/>
            </w:tcBorders>
            <w:shd w:val="clear" w:color="auto" w:fill="BFBFBF"/>
            <w:vAlign w:val="bottom"/>
          </w:tcPr>
          <w:p w14:paraId="45430F88"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9</w:t>
            </w:r>
          </w:p>
        </w:tc>
        <w:tc>
          <w:tcPr>
            <w:tcW w:w="1168" w:type="dxa"/>
            <w:tcBorders>
              <w:top w:val="single" w:sz="4" w:space="0" w:color="7F7F7F"/>
              <w:bottom w:val="single" w:sz="4" w:space="0" w:color="7F7F7F"/>
            </w:tcBorders>
            <w:shd w:val="clear" w:color="auto" w:fill="BFBFBF"/>
            <w:vAlign w:val="center"/>
          </w:tcPr>
          <w:p w14:paraId="38B79D16"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11.1</w:t>
            </w:r>
          </w:p>
        </w:tc>
      </w:tr>
      <w:tr w:rsidR="00F47D19" w:rsidRPr="00F47D19" w14:paraId="67D8F158" w14:textId="77777777" w:rsidTr="002E1E8F">
        <w:tc>
          <w:tcPr>
            <w:tcW w:w="1383" w:type="dxa"/>
            <w:tcBorders>
              <w:top w:val="single" w:sz="4" w:space="0" w:color="7F7F7F"/>
              <w:bottom w:val="single" w:sz="4" w:space="0" w:color="7F7F7F"/>
              <w:right w:val="single" w:sz="4" w:space="0" w:color="auto"/>
            </w:tcBorders>
            <w:shd w:val="clear" w:color="auto" w:fill="auto"/>
          </w:tcPr>
          <w:p w14:paraId="10B52661"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w:t>
            </w:r>
            <w:proofErr w:type="spellStart"/>
            <w:r w:rsidRPr="00F47D19">
              <w:rPr>
                <w:rFonts w:ascii="Calibri" w:eastAsia="Calibri" w:hAnsi="Calibri" w:cs="Calibri"/>
                <w:b/>
                <w:bCs/>
                <w:sz w:val="20"/>
                <w:szCs w:val="20"/>
                <w:vertAlign w:val="superscript"/>
                <w:lang w:val="en-US"/>
              </w:rPr>
              <w:t>c</w:t>
            </w:r>
            <w:r w:rsidRPr="00F47D19">
              <w:rPr>
                <w:rFonts w:ascii="Calibri" w:eastAsia="Calibri" w:hAnsi="Calibri" w:cs="Calibri"/>
                <w:b/>
                <w:bCs/>
                <w:sz w:val="20"/>
                <w:szCs w:val="20"/>
                <w:lang w:val="en-US"/>
              </w:rPr>
              <w:t>Neonatal</w:t>
            </w:r>
            <w:proofErr w:type="spellEnd"/>
            <w:r w:rsidRPr="00F47D19">
              <w:rPr>
                <w:rFonts w:ascii="Calibri" w:eastAsia="Calibri" w:hAnsi="Calibri" w:cs="Calibri"/>
                <w:b/>
                <w:bCs/>
                <w:sz w:val="20"/>
                <w:szCs w:val="20"/>
                <w:lang w:val="en-US"/>
              </w:rPr>
              <w:t xml:space="preserve"> deaths </w:t>
            </w:r>
          </w:p>
        </w:tc>
        <w:tc>
          <w:tcPr>
            <w:tcW w:w="1131" w:type="dxa"/>
            <w:tcBorders>
              <w:left w:val="single" w:sz="4" w:space="0" w:color="auto"/>
            </w:tcBorders>
            <w:shd w:val="clear" w:color="auto" w:fill="D9D9D9"/>
            <w:vAlign w:val="center"/>
          </w:tcPr>
          <w:p w14:paraId="108E1C66"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2.3</w:t>
            </w:r>
          </w:p>
        </w:tc>
        <w:tc>
          <w:tcPr>
            <w:tcW w:w="1540" w:type="dxa"/>
            <w:tcBorders>
              <w:top w:val="single" w:sz="4" w:space="0" w:color="7F7F7F"/>
              <w:bottom w:val="single" w:sz="4" w:space="0" w:color="7F7F7F"/>
              <w:right w:val="single" w:sz="4" w:space="0" w:color="auto"/>
            </w:tcBorders>
            <w:shd w:val="clear" w:color="auto" w:fill="D9D9D9"/>
            <w:vAlign w:val="center"/>
          </w:tcPr>
          <w:p w14:paraId="36E441A2"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5.2</w:t>
            </w:r>
          </w:p>
        </w:tc>
        <w:tc>
          <w:tcPr>
            <w:tcW w:w="1166" w:type="dxa"/>
            <w:tcBorders>
              <w:left w:val="single" w:sz="4" w:space="0" w:color="auto"/>
            </w:tcBorders>
            <w:shd w:val="clear" w:color="auto" w:fill="BFBFBF"/>
            <w:vAlign w:val="center"/>
          </w:tcPr>
          <w:p w14:paraId="6DB6AFC0"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2.3</w:t>
            </w:r>
          </w:p>
        </w:tc>
        <w:tc>
          <w:tcPr>
            <w:tcW w:w="1167" w:type="dxa"/>
            <w:shd w:val="clear" w:color="auto" w:fill="BFBFBF"/>
            <w:vAlign w:val="center"/>
          </w:tcPr>
          <w:p w14:paraId="14815908"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2.5</w:t>
            </w:r>
          </w:p>
        </w:tc>
        <w:tc>
          <w:tcPr>
            <w:tcW w:w="1167" w:type="dxa"/>
            <w:shd w:val="clear" w:color="auto" w:fill="BFBFBF"/>
            <w:vAlign w:val="center"/>
          </w:tcPr>
          <w:p w14:paraId="41413A2F"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3.2</w:t>
            </w:r>
          </w:p>
        </w:tc>
        <w:tc>
          <w:tcPr>
            <w:tcW w:w="1167" w:type="dxa"/>
            <w:shd w:val="clear" w:color="auto" w:fill="BFBFBF"/>
            <w:vAlign w:val="center"/>
          </w:tcPr>
          <w:p w14:paraId="7E61F257"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4.7</w:t>
            </w:r>
          </w:p>
        </w:tc>
        <w:tc>
          <w:tcPr>
            <w:tcW w:w="1168" w:type="dxa"/>
            <w:shd w:val="clear" w:color="auto" w:fill="BFBFBF"/>
            <w:vAlign w:val="center"/>
          </w:tcPr>
          <w:p w14:paraId="0E9AE892" w14:textId="77777777" w:rsidR="00F47D19" w:rsidRPr="00F47D19" w:rsidRDefault="00F47D19" w:rsidP="00F47D19">
            <w:pPr>
              <w:spacing w:after="0" w:line="240" w:lineRule="auto"/>
              <w:jc w:val="center"/>
              <w:rPr>
                <w:rFonts w:ascii="Calibri" w:eastAsia="Calibri" w:hAnsi="Calibri" w:cs="Calibri"/>
                <w:sz w:val="20"/>
                <w:szCs w:val="20"/>
              </w:rPr>
            </w:pPr>
            <w:r w:rsidRPr="00F47D19">
              <w:rPr>
                <w:rFonts w:ascii="Calibri" w:eastAsia="Calibri" w:hAnsi="Calibri" w:cs="Calibri"/>
                <w:sz w:val="20"/>
                <w:szCs w:val="20"/>
              </w:rPr>
              <w:t>4.2</w:t>
            </w:r>
          </w:p>
        </w:tc>
      </w:tr>
    </w:tbl>
    <w:p w14:paraId="08AFA1AD" w14:textId="77777777" w:rsidR="00F47D19" w:rsidRPr="00F47D19" w:rsidRDefault="00F47D19" w:rsidP="00F47D19">
      <w:pPr>
        <w:spacing w:after="0" w:line="240" w:lineRule="auto"/>
        <w:rPr>
          <w:rFonts w:ascii="Calibri" w:eastAsia="Times New Roman" w:hAnsi="Calibri" w:cs="Calibri"/>
          <w:sz w:val="18"/>
          <w:szCs w:val="18"/>
        </w:rPr>
      </w:pPr>
      <w:r w:rsidRPr="00F47D19">
        <w:rPr>
          <w:rFonts w:ascii="Calibri" w:eastAsia="Times New Roman" w:hAnsi="Calibri" w:cs="Calibri"/>
          <w:sz w:val="18"/>
          <w:szCs w:val="18"/>
        </w:rPr>
        <w:t>* The rate is the number of deaths per 1,000 births. Stillbirth and perinatal death rates were calculated using total births (live births and stillbirths). Neonatal death rates were calculated using live births.</w:t>
      </w:r>
    </w:p>
    <w:p w14:paraId="54DA221E" w14:textId="77777777" w:rsidR="00F47D19" w:rsidRPr="00F47D19" w:rsidRDefault="00F47D19" w:rsidP="00F47D19">
      <w:pPr>
        <w:spacing w:after="0" w:line="240" w:lineRule="auto"/>
        <w:rPr>
          <w:rFonts w:ascii="Calibri" w:eastAsia="Times New Roman" w:hAnsi="Calibri" w:cs="Calibri"/>
          <w:sz w:val="18"/>
          <w:szCs w:val="18"/>
        </w:rPr>
      </w:pPr>
      <w:r w:rsidRPr="00F47D19">
        <w:rPr>
          <w:rFonts w:ascii="Calibri" w:eastAsia="Times New Roman" w:hAnsi="Calibri" w:cs="Calibri"/>
          <w:sz w:val="18"/>
          <w:szCs w:val="18"/>
        </w:rPr>
        <w:t xml:space="preserve">Data extracted from- Australian Institute of Health Welfare. Australia's mothers and babies. Canberra: AIHW; 2022, Data tables: National Perinatal Mortality Data Collection annual update 2020, Available from: </w:t>
      </w:r>
      <w:hyperlink r:id="rId4" w:history="1">
        <w:r w:rsidRPr="00F47D19">
          <w:rPr>
            <w:rFonts w:ascii="Calibri" w:eastAsia="Times New Roman" w:hAnsi="Calibri" w:cs="Calibri"/>
            <w:color w:val="4472C4"/>
            <w:sz w:val="18"/>
            <w:szCs w:val="18"/>
          </w:rPr>
          <w:t>https://www.aihw.gov.au/reports/mothers-babies/australias-mothers-babies/data</w:t>
        </w:r>
      </w:hyperlink>
      <w:r w:rsidRPr="00F47D19">
        <w:rPr>
          <w:rFonts w:ascii="Calibri" w:eastAsia="Times New Roman" w:hAnsi="Calibri" w:cs="Calibri"/>
          <w:color w:val="4472C4"/>
          <w:sz w:val="18"/>
          <w:szCs w:val="18"/>
        </w:rPr>
        <w:t xml:space="preserve">  </w:t>
      </w:r>
      <w:r w:rsidRPr="00F47D19">
        <w:rPr>
          <w:rFonts w:ascii="Calibri" w:eastAsia="Times New Roman" w:hAnsi="Calibri" w:cs="Calibri"/>
          <w:sz w:val="18"/>
          <w:szCs w:val="18"/>
        </w:rPr>
        <w:t xml:space="preserve">    </w:t>
      </w:r>
    </w:p>
    <w:p w14:paraId="4F5BC28C" w14:textId="77777777" w:rsidR="00F47D19" w:rsidRPr="00F47D19" w:rsidRDefault="00F47D19" w:rsidP="00F47D19">
      <w:pPr>
        <w:spacing w:after="0" w:line="240" w:lineRule="auto"/>
        <w:jc w:val="both"/>
        <w:rPr>
          <w:rFonts w:ascii="Calibri" w:eastAsia="Times New Roman" w:hAnsi="Calibri" w:cs="Calibri"/>
          <w:b/>
          <w:bCs/>
          <w:sz w:val="20"/>
          <w:szCs w:val="20"/>
        </w:rPr>
      </w:pPr>
    </w:p>
    <w:p w14:paraId="0E43530C" w14:textId="77777777" w:rsidR="00F47D19" w:rsidRPr="00F47D19" w:rsidRDefault="00F47D19" w:rsidP="00F47D19">
      <w:pPr>
        <w:spacing w:after="0" w:line="240" w:lineRule="auto"/>
        <w:jc w:val="both"/>
        <w:rPr>
          <w:rFonts w:ascii="Calibri" w:eastAsia="Times New Roman" w:hAnsi="Calibri" w:cs="Calibri"/>
          <w:b/>
          <w:bCs/>
          <w:sz w:val="20"/>
          <w:szCs w:val="20"/>
        </w:rPr>
      </w:pPr>
    </w:p>
    <w:p w14:paraId="47D5B333" w14:textId="77777777" w:rsidR="00F47D19" w:rsidRPr="00254C2B" w:rsidRDefault="00F47D19" w:rsidP="00F47D19">
      <w:pPr>
        <w:spacing w:after="0" w:line="240" w:lineRule="auto"/>
        <w:jc w:val="both"/>
        <w:rPr>
          <w:rFonts w:ascii="Calibri" w:eastAsia="Times New Roman" w:hAnsi="Calibri" w:cs="Calibri"/>
          <w:b/>
          <w:bCs/>
          <w:sz w:val="18"/>
          <w:szCs w:val="18"/>
        </w:rPr>
      </w:pPr>
      <w:r w:rsidRPr="00254C2B">
        <w:rPr>
          <w:rFonts w:ascii="Calibri" w:eastAsia="Times New Roman" w:hAnsi="Calibri" w:cs="Calibri"/>
          <w:b/>
          <w:bCs/>
          <w:sz w:val="20"/>
          <w:szCs w:val="20"/>
        </w:rPr>
        <w:t>Table S2: Maternal mortality ratio per 100,000 women giving birth by Indigenous status and remoteness area (2012-2020)</w:t>
      </w:r>
      <w:r w:rsidRPr="00254C2B">
        <w:rPr>
          <w:rFonts w:ascii="Calibri" w:eastAsia="Times New Roman" w:hAnsi="Calibri" w:cs="Calibri"/>
          <w:b/>
          <w:bCs/>
          <w:sz w:val="20"/>
          <w:szCs w:val="20"/>
        </w:rPr>
        <w:fldChar w:fldCharType="begin"/>
      </w:r>
      <w:r w:rsidRPr="00254C2B">
        <w:rPr>
          <w:rFonts w:ascii="Calibri" w:eastAsia="Times New Roman" w:hAnsi="Calibri" w:cs="Calibri"/>
          <w:b/>
          <w:bCs/>
          <w:sz w:val="20"/>
          <w:szCs w:val="20"/>
        </w:rPr>
        <w:instrText xml:space="preserve"> ADDIN EN.CITE &lt;EndNote&gt;&lt;Cite&gt;&lt;Author&gt;Australian Institute of Health Welfare (AIHW)&lt;/Author&gt;&lt;Year&gt;2022&lt;/Year&gt;&lt;RecNum&gt;3325&lt;/RecNum&gt;&lt;DisplayText&gt;&lt;style face="superscript"&gt;5&lt;/style&gt;&lt;/DisplayText&gt;&lt;record&gt;&lt;rec-number&gt;3325&lt;/rec-number&gt;&lt;foreign-keys&gt;&lt;key app="EN" db-id="er2see5zctsdspearrrxsvwmw9daewd5fstf" timestamp="1646193387"&gt;3325&lt;/key&gt;&lt;/foreign-keys&gt;&lt;ref-type name="Web Page"&gt;12&lt;/ref-type&gt;&lt;contributors&gt;&lt;authors&gt;&lt;author&gt;Australian Institute of Health Welfare (AIHW),&lt;/author&gt;&lt;/authors&gt;&lt;/contributors&gt;&lt;titles&gt;&lt;title&gt;Maternal deaths&lt;/title&gt;&lt;/titles&gt;&lt;number&gt;31 January 2023&lt;/number&gt;&lt;dates&gt;&lt;year&gt;2022&lt;/year&gt;&lt;/dates&gt;&lt;pub-location&gt;Canberra&lt;/pub-location&gt;&lt;publisher&gt;AIHW&lt;/publisher&gt;&lt;urls&gt;&lt;related-urls&gt;&lt;url&gt;https://www.aihw.gov.au/reports/mothers-babies/maternal-deaths-australia&lt;/url&gt;&lt;/related-urls&gt;&lt;/urls&gt;&lt;/record&gt;&lt;/Cite&gt;&lt;/EndNote&gt;</w:instrText>
      </w:r>
      <w:r w:rsidRPr="00254C2B">
        <w:rPr>
          <w:rFonts w:ascii="Calibri" w:eastAsia="Times New Roman" w:hAnsi="Calibri" w:cs="Calibri"/>
          <w:b/>
          <w:bCs/>
          <w:sz w:val="20"/>
          <w:szCs w:val="20"/>
        </w:rPr>
        <w:fldChar w:fldCharType="separate"/>
      </w:r>
      <w:r w:rsidRPr="00254C2B">
        <w:rPr>
          <w:rFonts w:ascii="Calibri" w:eastAsia="Times New Roman" w:hAnsi="Calibri" w:cs="Calibri"/>
          <w:b/>
          <w:bCs/>
          <w:noProof/>
          <w:sz w:val="20"/>
          <w:szCs w:val="20"/>
          <w:vertAlign w:val="superscript"/>
        </w:rPr>
        <w:t>5</w:t>
      </w:r>
      <w:r w:rsidRPr="00254C2B">
        <w:rPr>
          <w:rFonts w:ascii="Calibri" w:eastAsia="Times New Roman" w:hAnsi="Calibri" w:cs="Calibri"/>
          <w:b/>
          <w:bCs/>
          <w:sz w:val="20"/>
          <w:szCs w:val="20"/>
        </w:rPr>
        <w:fldChar w:fldCharType="end"/>
      </w:r>
      <w:r w:rsidRPr="00254C2B">
        <w:rPr>
          <w:rFonts w:ascii="Calibri" w:eastAsia="Times New Roman" w:hAnsi="Calibri" w:cs="Calibri"/>
          <w:b/>
          <w:bCs/>
          <w:sz w:val="20"/>
          <w:szCs w:val="20"/>
        </w:rPr>
        <w:t>.</w:t>
      </w:r>
    </w:p>
    <w:tbl>
      <w:tblPr>
        <w:tblW w:w="9889" w:type="dxa"/>
        <w:tblBorders>
          <w:top w:val="single" w:sz="4" w:space="0" w:color="7F7F7F"/>
          <w:bottom w:val="single" w:sz="4" w:space="0" w:color="7F7F7F"/>
        </w:tblBorders>
        <w:tblLayout w:type="fixed"/>
        <w:tblLook w:val="04A0" w:firstRow="1" w:lastRow="0" w:firstColumn="1" w:lastColumn="0" w:noHBand="0" w:noVBand="1"/>
      </w:tblPr>
      <w:tblGrid>
        <w:gridCol w:w="1384"/>
        <w:gridCol w:w="1199"/>
        <w:gridCol w:w="1412"/>
        <w:gridCol w:w="1473"/>
        <w:gridCol w:w="1474"/>
        <w:gridCol w:w="1473"/>
        <w:gridCol w:w="1474"/>
      </w:tblGrid>
      <w:tr w:rsidR="00F47D19" w:rsidRPr="00F47D19" w14:paraId="57522D09" w14:textId="77777777" w:rsidTr="002B7876">
        <w:tc>
          <w:tcPr>
            <w:tcW w:w="1384" w:type="dxa"/>
            <w:tcBorders>
              <w:top w:val="single" w:sz="4" w:space="0" w:color="7F7F7F"/>
              <w:bottom w:val="single" w:sz="4" w:space="0" w:color="7F7F7F"/>
              <w:right w:val="single" w:sz="4" w:space="0" w:color="auto"/>
            </w:tcBorders>
            <w:shd w:val="clear" w:color="auto" w:fill="auto"/>
          </w:tcPr>
          <w:p w14:paraId="6C487C13"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p>
        </w:tc>
        <w:tc>
          <w:tcPr>
            <w:tcW w:w="2611" w:type="dxa"/>
            <w:gridSpan w:val="2"/>
            <w:tcBorders>
              <w:left w:val="single" w:sz="4" w:space="0" w:color="auto"/>
              <w:bottom w:val="single" w:sz="4" w:space="0" w:color="7F7F7F"/>
              <w:right w:val="single" w:sz="4" w:space="0" w:color="auto"/>
            </w:tcBorders>
            <w:shd w:val="clear" w:color="auto" w:fill="D9D9D9"/>
          </w:tcPr>
          <w:p w14:paraId="33CCC8DC"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Indigenous status</w:t>
            </w:r>
          </w:p>
        </w:tc>
        <w:tc>
          <w:tcPr>
            <w:tcW w:w="5894" w:type="dxa"/>
            <w:gridSpan w:val="4"/>
            <w:tcBorders>
              <w:left w:val="single" w:sz="4" w:space="0" w:color="auto"/>
              <w:bottom w:val="single" w:sz="4" w:space="0" w:color="7F7F7F"/>
            </w:tcBorders>
            <w:shd w:val="clear" w:color="auto" w:fill="BFBFBF"/>
          </w:tcPr>
          <w:p w14:paraId="52425F63"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Remoteness area</w:t>
            </w:r>
          </w:p>
        </w:tc>
      </w:tr>
      <w:tr w:rsidR="00F47D19" w:rsidRPr="00F47D19" w14:paraId="385ACACC" w14:textId="77777777" w:rsidTr="002B7876">
        <w:trPr>
          <w:cantSplit/>
          <w:trHeight w:val="863"/>
        </w:trPr>
        <w:tc>
          <w:tcPr>
            <w:tcW w:w="1384" w:type="dxa"/>
            <w:tcBorders>
              <w:top w:val="single" w:sz="4" w:space="0" w:color="7F7F7F"/>
              <w:bottom w:val="single" w:sz="4" w:space="0" w:color="7F7F7F"/>
              <w:right w:val="single" w:sz="4" w:space="0" w:color="auto"/>
            </w:tcBorders>
            <w:shd w:val="clear" w:color="auto" w:fill="auto"/>
            <w:vAlign w:val="center"/>
          </w:tcPr>
          <w:p w14:paraId="06968478"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p>
        </w:tc>
        <w:tc>
          <w:tcPr>
            <w:tcW w:w="1199" w:type="dxa"/>
            <w:tcBorders>
              <w:top w:val="single" w:sz="4" w:space="0" w:color="7F7F7F"/>
              <w:left w:val="single" w:sz="4" w:space="0" w:color="auto"/>
              <w:bottom w:val="single" w:sz="4" w:space="0" w:color="7F7F7F"/>
            </w:tcBorders>
            <w:shd w:val="clear" w:color="auto" w:fill="D9D9D9"/>
            <w:vAlign w:val="bottom"/>
          </w:tcPr>
          <w:p w14:paraId="5764AD09"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Non-Indigenous</w:t>
            </w:r>
          </w:p>
        </w:tc>
        <w:tc>
          <w:tcPr>
            <w:tcW w:w="1412" w:type="dxa"/>
            <w:tcBorders>
              <w:top w:val="single" w:sz="4" w:space="0" w:color="7F7F7F"/>
              <w:bottom w:val="single" w:sz="4" w:space="0" w:color="7F7F7F"/>
              <w:right w:val="single" w:sz="4" w:space="0" w:color="auto"/>
            </w:tcBorders>
            <w:shd w:val="clear" w:color="auto" w:fill="D9D9D9"/>
            <w:vAlign w:val="bottom"/>
          </w:tcPr>
          <w:p w14:paraId="4C4F0A03"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Aboriginal &amp; Torres Strait Islander</w:t>
            </w:r>
          </w:p>
        </w:tc>
        <w:tc>
          <w:tcPr>
            <w:tcW w:w="1473" w:type="dxa"/>
            <w:tcBorders>
              <w:top w:val="single" w:sz="4" w:space="0" w:color="7F7F7F"/>
              <w:left w:val="single" w:sz="4" w:space="0" w:color="auto"/>
              <w:bottom w:val="single" w:sz="4" w:space="0" w:color="7F7F7F"/>
            </w:tcBorders>
            <w:shd w:val="clear" w:color="auto" w:fill="BFBFBF"/>
            <w:vAlign w:val="bottom"/>
          </w:tcPr>
          <w:p w14:paraId="0F3FE378"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Major cities</w:t>
            </w:r>
          </w:p>
          <w:p w14:paraId="210625EC"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RA1</w:t>
            </w:r>
          </w:p>
        </w:tc>
        <w:tc>
          <w:tcPr>
            <w:tcW w:w="1474" w:type="dxa"/>
            <w:tcBorders>
              <w:top w:val="single" w:sz="4" w:space="0" w:color="7F7F7F"/>
              <w:bottom w:val="single" w:sz="4" w:space="0" w:color="7F7F7F"/>
            </w:tcBorders>
            <w:shd w:val="clear" w:color="auto" w:fill="BFBFBF"/>
            <w:vAlign w:val="bottom"/>
          </w:tcPr>
          <w:p w14:paraId="03E99279"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Inner regional</w:t>
            </w:r>
          </w:p>
          <w:p w14:paraId="32A4E73A"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RA2</w:t>
            </w:r>
          </w:p>
        </w:tc>
        <w:tc>
          <w:tcPr>
            <w:tcW w:w="1473" w:type="dxa"/>
            <w:tcBorders>
              <w:top w:val="single" w:sz="4" w:space="0" w:color="7F7F7F"/>
              <w:bottom w:val="single" w:sz="4" w:space="0" w:color="7F7F7F"/>
            </w:tcBorders>
            <w:shd w:val="clear" w:color="auto" w:fill="BFBFBF"/>
            <w:vAlign w:val="bottom"/>
          </w:tcPr>
          <w:p w14:paraId="7B47698B"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Outer regional</w:t>
            </w:r>
          </w:p>
          <w:p w14:paraId="7DA8F2A7"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RA3</w:t>
            </w:r>
          </w:p>
        </w:tc>
        <w:tc>
          <w:tcPr>
            <w:tcW w:w="1474" w:type="dxa"/>
            <w:tcBorders>
              <w:top w:val="single" w:sz="4" w:space="0" w:color="7F7F7F"/>
              <w:bottom w:val="single" w:sz="4" w:space="0" w:color="7F7F7F"/>
            </w:tcBorders>
            <w:shd w:val="clear" w:color="auto" w:fill="BFBFBF"/>
            <w:vAlign w:val="bottom"/>
          </w:tcPr>
          <w:p w14:paraId="5571E5EE"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Remote &amp; Very remote</w:t>
            </w:r>
          </w:p>
          <w:p w14:paraId="0D8EBFA5"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RA4-5</w:t>
            </w:r>
          </w:p>
        </w:tc>
      </w:tr>
      <w:tr w:rsidR="00F47D19" w:rsidRPr="00F47D19" w14:paraId="34AC9923" w14:textId="77777777" w:rsidTr="002B7876">
        <w:tc>
          <w:tcPr>
            <w:tcW w:w="1384" w:type="dxa"/>
            <w:tcBorders>
              <w:top w:val="single" w:sz="4" w:space="0" w:color="7F7F7F"/>
              <w:bottom w:val="single" w:sz="4" w:space="0" w:color="7F7F7F"/>
              <w:right w:val="single" w:sz="4" w:space="0" w:color="auto"/>
            </w:tcBorders>
            <w:shd w:val="clear" w:color="auto" w:fill="auto"/>
          </w:tcPr>
          <w:p w14:paraId="0E22D43F"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w:t>
            </w:r>
            <w:r w:rsidRPr="00F47D19">
              <w:rPr>
                <w:rFonts w:ascii="Calibri" w:eastAsia="Calibri" w:hAnsi="Calibri" w:cs="Calibri"/>
                <w:b/>
                <w:bCs/>
                <w:sz w:val="20"/>
                <w:szCs w:val="20"/>
                <w:vertAlign w:val="superscript"/>
              </w:rPr>
              <w:t>d</w:t>
            </w:r>
            <w:r w:rsidRPr="00F47D19">
              <w:rPr>
                <w:rFonts w:ascii="Calibri" w:eastAsia="Calibri" w:hAnsi="Calibri" w:cs="Calibri"/>
                <w:b/>
                <w:bCs/>
                <w:sz w:val="20"/>
                <w:szCs w:val="20"/>
                <w:lang w:val="en-US"/>
              </w:rPr>
              <w:t xml:space="preserve">Maternal mortality ratio </w:t>
            </w:r>
          </w:p>
          <w:p w14:paraId="69352A15" w14:textId="77777777" w:rsidR="00F47D19" w:rsidRPr="00F47D19" w:rsidRDefault="00F47D19" w:rsidP="00F47D19">
            <w:pPr>
              <w:tabs>
                <w:tab w:val="left" w:pos="3080"/>
              </w:tabs>
              <w:spacing w:after="0" w:line="240" w:lineRule="auto"/>
              <w:jc w:val="center"/>
              <w:rPr>
                <w:rFonts w:ascii="Calibri" w:eastAsia="Calibri" w:hAnsi="Calibri" w:cs="Calibri"/>
                <w:b/>
                <w:bCs/>
                <w:sz w:val="20"/>
                <w:szCs w:val="20"/>
                <w:lang w:val="en-US"/>
              </w:rPr>
            </w:pPr>
            <w:r w:rsidRPr="00F47D19">
              <w:rPr>
                <w:rFonts w:ascii="Calibri" w:eastAsia="Calibri" w:hAnsi="Calibri" w:cs="Calibri"/>
                <w:b/>
                <w:bCs/>
                <w:sz w:val="20"/>
                <w:szCs w:val="20"/>
                <w:lang w:val="en-US"/>
              </w:rPr>
              <w:t>(MMR)</w:t>
            </w:r>
          </w:p>
        </w:tc>
        <w:tc>
          <w:tcPr>
            <w:tcW w:w="1199" w:type="dxa"/>
            <w:tcBorders>
              <w:left w:val="single" w:sz="4" w:space="0" w:color="auto"/>
            </w:tcBorders>
            <w:shd w:val="clear" w:color="auto" w:fill="D9D9D9"/>
            <w:vAlign w:val="center"/>
          </w:tcPr>
          <w:p w14:paraId="379C667C" w14:textId="77777777" w:rsidR="00F47D19" w:rsidRPr="00F47D19" w:rsidRDefault="00F47D19" w:rsidP="00F47D19">
            <w:pPr>
              <w:tabs>
                <w:tab w:val="left" w:pos="3080"/>
              </w:tabs>
              <w:spacing w:after="0" w:line="240" w:lineRule="auto"/>
              <w:jc w:val="center"/>
              <w:rPr>
                <w:rFonts w:ascii="Calibri" w:eastAsia="Calibri" w:hAnsi="Calibri" w:cs="Calibri"/>
                <w:sz w:val="20"/>
                <w:szCs w:val="20"/>
                <w:lang w:val="en-US"/>
              </w:rPr>
            </w:pPr>
            <w:r w:rsidRPr="00F47D19">
              <w:rPr>
                <w:rFonts w:ascii="Calibri" w:eastAsia="Calibri" w:hAnsi="Calibri" w:cs="Calibri"/>
                <w:sz w:val="20"/>
                <w:szCs w:val="20"/>
                <w:lang w:val="en-US"/>
              </w:rPr>
              <w:t>5.3</w:t>
            </w:r>
          </w:p>
        </w:tc>
        <w:tc>
          <w:tcPr>
            <w:tcW w:w="1412" w:type="dxa"/>
            <w:tcBorders>
              <w:right w:val="single" w:sz="4" w:space="0" w:color="auto"/>
            </w:tcBorders>
            <w:shd w:val="clear" w:color="auto" w:fill="D9D9D9"/>
            <w:vAlign w:val="center"/>
          </w:tcPr>
          <w:p w14:paraId="06146A62" w14:textId="77777777" w:rsidR="00F47D19" w:rsidRPr="00F47D19" w:rsidRDefault="00F47D19" w:rsidP="00F47D19">
            <w:pPr>
              <w:tabs>
                <w:tab w:val="left" w:pos="3080"/>
              </w:tabs>
              <w:spacing w:after="0" w:line="240" w:lineRule="auto"/>
              <w:jc w:val="center"/>
              <w:rPr>
                <w:rFonts w:ascii="Calibri" w:eastAsia="Calibri" w:hAnsi="Calibri" w:cs="Calibri"/>
                <w:sz w:val="20"/>
                <w:szCs w:val="20"/>
                <w:lang w:val="en-US"/>
              </w:rPr>
            </w:pPr>
            <w:r w:rsidRPr="00F47D19">
              <w:rPr>
                <w:rFonts w:ascii="Calibri" w:eastAsia="Calibri" w:hAnsi="Calibri" w:cs="Calibri"/>
                <w:sz w:val="20"/>
                <w:szCs w:val="20"/>
                <w:lang w:val="en-US"/>
              </w:rPr>
              <w:t>16.4</w:t>
            </w:r>
          </w:p>
        </w:tc>
        <w:tc>
          <w:tcPr>
            <w:tcW w:w="1473" w:type="dxa"/>
            <w:tcBorders>
              <w:left w:val="single" w:sz="4" w:space="0" w:color="auto"/>
            </w:tcBorders>
            <w:shd w:val="clear" w:color="auto" w:fill="BFBFBF"/>
            <w:vAlign w:val="center"/>
          </w:tcPr>
          <w:p w14:paraId="5841E214" w14:textId="77777777" w:rsidR="00F47D19" w:rsidRPr="00F47D19" w:rsidRDefault="00F47D19" w:rsidP="00F47D19">
            <w:pPr>
              <w:tabs>
                <w:tab w:val="left" w:pos="3080"/>
              </w:tabs>
              <w:spacing w:after="0" w:line="240" w:lineRule="auto"/>
              <w:jc w:val="center"/>
              <w:rPr>
                <w:rFonts w:ascii="Calibri" w:eastAsia="Calibri" w:hAnsi="Calibri" w:cs="Calibri"/>
                <w:sz w:val="20"/>
                <w:szCs w:val="20"/>
                <w:lang w:val="en-US"/>
              </w:rPr>
            </w:pPr>
            <w:r w:rsidRPr="00F47D19">
              <w:rPr>
                <w:rFonts w:ascii="Calibri" w:eastAsia="Calibri" w:hAnsi="Calibri" w:cs="Calibri"/>
                <w:sz w:val="20"/>
                <w:szCs w:val="20"/>
                <w:lang w:val="en-US"/>
              </w:rPr>
              <w:t>5.3</w:t>
            </w:r>
          </w:p>
        </w:tc>
        <w:tc>
          <w:tcPr>
            <w:tcW w:w="1474" w:type="dxa"/>
            <w:shd w:val="clear" w:color="auto" w:fill="BFBFBF"/>
            <w:vAlign w:val="center"/>
          </w:tcPr>
          <w:p w14:paraId="728B071C" w14:textId="77777777" w:rsidR="00F47D19" w:rsidRPr="00F47D19" w:rsidRDefault="00F47D19" w:rsidP="00F47D19">
            <w:pPr>
              <w:tabs>
                <w:tab w:val="left" w:pos="3080"/>
              </w:tabs>
              <w:spacing w:after="0" w:line="240" w:lineRule="auto"/>
              <w:jc w:val="center"/>
              <w:rPr>
                <w:rFonts w:ascii="Calibri" w:eastAsia="Calibri" w:hAnsi="Calibri" w:cs="Calibri"/>
                <w:sz w:val="20"/>
                <w:szCs w:val="20"/>
                <w:lang w:val="en-US"/>
              </w:rPr>
            </w:pPr>
            <w:r w:rsidRPr="00F47D19">
              <w:rPr>
                <w:rFonts w:ascii="Calibri" w:eastAsia="Calibri" w:hAnsi="Calibri" w:cs="Calibri"/>
                <w:sz w:val="20"/>
                <w:szCs w:val="20"/>
                <w:lang w:val="en-US"/>
              </w:rPr>
              <w:t>8.6</w:t>
            </w:r>
          </w:p>
        </w:tc>
        <w:tc>
          <w:tcPr>
            <w:tcW w:w="1473" w:type="dxa"/>
            <w:shd w:val="clear" w:color="auto" w:fill="BFBFBF"/>
            <w:vAlign w:val="center"/>
          </w:tcPr>
          <w:p w14:paraId="5A9CA1F3" w14:textId="77777777" w:rsidR="00F47D19" w:rsidRPr="00F47D19" w:rsidRDefault="00F47D19" w:rsidP="00F47D19">
            <w:pPr>
              <w:tabs>
                <w:tab w:val="left" w:pos="3080"/>
              </w:tabs>
              <w:spacing w:after="0" w:line="240" w:lineRule="auto"/>
              <w:jc w:val="center"/>
              <w:rPr>
                <w:rFonts w:ascii="Calibri" w:eastAsia="Calibri" w:hAnsi="Calibri" w:cs="Calibri"/>
                <w:sz w:val="20"/>
                <w:szCs w:val="20"/>
                <w:lang w:val="en-US"/>
              </w:rPr>
            </w:pPr>
            <w:r w:rsidRPr="00F47D19">
              <w:rPr>
                <w:rFonts w:ascii="Calibri" w:eastAsia="Calibri" w:hAnsi="Calibri" w:cs="Calibri"/>
                <w:sz w:val="20"/>
                <w:szCs w:val="20"/>
                <w:lang w:val="en-US"/>
              </w:rPr>
              <w:t>7.1</w:t>
            </w:r>
          </w:p>
        </w:tc>
        <w:tc>
          <w:tcPr>
            <w:tcW w:w="1474" w:type="dxa"/>
            <w:shd w:val="clear" w:color="auto" w:fill="BFBFBF"/>
            <w:vAlign w:val="center"/>
          </w:tcPr>
          <w:p w14:paraId="45FDCCF4" w14:textId="77777777" w:rsidR="00F47D19" w:rsidRPr="00F47D19" w:rsidRDefault="00F47D19" w:rsidP="00F47D19">
            <w:pPr>
              <w:tabs>
                <w:tab w:val="left" w:pos="3080"/>
              </w:tabs>
              <w:spacing w:after="0" w:line="240" w:lineRule="auto"/>
              <w:jc w:val="center"/>
              <w:rPr>
                <w:rFonts w:ascii="Calibri" w:eastAsia="Calibri" w:hAnsi="Calibri" w:cs="Calibri"/>
                <w:sz w:val="20"/>
                <w:szCs w:val="20"/>
                <w:lang w:val="en-US"/>
              </w:rPr>
            </w:pPr>
            <w:r w:rsidRPr="00F47D19">
              <w:rPr>
                <w:rFonts w:ascii="Calibri" w:eastAsia="Calibri" w:hAnsi="Calibri" w:cs="Calibri"/>
                <w:sz w:val="20"/>
                <w:szCs w:val="20"/>
                <w:lang w:val="en-US"/>
              </w:rPr>
              <w:t>13.3</w:t>
            </w:r>
          </w:p>
        </w:tc>
      </w:tr>
    </w:tbl>
    <w:p w14:paraId="5C7BAE27" w14:textId="77777777" w:rsidR="00F47D19" w:rsidRPr="00F47D19" w:rsidRDefault="00F47D19" w:rsidP="00F47D19">
      <w:pPr>
        <w:spacing w:after="0" w:line="240" w:lineRule="auto"/>
        <w:rPr>
          <w:rFonts w:ascii="Calibri" w:eastAsia="Times New Roman" w:hAnsi="Calibri" w:cs="Calibri"/>
          <w:sz w:val="18"/>
          <w:szCs w:val="18"/>
        </w:rPr>
      </w:pPr>
      <w:r w:rsidRPr="00F47D19">
        <w:rPr>
          <w:rFonts w:ascii="Calibri" w:eastAsia="Times New Roman" w:hAnsi="Calibri" w:cs="Calibri"/>
          <w:sz w:val="18"/>
          <w:szCs w:val="18"/>
        </w:rPr>
        <w:t>** MMR- Includes direct deaths, indirect deaths and not classified deaths, per 100,000 women giving birth between 2012 to 2020.</w:t>
      </w:r>
    </w:p>
    <w:p w14:paraId="0FD4F13A" w14:textId="77777777" w:rsidR="00F47D19" w:rsidRPr="00F47D19" w:rsidRDefault="00F47D19" w:rsidP="00F47D19">
      <w:pPr>
        <w:spacing w:after="0" w:line="240" w:lineRule="auto"/>
        <w:rPr>
          <w:rFonts w:ascii="Calibri" w:eastAsia="Times New Roman" w:hAnsi="Calibri" w:cs="Calibri"/>
          <w:color w:val="4472C4"/>
          <w:sz w:val="18"/>
          <w:szCs w:val="18"/>
        </w:rPr>
      </w:pPr>
      <w:r w:rsidRPr="00F47D19">
        <w:rPr>
          <w:rFonts w:ascii="Calibri" w:eastAsia="Times New Roman" w:hAnsi="Calibri" w:cs="Calibri"/>
          <w:sz w:val="18"/>
          <w:szCs w:val="18"/>
        </w:rPr>
        <w:t xml:space="preserve">Data extracted from- Australian Institute of Health Welfare. Maternal deaths. Canberra: AIHW; 2022. Data tables: National Maternal Mortality Data Collection annual update 2020. Available from: </w:t>
      </w:r>
      <w:hyperlink r:id="rId5" w:history="1">
        <w:r w:rsidRPr="00F47D19">
          <w:rPr>
            <w:rFonts w:ascii="Calibri" w:eastAsia="Times New Roman" w:hAnsi="Calibri" w:cs="Calibri"/>
            <w:color w:val="4472C4"/>
            <w:sz w:val="18"/>
            <w:szCs w:val="18"/>
          </w:rPr>
          <w:t>https://www.aihw.gov.au/reports/mothers-babies/australias-mothers-babies/data</w:t>
        </w:r>
      </w:hyperlink>
      <w:r w:rsidRPr="00F47D19">
        <w:rPr>
          <w:rFonts w:ascii="Calibri" w:eastAsia="Times New Roman" w:hAnsi="Calibri" w:cs="Calibri"/>
          <w:color w:val="4472C4"/>
          <w:sz w:val="18"/>
          <w:szCs w:val="18"/>
        </w:rPr>
        <w:t xml:space="preserve"> </w:t>
      </w:r>
    </w:p>
    <w:p w14:paraId="7736F67D" w14:textId="77777777" w:rsidR="00F47D19" w:rsidRPr="00F47D19" w:rsidRDefault="00F47D19" w:rsidP="00F47D19">
      <w:pPr>
        <w:spacing w:after="0" w:line="240" w:lineRule="auto"/>
        <w:rPr>
          <w:rFonts w:ascii="Calibri" w:eastAsia="Times New Roman" w:hAnsi="Calibri" w:cs="Calibri"/>
          <w:color w:val="4472C4"/>
          <w:sz w:val="18"/>
          <w:szCs w:val="18"/>
        </w:rPr>
      </w:pPr>
    </w:p>
    <w:p w14:paraId="129B1100" w14:textId="77777777" w:rsidR="00F47D19" w:rsidRPr="00F47D19" w:rsidRDefault="00F47D19" w:rsidP="00F47D19">
      <w:pPr>
        <w:shd w:val="clear" w:color="auto" w:fill="D0CECE"/>
        <w:spacing w:after="0" w:line="240" w:lineRule="auto"/>
        <w:jc w:val="both"/>
        <w:rPr>
          <w:rFonts w:ascii="Calibri" w:eastAsia="Calibri" w:hAnsi="Calibri" w:cs="Calibri"/>
          <w:sz w:val="16"/>
          <w:szCs w:val="16"/>
        </w:rPr>
      </w:pPr>
      <w:r w:rsidRPr="00F47D19">
        <w:rPr>
          <w:rFonts w:ascii="Calibri" w:eastAsia="Calibri" w:hAnsi="Calibri" w:cs="Calibri"/>
          <w:sz w:val="16"/>
          <w:szCs w:val="16"/>
          <w:vertAlign w:val="superscript"/>
        </w:rPr>
        <w:t>a</w:t>
      </w:r>
      <w:r w:rsidRPr="00F47D19">
        <w:rPr>
          <w:rFonts w:ascii="Calibri" w:eastAsia="Calibri" w:hAnsi="Calibri" w:cs="Calibri"/>
          <w:sz w:val="16"/>
          <w:szCs w:val="16"/>
        </w:rPr>
        <w:t xml:space="preserve"> Perinatal death: stillbirth or neonatal death of a baby from 20 or more completed weeks of gestation to 28 days following birth or of 400 grams or more birthweight.</w:t>
      </w:r>
    </w:p>
    <w:p w14:paraId="61E7DC94" w14:textId="77777777" w:rsidR="00F47D19" w:rsidRPr="00F47D19" w:rsidRDefault="00F47D19" w:rsidP="00F47D19">
      <w:pPr>
        <w:shd w:val="clear" w:color="auto" w:fill="D0CECE"/>
        <w:spacing w:after="0" w:line="240" w:lineRule="auto"/>
        <w:jc w:val="both"/>
        <w:rPr>
          <w:rFonts w:ascii="Calibri" w:eastAsia="Calibri" w:hAnsi="Calibri" w:cs="Calibri"/>
          <w:sz w:val="16"/>
          <w:szCs w:val="16"/>
        </w:rPr>
      </w:pPr>
      <w:r w:rsidRPr="00F47D19">
        <w:rPr>
          <w:rFonts w:ascii="Calibri" w:eastAsia="Calibri" w:hAnsi="Calibri" w:cs="Calibri"/>
          <w:sz w:val="16"/>
          <w:szCs w:val="16"/>
          <w:vertAlign w:val="superscript"/>
        </w:rPr>
        <w:t>b</w:t>
      </w:r>
      <w:r w:rsidRPr="00F47D19">
        <w:rPr>
          <w:rFonts w:ascii="Calibri" w:eastAsia="Calibri" w:hAnsi="Calibri" w:cs="Calibri"/>
          <w:sz w:val="16"/>
          <w:szCs w:val="16"/>
        </w:rPr>
        <w:t xml:space="preserve"> Stillbirth: a fetal death prior to birth of a baby of 20 or more completed weeks of gestation or of 400 grams or more birthweight.</w:t>
      </w:r>
    </w:p>
    <w:p w14:paraId="170600B8" w14:textId="77777777" w:rsidR="00F47D19" w:rsidRPr="00F47D19" w:rsidRDefault="00F47D19" w:rsidP="00F47D19">
      <w:pPr>
        <w:shd w:val="clear" w:color="auto" w:fill="D0CECE"/>
        <w:spacing w:after="0" w:line="240" w:lineRule="auto"/>
        <w:jc w:val="both"/>
        <w:rPr>
          <w:rFonts w:ascii="Calibri" w:eastAsia="Calibri" w:hAnsi="Calibri" w:cs="Calibri"/>
          <w:sz w:val="16"/>
          <w:szCs w:val="16"/>
        </w:rPr>
      </w:pPr>
      <w:r w:rsidRPr="00F47D19">
        <w:rPr>
          <w:rFonts w:ascii="Calibri" w:eastAsia="Calibri" w:hAnsi="Calibri" w:cs="Calibri"/>
          <w:sz w:val="16"/>
          <w:szCs w:val="16"/>
          <w:vertAlign w:val="superscript"/>
        </w:rPr>
        <w:t>c</w:t>
      </w:r>
      <w:r w:rsidRPr="00F47D19">
        <w:rPr>
          <w:rFonts w:ascii="Calibri" w:eastAsia="Calibri" w:hAnsi="Calibri" w:cs="Calibri"/>
          <w:sz w:val="16"/>
          <w:szCs w:val="16"/>
        </w:rPr>
        <w:t xml:space="preserve"> Neonatal death: the death of a live born baby of 20 or more completed weeks of gestation or of 400 grams or more birthweight within 28 days of birth. </w:t>
      </w:r>
    </w:p>
    <w:p w14:paraId="5C565C59" w14:textId="77777777" w:rsidR="00F47D19" w:rsidRPr="00F47D19" w:rsidRDefault="00254C2B" w:rsidP="00F47D19">
      <w:pPr>
        <w:shd w:val="clear" w:color="auto" w:fill="D0CECE"/>
        <w:spacing w:after="0" w:line="240" w:lineRule="auto"/>
        <w:jc w:val="both"/>
        <w:rPr>
          <w:rFonts w:ascii="Calibri" w:eastAsia="Times New Roman" w:hAnsi="Calibri" w:cs="Calibri"/>
          <w:color w:val="4472C4"/>
          <w:sz w:val="16"/>
          <w:szCs w:val="16"/>
        </w:rPr>
      </w:pPr>
      <w:hyperlink r:id="rId6" w:history="1">
        <w:r w:rsidR="00F47D19" w:rsidRPr="00F47D19">
          <w:rPr>
            <w:rFonts w:ascii="Calibri" w:eastAsia="Times New Roman" w:hAnsi="Calibri" w:cs="Calibri"/>
            <w:color w:val="4472C4"/>
            <w:sz w:val="16"/>
            <w:szCs w:val="16"/>
          </w:rPr>
          <w:t>https://www.aihw.gov.au/reports/mothers-babies/australias-mothers-babies/contents/technical-notes/definitions</w:t>
        </w:r>
      </w:hyperlink>
      <w:r w:rsidR="00F47D19" w:rsidRPr="00F47D19">
        <w:rPr>
          <w:rFonts w:ascii="Calibri" w:eastAsia="Times New Roman" w:hAnsi="Calibri" w:cs="Calibri"/>
          <w:color w:val="4472C4"/>
          <w:sz w:val="16"/>
          <w:szCs w:val="16"/>
        </w:rPr>
        <w:t xml:space="preserve"> </w:t>
      </w:r>
    </w:p>
    <w:p w14:paraId="3D87E91D" w14:textId="0AEC56F5" w:rsidR="00F47D19" w:rsidRPr="00F47D19" w:rsidRDefault="00F47D19" w:rsidP="00F47D19">
      <w:pPr>
        <w:shd w:val="clear" w:color="auto" w:fill="D0CECE"/>
        <w:spacing w:after="0" w:line="240" w:lineRule="auto"/>
        <w:jc w:val="both"/>
        <w:rPr>
          <w:rFonts w:ascii="Calibri" w:eastAsia="Times New Roman" w:hAnsi="Calibri" w:cs="Calibri"/>
          <w:color w:val="4472C4"/>
          <w:sz w:val="16"/>
          <w:szCs w:val="16"/>
        </w:rPr>
      </w:pPr>
      <w:r w:rsidRPr="00F47D19">
        <w:rPr>
          <w:rFonts w:ascii="Calibri" w:eastAsia="Calibri" w:hAnsi="Calibri" w:cs="Calibri"/>
          <w:sz w:val="16"/>
          <w:szCs w:val="16"/>
          <w:vertAlign w:val="superscript"/>
        </w:rPr>
        <w:t>d</w:t>
      </w:r>
      <w:r w:rsidRPr="00F47D19">
        <w:rPr>
          <w:rFonts w:ascii="Calibri" w:eastAsia="Calibri" w:hAnsi="Calibri" w:cs="Calibri"/>
          <w:sz w:val="16"/>
          <w:szCs w:val="16"/>
        </w:rPr>
        <w:t xml:space="preserve"> Definitions of Maternal mortality rates (Direct, indirect, not classified) available at: </w:t>
      </w:r>
      <w:hyperlink r:id="rId7" w:history="1">
        <w:r w:rsidRPr="00F47D19">
          <w:rPr>
            <w:rFonts w:ascii="Calibri" w:eastAsia="Times New Roman" w:hAnsi="Calibri" w:cs="Calibri"/>
            <w:color w:val="4472C4"/>
            <w:sz w:val="16"/>
            <w:szCs w:val="16"/>
          </w:rPr>
          <w:t>https://www.aihw.gov.au/reports/mothers-babies/maternal-deaths-in-australia/contents/definitions-of-maternal-deaths</w:t>
        </w:r>
      </w:hyperlink>
      <w:r w:rsidRPr="00F47D19">
        <w:rPr>
          <w:rFonts w:ascii="Calibri" w:eastAsia="Times New Roman" w:hAnsi="Calibri" w:cs="Calibri"/>
          <w:color w:val="4472C4"/>
          <w:sz w:val="16"/>
          <w:szCs w:val="16"/>
        </w:rPr>
        <w:t xml:space="preserve"> </w:t>
      </w:r>
    </w:p>
    <w:p w14:paraId="66A4D172" w14:textId="77777777" w:rsidR="000072F0" w:rsidRDefault="000072F0" w:rsidP="00FB1E78"/>
    <w:sectPr w:rsidR="000072F0" w:rsidSect="00FB1E78">
      <w:pgSz w:w="11906" w:h="16838"/>
      <w:pgMar w:top="1440" w:right="991"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D7"/>
    <w:rsid w:val="000072F0"/>
    <w:rsid w:val="0003142B"/>
    <w:rsid w:val="00254C2B"/>
    <w:rsid w:val="002B7876"/>
    <w:rsid w:val="002E1E8F"/>
    <w:rsid w:val="003932D7"/>
    <w:rsid w:val="00F47D19"/>
    <w:rsid w:val="00FB1E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2D0DD"/>
  <w15:chartTrackingRefBased/>
  <w15:docId w15:val="{8D5B4FCD-2827-47D9-ABB2-F0EE5B7B9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72F0"/>
    <w:rPr>
      <w:color w:val="0563C1" w:themeColor="hyperlink"/>
      <w:u w:val="single"/>
    </w:rPr>
  </w:style>
  <w:style w:type="character" w:styleId="UnresolvedMention">
    <w:name w:val="Unresolved Mention"/>
    <w:basedOn w:val="DefaultParagraphFont"/>
    <w:uiPriority w:val="99"/>
    <w:semiHidden/>
    <w:unhideWhenUsed/>
    <w:rsid w:val="00007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ihw.gov.au/reports/mothers-babies/maternal-deaths-in-australia/contents/definitions-of-maternal-death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ihw.gov.au/reports/mothers-babies/australias-mothers-babies/contents/technical-notes/definitions" TargetMode="External"/><Relationship Id="rId5" Type="http://schemas.openxmlformats.org/officeDocument/2006/relationships/hyperlink" Target="https://www.aihw.gov.au/reports/mothers-babies/australias-mothers-babies/data" TargetMode="External"/><Relationship Id="rId4" Type="http://schemas.openxmlformats.org/officeDocument/2006/relationships/hyperlink" Target="https://www.aihw.gov.au/reports/mothers-babies/australias-mothers-babies/dat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686</Words>
  <Characters>3912</Characters>
  <Application>Microsoft Office Word</Application>
  <DocSecurity>0</DocSecurity>
  <Lines>32</Lines>
  <Paragraphs>9</Paragraphs>
  <ScaleCrop>false</ScaleCrop>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Bidner</dc:creator>
  <cp:keywords/>
  <dc:description/>
  <cp:lastModifiedBy>Amber Bidner</cp:lastModifiedBy>
  <cp:revision>8</cp:revision>
  <dcterms:created xsi:type="dcterms:W3CDTF">2023-03-24T01:47:00Z</dcterms:created>
  <dcterms:modified xsi:type="dcterms:W3CDTF">2023-03-24T02:50:00Z</dcterms:modified>
</cp:coreProperties>
</file>