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3315A" w14:textId="4A857B55" w:rsidR="00DF6DAC" w:rsidRDefault="00DF6DAC" w:rsidP="00DF6DAC">
      <w:pPr>
        <w:pStyle w:val="1"/>
        <w:jc w:val="center"/>
      </w:pPr>
      <w:r>
        <w:t>ADDITIONAL FILE #</w:t>
      </w:r>
      <w:r>
        <w:t>1:</w:t>
      </w:r>
    </w:p>
    <w:p w14:paraId="3448B0E4" w14:textId="7D355709" w:rsidR="00DF6DAC" w:rsidRDefault="00DF6DAC" w:rsidP="00C52606">
      <w:pPr>
        <w:pStyle w:val="1"/>
        <w:jc w:val="center"/>
        <w:rPr>
          <w:rFonts w:hint="eastAsia"/>
        </w:rPr>
      </w:pPr>
      <w:r>
        <w:t>Supplementary Materials</w:t>
      </w:r>
    </w:p>
    <w:tbl>
      <w:tblPr>
        <w:tblW w:w="9080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5931"/>
      </w:tblGrid>
      <w:tr w:rsidR="007F628A" w:rsidRPr="00DF6DAC" w14:paraId="09F3639A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right w:val="nil"/>
            </w:tcBorders>
          </w:tcPr>
          <w:p w14:paraId="3392463C" w14:textId="77777777" w:rsidR="00DF6DAC" w:rsidRDefault="00DF6DAC" w:rsidP="00DF6DAC">
            <w:pPr>
              <w:jc w:val="left"/>
              <w:rPr>
                <w:rFonts w:ascii="Times New Roman" w:hAnsi="Times New Roman" w:cs="Times New Roman" w:hint="eastAsia"/>
                <w:color w:val="374151"/>
              </w:rPr>
            </w:pPr>
          </w:p>
          <w:p w14:paraId="6D0983C0" w14:textId="5143DD6C" w:rsidR="007F628A" w:rsidRPr="00DF6DAC" w:rsidRDefault="00242950" w:rsidP="00DF6DAC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F6DAC">
              <w:rPr>
                <w:rFonts w:ascii="Times New Roman" w:hAnsi="Times New Roman" w:cs="Times New Roman"/>
                <w:b/>
                <w:bCs/>
                <w:color w:val="374151"/>
              </w:rPr>
              <w:t>S</w:t>
            </w:r>
            <w:r w:rsidRPr="00DF6DA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upplementary Table 1</w:t>
            </w:r>
          </w:p>
        </w:tc>
        <w:tc>
          <w:tcPr>
            <w:tcW w:w="5931" w:type="dxa"/>
            <w:tcBorders>
              <w:top w:val="nil"/>
              <w:left w:val="nil"/>
              <w:right w:val="nil"/>
            </w:tcBorders>
          </w:tcPr>
          <w:p w14:paraId="211050AB" w14:textId="77777777" w:rsidR="007F628A" w:rsidRPr="00DF6DAC" w:rsidRDefault="007F628A" w:rsidP="00DF6DAC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F628A" w14:paraId="70D8B596" w14:textId="77777777" w:rsidTr="00DF6DAC">
        <w:trPr>
          <w:trHeight w:val="320"/>
        </w:trPr>
        <w:tc>
          <w:tcPr>
            <w:tcW w:w="90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40B641" w14:textId="77777777" w:rsidR="007F628A" w:rsidRPr="007F628A" w:rsidRDefault="007F628A" w:rsidP="007F628A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Results of the Confusion Matrix for the external validation cohort</w:t>
            </w:r>
          </w:p>
        </w:tc>
      </w:tr>
      <w:tr w:rsidR="007F628A" w14:paraId="1003F210" w14:textId="77777777" w:rsidTr="00DF6DAC">
        <w:trPr>
          <w:trHeight w:val="34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4BB2D9C" w14:textId="77777777" w:rsidR="007F628A" w:rsidRDefault="007F628A" w:rsidP="007F628A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ascii="Calibri" w:eastAsia="DengXian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59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D185B9" w14:textId="77777777" w:rsidR="007F628A" w:rsidRDefault="007F628A" w:rsidP="007F628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DengXian" w:hAnsi="Times New Roman" w:cs="Times New Roman"/>
                <w:color w:val="003366"/>
                <w:kern w:val="0"/>
                <w:sz w:val="20"/>
                <w:szCs w:val="20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TEST</w:t>
            </w:r>
          </w:p>
        </w:tc>
      </w:tr>
      <w:tr w:rsidR="007F628A" w14:paraId="1F0CA5C2" w14:textId="77777777" w:rsidTr="00DF6DAC">
        <w:trPr>
          <w:trHeight w:val="320"/>
        </w:trPr>
        <w:tc>
          <w:tcPr>
            <w:tcW w:w="31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269F9DA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Total Sample Size</w:t>
            </w:r>
          </w:p>
        </w:tc>
        <w:tc>
          <w:tcPr>
            <w:tcW w:w="59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6A2CFDA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513</w:t>
            </w:r>
          </w:p>
        </w:tc>
      </w:tr>
      <w:tr w:rsidR="007F628A" w14:paraId="165366BD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3FB980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Positive Sample Size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BC3BE9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342</w:t>
            </w:r>
          </w:p>
        </w:tc>
      </w:tr>
      <w:tr w:rsidR="007F628A" w14:paraId="4366D19B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991556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AUC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D45251" w14:textId="71807FEB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0.848</w:t>
            </w:r>
          </w:p>
        </w:tc>
      </w:tr>
      <w:tr w:rsidR="007F628A" w14:paraId="270B7BE9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83FB87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Accuracy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554A2E" w14:textId="69B84511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0.745</w:t>
            </w:r>
          </w:p>
        </w:tc>
      </w:tr>
      <w:tr w:rsidR="007F628A" w14:paraId="52475333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9D7222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Precision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30700B" w14:textId="5D3E9030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0.875</w:t>
            </w:r>
          </w:p>
        </w:tc>
      </w:tr>
      <w:tr w:rsidR="007F628A" w14:paraId="074CA461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4FB973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Recall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8A362A" w14:textId="442E7AAC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0.719</w:t>
            </w:r>
          </w:p>
        </w:tc>
      </w:tr>
      <w:tr w:rsidR="007F628A" w14:paraId="247B1FF5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4ADCC8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F1 Score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049955" w14:textId="4624EE4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0.790</w:t>
            </w:r>
          </w:p>
        </w:tc>
      </w:tr>
      <w:tr w:rsidR="007F628A" w14:paraId="6997A65B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85B7D2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Sensitivity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E9C781" w14:textId="11D5F2D0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0.719</w:t>
            </w:r>
          </w:p>
        </w:tc>
      </w:tr>
      <w:tr w:rsidR="007F628A" w14:paraId="18845EDC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D5F30E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Specificity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DA65E9" w14:textId="57D0C0F2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0.795</w:t>
            </w:r>
          </w:p>
        </w:tc>
      </w:tr>
      <w:tr w:rsidR="007F628A" w14:paraId="0DB9C9CA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37CEC7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PPV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046C40" w14:textId="7E86E445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0.875</w:t>
            </w:r>
          </w:p>
        </w:tc>
      </w:tr>
      <w:tr w:rsidR="007F628A" w14:paraId="572892B5" w14:textId="77777777" w:rsidTr="00DF6DAC">
        <w:trPr>
          <w:trHeight w:val="300"/>
        </w:trPr>
        <w:tc>
          <w:tcPr>
            <w:tcW w:w="3149" w:type="dxa"/>
            <w:tcBorders>
              <w:top w:val="nil"/>
              <w:left w:val="nil"/>
              <w:right w:val="nil"/>
            </w:tcBorders>
            <w:shd w:val="solid" w:color="FFFFFF" w:fill="auto"/>
          </w:tcPr>
          <w:p w14:paraId="2B7F0B7F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NPV</w:t>
            </w:r>
          </w:p>
        </w:tc>
        <w:tc>
          <w:tcPr>
            <w:tcW w:w="5931" w:type="dxa"/>
            <w:tcBorders>
              <w:top w:val="nil"/>
              <w:left w:val="nil"/>
              <w:right w:val="nil"/>
            </w:tcBorders>
            <w:shd w:val="solid" w:color="FFFFFF" w:fill="auto"/>
          </w:tcPr>
          <w:p w14:paraId="43E8DB0E" w14:textId="17F01B89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0.586</w:t>
            </w:r>
          </w:p>
        </w:tc>
      </w:tr>
      <w:tr w:rsidR="007F628A" w14:paraId="44961AA6" w14:textId="77777777" w:rsidTr="00DF6DAC">
        <w:trPr>
          <w:trHeight w:val="320"/>
        </w:trPr>
        <w:tc>
          <w:tcPr>
            <w:tcW w:w="31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9115CD" w14:textId="77777777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AUC_CL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14:paraId="3AFE3077" w14:textId="1EB42F1E" w:rsidR="007F628A" w:rsidRPr="007F628A" w:rsidRDefault="007F628A" w:rsidP="007F628A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0.85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0</w:t>
            </w:r>
            <w:r w:rsidRPr="007F628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[0.8121-0.8844]</w:t>
            </w:r>
          </w:p>
        </w:tc>
      </w:tr>
      <w:tr w:rsidR="007F628A" w14:paraId="26A16AFE" w14:textId="77777777" w:rsidTr="00DF6DAC">
        <w:trPr>
          <w:trHeight w:val="320"/>
        </w:trPr>
        <w:tc>
          <w:tcPr>
            <w:tcW w:w="908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892ED7" w14:textId="77777777" w:rsidR="007F628A" w:rsidRDefault="007F628A" w:rsidP="007F628A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F628A">
              <w:rPr>
                <w:rFonts w:ascii="Times New Roman" w:hAnsi="Times New Roman" w:cs="Times New Roman"/>
                <w:sz w:val="22"/>
              </w:rPr>
              <w:t>AUC: Area Under the Curve; PPV: Positive Predictive Value; NPV: Negative Predictive Value; AUC_CL: Confidence Limits for AUC</w:t>
            </w:r>
          </w:p>
        </w:tc>
      </w:tr>
    </w:tbl>
    <w:p w14:paraId="766DB3E1" w14:textId="0DD1835B" w:rsidR="009F0716" w:rsidRDefault="008040D6" w:rsidP="007F628A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9A8E644" wp14:editId="6DE82588">
            <wp:extent cx="5274310" cy="3515995"/>
            <wp:effectExtent l="0" t="0" r="0" b="1905"/>
            <wp:docPr id="1774336770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336770" name="图片 1" descr="图表, 折线图&#10;&#10;描述已自动生成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CE88B" w14:textId="65699C30" w:rsidR="00E64258" w:rsidRPr="00CE2CB0" w:rsidRDefault="008040D6" w:rsidP="00E64258">
      <w:pPr>
        <w:widowControl/>
        <w:spacing w:line="480" w:lineRule="auto"/>
        <w:jc w:val="left"/>
        <w:rPr>
          <w:rFonts w:ascii="Times New Roman" w:eastAsia="Times New Roman" w:hAnsi="Times New Roman" w:cs="Times New Roman"/>
          <w:b/>
          <w:sz w:val="24"/>
        </w:rPr>
      </w:pPr>
      <w:r w:rsidRPr="00E64258">
        <w:rPr>
          <w:rFonts w:ascii="Times New Roman" w:eastAsia="Times New Roman" w:hAnsi="Times New Roman" w:cs="Times New Roman"/>
          <w:b/>
          <w:sz w:val="24"/>
        </w:rPr>
        <w:t xml:space="preserve">Supplementary Figure </w:t>
      </w:r>
      <w:r w:rsidR="00CE2CB0" w:rsidRPr="00E64258">
        <w:rPr>
          <w:rFonts w:ascii="Times New Roman" w:eastAsia="Times New Roman" w:hAnsi="Times New Roman" w:cs="Times New Roman"/>
          <w:b/>
          <w:sz w:val="24"/>
        </w:rPr>
        <w:t xml:space="preserve">1 </w:t>
      </w:r>
      <w:r w:rsidR="00CE2CB0" w:rsidRPr="00CE2CB0">
        <w:rPr>
          <w:rFonts w:ascii="Times New Roman" w:eastAsia="Times New Roman" w:hAnsi="Times New Roman" w:cs="Times New Roman"/>
          <w:bCs/>
          <w:sz w:val="24"/>
        </w:rPr>
        <w:t>ROC</w:t>
      </w:r>
      <w:r w:rsidRPr="00E64258">
        <w:rPr>
          <w:rFonts w:ascii="Times New Roman" w:eastAsia="Times New Roman" w:hAnsi="Times New Roman" w:cs="Times New Roman"/>
          <w:bCs/>
          <w:sz w:val="24"/>
        </w:rPr>
        <w:t xml:space="preserve"> Curve Analysis for External Validation Cohort</w:t>
      </w:r>
    </w:p>
    <w:p w14:paraId="31647170" w14:textId="638DB952" w:rsidR="008040D6" w:rsidRPr="00CE2CB0" w:rsidRDefault="008040D6" w:rsidP="00CE2CB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bCs/>
          <w:sz w:val="24"/>
        </w:rPr>
      </w:pPr>
      <w:r w:rsidRPr="00CE2CB0">
        <w:rPr>
          <w:rFonts w:ascii="Times New Roman" w:eastAsia="Times New Roman" w:hAnsi="Times New Roman" w:cs="Times New Roman"/>
          <w:bCs/>
          <w:sz w:val="24"/>
        </w:rPr>
        <w:t xml:space="preserve">Receiver Operating Characteristic (ROC) curve for the predictive model tested on the external validation cohort of 513 COVID-19 patients, illustrating the model's diagnostic performance. The area under the curve (AUC) is 0.848, indicating a high level of accuracy in discriminating between patient outcomes. </w:t>
      </w:r>
    </w:p>
    <w:sectPr w:rsidR="008040D6" w:rsidRPr="00CE2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8A"/>
    <w:rsid w:val="00017F6B"/>
    <w:rsid w:val="000E6728"/>
    <w:rsid w:val="00184021"/>
    <w:rsid w:val="00184E34"/>
    <w:rsid w:val="00242950"/>
    <w:rsid w:val="003237B8"/>
    <w:rsid w:val="003D743A"/>
    <w:rsid w:val="00462582"/>
    <w:rsid w:val="00466997"/>
    <w:rsid w:val="00475C13"/>
    <w:rsid w:val="004A135A"/>
    <w:rsid w:val="00505F44"/>
    <w:rsid w:val="005448D6"/>
    <w:rsid w:val="005C05CD"/>
    <w:rsid w:val="005C6BF7"/>
    <w:rsid w:val="00624DAA"/>
    <w:rsid w:val="00657C6A"/>
    <w:rsid w:val="006E48D8"/>
    <w:rsid w:val="00796DCF"/>
    <w:rsid w:val="007F628A"/>
    <w:rsid w:val="008040D6"/>
    <w:rsid w:val="0085775C"/>
    <w:rsid w:val="00883425"/>
    <w:rsid w:val="00931718"/>
    <w:rsid w:val="0099767F"/>
    <w:rsid w:val="009F0716"/>
    <w:rsid w:val="00A34337"/>
    <w:rsid w:val="00AE660D"/>
    <w:rsid w:val="00BD19F5"/>
    <w:rsid w:val="00C52606"/>
    <w:rsid w:val="00C75597"/>
    <w:rsid w:val="00CE2CB0"/>
    <w:rsid w:val="00D02F61"/>
    <w:rsid w:val="00DF6DAC"/>
    <w:rsid w:val="00E03681"/>
    <w:rsid w:val="00E310A7"/>
    <w:rsid w:val="00E51426"/>
    <w:rsid w:val="00E533CD"/>
    <w:rsid w:val="00E64258"/>
    <w:rsid w:val="00E73DB6"/>
    <w:rsid w:val="00ED7FBC"/>
    <w:rsid w:val="00FC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8D5F5"/>
  <w15:chartTrackingRefBased/>
  <w15:docId w15:val="{5E384E34-F01E-C749-8E17-B322517E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6D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6DA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2023-12-03T13:16:00Z</dcterms:created>
  <dcterms:modified xsi:type="dcterms:W3CDTF">2023-12-03T13:57:00Z</dcterms:modified>
</cp:coreProperties>
</file>