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89306" w14:textId="77777777" w:rsidR="00793187" w:rsidRPr="00D022DD" w:rsidRDefault="00793187" w:rsidP="00793187">
      <w:pPr>
        <w:pStyle w:val="MDPI11articletype"/>
        <w:ind w:right="-154"/>
        <w:jc w:val="both"/>
        <w:rPr>
          <w:rFonts w:ascii="Times New Roman" w:hAnsi="Times New Roman"/>
        </w:rPr>
      </w:pPr>
      <w:r w:rsidRPr="00D022DD">
        <w:rPr>
          <w:rFonts w:ascii="Times New Roman" w:hAnsi="Times New Roman"/>
        </w:rPr>
        <w:t>Systematic Review</w:t>
      </w:r>
    </w:p>
    <w:p w14:paraId="245D43A5" w14:textId="77777777" w:rsidR="00793187" w:rsidRPr="00D022DD" w:rsidRDefault="00793187" w:rsidP="00793187">
      <w:pPr>
        <w:pStyle w:val="MDPI12title"/>
        <w:ind w:right="-154"/>
        <w:jc w:val="both"/>
        <w:rPr>
          <w:rFonts w:ascii="Times New Roman" w:hAnsi="Times New Roman"/>
          <w:sz w:val="24"/>
          <w:szCs w:val="14"/>
        </w:rPr>
      </w:pPr>
      <w:r w:rsidRPr="00D022DD">
        <w:rPr>
          <w:rFonts w:ascii="Times New Roman" w:hAnsi="Times New Roman"/>
          <w:sz w:val="24"/>
          <w:szCs w:val="14"/>
        </w:rPr>
        <w:t>Sources of information on monkeypox virus infection. A systematic review with meta-analysis.</w:t>
      </w:r>
    </w:p>
    <w:p w14:paraId="28F8CB2A" w14:textId="0C74CE38" w:rsidR="00793187" w:rsidRPr="00D022DD" w:rsidRDefault="00793187" w:rsidP="00793187">
      <w:pPr>
        <w:pStyle w:val="MDPI13authornames"/>
        <w:ind w:right="-154"/>
        <w:rPr>
          <w:rFonts w:ascii="Times New Roman" w:hAnsi="Times New Roman"/>
          <w:b w:val="0"/>
          <w:sz w:val="24"/>
          <w:szCs w:val="24"/>
          <w:lang w:val="es-PE"/>
        </w:rPr>
      </w:pPr>
      <w:r w:rsidRPr="00D022DD">
        <w:rPr>
          <w:rFonts w:ascii="Times New Roman" w:hAnsi="Times New Roman"/>
          <w:b w:val="0"/>
          <w:sz w:val="24"/>
          <w:szCs w:val="24"/>
          <w:lang w:val="es-PE"/>
        </w:rPr>
        <w:t xml:space="preserve">Darwin A. León-Figueroa </w:t>
      </w:r>
      <w:r w:rsidRPr="00D022DD">
        <w:rPr>
          <w:rFonts w:ascii="Times New Roman" w:hAnsi="Times New Roman"/>
          <w:b w:val="0"/>
          <w:sz w:val="24"/>
          <w:szCs w:val="24"/>
          <w:vertAlign w:val="superscript"/>
          <w:lang w:val="es-PE"/>
        </w:rPr>
        <w:t>1</w:t>
      </w:r>
      <w:r w:rsidRPr="00D022DD">
        <w:rPr>
          <w:rFonts w:ascii="Times New Roman" w:hAnsi="Times New Roman"/>
          <w:b w:val="0"/>
          <w:sz w:val="24"/>
          <w:szCs w:val="24"/>
          <w:lang w:val="es-PE"/>
        </w:rPr>
        <w:t xml:space="preserve">, Joshuan J. Barboza </w:t>
      </w:r>
      <w:r w:rsidRPr="00D022DD">
        <w:rPr>
          <w:rFonts w:ascii="Times New Roman" w:hAnsi="Times New Roman"/>
          <w:b w:val="0"/>
          <w:sz w:val="24"/>
          <w:szCs w:val="24"/>
          <w:vertAlign w:val="superscript"/>
          <w:lang w:val="es-PE"/>
        </w:rPr>
        <w:t>2</w:t>
      </w:r>
      <w:r w:rsidRPr="00D022DD">
        <w:rPr>
          <w:rFonts w:ascii="Times New Roman" w:hAnsi="Times New Roman"/>
          <w:b w:val="0"/>
          <w:sz w:val="24"/>
          <w:szCs w:val="24"/>
          <w:lang w:val="es-PE"/>
        </w:rPr>
        <w:t xml:space="preserve">, </w:t>
      </w:r>
      <w:r w:rsidRPr="00D022DD">
        <w:rPr>
          <w:rFonts w:ascii="Times New Roman" w:hAnsi="Times New Roman"/>
          <w:b w:val="0"/>
          <w:sz w:val="24"/>
          <w:szCs w:val="24"/>
          <w:lang w:val="es-CO"/>
        </w:rPr>
        <w:t xml:space="preserve">Mario J. Valladares-Garrido </w:t>
      </w:r>
      <w:r w:rsidRPr="00D022DD">
        <w:rPr>
          <w:rFonts w:ascii="Times New Roman" w:hAnsi="Times New Roman"/>
          <w:b w:val="0"/>
          <w:sz w:val="24"/>
          <w:szCs w:val="24"/>
          <w:vertAlign w:val="superscript"/>
          <w:lang w:val="es-CO"/>
        </w:rPr>
        <w:t>3,4</w:t>
      </w:r>
      <w:r w:rsidR="00453422" w:rsidRPr="00D022DD">
        <w:rPr>
          <w:rFonts w:ascii="Times New Roman" w:hAnsi="Times New Roman"/>
          <w:b w:val="0"/>
          <w:sz w:val="24"/>
          <w:szCs w:val="24"/>
          <w:vertAlign w:val="superscript"/>
          <w:lang w:val="es-PE"/>
        </w:rPr>
        <w:t>,</w:t>
      </w:r>
      <w:r w:rsidR="00453422" w:rsidRPr="00D022DD">
        <w:rPr>
          <w:rFonts w:ascii="Times New Roman" w:hAnsi="Times New Roman"/>
          <w:b w:val="0"/>
          <w:sz w:val="24"/>
          <w:szCs w:val="24"/>
          <w:lang w:val="es-PE"/>
        </w:rPr>
        <w:t xml:space="preserve"> *</w:t>
      </w:r>
    </w:p>
    <w:p w14:paraId="6B96C2E7" w14:textId="0EBBD9FD" w:rsidR="00793187" w:rsidRPr="00D022DD" w:rsidRDefault="00793187" w:rsidP="00793187">
      <w:pPr>
        <w:adjustRightInd w:val="0"/>
        <w:snapToGrid w:val="0"/>
        <w:spacing w:line="200" w:lineRule="atLeast"/>
        <w:ind w:hanging="142"/>
        <w:rPr>
          <w:rFonts w:ascii="Times New Roman" w:eastAsia="Times New Roman" w:hAnsi="Times New Roman"/>
          <w:noProof w:val="0"/>
          <w:sz w:val="24"/>
          <w:szCs w:val="24"/>
          <w:lang w:val="es-PE" w:eastAsia="de-DE" w:bidi="en-US"/>
        </w:rPr>
      </w:pPr>
      <w:r w:rsidRPr="00D022DD">
        <w:rPr>
          <w:rFonts w:ascii="Times New Roman" w:eastAsia="Times New Roman" w:hAnsi="Times New Roman"/>
          <w:noProof w:val="0"/>
          <w:sz w:val="24"/>
          <w:szCs w:val="24"/>
          <w:vertAlign w:val="superscript"/>
          <w:lang w:val="es-PE" w:eastAsia="de-DE" w:bidi="en-US"/>
        </w:rPr>
        <w:t>1</w:t>
      </w:r>
      <w:r w:rsidRPr="00D022DD">
        <w:rPr>
          <w:rFonts w:ascii="Times New Roman" w:eastAsia="Times New Roman" w:hAnsi="Times New Roman"/>
          <w:noProof w:val="0"/>
          <w:sz w:val="24"/>
          <w:szCs w:val="24"/>
          <w:lang w:val="es-PE" w:eastAsia="de-DE" w:bidi="en-US"/>
        </w:rPr>
        <w:tab/>
        <w:t xml:space="preserve">Facultad de Medicina Humana, Universidad de San Martín de Porres, Chiclayo 15011, Peru; </w:t>
      </w:r>
      <w:hyperlink r:id="rId8" w:history="1">
        <w:r w:rsidRPr="00D022DD">
          <w:rPr>
            <w:rFonts w:ascii="Times New Roman" w:eastAsia="Times New Roman" w:hAnsi="Times New Roman"/>
            <w:noProof w:val="0"/>
            <w:color w:val="0000FF"/>
            <w:sz w:val="24"/>
            <w:szCs w:val="24"/>
            <w:u w:val="single"/>
            <w:lang w:val="es-PE" w:eastAsia="de-DE" w:bidi="en-US"/>
          </w:rPr>
          <w:t>darwin_leon@usmp.pe</w:t>
        </w:r>
      </w:hyperlink>
    </w:p>
    <w:p w14:paraId="11BFFE0C" w14:textId="55102FD1" w:rsidR="00793187" w:rsidRPr="00D022DD" w:rsidRDefault="00793187" w:rsidP="00793187">
      <w:pPr>
        <w:adjustRightInd w:val="0"/>
        <w:snapToGrid w:val="0"/>
        <w:spacing w:line="200" w:lineRule="atLeast"/>
        <w:ind w:hanging="142"/>
        <w:rPr>
          <w:rFonts w:eastAsia="Times New Roman"/>
          <w:noProof w:val="0"/>
          <w:color w:val="0000FF"/>
          <w:sz w:val="16"/>
          <w:szCs w:val="18"/>
          <w:u w:val="single"/>
          <w:lang w:val="es-PE" w:eastAsia="de-DE" w:bidi="en-US"/>
        </w:rPr>
      </w:pPr>
      <w:r w:rsidRPr="00D022DD">
        <w:rPr>
          <w:rFonts w:ascii="Times New Roman" w:eastAsia="Times New Roman" w:hAnsi="Times New Roman"/>
          <w:noProof w:val="0"/>
          <w:sz w:val="24"/>
          <w:szCs w:val="24"/>
          <w:vertAlign w:val="superscript"/>
          <w:lang w:val="es-PE" w:eastAsia="de-DE" w:bidi="en-US"/>
        </w:rPr>
        <w:t>2</w:t>
      </w:r>
      <w:r w:rsidRPr="00D022DD">
        <w:rPr>
          <w:rFonts w:ascii="Times New Roman" w:eastAsia="Times New Roman" w:hAnsi="Times New Roman"/>
          <w:noProof w:val="0"/>
          <w:sz w:val="24"/>
          <w:szCs w:val="24"/>
          <w:lang w:val="es-PE" w:eastAsia="de-DE" w:bidi="en-US"/>
        </w:rPr>
        <w:tab/>
      </w:r>
      <w:r w:rsidR="009000E1" w:rsidRPr="00D022DD">
        <w:rPr>
          <w:rFonts w:ascii="Times New Roman" w:eastAsia="Times New Roman" w:hAnsi="Times New Roman"/>
          <w:noProof w:val="0"/>
          <w:sz w:val="24"/>
          <w:szCs w:val="24"/>
          <w:lang w:val="es-PE" w:eastAsia="de-DE" w:bidi="en-US"/>
        </w:rPr>
        <w:t>Unidad de Revisiones Sistemáticas y Meta-análisis, Universidad San Ignacio de Loyola</w:t>
      </w:r>
      <w:r w:rsidR="00C07484" w:rsidRPr="00D022DD">
        <w:rPr>
          <w:rFonts w:ascii="Times New Roman" w:eastAsia="Times New Roman" w:hAnsi="Times New Roman"/>
          <w:noProof w:val="0"/>
          <w:sz w:val="24"/>
          <w:szCs w:val="24"/>
          <w:lang w:val="es-PE" w:eastAsia="de-DE" w:bidi="en-US"/>
        </w:rPr>
        <w:t>, Lima 15046, Peru</w:t>
      </w:r>
      <w:r w:rsidRPr="00D022DD">
        <w:rPr>
          <w:rFonts w:ascii="Times New Roman" w:eastAsia="Times New Roman" w:hAnsi="Times New Roman"/>
          <w:noProof w:val="0"/>
          <w:sz w:val="24"/>
          <w:szCs w:val="24"/>
          <w:lang w:val="es-PE" w:eastAsia="de-DE" w:bidi="en-US"/>
        </w:rPr>
        <w:t xml:space="preserve">; </w:t>
      </w:r>
      <w:hyperlink r:id="rId9" w:history="1">
        <w:r w:rsidRPr="00D022DD">
          <w:rPr>
            <w:rFonts w:ascii="Times New Roman" w:eastAsia="Times New Roman" w:hAnsi="Times New Roman"/>
            <w:noProof w:val="0"/>
            <w:color w:val="0000FF"/>
            <w:sz w:val="24"/>
            <w:szCs w:val="24"/>
            <w:u w:val="single"/>
            <w:lang w:val="es-PE" w:eastAsia="de-DE" w:bidi="en-US"/>
          </w:rPr>
          <w:t>jbarbozameca@gmail.com</w:t>
        </w:r>
      </w:hyperlink>
    </w:p>
    <w:p w14:paraId="0D81DC04" w14:textId="77777777" w:rsidR="00793187" w:rsidRPr="00D022DD" w:rsidRDefault="00793187" w:rsidP="00793187">
      <w:pPr>
        <w:adjustRightInd w:val="0"/>
        <w:snapToGrid w:val="0"/>
        <w:spacing w:line="200" w:lineRule="atLeast"/>
        <w:ind w:hanging="142"/>
        <w:rPr>
          <w:rFonts w:eastAsia="Times New Roman"/>
          <w:noProof w:val="0"/>
          <w:sz w:val="16"/>
          <w:szCs w:val="18"/>
          <w:lang w:val="es-PE" w:eastAsia="de-DE" w:bidi="en-US"/>
        </w:rPr>
      </w:pPr>
      <w:bookmarkStart w:id="0" w:name="_Hlk121910869"/>
      <w:r w:rsidRPr="00D022DD">
        <w:rPr>
          <w:rFonts w:ascii="Times New Roman" w:eastAsia="Times New Roman" w:hAnsi="Times New Roman"/>
          <w:noProof w:val="0"/>
          <w:sz w:val="24"/>
          <w:szCs w:val="24"/>
          <w:vertAlign w:val="superscript"/>
          <w:lang w:val="es-PE" w:eastAsia="de-DE" w:bidi="en-US"/>
        </w:rPr>
        <w:t>3</w:t>
      </w:r>
      <w:r w:rsidRPr="00D022DD">
        <w:rPr>
          <w:rFonts w:ascii="Times New Roman" w:eastAsia="Times New Roman" w:hAnsi="Times New Roman"/>
          <w:noProof w:val="0"/>
          <w:sz w:val="24"/>
          <w:szCs w:val="24"/>
          <w:lang w:val="es-PE" w:eastAsia="de-DE" w:bidi="en-US"/>
        </w:rPr>
        <w:tab/>
        <w:t>Universidad Continental, Lima 15046, Peru;</w:t>
      </w:r>
      <w:r w:rsidRPr="00D022DD">
        <w:rPr>
          <w:rFonts w:eastAsia="Times New Roman"/>
          <w:noProof w:val="0"/>
          <w:sz w:val="16"/>
          <w:szCs w:val="18"/>
          <w:lang w:val="es-PE" w:eastAsia="de-DE" w:bidi="en-US"/>
        </w:rPr>
        <w:t xml:space="preserve"> </w:t>
      </w:r>
      <w:hyperlink r:id="rId10" w:history="1">
        <w:r w:rsidRPr="00D022DD">
          <w:rPr>
            <w:rFonts w:ascii="Times New Roman" w:eastAsia="Times New Roman" w:hAnsi="Times New Roman"/>
            <w:noProof w:val="0"/>
            <w:color w:val="0000FF"/>
            <w:sz w:val="24"/>
            <w:szCs w:val="24"/>
            <w:u w:val="single"/>
            <w:lang w:val="es-PE" w:eastAsia="de-DE" w:bidi="en-US"/>
          </w:rPr>
          <w:t>mvalladares@continental.edu.pe</w:t>
        </w:r>
      </w:hyperlink>
      <w:r w:rsidRPr="00D022DD">
        <w:rPr>
          <w:rFonts w:ascii="Times New Roman" w:eastAsia="Times New Roman" w:hAnsi="Times New Roman"/>
          <w:noProof w:val="0"/>
          <w:sz w:val="24"/>
          <w:szCs w:val="24"/>
          <w:lang w:val="es-PE" w:eastAsia="de-DE" w:bidi="en-US"/>
        </w:rPr>
        <w:t xml:space="preserve"> </w:t>
      </w:r>
    </w:p>
    <w:p w14:paraId="49E24E22" w14:textId="77777777" w:rsidR="00793187" w:rsidRPr="00D022DD" w:rsidRDefault="00793187" w:rsidP="00793187">
      <w:pPr>
        <w:adjustRightInd w:val="0"/>
        <w:snapToGrid w:val="0"/>
        <w:spacing w:line="200" w:lineRule="atLeast"/>
        <w:ind w:hanging="142"/>
        <w:rPr>
          <w:rFonts w:ascii="Times New Roman" w:eastAsia="Times New Roman" w:hAnsi="Times New Roman"/>
          <w:noProof w:val="0"/>
          <w:sz w:val="24"/>
          <w:szCs w:val="24"/>
          <w:lang w:val="es-PE" w:eastAsia="de-DE" w:bidi="en-US"/>
        </w:rPr>
      </w:pPr>
      <w:r w:rsidRPr="00D022DD">
        <w:rPr>
          <w:rFonts w:ascii="Times New Roman" w:eastAsia="Times New Roman" w:hAnsi="Times New Roman"/>
          <w:noProof w:val="0"/>
          <w:sz w:val="24"/>
          <w:szCs w:val="24"/>
          <w:vertAlign w:val="superscript"/>
          <w:lang w:val="es-PE" w:eastAsia="de-DE" w:bidi="en-US"/>
        </w:rPr>
        <w:t>4</w:t>
      </w:r>
      <w:r w:rsidRPr="00D022DD">
        <w:rPr>
          <w:rFonts w:ascii="Times New Roman" w:eastAsia="Times New Roman" w:hAnsi="Times New Roman"/>
          <w:noProof w:val="0"/>
          <w:sz w:val="24"/>
          <w:szCs w:val="24"/>
          <w:lang w:val="es-PE" w:eastAsia="de-DE" w:bidi="en-US"/>
        </w:rPr>
        <w:tab/>
        <w:t>Oficina de Epidemiología, Hospital Regional Lambayeque, Chiclayo 14012, Peru</w:t>
      </w:r>
    </w:p>
    <w:bookmarkEnd w:id="0"/>
    <w:p w14:paraId="09DC4F8A" w14:textId="77777777" w:rsidR="00793187" w:rsidRPr="00D022DD" w:rsidRDefault="00793187" w:rsidP="00793187">
      <w:pPr>
        <w:adjustRightInd w:val="0"/>
        <w:snapToGrid w:val="0"/>
        <w:spacing w:line="200" w:lineRule="atLeast"/>
        <w:rPr>
          <w:rFonts w:ascii="Times New Roman" w:eastAsia="Times New Roman" w:hAnsi="Times New Roman"/>
          <w:noProof w:val="0"/>
          <w:sz w:val="24"/>
          <w:szCs w:val="24"/>
          <w:lang w:val="es-PE" w:eastAsia="de-DE" w:bidi="en-US"/>
        </w:rPr>
      </w:pPr>
    </w:p>
    <w:p w14:paraId="63E404CC" w14:textId="77777777" w:rsidR="00793187" w:rsidRPr="00D022DD" w:rsidRDefault="00793187" w:rsidP="00793187">
      <w:pPr>
        <w:adjustRightInd w:val="0"/>
        <w:snapToGrid w:val="0"/>
        <w:spacing w:line="200" w:lineRule="atLeast"/>
        <w:rPr>
          <w:rFonts w:ascii="Times New Roman" w:eastAsia="Times New Roman" w:hAnsi="Times New Roman"/>
          <w:b/>
          <w:noProof w:val="0"/>
          <w:sz w:val="24"/>
          <w:szCs w:val="24"/>
          <w:lang w:val="es-PE" w:eastAsia="de-DE" w:bidi="en-US"/>
        </w:rPr>
      </w:pPr>
    </w:p>
    <w:p w14:paraId="3D98F1A2" w14:textId="43113D76" w:rsidR="00793187" w:rsidRPr="00D022DD" w:rsidRDefault="00793187" w:rsidP="00793187">
      <w:pPr>
        <w:adjustRightInd w:val="0"/>
        <w:snapToGrid w:val="0"/>
        <w:spacing w:line="200" w:lineRule="atLeast"/>
        <w:rPr>
          <w:rFonts w:ascii="Times New Roman" w:eastAsia="Times New Roman" w:hAnsi="Times New Roman"/>
          <w:noProof w:val="0"/>
          <w:sz w:val="24"/>
          <w:szCs w:val="24"/>
          <w:lang w:eastAsia="de-DE" w:bidi="en-US"/>
        </w:rPr>
      </w:pPr>
      <w:r w:rsidRPr="00D022DD">
        <w:rPr>
          <w:rFonts w:ascii="Times New Roman" w:eastAsia="Times New Roman" w:hAnsi="Times New Roman"/>
          <w:b/>
          <w:noProof w:val="0"/>
          <w:sz w:val="24"/>
          <w:szCs w:val="24"/>
          <w:lang w:val="es-PE" w:eastAsia="de-DE" w:bidi="en-US"/>
        </w:rPr>
        <w:t>*</w:t>
      </w:r>
      <w:r w:rsidRPr="00D022DD">
        <w:rPr>
          <w:rFonts w:ascii="Times New Roman" w:eastAsia="Times New Roman" w:hAnsi="Times New Roman"/>
          <w:noProof w:val="0"/>
          <w:sz w:val="24"/>
          <w:szCs w:val="24"/>
          <w:lang w:val="es-PE" w:eastAsia="de-DE" w:bidi="en-US"/>
        </w:rPr>
        <w:tab/>
      </w:r>
      <w:r w:rsidRPr="00D022DD">
        <w:rPr>
          <w:rFonts w:ascii="Times New Roman" w:eastAsia="Times New Roman" w:hAnsi="Times New Roman"/>
          <w:b/>
          <w:bCs/>
          <w:noProof w:val="0"/>
          <w:sz w:val="24"/>
          <w:szCs w:val="24"/>
          <w:lang w:val="es-PE" w:eastAsia="de-DE" w:bidi="en-US"/>
        </w:rPr>
        <w:t>Correspondence</w:t>
      </w:r>
      <w:r w:rsidRPr="00D022DD">
        <w:rPr>
          <w:rFonts w:ascii="Times New Roman" w:eastAsia="Times New Roman" w:hAnsi="Times New Roman"/>
          <w:noProof w:val="0"/>
          <w:sz w:val="24"/>
          <w:szCs w:val="24"/>
          <w:lang w:val="es-PE" w:eastAsia="de-DE" w:bidi="en-US"/>
        </w:rPr>
        <w:t xml:space="preserve">: </w:t>
      </w:r>
      <w:r w:rsidR="00C07484" w:rsidRPr="00D022DD">
        <w:rPr>
          <w:rFonts w:ascii="Times New Roman" w:eastAsia="Times New Roman" w:hAnsi="Times New Roman"/>
          <w:bCs/>
          <w:noProof w:val="0"/>
          <w:sz w:val="24"/>
          <w:szCs w:val="24"/>
          <w:lang w:eastAsia="de-DE" w:bidi="en-US"/>
        </w:rPr>
        <w:t xml:space="preserve">Correspondence: </w:t>
      </w:r>
      <w:hyperlink r:id="rId11" w:history="1">
        <w:r w:rsidR="00C07484" w:rsidRPr="00D022DD">
          <w:rPr>
            <w:rStyle w:val="Hipervnculo"/>
            <w:rFonts w:ascii="Times New Roman" w:eastAsia="Times New Roman" w:hAnsi="Times New Roman"/>
            <w:bCs/>
            <w:noProof w:val="0"/>
            <w:sz w:val="24"/>
            <w:szCs w:val="24"/>
            <w:lang w:eastAsia="de-DE" w:bidi="en-US"/>
          </w:rPr>
          <w:t>mvalladares@continental.edu.pe</w:t>
        </w:r>
      </w:hyperlink>
      <w:r w:rsidR="00C07484" w:rsidRPr="00D022DD">
        <w:rPr>
          <w:rFonts w:ascii="Times New Roman" w:eastAsia="Times New Roman" w:hAnsi="Times New Roman"/>
          <w:bCs/>
          <w:noProof w:val="0"/>
          <w:sz w:val="24"/>
          <w:szCs w:val="24"/>
          <w:lang w:eastAsia="de-DE" w:bidi="en-US"/>
        </w:rPr>
        <w:t xml:space="preserve"> ; Tel.: +51 944 655 396.</w:t>
      </w:r>
    </w:p>
    <w:p w14:paraId="2F7AA06E" w14:textId="77777777" w:rsidR="00793187" w:rsidRPr="00D022DD" w:rsidRDefault="00793187" w:rsidP="00793187">
      <w:pPr>
        <w:pStyle w:val="MDPI16affiliation"/>
        <w:ind w:left="851" w:right="-154" w:firstLine="0"/>
        <w:rPr>
          <w:b/>
        </w:rPr>
      </w:pPr>
    </w:p>
    <w:p w14:paraId="0E6967DE" w14:textId="77777777" w:rsidR="00793187" w:rsidRPr="00D022DD" w:rsidRDefault="00793187" w:rsidP="00793187">
      <w:pPr>
        <w:pStyle w:val="MDPI16affiliation"/>
        <w:ind w:left="851" w:right="-154"/>
        <w:rPr>
          <w:b/>
        </w:rPr>
      </w:pPr>
    </w:p>
    <w:p w14:paraId="27069458" w14:textId="4A4FD589" w:rsidR="00E95151" w:rsidRPr="00D022DD" w:rsidRDefault="00E95151" w:rsidP="00E95151">
      <w:pPr>
        <w:pStyle w:val="MDPI16affiliation"/>
        <w:ind w:left="142"/>
        <w:jc w:val="both"/>
        <w:rPr>
          <w:rFonts w:ascii="Times New Roman" w:hAnsi="Times New Roman"/>
          <w:sz w:val="24"/>
          <w:szCs w:val="24"/>
        </w:rPr>
      </w:pPr>
    </w:p>
    <w:p w14:paraId="4275CB7D" w14:textId="77777777" w:rsidR="00E95151" w:rsidRPr="00D022DD" w:rsidRDefault="00E95151" w:rsidP="00793187">
      <w:pPr>
        <w:pStyle w:val="MDPI16affiliation"/>
        <w:ind w:left="0" w:firstLine="0"/>
        <w:rPr>
          <w:b/>
        </w:rPr>
      </w:pPr>
    </w:p>
    <w:p w14:paraId="3C0C3F62" w14:textId="77777777" w:rsidR="00E95151" w:rsidRPr="00D022DD" w:rsidRDefault="00E95151" w:rsidP="00E95151">
      <w:pPr>
        <w:pStyle w:val="MDPI16affiliation"/>
        <w:rPr>
          <w:b/>
        </w:rPr>
      </w:pPr>
    </w:p>
    <w:p w14:paraId="34FA8D89" w14:textId="0B1499DD" w:rsidR="006A4EF7" w:rsidRPr="00D022DD" w:rsidRDefault="006A4EF7" w:rsidP="00364DC6">
      <w:pPr>
        <w:pStyle w:val="MDPI16affiliation"/>
        <w:rPr>
          <w:b/>
        </w:rPr>
      </w:pPr>
    </w:p>
    <w:p w14:paraId="305F65A3" w14:textId="56CAFA73" w:rsidR="006A4EF7" w:rsidRPr="00D022DD" w:rsidRDefault="006A4EF7" w:rsidP="00364DC6">
      <w:pPr>
        <w:pStyle w:val="MDPI16affiliation"/>
        <w:rPr>
          <w:b/>
        </w:rPr>
      </w:pPr>
    </w:p>
    <w:p w14:paraId="43F6FE9F" w14:textId="3F7A2EB5" w:rsidR="006A4EF7" w:rsidRPr="00D022DD" w:rsidRDefault="006A4EF7" w:rsidP="00364DC6">
      <w:pPr>
        <w:pStyle w:val="MDPI16affiliation"/>
        <w:rPr>
          <w:b/>
        </w:rPr>
      </w:pPr>
    </w:p>
    <w:p w14:paraId="48114AB3" w14:textId="77777777" w:rsidR="006A4EF7" w:rsidRPr="00D022DD" w:rsidRDefault="006A4EF7" w:rsidP="00364DC6">
      <w:pPr>
        <w:pStyle w:val="MDPI16affiliation"/>
        <w:rPr>
          <w:b/>
        </w:rPr>
      </w:pPr>
    </w:p>
    <w:p w14:paraId="1F030A5D" w14:textId="52B15FEF" w:rsidR="006A4EF7" w:rsidRPr="00D022DD" w:rsidRDefault="006A4EF7" w:rsidP="00364DC6">
      <w:pPr>
        <w:pStyle w:val="MDPI16affiliation"/>
        <w:rPr>
          <w:b/>
        </w:rPr>
      </w:pPr>
    </w:p>
    <w:p w14:paraId="79BA3EF8" w14:textId="5A6B7F94" w:rsidR="006A4EF7" w:rsidRPr="00D022DD" w:rsidRDefault="006A4EF7" w:rsidP="00364DC6">
      <w:pPr>
        <w:pStyle w:val="MDPI16affiliation"/>
        <w:rPr>
          <w:b/>
        </w:rPr>
      </w:pPr>
    </w:p>
    <w:p w14:paraId="4A9873F1" w14:textId="77777777" w:rsidR="001031FF" w:rsidRPr="00D022DD" w:rsidRDefault="001031FF" w:rsidP="00364DC6">
      <w:pPr>
        <w:pStyle w:val="MDPI16affiliation"/>
        <w:rPr>
          <w:b/>
        </w:rPr>
      </w:pPr>
    </w:p>
    <w:p w14:paraId="2E64DA44" w14:textId="77777777" w:rsidR="001031FF" w:rsidRPr="00D022DD" w:rsidRDefault="001031FF" w:rsidP="00364DC6">
      <w:pPr>
        <w:pStyle w:val="MDPI16affiliation"/>
        <w:rPr>
          <w:b/>
        </w:rPr>
      </w:pPr>
    </w:p>
    <w:p w14:paraId="63E16BE7" w14:textId="77777777" w:rsidR="001031FF" w:rsidRPr="00D022DD" w:rsidRDefault="001031FF" w:rsidP="00364DC6">
      <w:pPr>
        <w:pStyle w:val="MDPI16affiliation"/>
        <w:rPr>
          <w:b/>
        </w:rPr>
      </w:pPr>
    </w:p>
    <w:p w14:paraId="362A89D6" w14:textId="77777777" w:rsidR="001031FF" w:rsidRPr="00D022DD" w:rsidRDefault="001031FF" w:rsidP="00364DC6">
      <w:pPr>
        <w:pStyle w:val="MDPI16affiliation"/>
        <w:rPr>
          <w:b/>
        </w:rPr>
      </w:pPr>
    </w:p>
    <w:p w14:paraId="49B06382" w14:textId="77777777" w:rsidR="001031FF" w:rsidRPr="00D022DD" w:rsidRDefault="001031FF" w:rsidP="00364DC6">
      <w:pPr>
        <w:pStyle w:val="MDPI16affiliation"/>
        <w:rPr>
          <w:b/>
        </w:rPr>
      </w:pPr>
    </w:p>
    <w:p w14:paraId="3628E105" w14:textId="77777777" w:rsidR="001031FF" w:rsidRPr="00D022DD" w:rsidRDefault="001031FF" w:rsidP="00364DC6">
      <w:pPr>
        <w:pStyle w:val="MDPI16affiliation"/>
        <w:rPr>
          <w:b/>
        </w:rPr>
      </w:pPr>
    </w:p>
    <w:p w14:paraId="035926DE" w14:textId="77777777" w:rsidR="001031FF" w:rsidRPr="00D022DD" w:rsidRDefault="001031FF" w:rsidP="00364DC6">
      <w:pPr>
        <w:pStyle w:val="MDPI16affiliation"/>
        <w:rPr>
          <w:b/>
        </w:rPr>
      </w:pPr>
    </w:p>
    <w:p w14:paraId="19AD0AC8" w14:textId="77777777" w:rsidR="001031FF" w:rsidRPr="00D022DD" w:rsidRDefault="001031FF" w:rsidP="00364DC6">
      <w:pPr>
        <w:pStyle w:val="MDPI16affiliation"/>
        <w:rPr>
          <w:b/>
        </w:rPr>
      </w:pPr>
    </w:p>
    <w:p w14:paraId="318F5B0A" w14:textId="77777777" w:rsidR="001031FF" w:rsidRPr="00D022DD" w:rsidRDefault="001031FF" w:rsidP="00364DC6">
      <w:pPr>
        <w:pStyle w:val="MDPI16affiliation"/>
        <w:rPr>
          <w:b/>
        </w:rPr>
      </w:pPr>
    </w:p>
    <w:p w14:paraId="310FEC42" w14:textId="77777777" w:rsidR="001031FF" w:rsidRPr="00D022DD" w:rsidRDefault="001031FF" w:rsidP="00364DC6">
      <w:pPr>
        <w:pStyle w:val="MDPI16affiliation"/>
        <w:rPr>
          <w:b/>
        </w:rPr>
      </w:pPr>
    </w:p>
    <w:p w14:paraId="29A701BA" w14:textId="77777777" w:rsidR="001031FF" w:rsidRPr="00D022DD" w:rsidRDefault="001031FF" w:rsidP="00364DC6">
      <w:pPr>
        <w:pStyle w:val="MDPI16affiliation"/>
        <w:rPr>
          <w:b/>
        </w:rPr>
      </w:pPr>
    </w:p>
    <w:p w14:paraId="3E554434" w14:textId="77777777" w:rsidR="001031FF" w:rsidRPr="00D022DD" w:rsidRDefault="001031FF" w:rsidP="00364DC6">
      <w:pPr>
        <w:pStyle w:val="MDPI16affiliation"/>
        <w:rPr>
          <w:b/>
        </w:rPr>
      </w:pPr>
    </w:p>
    <w:p w14:paraId="21241B3F" w14:textId="77777777" w:rsidR="001031FF" w:rsidRPr="00D022DD" w:rsidRDefault="001031FF" w:rsidP="00364DC6">
      <w:pPr>
        <w:pStyle w:val="MDPI16affiliation"/>
        <w:rPr>
          <w:b/>
        </w:rPr>
      </w:pPr>
    </w:p>
    <w:p w14:paraId="118BDD02" w14:textId="77777777" w:rsidR="001031FF" w:rsidRPr="00D022DD" w:rsidRDefault="001031FF" w:rsidP="00364DC6">
      <w:pPr>
        <w:pStyle w:val="MDPI16affiliation"/>
        <w:rPr>
          <w:b/>
        </w:rPr>
      </w:pPr>
    </w:p>
    <w:p w14:paraId="482BF40C" w14:textId="77777777" w:rsidR="001031FF" w:rsidRPr="00D022DD" w:rsidRDefault="001031FF" w:rsidP="00364DC6">
      <w:pPr>
        <w:pStyle w:val="MDPI16affiliation"/>
        <w:rPr>
          <w:b/>
        </w:rPr>
      </w:pPr>
    </w:p>
    <w:p w14:paraId="46AB6CF3" w14:textId="77777777" w:rsidR="001031FF" w:rsidRPr="00D022DD" w:rsidRDefault="001031FF" w:rsidP="00364DC6">
      <w:pPr>
        <w:pStyle w:val="MDPI16affiliation"/>
        <w:rPr>
          <w:b/>
        </w:rPr>
      </w:pPr>
    </w:p>
    <w:p w14:paraId="6954C83C" w14:textId="77777777" w:rsidR="001031FF" w:rsidRPr="00D022DD" w:rsidRDefault="001031FF" w:rsidP="00364DC6">
      <w:pPr>
        <w:pStyle w:val="MDPI16affiliation"/>
        <w:rPr>
          <w:b/>
        </w:rPr>
      </w:pPr>
    </w:p>
    <w:p w14:paraId="36EED715" w14:textId="77777777" w:rsidR="001031FF" w:rsidRPr="00D022DD" w:rsidRDefault="001031FF" w:rsidP="00364DC6">
      <w:pPr>
        <w:pStyle w:val="MDPI16affiliation"/>
        <w:rPr>
          <w:b/>
        </w:rPr>
      </w:pPr>
    </w:p>
    <w:p w14:paraId="2BC8A4C6" w14:textId="77777777" w:rsidR="001031FF" w:rsidRPr="00D022DD" w:rsidRDefault="001031FF" w:rsidP="00364DC6">
      <w:pPr>
        <w:pStyle w:val="MDPI16affiliation"/>
        <w:rPr>
          <w:b/>
        </w:rPr>
      </w:pPr>
    </w:p>
    <w:p w14:paraId="2206A525" w14:textId="77777777" w:rsidR="001031FF" w:rsidRPr="00D022DD" w:rsidRDefault="001031FF" w:rsidP="00364DC6">
      <w:pPr>
        <w:pStyle w:val="MDPI16affiliation"/>
        <w:rPr>
          <w:b/>
        </w:rPr>
      </w:pPr>
    </w:p>
    <w:p w14:paraId="690A46B3" w14:textId="4A473D7C" w:rsidR="006A4EF7" w:rsidRPr="00D022DD" w:rsidRDefault="006A4EF7" w:rsidP="00364DC6">
      <w:pPr>
        <w:pStyle w:val="MDPI16affiliation"/>
        <w:rPr>
          <w:b/>
        </w:rPr>
      </w:pPr>
    </w:p>
    <w:p w14:paraId="2A0E8C93" w14:textId="0B33A4AB" w:rsidR="006A4EF7" w:rsidRPr="00D022DD" w:rsidRDefault="006A4EF7" w:rsidP="00364DC6">
      <w:pPr>
        <w:pStyle w:val="MDPI16affiliation"/>
        <w:rPr>
          <w:b/>
        </w:rPr>
      </w:pPr>
    </w:p>
    <w:p w14:paraId="5740EF9D" w14:textId="71353C6A" w:rsidR="006A4EF7" w:rsidRPr="00D022DD" w:rsidRDefault="006A4EF7" w:rsidP="00364DC6">
      <w:pPr>
        <w:pStyle w:val="MDPI16affiliation"/>
        <w:rPr>
          <w:b/>
        </w:rPr>
      </w:pPr>
    </w:p>
    <w:p w14:paraId="225B9B4E" w14:textId="2F61CF49" w:rsidR="006A4EF7" w:rsidRPr="00D022DD" w:rsidRDefault="006A4EF7" w:rsidP="00364DC6">
      <w:pPr>
        <w:pStyle w:val="MDPI16affiliation"/>
        <w:rPr>
          <w:b/>
        </w:rPr>
      </w:pPr>
    </w:p>
    <w:p w14:paraId="5659F617" w14:textId="5442B0A3" w:rsidR="006A4EF7" w:rsidRPr="00D022DD" w:rsidRDefault="006A4EF7" w:rsidP="00364DC6">
      <w:pPr>
        <w:pStyle w:val="MDPI16affiliation"/>
        <w:rPr>
          <w:b/>
        </w:rPr>
      </w:pPr>
    </w:p>
    <w:p w14:paraId="1D7F46B7" w14:textId="36C8AABB" w:rsidR="006A4EF7" w:rsidRPr="00D022DD" w:rsidRDefault="006A4EF7" w:rsidP="00364DC6">
      <w:pPr>
        <w:pStyle w:val="MDPI16affiliation"/>
        <w:rPr>
          <w:b/>
        </w:rPr>
      </w:pPr>
    </w:p>
    <w:p w14:paraId="4B4A9004" w14:textId="0683B941" w:rsidR="006A4EF7" w:rsidRPr="00D022DD" w:rsidRDefault="006A4EF7" w:rsidP="00364DC6">
      <w:pPr>
        <w:pStyle w:val="MDPI16affiliation"/>
        <w:rPr>
          <w:b/>
        </w:rPr>
      </w:pPr>
    </w:p>
    <w:p w14:paraId="54360687" w14:textId="77777777" w:rsidR="00D22542" w:rsidRPr="00D022DD" w:rsidRDefault="00D22542" w:rsidP="00364DC6">
      <w:pPr>
        <w:pStyle w:val="MDPI16affiliation"/>
        <w:rPr>
          <w:b/>
        </w:rPr>
      </w:pPr>
    </w:p>
    <w:p w14:paraId="5BE973EA" w14:textId="77777777" w:rsidR="00D22542" w:rsidRPr="00D022DD" w:rsidRDefault="00D22542" w:rsidP="00364DC6">
      <w:pPr>
        <w:pStyle w:val="MDPI16affiliation"/>
        <w:rPr>
          <w:b/>
        </w:rPr>
      </w:pPr>
    </w:p>
    <w:p w14:paraId="4BB6DE67" w14:textId="77777777" w:rsidR="00A90C11" w:rsidRPr="00D022DD" w:rsidRDefault="00A90C11" w:rsidP="00A90C11">
      <w:pPr>
        <w:pStyle w:val="MDPI62BackMatter"/>
        <w:ind w:left="0"/>
        <w:rPr>
          <w:b/>
        </w:rPr>
      </w:pPr>
    </w:p>
    <w:p w14:paraId="6AF05836" w14:textId="77777777" w:rsidR="00994880" w:rsidRPr="00D022DD" w:rsidRDefault="00994880" w:rsidP="00A90C11">
      <w:pPr>
        <w:pStyle w:val="MDPI62BackMatter"/>
        <w:ind w:left="0"/>
        <w:rPr>
          <w:b/>
        </w:rPr>
      </w:pPr>
    </w:p>
    <w:p w14:paraId="2162EED5" w14:textId="77777777" w:rsidR="00994880" w:rsidRPr="00D022DD" w:rsidRDefault="00994880" w:rsidP="00A90C11">
      <w:pPr>
        <w:pStyle w:val="MDPI62BackMatter"/>
        <w:ind w:left="0"/>
        <w:rPr>
          <w:b/>
        </w:rPr>
      </w:pPr>
    </w:p>
    <w:p w14:paraId="181CA71F" w14:textId="059689BD" w:rsidR="00994880" w:rsidRPr="00D022DD" w:rsidRDefault="00994880" w:rsidP="00A90C11">
      <w:pPr>
        <w:pStyle w:val="MDPI62BackMatter"/>
        <w:ind w:left="0"/>
        <w:rPr>
          <w:b/>
          <w:sz w:val="22"/>
          <w:szCs w:val="24"/>
        </w:rPr>
      </w:pPr>
      <w:r w:rsidRPr="00D022DD">
        <w:rPr>
          <w:b/>
          <w:sz w:val="22"/>
          <w:szCs w:val="24"/>
        </w:rPr>
        <w:t>Supplementary material</w:t>
      </w:r>
    </w:p>
    <w:p w14:paraId="0678989E" w14:textId="3C646F40" w:rsidR="00FE59C4" w:rsidRPr="008C631E" w:rsidRDefault="000B1218" w:rsidP="008535D2">
      <w:pPr>
        <w:pStyle w:val="MDPI62BackMatter"/>
        <w:numPr>
          <w:ilvl w:val="0"/>
          <w:numId w:val="25"/>
        </w:numPr>
        <w:rPr>
          <w:bCs/>
          <w:sz w:val="20"/>
          <w:szCs w:val="22"/>
        </w:rPr>
      </w:pPr>
      <w:r w:rsidRPr="008C631E">
        <w:rPr>
          <w:b/>
          <w:sz w:val="20"/>
          <w:szCs w:val="22"/>
        </w:rPr>
        <w:t xml:space="preserve">Table </w:t>
      </w:r>
      <w:r w:rsidR="00FE59C4" w:rsidRPr="008C631E">
        <w:rPr>
          <w:b/>
          <w:sz w:val="20"/>
          <w:szCs w:val="22"/>
        </w:rPr>
        <w:t>S1</w:t>
      </w:r>
      <w:r w:rsidRPr="008C631E">
        <w:rPr>
          <w:b/>
          <w:sz w:val="20"/>
          <w:szCs w:val="22"/>
        </w:rPr>
        <w:t>.</w:t>
      </w:r>
      <w:r w:rsidR="00FE59C4" w:rsidRPr="008C631E">
        <w:rPr>
          <w:b/>
          <w:sz w:val="20"/>
          <w:szCs w:val="22"/>
        </w:rPr>
        <w:t xml:space="preserve"> PRISMA Checklist</w:t>
      </w:r>
      <w:r w:rsidR="00FE59C4" w:rsidRPr="008C631E">
        <w:rPr>
          <w:bCs/>
          <w:sz w:val="20"/>
          <w:szCs w:val="22"/>
        </w:rPr>
        <w:t xml:space="preserve"> (PRISMA 2020 Main Checklist and PRIMSA Abstract Checklist)</w:t>
      </w:r>
    </w:p>
    <w:p w14:paraId="4D9B4ABB" w14:textId="4529F0CA" w:rsidR="00994880" w:rsidRPr="008C631E" w:rsidRDefault="00123558" w:rsidP="008535D2">
      <w:pPr>
        <w:pStyle w:val="MDPI62BackMatter"/>
        <w:numPr>
          <w:ilvl w:val="0"/>
          <w:numId w:val="25"/>
        </w:numPr>
        <w:rPr>
          <w:bCs/>
          <w:sz w:val="20"/>
          <w:szCs w:val="22"/>
        </w:rPr>
      </w:pPr>
      <w:r w:rsidRPr="008C631E">
        <w:rPr>
          <w:b/>
          <w:sz w:val="20"/>
          <w:szCs w:val="22"/>
        </w:rPr>
        <w:t>Table</w:t>
      </w:r>
      <w:r w:rsidR="000B1218" w:rsidRPr="008C631E">
        <w:rPr>
          <w:b/>
          <w:sz w:val="20"/>
          <w:szCs w:val="22"/>
        </w:rPr>
        <w:t xml:space="preserve"> S2</w:t>
      </w:r>
      <w:r w:rsidRPr="008C631E">
        <w:rPr>
          <w:b/>
          <w:sz w:val="20"/>
          <w:szCs w:val="22"/>
        </w:rPr>
        <w:t>.</w:t>
      </w:r>
      <w:r w:rsidRPr="008C631E">
        <w:rPr>
          <w:bCs/>
          <w:sz w:val="20"/>
          <w:szCs w:val="22"/>
        </w:rPr>
        <w:t xml:space="preserve"> The adjusted search terms as per searched electronic databases.</w:t>
      </w:r>
    </w:p>
    <w:p w14:paraId="167760A0" w14:textId="4171771F" w:rsidR="00123558" w:rsidRDefault="00123558" w:rsidP="008535D2">
      <w:pPr>
        <w:pStyle w:val="MDPI62BackMatter"/>
        <w:numPr>
          <w:ilvl w:val="0"/>
          <w:numId w:val="25"/>
        </w:numPr>
        <w:rPr>
          <w:bCs/>
          <w:sz w:val="20"/>
          <w:szCs w:val="22"/>
        </w:rPr>
      </w:pPr>
      <w:r w:rsidRPr="008C631E">
        <w:rPr>
          <w:b/>
          <w:sz w:val="20"/>
          <w:szCs w:val="22"/>
        </w:rPr>
        <w:t>Table</w:t>
      </w:r>
      <w:r w:rsidR="000B1218" w:rsidRPr="008C631E">
        <w:rPr>
          <w:b/>
          <w:sz w:val="20"/>
          <w:szCs w:val="22"/>
        </w:rPr>
        <w:t xml:space="preserve"> S3</w:t>
      </w:r>
      <w:r w:rsidRPr="008C631E">
        <w:rPr>
          <w:b/>
          <w:sz w:val="20"/>
          <w:szCs w:val="22"/>
        </w:rPr>
        <w:t>.</w:t>
      </w:r>
      <w:r w:rsidRPr="008C631E">
        <w:rPr>
          <w:bCs/>
          <w:sz w:val="20"/>
          <w:szCs w:val="22"/>
        </w:rPr>
        <w:t xml:space="preserve"> Quality of the included studies</w:t>
      </w:r>
    </w:p>
    <w:p w14:paraId="155DCA82" w14:textId="513BB08B" w:rsidR="008C631E" w:rsidRPr="008C631E" w:rsidRDefault="008C631E" w:rsidP="008535D2">
      <w:pPr>
        <w:pStyle w:val="MDPI62BackMatter"/>
        <w:numPr>
          <w:ilvl w:val="0"/>
          <w:numId w:val="25"/>
        </w:numPr>
        <w:rPr>
          <w:bCs/>
          <w:sz w:val="20"/>
          <w:szCs w:val="22"/>
        </w:rPr>
      </w:pPr>
      <w:r w:rsidRPr="008C631E">
        <w:rPr>
          <w:b/>
          <w:sz w:val="20"/>
          <w:szCs w:val="22"/>
        </w:rPr>
        <w:t>Figure S1</w:t>
      </w:r>
      <w:r w:rsidRPr="008C631E">
        <w:rPr>
          <w:bCs/>
          <w:sz w:val="20"/>
          <w:szCs w:val="22"/>
        </w:rPr>
        <w:t>: Funnel plot and Egger's test illustrate the publication bias of the included studies.</w:t>
      </w:r>
    </w:p>
    <w:p w14:paraId="4325B176" w14:textId="22A030C2" w:rsidR="00123558" w:rsidRPr="008C631E" w:rsidRDefault="00123558" w:rsidP="008535D2">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2</w:t>
      </w:r>
      <w:r w:rsidRPr="008C631E">
        <w:rPr>
          <w:b/>
          <w:sz w:val="20"/>
          <w:szCs w:val="22"/>
        </w:rPr>
        <w:t>.</w:t>
      </w:r>
      <w:r w:rsidRPr="008C631E">
        <w:rPr>
          <w:bCs/>
          <w:sz w:val="20"/>
          <w:szCs w:val="22"/>
        </w:rPr>
        <w:t xml:space="preserve"> </w:t>
      </w:r>
      <w:r w:rsidR="000559BA" w:rsidRPr="008C631E">
        <w:rPr>
          <w:bCs/>
          <w:sz w:val="20"/>
          <w:szCs w:val="22"/>
        </w:rPr>
        <w:t xml:space="preserve">Forest </w:t>
      </w:r>
      <w:r w:rsidR="004761D1" w:rsidRPr="008C631E">
        <w:rPr>
          <w:bCs/>
          <w:sz w:val="20"/>
          <w:szCs w:val="22"/>
        </w:rPr>
        <w:t>plo</w:t>
      </w:r>
      <w:r w:rsidR="000559BA" w:rsidRPr="008C631E">
        <w:rPr>
          <w:bCs/>
          <w:sz w:val="20"/>
          <w:szCs w:val="22"/>
        </w:rPr>
        <w:t>t showing the prevalence of social networks as a source of information about monkeypox virus infection.</w:t>
      </w:r>
    </w:p>
    <w:p w14:paraId="0448BA82" w14:textId="6FA3A561" w:rsidR="00123558" w:rsidRPr="008C631E" w:rsidRDefault="00123558" w:rsidP="008535D2">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3</w:t>
      </w:r>
      <w:r w:rsidRPr="008C631E">
        <w:rPr>
          <w:b/>
          <w:sz w:val="20"/>
          <w:szCs w:val="22"/>
        </w:rPr>
        <w:t>.</w:t>
      </w:r>
      <w:r w:rsidRPr="008C631E">
        <w:rPr>
          <w:bCs/>
          <w:sz w:val="20"/>
          <w:szCs w:val="22"/>
        </w:rPr>
        <w:t xml:space="preserve"> </w:t>
      </w:r>
      <w:r w:rsidR="0066490F" w:rsidRPr="008C631E">
        <w:rPr>
          <w:bCs/>
          <w:sz w:val="20"/>
          <w:szCs w:val="22"/>
        </w:rPr>
        <w:t xml:space="preserve">Forest </w:t>
      </w:r>
      <w:r w:rsidR="004761D1" w:rsidRPr="008C631E">
        <w:rPr>
          <w:bCs/>
          <w:sz w:val="20"/>
          <w:szCs w:val="22"/>
        </w:rPr>
        <w:t>plo</w:t>
      </w:r>
      <w:r w:rsidR="0066490F" w:rsidRPr="008C631E">
        <w:rPr>
          <w:bCs/>
          <w:sz w:val="20"/>
          <w:szCs w:val="22"/>
        </w:rPr>
        <w:t>t showing the prevalence of the Internet as a source of information on monkeypox virus infection.</w:t>
      </w:r>
    </w:p>
    <w:p w14:paraId="342783EF" w14:textId="1C18A5F1" w:rsidR="00123558" w:rsidRPr="008C631E" w:rsidRDefault="00123558" w:rsidP="008535D2">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4</w:t>
      </w:r>
      <w:r w:rsidRPr="008C631E">
        <w:rPr>
          <w:b/>
          <w:sz w:val="20"/>
          <w:szCs w:val="22"/>
        </w:rPr>
        <w:t>.</w:t>
      </w:r>
      <w:r w:rsidRPr="008C631E">
        <w:rPr>
          <w:bCs/>
          <w:sz w:val="20"/>
          <w:szCs w:val="22"/>
        </w:rPr>
        <w:t xml:space="preserve"> </w:t>
      </w:r>
      <w:r w:rsidR="00221AB5" w:rsidRPr="008C631E">
        <w:rPr>
          <w:bCs/>
          <w:sz w:val="20"/>
          <w:szCs w:val="22"/>
        </w:rPr>
        <w:t xml:space="preserve">Forest </w:t>
      </w:r>
      <w:r w:rsidR="004761D1" w:rsidRPr="008C631E">
        <w:rPr>
          <w:bCs/>
          <w:sz w:val="20"/>
          <w:szCs w:val="22"/>
        </w:rPr>
        <w:t>plo</w:t>
      </w:r>
      <w:r w:rsidR="00221AB5" w:rsidRPr="008C631E">
        <w:rPr>
          <w:bCs/>
          <w:sz w:val="20"/>
          <w:szCs w:val="22"/>
        </w:rPr>
        <w:t>t showing the prevalence of Radio as a source of information about monkeypox virus infection.</w:t>
      </w:r>
    </w:p>
    <w:p w14:paraId="6E488986" w14:textId="1761D390" w:rsidR="005D022E" w:rsidRPr="008C631E" w:rsidRDefault="005D022E" w:rsidP="005D022E">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5</w:t>
      </w:r>
      <w:r w:rsidRPr="008C631E">
        <w:rPr>
          <w:b/>
          <w:sz w:val="20"/>
          <w:szCs w:val="22"/>
        </w:rPr>
        <w:t>.</w:t>
      </w:r>
      <w:r w:rsidRPr="008C631E">
        <w:rPr>
          <w:bCs/>
          <w:sz w:val="20"/>
          <w:szCs w:val="22"/>
        </w:rPr>
        <w:t xml:space="preserve"> </w:t>
      </w:r>
      <w:r w:rsidR="009D7A73" w:rsidRPr="008C631E">
        <w:rPr>
          <w:bCs/>
          <w:sz w:val="20"/>
          <w:szCs w:val="22"/>
        </w:rPr>
        <w:t xml:space="preserve">Forest </w:t>
      </w:r>
      <w:r w:rsidR="004761D1" w:rsidRPr="008C631E">
        <w:rPr>
          <w:bCs/>
          <w:sz w:val="20"/>
          <w:szCs w:val="22"/>
        </w:rPr>
        <w:t>plo</w:t>
      </w:r>
      <w:r w:rsidR="009D7A73" w:rsidRPr="008C631E">
        <w:rPr>
          <w:bCs/>
          <w:sz w:val="20"/>
          <w:szCs w:val="22"/>
        </w:rPr>
        <w:t>t showing the prevalence of Television as a source of information about monkeypox virus infection.</w:t>
      </w:r>
    </w:p>
    <w:p w14:paraId="289BC005" w14:textId="0F7684C8" w:rsidR="00212424" w:rsidRPr="008C631E" w:rsidRDefault="00212424" w:rsidP="00212424">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6</w:t>
      </w:r>
      <w:r w:rsidRPr="008C631E">
        <w:rPr>
          <w:b/>
          <w:sz w:val="20"/>
          <w:szCs w:val="22"/>
        </w:rPr>
        <w:t>.</w:t>
      </w:r>
      <w:r w:rsidRPr="008C631E">
        <w:rPr>
          <w:bCs/>
          <w:sz w:val="20"/>
          <w:szCs w:val="22"/>
        </w:rPr>
        <w:t xml:space="preserve"> Forest plot showing the prevalence of Radio/Television as a source of information about monkeypox virus infection.</w:t>
      </w:r>
    </w:p>
    <w:p w14:paraId="6FD0C7E6" w14:textId="6F42C285" w:rsidR="005D022E" w:rsidRPr="008C631E" w:rsidRDefault="005D022E" w:rsidP="005D022E">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7</w:t>
      </w:r>
      <w:r w:rsidRPr="008C631E">
        <w:rPr>
          <w:b/>
          <w:sz w:val="20"/>
          <w:szCs w:val="22"/>
        </w:rPr>
        <w:t>.</w:t>
      </w:r>
      <w:r w:rsidRPr="008C631E">
        <w:rPr>
          <w:bCs/>
          <w:sz w:val="20"/>
          <w:szCs w:val="22"/>
        </w:rPr>
        <w:t xml:space="preserve"> </w:t>
      </w:r>
      <w:r w:rsidR="00156D03" w:rsidRPr="008C631E">
        <w:rPr>
          <w:bCs/>
          <w:sz w:val="20"/>
          <w:szCs w:val="22"/>
        </w:rPr>
        <w:t xml:space="preserve">Forest </w:t>
      </w:r>
      <w:r w:rsidR="004761D1" w:rsidRPr="008C631E">
        <w:rPr>
          <w:bCs/>
          <w:sz w:val="20"/>
          <w:szCs w:val="22"/>
        </w:rPr>
        <w:t>plo</w:t>
      </w:r>
      <w:r w:rsidR="00156D03" w:rsidRPr="008C631E">
        <w:rPr>
          <w:bCs/>
          <w:sz w:val="20"/>
          <w:szCs w:val="22"/>
        </w:rPr>
        <w:t>t showing the prevalence of newspaper as a source of information on monkeypox virus infection.</w:t>
      </w:r>
    </w:p>
    <w:p w14:paraId="3791A3E3" w14:textId="3AAB181A" w:rsidR="005D022E" w:rsidRPr="008C631E" w:rsidRDefault="005D022E" w:rsidP="005D022E">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8</w:t>
      </w:r>
      <w:r w:rsidRPr="008C631E">
        <w:rPr>
          <w:b/>
          <w:sz w:val="20"/>
          <w:szCs w:val="22"/>
        </w:rPr>
        <w:t>.</w:t>
      </w:r>
      <w:r w:rsidRPr="008C631E">
        <w:rPr>
          <w:bCs/>
          <w:sz w:val="20"/>
          <w:szCs w:val="22"/>
        </w:rPr>
        <w:t xml:space="preserve"> </w:t>
      </w:r>
      <w:r w:rsidR="00E74CA0" w:rsidRPr="008C631E">
        <w:rPr>
          <w:bCs/>
          <w:sz w:val="20"/>
          <w:szCs w:val="22"/>
        </w:rPr>
        <w:t>Forest plot showing the prevalence of Friends/Relatives as a source of information about monkeypox virus infection.</w:t>
      </w:r>
    </w:p>
    <w:p w14:paraId="2A5CF50C" w14:textId="32A99ED1" w:rsidR="00AE155D" w:rsidRPr="008C631E" w:rsidRDefault="00AE155D" w:rsidP="00AE155D">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9</w:t>
      </w:r>
      <w:r w:rsidRPr="008C631E">
        <w:rPr>
          <w:b/>
          <w:sz w:val="20"/>
          <w:szCs w:val="22"/>
        </w:rPr>
        <w:t>.</w:t>
      </w:r>
      <w:r w:rsidRPr="008C631E">
        <w:rPr>
          <w:bCs/>
          <w:sz w:val="20"/>
          <w:szCs w:val="22"/>
        </w:rPr>
        <w:t xml:space="preserve"> </w:t>
      </w:r>
      <w:r w:rsidR="00E543A9" w:rsidRPr="008C631E">
        <w:rPr>
          <w:bCs/>
          <w:sz w:val="20"/>
          <w:szCs w:val="22"/>
        </w:rPr>
        <w:t xml:space="preserve">Forest </w:t>
      </w:r>
      <w:r w:rsidR="004761D1" w:rsidRPr="008C631E">
        <w:rPr>
          <w:bCs/>
          <w:sz w:val="20"/>
          <w:szCs w:val="22"/>
        </w:rPr>
        <w:t>plo</w:t>
      </w:r>
      <w:r w:rsidR="00E543A9" w:rsidRPr="008C631E">
        <w:rPr>
          <w:bCs/>
          <w:sz w:val="20"/>
          <w:szCs w:val="22"/>
        </w:rPr>
        <w:t>t showing the prevalence of the WHO website as a source of information on monkeypox virus infection.</w:t>
      </w:r>
    </w:p>
    <w:p w14:paraId="4B319AC3" w14:textId="6641545B" w:rsidR="00AE155D" w:rsidRPr="008C631E" w:rsidRDefault="00AE155D" w:rsidP="00AE155D">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w:t>
      </w:r>
      <w:r w:rsidR="008C631E">
        <w:rPr>
          <w:b/>
          <w:sz w:val="20"/>
          <w:szCs w:val="22"/>
        </w:rPr>
        <w:t>10</w:t>
      </w:r>
      <w:r w:rsidRPr="008C631E">
        <w:rPr>
          <w:b/>
          <w:sz w:val="20"/>
          <w:szCs w:val="22"/>
        </w:rPr>
        <w:t>.</w:t>
      </w:r>
      <w:r w:rsidRPr="008C631E">
        <w:rPr>
          <w:bCs/>
          <w:sz w:val="20"/>
          <w:szCs w:val="22"/>
        </w:rPr>
        <w:t xml:space="preserve"> </w:t>
      </w:r>
      <w:r w:rsidR="0043390B" w:rsidRPr="008C631E">
        <w:rPr>
          <w:bCs/>
          <w:sz w:val="20"/>
          <w:szCs w:val="22"/>
        </w:rPr>
        <w:t xml:space="preserve">Forest </w:t>
      </w:r>
      <w:r w:rsidR="004761D1" w:rsidRPr="008C631E">
        <w:rPr>
          <w:bCs/>
          <w:sz w:val="20"/>
          <w:szCs w:val="22"/>
        </w:rPr>
        <w:t>plo</w:t>
      </w:r>
      <w:r w:rsidR="0043390B" w:rsidRPr="008C631E">
        <w:rPr>
          <w:bCs/>
          <w:sz w:val="20"/>
          <w:szCs w:val="22"/>
        </w:rPr>
        <w:t xml:space="preserve">t showing the prevalence of the </w:t>
      </w:r>
      <w:r w:rsidR="0007532C" w:rsidRPr="008C631E">
        <w:rPr>
          <w:bCs/>
          <w:sz w:val="20"/>
          <w:szCs w:val="22"/>
        </w:rPr>
        <w:t>CDC</w:t>
      </w:r>
      <w:r w:rsidR="0043390B" w:rsidRPr="008C631E">
        <w:rPr>
          <w:bCs/>
          <w:sz w:val="20"/>
          <w:szCs w:val="22"/>
        </w:rPr>
        <w:t xml:space="preserve"> website as a source of information on monkeypox virus infection.</w:t>
      </w:r>
    </w:p>
    <w:p w14:paraId="0891C3C4" w14:textId="142EB617" w:rsidR="00212424" w:rsidRPr="008C631E" w:rsidRDefault="00212424" w:rsidP="00212424">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S1</w:t>
      </w:r>
      <w:r w:rsidR="008C631E">
        <w:rPr>
          <w:b/>
          <w:sz w:val="20"/>
          <w:szCs w:val="22"/>
        </w:rPr>
        <w:t>1</w:t>
      </w:r>
      <w:r w:rsidRPr="008C631E">
        <w:rPr>
          <w:b/>
          <w:sz w:val="20"/>
          <w:szCs w:val="22"/>
        </w:rPr>
        <w:t>.</w:t>
      </w:r>
      <w:r w:rsidRPr="008C631E">
        <w:rPr>
          <w:bCs/>
          <w:sz w:val="20"/>
          <w:szCs w:val="22"/>
        </w:rPr>
        <w:t xml:space="preserve"> </w:t>
      </w:r>
      <w:r w:rsidR="008F2D6A" w:rsidRPr="008C631E">
        <w:rPr>
          <w:bCs/>
          <w:sz w:val="20"/>
          <w:szCs w:val="22"/>
        </w:rPr>
        <w:t>Forest plot showing the prevalence of WHO and CDC websites as a source of information on monkeypox virus infection.</w:t>
      </w:r>
    </w:p>
    <w:p w14:paraId="490AF6AB" w14:textId="751D0DD7" w:rsidR="00AE155D" w:rsidRPr="008C631E" w:rsidRDefault="00AE155D" w:rsidP="00AE155D">
      <w:pPr>
        <w:pStyle w:val="MDPI62BackMatter"/>
        <w:numPr>
          <w:ilvl w:val="0"/>
          <w:numId w:val="25"/>
        </w:numPr>
        <w:rPr>
          <w:bCs/>
          <w:sz w:val="20"/>
          <w:szCs w:val="22"/>
        </w:rPr>
      </w:pPr>
      <w:r w:rsidRPr="008C631E">
        <w:rPr>
          <w:b/>
          <w:sz w:val="20"/>
          <w:szCs w:val="22"/>
        </w:rPr>
        <w:t>Figure</w:t>
      </w:r>
      <w:r w:rsidR="000B1218" w:rsidRPr="008C631E">
        <w:rPr>
          <w:b/>
          <w:sz w:val="20"/>
          <w:szCs w:val="22"/>
        </w:rPr>
        <w:t xml:space="preserve"> S1</w:t>
      </w:r>
      <w:r w:rsidR="008C631E">
        <w:rPr>
          <w:b/>
          <w:sz w:val="20"/>
          <w:szCs w:val="22"/>
        </w:rPr>
        <w:t>2</w:t>
      </w:r>
      <w:r w:rsidRPr="008C631E">
        <w:rPr>
          <w:b/>
          <w:sz w:val="20"/>
          <w:szCs w:val="22"/>
        </w:rPr>
        <w:t>.</w:t>
      </w:r>
      <w:r w:rsidRPr="008C631E">
        <w:rPr>
          <w:bCs/>
          <w:sz w:val="20"/>
          <w:szCs w:val="22"/>
        </w:rPr>
        <w:t xml:space="preserve"> </w:t>
      </w:r>
      <w:r w:rsidR="0007532C" w:rsidRPr="008C631E">
        <w:rPr>
          <w:bCs/>
          <w:sz w:val="20"/>
          <w:szCs w:val="22"/>
        </w:rPr>
        <w:t>Forest plot showing the prevalence of research articles/scientific journals as a source of information on monkeypox virus infection.</w:t>
      </w:r>
    </w:p>
    <w:p w14:paraId="6E0938EA" w14:textId="49470091" w:rsidR="00A1303F" w:rsidRPr="008C631E" w:rsidRDefault="00A1303F" w:rsidP="00AE155D">
      <w:pPr>
        <w:pStyle w:val="MDPI62BackMatter"/>
        <w:numPr>
          <w:ilvl w:val="0"/>
          <w:numId w:val="25"/>
        </w:numPr>
        <w:rPr>
          <w:bCs/>
          <w:sz w:val="20"/>
          <w:szCs w:val="22"/>
        </w:rPr>
      </w:pPr>
      <w:r w:rsidRPr="008C631E">
        <w:rPr>
          <w:b/>
          <w:sz w:val="20"/>
          <w:szCs w:val="22"/>
        </w:rPr>
        <w:t>Figure S1</w:t>
      </w:r>
      <w:r w:rsidR="008C631E">
        <w:rPr>
          <w:b/>
          <w:sz w:val="20"/>
          <w:szCs w:val="22"/>
        </w:rPr>
        <w:t>3</w:t>
      </w:r>
      <w:r w:rsidRPr="008C631E">
        <w:rPr>
          <w:b/>
          <w:sz w:val="20"/>
          <w:szCs w:val="22"/>
        </w:rPr>
        <w:t>.</w:t>
      </w:r>
      <w:r w:rsidRPr="008C631E">
        <w:rPr>
          <w:bCs/>
          <w:sz w:val="20"/>
          <w:szCs w:val="22"/>
        </w:rPr>
        <w:t xml:space="preserve"> Graphical representation of the prevalence of information sources in social networks about monkeypox virus among study participants.</w:t>
      </w:r>
    </w:p>
    <w:p w14:paraId="39A72BC8" w14:textId="0EC30278" w:rsidR="007A628B" w:rsidRPr="008C631E" w:rsidRDefault="007A628B" w:rsidP="00AE155D">
      <w:pPr>
        <w:pStyle w:val="MDPI62BackMatter"/>
        <w:numPr>
          <w:ilvl w:val="0"/>
          <w:numId w:val="25"/>
        </w:numPr>
        <w:rPr>
          <w:bCs/>
          <w:sz w:val="20"/>
          <w:szCs w:val="22"/>
        </w:rPr>
      </w:pPr>
      <w:r w:rsidRPr="008C631E">
        <w:rPr>
          <w:b/>
          <w:sz w:val="20"/>
          <w:szCs w:val="22"/>
        </w:rPr>
        <w:t>Figure S1</w:t>
      </w:r>
      <w:r w:rsidR="008C631E">
        <w:rPr>
          <w:b/>
          <w:sz w:val="20"/>
          <w:szCs w:val="22"/>
        </w:rPr>
        <w:t>4</w:t>
      </w:r>
      <w:r w:rsidRPr="008C631E">
        <w:rPr>
          <w:b/>
          <w:sz w:val="20"/>
          <w:szCs w:val="22"/>
        </w:rPr>
        <w:t>.</w:t>
      </w:r>
      <w:r w:rsidRPr="008C631E">
        <w:rPr>
          <w:bCs/>
          <w:sz w:val="20"/>
          <w:szCs w:val="22"/>
        </w:rPr>
        <w:t xml:space="preserve"> Graphical representation of the prevalence of information sources in television about monkeypox virus among study participants.</w:t>
      </w:r>
    </w:p>
    <w:p w14:paraId="37543747" w14:textId="133E0CC3" w:rsidR="007A628B" w:rsidRPr="008C631E" w:rsidRDefault="00216219" w:rsidP="00AE155D">
      <w:pPr>
        <w:pStyle w:val="MDPI62BackMatter"/>
        <w:numPr>
          <w:ilvl w:val="0"/>
          <w:numId w:val="25"/>
        </w:numPr>
        <w:rPr>
          <w:bCs/>
          <w:sz w:val="20"/>
          <w:szCs w:val="22"/>
        </w:rPr>
      </w:pPr>
      <w:r w:rsidRPr="008C631E">
        <w:rPr>
          <w:b/>
          <w:sz w:val="20"/>
          <w:szCs w:val="22"/>
        </w:rPr>
        <w:t>Figure S1</w:t>
      </w:r>
      <w:r w:rsidR="008C631E">
        <w:rPr>
          <w:b/>
          <w:sz w:val="20"/>
          <w:szCs w:val="22"/>
        </w:rPr>
        <w:t>5</w:t>
      </w:r>
      <w:r w:rsidRPr="008C631E">
        <w:rPr>
          <w:b/>
          <w:sz w:val="20"/>
          <w:szCs w:val="22"/>
        </w:rPr>
        <w:t>.</w:t>
      </w:r>
      <w:r w:rsidRPr="008C631E">
        <w:rPr>
          <w:bCs/>
          <w:sz w:val="20"/>
          <w:szCs w:val="22"/>
        </w:rPr>
        <w:t xml:space="preserve"> Graphical representation of the prevalence of information sources in newspapers about monkeypox virus among study participants.</w:t>
      </w:r>
    </w:p>
    <w:p w14:paraId="78AF72FF" w14:textId="12FA4590" w:rsidR="00216219" w:rsidRPr="008C631E" w:rsidRDefault="00070F32" w:rsidP="00AE155D">
      <w:pPr>
        <w:pStyle w:val="MDPI62BackMatter"/>
        <w:numPr>
          <w:ilvl w:val="0"/>
          <w:numId w:val="25"/>
        </w:numPr>
        <w:rPr>
          <w:bCs/>
          <w:sz w:val="20"/>
          <w:szCs w:val="22"/>
        </w:rPr>
      </w:pPr>
      <w:r w:rsidRPr="008C631E">
        <w:rPr>
          <w:b/>
          <w:sz w:val="20"/>
          <w:szCs w:val="22"/>
        </w:rPr>
        <w:t>Figure S1</w:t>
      </w:r>
      <w:r w:rsidR="008C631E">
        <w:rPr>
          <w:b/>
          <w:sz w:val="20"/>
          <w:szCs w:val="22"/>
        </w:rPr>
        <w:t>6</w:t>
      </w:r>
      <w:r w:rsidRPr="008C631E">
        <w:rPr>
          <w:b/>
          <w:sz w:val="20"/>
          <w:szCs w:val="22"/>
        </w:rPr>
        <w:t>.</w:t>
      </w:r>
      <w:r w:rsidRPr="008C631E">
        <w:rPr>
          <w:bCs/>
          <w:sz w:val="20"/>
          <w:szCs w:val="22"/>
        </w:rPr>
        <w:t xml:space="preserve"> Graphical representation of the prevalence of information sources in Friends/Family about monkeypox virus among study participants.</w:t>
      </w:r>
    </w:p>
    <w:p w14:paraId="2533413F" w14:textId="361DF216" w:rsidR="00070F32" w:rsidRPr="008C631E" w:rsidRDefault="000C0606" w:rsidP="00AE155D">
      <w:pPr>
        <w:pStyle w:val="MDPI62BackMatter"/>
        <w:numPr>
          <w:ilvl w:val="0"/>
          <w:numId w:val="25"/>
        </w:numPr>
        <w:rPr>
          <w:bCs/>
          <w:sz w:val="20"/>
          <w:szCs w:val="22"/>
        </w:rPr>
      </w:pPr>
      <w:r w:rsidRPr="008C631E">
        <w:rPr>
          <w:b/>
          <w:sz w:val="20"/>
          <w:szCs w:val="22"/>
        </w:rPr>
        <w:t>Figure S1</w:t>
      </w:r>
      <w:r w:rsidR="008C631E">
        <w:rPr>
          <w:b/>
          <w:sz w:val="20"/>
          <w:szCs w:val="22"/>
        </w:rPr>
        <w:t>7</w:t>
      </w:r>
      <w:r w:rsidRPr="008C631E">
        <w:rPr>
          <w:bCs/>
          <w:sz w:val="20"/>
          <w:szCs w:val="22"/>
        </w:rPr>
        <w:t>. Graphical representation of the prevalence of information sources in Research articles/ Scientific journals about monkeypox virus among study participants.</w:t>
      </w:r>
    </w:p>
    <w:p w14:paraId="19274D41" w14:textId="1EBD1981" w:rsidR="00123558" w:rsidRDefault="00B65085" w:rsidP="008535D2">
      <w:pPr>
        <w:pStyle w:val="MDPI62BackMatter"/>
        <w:numPr>
          <w:ilvl w:val="0"/>
          <w:numId w:val="25"/>
        </w:numPr>
        <w:rPr>
          <w:b/>
          <w:sz w:val="20"/>
          <w:szCs w:val="22"/>
        </w:rPr>
      </w:pPr>
      <w:r w:rsidRPr="008C631E">
        <w:rPr>
          <w:b/>
          <w:sz w:val="20"/>
          <w:szCs w:val="22"/>
        </w:rPr>
        <w:t>References</w:t>
      </w:r>
    </w:p>
    <w:p w14:paraId="74E76CCD" w14:textId="77777777" w:rsidR="00682CA3" w:rsidRPr="008C631E" w:rsidRDefault="00682CA3" w:rsidP="00682CA3">
      <w:pPr>
        <w:pStyle w:val="MDPI62BackMatter"/>
        <w:ind w:left="720"/>
        <w:rPr>
          <w:b/>
          <w:sz w:val="20"/>
          <w:szCs w:val="22"/>
        </w:rPr>
      </w:pPr>
    </w:p>
    <w:p w14:paraId="49605D49" w14:textId="63B4D343" w:rsidR="008535D2" w:rsidRPr="00EB38E1" w:rsidRDefault="001F7EED" w:rsidP="008535D2">
      <w:pPr>
        <w:pStyle w:val="MDPI62BackMatter"/>
        <w:ind w:left="0"/>
        <w:rPr>
          <w:bCs/>
          <w:sz w:val="22"/>
          <w:szCs w:val="24"/>
        </w:rPr>
      </w:pPr>
      <w:r w:rsidRPr="00EB38E1">
        <w:rPr>
          <w:b/>
          <w:sz w:val="22"/>
          <w:szCs w:val="24"/>
        </w:rPr>
        <w:lastRenderedPageBreak/>
        <w:t xml:space="preserve">Table </w:t>
      </w:r>
      <w:r w:rsidR="008535D2" w:rsidRPr="00EB38E1">
        <w:rPr>
          <w:b/>
          <w:sz w:val="22"/>
          <w:szCs w:val="24"/>
        </w:rPr>
        <w:t>S1</w:t>
      </w:r>
      <w:r w:rsidRPr="00EB38E1">
        <w:rPr>
          <w:b/>
          <w:sz w:val="22"/>
          <w:szCs w:val="24"/>
        </w:rPr>
        <w:t>.</w:t>
      </w:r>
      <w:r w:rsidR="008535D2" w:rsidRPr="00EB38E1">
        <w:rPr>
          <w:b/>
          <w:sz w:val="22"/>
          <w:szCs w:val="24"/>
        </w:rPr>
        <w:t xml:space="preserve"> PRISMA Checklist</w:t>
      </w:r>
      <w:r w:rsidR="008535D2" w:rsidRPr="00EB38E1">
        <w:rPr>
          <w:bCs/>
          <w:sz w:val="22"/>
          <w:szCs w:val="24"/>
        </w:rPr>
        <w:t xml:space="preserve"> (PRISMA 2020 Main Checklist and PRIMSA Abstract Checklist)</w:t>
      </w:r>
    </w:p>
    <w:p w14:paraId="19DC4CF1" w14:textId="77777777" w:rsidR="002F50C4" w:rsidRPr="00D022DD" w:rsidRDefault="002F50C4" w:rsidP="002F50C4">
      <w:pPr>
        <w:pStyle w:val="Ttulo1"/>
        <w:rPr>
          <w:rFonts w:ascii="Times New Roman" w:hAnsi="Times New Roman" w:cs="Times New Roman"/>
          <w:sz w:val="24"/>
          <w:szCs w:val="24"/>
        </w:rPr>
      </w:pPr>
      <w:bookmarkStart w:id="1" w:name="prisma-2020-main-checklist"/>
      <w:r w:rsidRPr="00D022DD">
        <w:rPr>
          <w:rFonts w:ascii="Times New Roman" w:hAnsi="Times New Roman" w:cs="Times New Roman"/>
          <w:sz w:val="24"/>
          <w:szCs w:val="24"/>
        </w:rPr>
        <w:t>PRISMA 2020 Main Checklist</w:t>
      </w:r>
    </w:p>
    <w:tbl>
      <w:tblPr>
        <w:tblW w:w="0" w:type="auto"/>
        <w:jc w:val="center"/>
        <w:tblLook w:val="0420" w:firstRow="1" w:lastRow="0" w:firstColumn="0" w:lastColumn="0" w:noHBand="0" w:noVBand="1"/>
      </w:tblPr>
      <w:tblGrid>
        <w:gridCol w:w="1984"/>
        <w:gridCol w:w="470"/>
        <w:gridCol w:w="4847"/>
        <w:gridCol w:w="1183"/>
      </w:tblGrid>
      <w:tr w:rsidR="002F50C4" w:rsidRPr="00D022DD" w14:paraId="04994FC7" w14:textId="77777777" w:rsidTr="00156A0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338079B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2C9415B"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DDD39E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B02C70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b/>
                <w:color w:val="FFFFFF"/>
                <w:sz w:val="18"/>
                <w:szCs w:val="18"/>
              </w:rPr>
              <w:t>Location where item is reported</w:t>
            </w:r>
          </w:p>
        </w:tc>
      </w:tr>
      <w:tr w:rsidR="002F50C4" w:rsidRPr="00D022DD" w14:paraId="4436B570"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89633A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TITLE</w:t>
            </w:r>
          </w:p>
        </w:tc>
        <w:tc>
          <w:tcPr>
            <w:tcW w:w="0" w:type="auto"/>
            <w:shd w:val="clear" w:color="auto" w:fill="FFFFCC"/>
            <w:tcMar>
              <w:top w:w="0" w:type="dxa"/>
              <w:left w:w="0" w:type="dxa"/>
              <w:bottom w:w="0" w:type="dxa"/>
              <w:right w:w="0" w:type="dxa"/>
            </w:tcMar>
          </w:tcPr>
          <w:p w14:paraId="05493809"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64F76FFC"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038FF1AA"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6F742CD5"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1DB69C0"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Title</w:t>
            </w:r>
          </w:p>
        </w:tc>
        <w:tc>
          <w:tcPr>
            <w:tcW w:w="0" w:type="auto"/>
            <w:shd w:val="clear" w:color="auto" w:fill="FFFFFF"/>
            <w:tcMar>
              <w:top w:w="0" w:type="dxa"/>
              <w:left w:w="0" w:type="dxa"/>
              <w:bottom w:w="0" w:type="dxa"/>
              <w:right w:w="0" w:type="dxa"/>
            </w:tcMar>
          </w:tcPr>
          <w:p w14:paraId="597498FB"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w:t>
            </w:r>
          </w:p>
        </w:tc>
        <w:tc>
          <w:tcPr>
            <w:tcW w:w="0" w:type="auto"/>
            <w:shd w:val="clear" w:color="auto" w:fill="FFFFFF"/>
            <w:tcMar>
              <w:top w:w="0" w:type="dxa"/>
              <w:left w:w="0" w:type="dxa"/>
              <w:bottom w:w="0" w:type="dxa"/>
              <w:right w:w="0" w:type="dxa"/>
            </w:tcMar>
          </w:tcPr>
          <w:p w14:paraId="691DB1C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333ABD1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w:t>
            </w:r>
          </w:p>
        </w:tc>
      </w:tr>
      <w:tr w:rsidR="002F50C4" w:rsidRPr="00D022DD" w14:paraId="0E88D079"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6E8EAA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ABSTRACT</w:t>
            </w:r>
          </w:p>
        </w:tc>
        <w:tc>
          <w:tcPr>
            <w:tcW w:w="0" w:type="auto"/>
            <w:shd w:val="clear" w:color="auto" w:fill="FFFFCC"/>
            <w:tcMar>
              <w:top w:w="0" w:type="dxa"/>
              <w:left w:w="0" w:type="dxa"/>
              <w:bottom w:w="0" w:type="dxa"/>
              <w:right w:w="0" w:type="dxa"/>
            </w:tcMar>
          </w:tcPr>
          <w:p w14:paraId="407EEB80"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601D5761"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60AE01D2"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75B29FEB"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B27D1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Abstract</w:t>
            </w:r>
          </w:p>
        </w:tc>
        <w:tc>
          <w:tcPr>
            <w:tcW w:w="0" w:type="auto"/>
            <w:shd w:val="clear" w:color="auto" w:fill="FFFFFF"/>
            <w:tcMar>
              <w:top w:w="0" w:type="dxa"/>
              <w:left w:w="0" w:type="dxa"/>
              <w:bottom w:w="0" w:type="dxa"/>
              <w:right w:w="0" w:type="dxa"/>
            </w:tcMar>
          </w:tcPr>
          <w:p w14:paraId="27767C2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w:t>
            </w:r>
          </w:p>
        </w:tc>
        <w:tc>
          <w:tcPr>
            <w:tcW w:w="0" w:type="auto"/>
            <w:shd w:val="clear" w:color="auto" w:fill="FFFFFF"/>
            <w:tcMar>
              <w:top w:w="0" w:type="dxa"/>
              <w:left w:w="0" w:type="dxa"/>
              <w:bottom w:w="0" w:type="dxa"/>
              <w:right w:w="0" w:type="dxa"/>
            </w:tcMar>
          </w:tcPr>
          <w:p w14:paraId="0784D97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0E97EED8"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4E61CA82"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0ADF733"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INTRODUCTION</w:t>
            </w:r>
          </w:p>
        </w:tc>
        <w:tc>
          <w:tcPr>
            <w:tcW w:w="0" w:type="auto"/>
            <w:shd w:val="clear" w:color="auto" w:fill="FFFFCC"/>
            <w:tcMar>
              <w:top w:w="0" w:type="dxa"/>
              <w:left w:w="0" w:type="dxa"/>
              <w:bottom w:w="0" w:type="dxa"/>
              <w:right w:w="0" w:type="dxa"/>
            </w:tcMar>
          </w:tcPr>
          <w:p w14:paraId="0CF1510C"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20BEF3F5"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58A1B320"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0080D0A9"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8A2CF0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Rationale</w:t>
            </w:r>
          </w:p>
        </w:tc>
        <w:tc>
          <w:tcPr>
            <w:tcW w:w="0" w:type="auto"/>
            <w:shd w:val="clear" w:color="auto" w:fill="FFFFFF"/>
            <w:tcMar>
              <w:top w:w="0" w:type="dxa"/>
              <w:left w:w="0" w:type="dxa"/>
              <w:bottom w:w="0" w:type="dxa"/>
              <w:right w:w="0" w:type="dxa"/>
            </w:tcMar>
          </w:tcPr>
          <w:p w14:paraId="38EDAF7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3</w:t>
            </w:r>
          </w:p>
        </w:tc>
        <w:tc>
          <w:tcPr>
            <w:tcW w:w="0" w:type="auto"/>
            <w:shd w:val="clear" w:color="auto" w:fill="FFFFFF"/>
            <w:tcMar>
              <w:top w:w="0" w:type="dxa"/>
              <w:left w:w="0" w:type="dxa"/>
              <w:bottom w:w="0" w:type="dxa"/>
              <w:right w:w="0" w:type="dxa"/>
            </w:tcMar>
          </w:tcPr>
          <w:p w14:paraId="1171333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EC757D1"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3</w:t>
            </w:r>
          </w:p>
        </w:tc>
      </w:tr>
      <w:tr w:rsidR="002F50C4" w:rsidRPr="00D022DD" w14:paraId="0093B162"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D18DC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Objectives</w:t>
            </w:r>
          </w:p>
        </w:tc>
        <w:tc>
          <w:tcPr>
            <w:tcW w:w="0" w:type="auto"/>
            <w:shd w:val="clear" w:color="auto" w:fill="FFFFFF"/>
            <w:tcMar>
              <w:top w:w="0" w:type="dxa"/>
              <w:left w:w="0" w:type="dxa"/>
              <w:bottom w:w="0" w:type="dxa"/>
              <w:right w:w="0" w:type="dxa"/>
            </w:tcMar>
          </w:tcPr>
          <w:p w14:paraId="4A39EA55"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c>
          <w:tcPr>
            <w:tcW w:w="0" w:type="auto"/>
            <w:shd w:val="clear" w:color="auto" w:fill="FFFFFF"/>
            <w:tcMar>
              <w:top w:w="0" w:type="dxa"/>
              <w:left w:w="0" w:type="dxa"/>
              <w:bottom w:w="0" w:type="dxa"/>
              <w:right w:w="0" w:type="dxa"/>
            </w:tcMar>
          </w:tcPr>
          <w:p w14:paraId="2ADFA3A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609649A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r>
      <w:tr w:rsidR="002F50C4" w:rsidRPr="00D022DD" w14:paraId="696E648B"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D08B4C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METHODS</w:t>
            </w:r>
          </w:p>
        </w:tc>
        <w:tc>
          <w:tcPr>
            <w:tcW w:w="0" w:type="auto"/>
            <w:shd w:val="clear" w:color="auto" w:fill="FFFFCC"/>
            <w:tcMar>
              <w:top w:w="0" w:type="dxa"/>
              <w:left w:w="0" w:type="dxa"/>
              <w:bottom w:w="0" w:type="dxa"/>
              <w:right w:w="0" w:type="dxa"/>
            </w:tcMar>
          </w:tcPr>
          <w:p w14:paraId="120CD8CB"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11E5AB28"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32E3D4FB"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6739D9A0"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B140DA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Eligibility criteria</w:t>
            </w:r>
          </w:p>
        </w:tc>
        <w:tc>
          <w:tcPr>
            <w:tcW w:w="0" w:type="auto"/>
            <w:shd w:val="clear" w:color="auto" w:fill="FFFFFF"/>
            <w:tcMar>
              <w:top w:w="0" w:type="dxa"/>
              <w:left w:w="0" w:type="dxa"/>
              <w:bottom w:w="0" w:type="dxa"/>
              <w:right w:w="0" w:type="dxa"/>
            </w:tcMar>
          </w:tcPr>
          <w:p w14:paraId="5B5C7B6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5</w:t>
            </w:r>
          </w:p>
        </w:tc>
        <w:tc>
          <w:tcPr>
            <w:tcW w:w="0" w:type="auto"/>
            <w:shd w:val="clear" w:color="auto" w:fill="FFFFFF"/>
            <w:tcMar>
              <w:top w:w="0" w:type="dxa"/>
              <w:left w:w="0" w:type="dxa"/>
              <w:bottom w:w="0" w:type="dxa"/>
              <w:right w:w="0" w:type="dxa"/>
            </w:tcMar>
          </w:tcPr>
          <w:p w14:paraId="05F655E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649C5E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r>
      <w:tr w:rsidR="002F50C4" w:rsidRPr="00D022DD" w14:paraId="5F1E2474"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5EBD7F"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Information sources</w:t>
            </w:r>
          </w:p>
        </w:tc>
        <w:tc>
          <w:tcPr>
            <w:tcW w:w="0" w:type="auto"/>
            <w:shd w:val="clear" w:color="auto" w:fill="FFFFFF"/>
            <w:tcMar>
              <w:top w:w="0" w:type="dxa"/>
              <w:left w:w="0" w:type="dxa"/>
              <w:bottom w:w="0" w:type="dxa"/>
              <w:right w:w="0" w:type="dxa"/>
            </w:tcMar>
          </w:tcPr>
          <w:p w14:paraId="1A9879F8"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c>
          <w:tcPr>
            <w:tcW w:w="0" w:type="auto"/>
            <w:shd w:val="clear" w:color="auto" w:fill="FFFFFF"/>
            <w:tcMar>
              <w:top w:w="0" w:type="dxa"/>
              <w:left w:w="0" w:type="dxa"/>
              <w:bottom w:w="0" w:type="dxa"/>
              <w:right w:w="0" w:type="dxa"/>
            </w:tcMar>
          </w:tcPr>
          <w:p w14:paraId="668BE7D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204A57F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r>
      <w:tr w:rsidR="002F50C4" w:rsidRPr="00D022DD" w14:paraId="59C7579E"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69620A"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Search strategy</w:t>
            </w:r>
          </w:p>
        </w:tc>
        <w:tc>
          <w:tcPr>
            <w:tcW w:w="0" w:type="auto"/>
            <w:shd w:val="clear" w:color="auto" w:fill="FFFFFF"/>
            <w:tcMar>
              <w:top w:w="0" w:type="dxa"/>
              <w:left w:w="0" w:type="dxa"/>
              <w:bottom w:w="0" w:type="dxa"/>
              <w:right w:w="0" w:type="dxa"/>
            </w:tcMar>
          </w:tcPr>
          <w:p w14:paraId="3FE2E2B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w:t>
            </w:r>
          </w:p>
        </w:tc>
        <w:tc>
          <w:tcPr>
            <w:tcW w:w="0" w:type="auto"/>
            <w:shd w:val="clear" w:color="auto" w:fill="FFFFFF"/>
            <w:tcMar>
              <w:top w:w="0" w:type="dxa"/>
              <w:left w:w="0" w:type="dxa"/>
              <w:bottom w:w="0" w:type="dxa"/>
              <w:right w:w="0" w:type="dxa"/>
            </w:tcMar>
          </w:tcPr>
          <w:p w14:paraId="7E1F5798"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1370645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5</w:t>
            </w:r>
          </w:p>
        </w:tc>
      </w:tr>
      <w:tr w:rsidR="002F50C4" w:rsidRPr="00D022DD" w14:paraId="5C67EB74"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7930B3"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Selection process</w:t>
            </w:r>
          </w:p>
        </w:tc>
        <w:tc>
          <w:tcPr>
            <w:tcW w:w="0" w:type="auto"/>
            <w:shd w:val="clear" w:color="auto" w:fill="FFFFFF"/>
            <w:tcMar>
              <w:top w:w="0" w:type="dxa"/>
              <w:left w:w="0" w:type="dxa"/>
              <w:bottom w:w="0" w:type="dxa"/>
              <w:right w:w="0" w:type="dxa"/>
            </w:tcMar>
          </w:tcPr>
          <w:p w14:paraId="774E16D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8</w:t>
            </w:r>
          </w:p>
        </w:tc>
        <w:tc>
          <w:tcPr>
            <w:tcW w:w="0" w:type="auto"/>
            <w:shd w:val="clear" w:color="auto" w:fill="FFFFFF"/>
            <w:tcMar>
              <w:top w:w="0" w:type="dxa"/>
              <w:left w:w="0" w:type="dxa"/>
              <w:bottom w:w="0" w:type="dxa"/>
              <w:right w:w="0" w:type="dxa"/>
            </w:tcMar>
          </w:tcPr>
          <w:p w14:paraId="09D04CA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171A0614"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5</w:t>
            </w:r>
          </w:p>
        </w:tc>
      </w:tr>
      <w:tr w:rsidR="002F50C4" w:rsidRPr="00D022DD" w14:paraId="22D5EC87"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9C0B83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Data collection process</w:t>
            </w:r>
          </w:p>
        </w:tc>
        <w:tc>
          <w:tcPr>
            <w:tcW w:w="0" w:type="auto"/>
            <w:shd w:val="clear" w:color="auto" w:fill="FFFFFF"/>
            <w:tcMar>
              <w:top w:w="0" w:type="dxa"/>
              <w:left w:w="0" w:type="dxa"/>
              <w:bottom w:w="0" w:type="dxa"/>
              <w:right w:w="0" w:type="dxa"/>
            </w:tcMar>
          </w:tcPr>
          <w:p w14:paraId="11676E6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9</w:t>
            </w:r>
          </w:p>
        </w:tc>
        <w:tc>
          <w:tcPr>
            <w:tcW w:w="0" w:type="auto"/>
            <w:shd w:val="clear" w:color="auto" w:fill="FFFFFF"/>
            <w:tcMar>
              <w:top w:w="0" w:type="dxa"/>
              <w:left w:w="0" w:type="dxa"/>
              <w:bottom w:w="0" w:type="dxa"/>
              <w:right w:w="0" w:type="dxa"/>
            </w:tcMar>
          </w:tcPr>
          <w:p w14:paraId="4803DC4E"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57278995"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5</w:t>
            </w:r>
          </w:p>
        </w:tc>
      </w:tr>
      <w:tr w:rsidR="002F50C4" w:rsidRPr="00D022DD" w14:paraId="06118AB9"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DFB0E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Data items</w:t>
            </w:r>
          </w:p>
        </w:tc>
        <w:tc>
          <w:tcPr>
            <w:tcW w:w="0" w:type="auto"/>
            <w:shd w:val="clear" w:color="auto" w:fill="FFFFFF"/>
            <w:tcMar>
              <w:top w:w="0" w:type="dxa"/>
              <w:left w:w="0" w:type="dxa"/>
              <w:bottom w:w="0" w:type="dxa"/>
              <w:right w:w="0" w:type="dxa"/>
            </w:tcMar>
          </w:tcPr>
          <w:p w14:paraId="3791D6F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10a</w:t>
            </w:r>
          </w:p>
        </w:tc>
        <w:tc>
          <w:tcPr>
            <w:tcW w:w="0" w:type="auto"/>
            <w:shd w:val="clear" w:color="auto" w:fill="FFFFFF"/>
            <w:tcMar>
              <w:top w:w="0" w:type="dxa"/>
              <w:left w:w="0" w:type="dxa"/>
              <w:bottom w:w="0" w:type="dxa"/>
              <w:right w:w="0" w:type="dxa"/>
            </w:tcMar>
          </w:tcPr>
          <w:p w14:paraId="70F1C90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06B9197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5-6</w:t>
            </w:r>
          </w:p>
        </w:tc>
      </w:tr>
      <w:tr w:rsidR="002F50C4" w:rsidRPr="00D022DD" w14:paraId="646BB6E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03950D"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2679F641"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10b</w:t>
            </w:r>
          </w:p>
        </w:tc>
        <w:tc>
          <w:tcPr>
            <w:tcW w:w="0" w:type="auto"/>
            <w:shd w:val="clear" w:color="auto" w:fill="FFFFFF"/>
            <w:tcMar>
              <w:top w:w="0" w:type="dxa"/>
              <w:left w:w="0" w:type="dxa"/>
              <w:bottom w:w="0" w:type="dxa"/>
              <w:right w:w="0" w:type="dxa"/>
            </w:tcMar>
          </w:tcPr>
          <w:p w14:paraId="2FE8EFF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164B5E4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1252CC8A"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355C81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Study risk of bias assessment</w:t>
            </w:r>
          </w:p>
        </w:tc>
        <w:tc>
          <w:tcPr>
            <w:tcW w:w="0" w:type="auto"/>
            <w:shd w:val="clear" w:color="auto" w:fill="FFFFFF"/>
            <w:tcMar>
              <w:top w:w="0" w:type="dxa"/>
              <w:left w:w="0" w:type="dxa"/>
              <w:bottom w:w="0" w:type="dxa"/>
              <w:right w:w="0" w:type="dxa"/>
            </w:tcMar>
          </w:tcPr>
          <w:p w14:paraId="5CE8F47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11</w:t>
            </w:r>
          </w:p>
        </w:tc>
        <w:tc>
          <w:tcPr>
            <w:tcW w:w="0" w:type="auto"/>
            <w:shd w:val="clear" w:color="auto" w:fill="FFFFFF"/>
            <w:tcMar>
              <w:top w:w="0" w:type="dxa"/>
              <w:left w:w="0" w:type="dxa"/>
              <w:bottom w:w="0" w:type="dxa"/>
              <w:right w:w="0" w:type="dxa"/>
            </w:tcMar>
          </w:tcPr>
          <w:p w14:paraId="6FF74D3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7D5A754B"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6EB6B33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7D7B3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Effect measures</w:t>
            </w:r>
          </w:p>
        </w:tc>
        <w:tc>
          <w:tcPr>
            <w:tcW w:w="0" w:type="auto"/>
            <w:shd w:val="clear" w:color="auto" w:fill="FFFFFF"/>
            <w:tcMar>
              <w:top w:w="0" w:type="dxa"/>
              <w:left w:w="0" w:type="dxa"/>
              <w:bottom w:w="0" w:type="dxa"/>
              <w:right w:w="0" w:type="dxa"/>
            </w:tcMar>
          </w:tcPr>
          <w:p w14:paraId="21EC9F7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12</w:t>
            </w:r>
          </w:p>
        </w:tc>
        <w:tc>
          <w:tcPr>
            <w:tcW w:w="0" w:type="auto"/>
            <w:shd w:val="clear" w:color="auto" w:fill="FFFFFF"/>
            <w:tcMar>
              <w:top w:w="0" w:type="dxa"/>
              <w:left w:w="0" w:type="dxa"/>
              <w:bottom w:w="0" w:type="dxa"/>
              <w:right w:w="0" w:type="dxa"/>
            </w:tcMar>
          </w:tcPr>
          <w:p w14:paraId="0DAF1BD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11CC8929"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1712C4E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207716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Synthesis methods</w:t>
            </w:r>
          </w:p>
        </w:tc>
        <w:tc>
          <w:tcPr>
            <w:tcW w:w="0" w:type="auto"/>
            <w:shd w:val="clear" w:color="auto" w:fill="FFFFFF"/>
            <w:tcMar>
              <w:top w:w="0" w:type="dxa"/>
              <w:left w:w="0" w:type="dxa"/>
              <w:bottom w:w="0" w:type="dxa"/>
              <w:right w:w="0" w:type="dxa"/>
            </w:tcMar>
          </w:tcPr>
          <w:p w14:paraId="229707B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13a</w:t>
            </w:r>
          </w:p>
        </w:tc>
        <w:tc>
          <w:tcPr>
            <w:tcW w:w="0" w:type="auto"/>
            <w:shd w:val="clear" w:color="auto" w:fill="FFFFFF"/>
            <w:tcMar>
              <w:top w:w="0" w:type="dxa"/>
              <w:left w:w="0" w:type="dxa"/>
              <w:bottom w:w="0" w:type="dxa"/>
              <w:right w:w="0" w:type="dxa"/>
            </w:tcMar>
          </w:tcPr>
          <w:p w14:paraId="170EC17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2C215DA8"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28AE021E"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619C291"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54A01E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13b</w:t>
            </w:r>
          </w:p>
        </w:tc>
        <w:tc>
          <w:tcPr>
            <w:tcW w:w="0" w:type="auto"/>
            <w:shd w:val="clear" w:color="auto" w:fill="FFFFFF"/>
            <w:tcMar>
              <w:top w:w="0" w:type="dxa"/>
              <w:left w:w="0" w:type="dxa"/>
              <w:bottom w:w="0" w:type="dxa"/>
              <w:right w:w="0" w:type="dxa"/>
            </w:tcMar>
          </w:tcPr>
          <w:p w14:paraId="6338C55A"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13F7E8E3"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28CA7768"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693EE79"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4306CE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13c</w:t>
            </w:r>
          </w:p>
        </w:tc>
        <w:tc>
          <w:tcPr>
            <w:tcW w:w="0" w:type="auto"/>
            <w:shd w:val="clear" w:color="auto" w:fill="FFFFFF"/>
            <w:tcMar>
              <w:top w:w="0" w:type="dxa"/>
              <w:left w:w="0" w:type="dxa"/>
              <w:bottom w:w="0" w:type="dxa"/>
              <w:right w:w="0" w:type="dxa"/>
            </w:tcMar>
          </w:tcPr>
          <w:p w14:paraId="30CF9930"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27349F28"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5325669F"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A539B42"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747821F1"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13d</w:t>
            </w:r>
          </w:p>
        </w:tc>
        <w:tc>
          <w:tcPr>
            <w:tcW w:w="0" w:type="auto"/>
            <w:shd w:val="clear" w:color="auto" w:fill="FFFFFF"/>
            <w:tcMar>
              <w:top w:w="0" w:type="dxa"/>
              <w:left w:w="0" w:type="dxa"/>
              <w:bottom w:w="0" w:type="dxa"/>
              <w:right w:w="0" w:type="dxa"/>
            </w:tcMar>
          </w:tcPr>
          <w:p w14:paraId="3FBB1B3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080F6F1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58809BCD"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CDED47A"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B8A29A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13e</w:t>
            </w:r>
          </w:p>
        </w:tc>
        <w:tc>
          <w:tcPr>
            <w:tcW w:w="0" w:type="auto"/>
            <w:shd w:val="clear" w:color="auto" w:fill="FFFFFF"/>
            <w:tcMar>
              <w:top w:w="0" w:type="dxa"/>
              <w:left w:w="0" w:type="dxa"/>
              <w:bottom w:w="0" w:type="dxa"/>
              <w:right w:w="0" w:type="dxa"/>
            </w:tcMar>
          </w:tcPr>
          <w:p w14:paraId="2E6DDE7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47FD390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4F834CDC"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8E5E967"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0737FDC5"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13f</w:t>
            </w:r>
          </w:p>
        </w:tc>
        <w:tc>
          <w:tcPr>
            <w:tcW w:w="0" w:type="auto"/>
            <w:shd w:val="clear" w:color="auto" w:fill="FFFFFF"/>
            <w:tcMar>
              <w:top w:w="0" w:type="dxa"/>
              <w:left w:w="0" w:type="dxa"/>
              <w:bottom w:w="0" w:type="dxa"/>
              <w:right w:w="0" w:type="dxa"/>
            </w:tcMar>
          </w:tcPr>
          <w:p w14:paraId="0A0F30E2"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03D2F811"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1D9585FA"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2885F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Reporting bias assessment</w:t>
            </w:r>
          </w:p>
        </w:tc>
        <w:tc>
          <w:tcPr>
            <w:tcW w:w="0" w:type="auto"/>
            <w:shd w:val="clear" w:color="auto" w:fill="FFFFFF"/>
            <w:tcMar>
              <w:top w:w="0" w:type="dxa"/>
              <w:left w:w="0" w:type="dxa"/>
              <w:bottom w:w="0" w:type="dxa"/>
              <w:right w:w="0" w:type="dxa"/>
            </w:tcMar>
          </w:tcPr>
          <w:p w14:paraId="5CA819B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14</w:t>
            </w:r>
          </w:p>
        </w:tc>
        <w:tc>
          <w:tcPr>
            <w:tcW w:w="0" w:type="auto"/>
            <w:shd w:val="clear" w:color="auto" w:fill="FFFFFF"/>
            <w:tcMar>
              <w:top w:w="0" w:type="dxa"/>
              <w:left w:w="0" w:type="dxa"/>
              <w:bottom w:w="0" w:type="dxa"/>
              <w:right w:w="0" w:type="dxa"/>
            </w:tcMar>
          </w:tcPr>
          <w:p w14:paraId="37F04CB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18BCC9C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500B5F5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41818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Certainty assessment</w:t>
            </w:r>
          </w:p>
        </w:tc>
        <w:tc>
          <w:tcPr>
            <w:tcW w:w="0" w:type="auto"/>
            <w:shd w:val="clear" w:color="auto" w:fill="FFFFFF"/>
            <w:tcMar>
              <w:top w:w="0" w:type="dxa"/>
              <w:left w:w="0" w:type="dxa"/>
              <w:bottom w:w="0" w:type="dxa"/>
              <w:right w:w="0" w:type="dxa"/>
            </w:tcMar>
          </w:tcPr>
          <w:p w14:paraId="4812798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15</w:t>
            </w:r>
          </w:p>
        </w:tc>
        <w:tc>
          <w:tcPr>
            <w:tcW w:w="0" w:type="auto"/>
            <w:shd w:val="clear" w:color="auto" w:fill="FFFFFF"/>
            <w:tcMar>
              <w:top w:w="0" w:type="dxa"/>
              <w:left w:w="0" w:type="dxa"/>
              <w:bottom w:w="0" w:type="dxa"/>
              <w:right w:w="0" w:type="dxa"/>
            </w:tcMar>
          </w:tcPr>
          <w:p w14:paraId="07CDCC7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7D2A04E9"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r>
      <w:tr w:rsidR="002F50C4" w:rsidRPr="00D022DD" w14:paraId="6A15A2FB"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F569BBF"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RESULTS</w:t>
            </w:r>
          </w:p>
        </w:tc>
        <w:tc>
          <w:tcPr>
            <w:tcW w:w="0" w:type="auto"/>
            <w:shd w:val="clear" w:color="auto" w:fill="FFFFCC"/>
            <w:tcMar>
              <w:top w:w="0" w:type="dxa"/>
              <w:left w:w="0" w:type="dxa"/>
              <w:bottom w:w="0" w:type="dxa"/>
              <w:right w:w="0" w:type="dxa"/>
            </w:tcMar>
          </w:tcPr>
          <w:p w14:paraId="18A1DF3B"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14FDA30B"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616490D8"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464C34D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B1A625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Study selection</w:t>
            </w:r>
          </w:p>
        </w:tc>
        <w:tc>
          <w:tcPr>
            <w:tcW w:w="0" w:type="auto"/>
            <w:shd w:val="clear" w:color="auto" w:fill="FFFFFF"/>
            <w:tcMar>
              <w:top w:w="0" w:type="dxa"/>
              <w:left w:w="0" w:type="dxa"/>
              <w:bottom w:w="0" w:type="dxa"/>
              <w:right w:w="0" w:type="dxa"/>
            </w:tcMar>
          </w:tcPr>
          <w:p w14:paraId="1E3B26FB"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16a</w:t>
            </w:r>
          </w:p>
        </w:tc>
        <w:tc>
          <w:tcPr>
            <w:tcW w:w="0" w:type="auto"/>
            <w:shd w:val="clear" w:color="auto" w:fill="FFFFFF"/>
            <w:tcMar>
              <w:top w:w="0" w:type="dxa"/>
              <w:left w:w="0" w:type="dxa"/>
              <w:bottom w:w="0" w:type="dxa"/>
              <w:right w:w="0" w:type="dxa"/>
            </w:tcMar>
          </w:tcPr>
          <w:p w14:paraId="5E53255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36CBDF8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w:t>
            </w:r>
          </w:p>
        </w:tc>
      </w:tr>
      <w:tr w:rsidR="002F50C4" w:rsidRPr="00D022DD" w14:paraId="3B2AF66D"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93BEF2"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311358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16b</w:t>
            </w:r>
          </w:p>
        </w:tc>
        <w:tc>
          <w:tcPr>
            <w:tcW w:w="0" w:type="auto"/>
            <w:shd w:val="clear" w:color="auto" w:fill="FFFFFF"/>
            <w:tcMar>
              <w:top w:w="0" w:type="dxa"/>
              <w:left w:w="0" w:type="dxa"/>
              <w:bottom w:w="0" w:type="dxa"/>
              <w:right w:w="0" w:type="dxa"/>
            </w:tcMar>
          </w:tcPr>
          <w:p w14:paraId="263EB623"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4EDE247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w:t>
            </w:r>
          </w:p>
        </w:tc>
      </w:tr>
      <w:tr w:rsidR="002F50C4" w:rsidRPr="00D022DD" w14:paraId="7B6020A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3C88B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lastRenderedPageBreak/>
              <w:t>Study characteristics</w:t>
            </w:r>
          </w:p>
        </w:tc>
        <w:tc>
          <w:tcPr>
            <w:tcW w:w="0" w:type="auto"/>
            <w:shd w:val="clear" w:color="auto" w:fill="FFFFFF"/>
            <w:tcMar>
              <w:top w:w="0" w:type="dxa"/>
              <w:left w:w="0" w:type="dxa"/>
              <w:bottom w:w="0" w:type="dxa"/>
              <w:right w:w="0" w:type="dxa"/>
            </w:tcMar>
          </w:tcPr>
          <w:p w14:paraId="7F55BB81"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17</w:t>
            </w:r>
          </w:p>
        </w:tc>
        <w:tc>
          <w:tcPr>
            <w:tcW w:w="0" w:type="auto"/>
            <w:shd w:val="clear" w:color="auto" w:fill="FFFFFF"/>
            <w:tcMar>
              <w:top w:w="0" w:type="dxa"/>
              <w:left w:w="0" w:type="dxa"/>
              <w:bottom w:w="0" w:type="dxa"/>
              <w:right w:w="0" w:type="dxa"/>
            </w:tcMar>
          </w:tcPr>
          <w:p w14:paraId="17073AC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0B66A1F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w:t>
            </w:r>
          </w:p>
        </w:tc>
      </w:tr>
      <w:tr w:rsidR="002F50C4" w:rsidRPr="00D022DD" w14:paraId="5FD34FB1"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D168AE"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Risk of bias in studies</w:t>
            </w:r>
          </w:p>
        </w:tc>
        <w:tc>
          <w:tcPr>
            <w:tcW w:w="0" w:type="auto"/>
            <w:shd w:val="clear" w:color="auto" w:fill="FFFFFF"/>
            <w:tcMar>
              <w:top w:w="0" w:type="dxa"/>
              <w:left w:w="0" w:type="dxa"/>
              <w:bottom w:w="0" w:type="dxa"/>
              <w:right w:w="0" w:type="dxa"/>
            </w:tcMar>
          </w:tcPr>
          <w:p w14:paraId="49A9B619"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18</w:t>
            </w:r>
          </w:p>
        </w:tc>
        <w:tc>
          <w:tcPr>
            <w:tcW w:w="0" w:type="auto"/>
            <w:shd w:val="clear" w:color="auto" w:fill="FFFFFF"/>
            <w:tcMar>
              <w:top w:w="0" w:type="dxa"/>
              <w:left w:w="0" w:type="dxa"/>
              <w:bottom w:w="0" w:type="dxa"/>
              <w:right w:w="0" w:type="dxa"/>
            </w:tcMar>
          </w:tcPr>
          <w:p w14:paraId="0EBBC39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544B178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7-8</w:t>
            </w:r>
          </w:p>
        </w:tc>
      </w:tr>
      <w:tr w:rsidR="002F50C4" w:rsidRPr="00D022DD" w14:paraId="4C2241C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8A5207A"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Results of individual studies</w:t>
            </w:r>
          </w:p>
        </w:tc>
        <w:tc>
          <w:tcPr>
            <w:tcW w:w="0" w:type="auto"/>
            <w:shd w:val="clear" w:color="auto" w:fill="FFFFFF"/>
            <w:tcMar>
              <w:top w:w="0" w:type="dxa"/>
              <w:left w:w="0" w:type="dxa"/>
              <w:bottom w:w="0" w:type="dxa"/>
              <w:right w:w="0" w:type="dxa"/>
            </w:tcMar>
          </w:tcPr>
          <w:p w14:paraId="01DBC6B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19</w:t>
            </w:r>
          </w:p>
        </w:tc>
        <w:tc>
          <w:tcPr>
            <w:tcW w:w="0" w:type="auto"/>
            <w:shd w:val="clear" w:color="auto" w:fill="FFFFFF"/>
            <w:tcMar>
              <w:top w:w="0" w:type="dxa"/>
              <w:left w:w="0" w:type="dxa"/>
              <w:bottom w:w="0" w:type="dxa"/>
              <w:right w:w="0" w:type="dxa"/>
            </w:tcMar>
          </w:tcPr>
          <w:p w14:paraId="6763C8A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7A167F65"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7-8</w:t>
            </w:r>
          </w:p>
        </w:tc>
      </w:tr>
      <w:tr w:rsidR="002F50C4" w:rsidRPr="00D022DD" w14:paraId="1D187628"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421AFA"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Results of syntheses</w:t>
            </w:r>
          </w:p>
        </w:tc>
        <w:tc>
          <w:tcPr>
            <w:tcW w:w="0" w:type="auto"/>
            <w:shd w:val="clear" w:color="auto" w:fill="FFFFFF"/>
            <w:tcMar>
              <w:top w:w="0" w:type="dxa"/>
              <w:left w:w="0" w:type="dxa"/>
              <w:bottom w:w="0" w:type="dxa"/>
              <w:right w:w="0" w:type="dxa"/>
            </w:tcMar>
          </w:tcPr>
          <w:p w14:paraId="5811BEB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20a</w:t>
            </w:r>
          </w:p>
        </w:tc>
        <w:tc>
          <w:tcPr>
            <w:tcW w:w="0" w:type="auto"/>
            <w:shd w:val="clear" w:color="auto" w:fill="FFFFFF"/>
            <w:tcMar>
              <w:top w:w="0" w:type="dxa"/>
              <w:left w:w="0" w:type="dxa"/>
              <w:bottom w:w="0" w:type="dxa"/>
              <w:right w:w="0" w:type="dxa"/>
            </w:tcMar>
          </w:tcPr>
          <w:p w14:paraId="3BCD45E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4D003C5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7-8</w:t>
            </w:r>
          </w:p>
        </w:tc>
      </w:tr>
      <w:tr w:rsidR="002F50C4" w:rsidRPr="00D022DD" w14:paraId="65FA356C"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E79A31D"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2B736D6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20b</w:t>
            </w:r>
          </w:p>
        </w:tc>
        <w:tc>
          <w:tcPr>
            <w:tcW w:w="0" w:type="auto"/>
            <w:shd w:val="clear" w:color="auto" w:fill="FFFFFF"/>
            <w:tcMar>
              <w:top w:w="0" w:type="dxa"/>
              <w:left w:w="0" w:type="dxa"/>
              <w:bottom w:w="0" w:type="dxa"/>
              <w:right w:w="0" w:type="dxa"/>
            </w:tcMar>
          </w:tcPr>
          <w:p w14:paraId="0639929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69B87F58"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7-8</w:t>
            </w:r>
          </w:p>
        </w:tc>
      </w:tr>
      <w:tr w:rsidR="002F50C4" w:rsidRPr="00D022DD" w14:paraId="088182E3"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AE06400"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1D691FD4"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20c</w:t>
            </w:r>
          </w:p>
        </w:tc>
        <w:tc>
          <w:tcPr>
            <w:tcW w:w="0" w:type="auto"/>
            <w:shd w:val="clear" w:color="auto" w:fill="FFFFFF"/>
            <w:tcMar>
              <w:top w:w="0" w:type="dxa"/>
              <w:left w:w="0" w:type="dxa"/>
              <w:bottom w:w="0" w:type="dxa"/>
              <w:right w:w="0" w:type="dxa"/>
            </w:tcMar>
          </w:tcPr>
          <w:p w14:paraId="64F6DAF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6D3AEC2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8</w:t>
            </w:r>
          </w:p>
        </w:tc>
      </w:tr>
      <w:tr w:rsidR="002F50C4" w:rsidRPr="00D022DD" w14:paraId="5F61FBD0"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B86EA4C"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31D7496A"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20d</w:t>
            </w:r>
          </w:p>
        </w:tc>
        <w:tc>
          <w:tcPr>
            <w:tcW w:w="0" w:type="auto"/>
            <w:shd w:val="clear" w:color="auto" w:fill="FFFFFF"/>
            <w:tcMar>
              <w:top w:w="0" w:type="dxa"/>
              <w:left w:w="0" w:type="dxa"/>
              <w:bottom w:w="0" w:type="dxa"/>
              <w:right w:w="0" w:type="dxa"/>
            </w:tcMar>
          </w:tcPr>
          <w:p w14:paraId="2B283F40"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420F48A0"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8</w:t>
            </w:r>
          </w:p>
        </w:tc>
      </w:tr>
      <w:tr w:rsidR="002F50C4" w:rsidRPr="00D022DD" w14:paraId="083116F0"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D0644A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Reporting biases</w:t>
            </w:r>
          </w:p>
        </w:tc>
        <w:tc>
          <w:tcPr>
            <w:tcW w:w="0" w:type="auto"/>
            <w:shd w:val="clear" w:color="auto" w:fill="FFFFFF"/>
            <w:tcMar>
              <w:top w:w="0" w:type="dxa"/>
              <w:left w:w="0" w:type="dxa"/>
              <w:bottom w:w="0" w:type="dxa"/>
              <w:right w:w="0" w:type="dxa"/>
            </w:tcMar>
          </w:tcPr>
          <w:p w14:paraId="0484E908"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21</w:t>
            </w:r>
          </w:p>
        </w:tc>
        <w:tc>
          <w:tcPr>
            <w:tcW w:w="0" w:type="auto"/>
            <w:shd w:val="clear" w:color="auto" w:fill="FFFFFF"/>
            <w:tcMar>
              <w:top w:w="0" w:type="dxa"/>
              <w:left w:w="0" w:type="dxa"/>
              <w:bottom w:w="0" w:type="dxa"/>
              <w:right w:w="0" w:type="dxa"/>
            </w:tcMar>
          </w:tcPr>
          <w:p w14:paraId="79EC7F0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00D1B59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8</w:t>
            </w:r>
          </w:p>
        </w:tc>
      </w:tr>
      <w:tr w:rsidR="002F50C4" w:rsidRPr="00D022DD" w14:paraId="150BF530"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49B2EE"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Certainty of evidence</w:t>
            </w:r>
          </w:p>
        </w:tc>
        <w:tc>
          <w:tcPr>
            <w:tcW w:w="0" w:type="auto"/>
            <w:shd w:val="clear" w:color="auto" w:fill="FFFFFF"/>
            <w:tcMar>
              <w:top w:w="0" w:type="dxa"/>
              <w:left w:w="0" w:type="dxa"/>
              <w:bottom w:w="0" w:type="dxa"/>
              <w:right w:w="0" w:type="dxa"/>
            </w:tcMar>
          </w:tcPr>
          <w:p w14:paraId="4C622D3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22</w:t>
            </w:r>
          </w:p>
        </w:tc>
        <w:tc>
          <w:tcPr>
            <w:tcW w:w="0" w:type="auto"/>
            <w:shd w:val="clear" w:color="auto" w:fill="FFFFFF"/>
            <w:tcMar>
              <w:top w:w="0" w:type="dxa"/>
              <w:left w:w="0" w:type="dxa"/>
              <w:bottom w:w="0" w:type="dxa"/>
              <w:right w:w="0" w:type="dxa"/>
            </w:tcMar>
          </w:tcPr>
          <w:p w14:paraId="6D6D638E"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189130DB"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8</w:t>
            </w:r>
          </w:p>
        </w:tc>
      </w:tr>
      <w:tr w:rsidR="002F50C4" w:rsidRPr="00D022DD" w14:paraId="074AF03A"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6C9EBB0"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DISCUSSION</w:t>
            </w:r>
          </w:p>
        </w:tc>
        <w:tc>
          <w:tcPr>
            <w:tcW w:w="0" w:type="auto"/>
            <w:shd w:val="clear" w:color="auto" w:fill="FFFFCC"/>
            <w:tcMar>
              <w:top w:w="0" w:type="dxa"/>
              <w:left w:w="0" w:type="dxa"/>
              <w:bottom w:w="0" w:type="dxa"/>
              <w:right w:w="0" w:type="dxa"/>
            </w:tcMar>
          </w:tcPr>
          <w:p w14:paraId="0B6369BA"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7FDBAD2E"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98FA8C9"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5B474B72"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0EEA64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Discussion</w:t>
            </w:r>
          </w:p>
        </w:tc>
        <w:tc>
          <w:tcPr>
            <w:tcW w:w="0" w:type="auto"/>
            <w:shd w:val="clear" w:color="auto" w:fill="FFFFFF"/>
            <w:tcMar>
              <w:top w:w="0" w:type="dxa"/>
              <w:left w:w="0" w:type="dxa"/>
              <w:bottom w:w="0" w:type="dxa"/>
              <w:right w:w="0" w:type="dxa"/>
            </w:tcMar>
          </w:tcPr>
          <w:p w14:paraId="3E6ED1E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23a</w:t>
            </w:r>
          </w:p>
        </w:tc>
        <w:tc>
          <w:tcPr>
            <w:tcW w:w="0" w:type="auto"/>
            <w:shd w:val="clear" w:color="auto" w:fill="FFFFFF"/>
            <w:tcMar>
              <w:top w:w="0" w:type="dxa"/>
              <w:left w:w="0" w:type="dxa"/>
              <w:bottom w:w="0" w:type="dxa"/>
              <w:right w:w="0" w:type="dxa"/>
            </w:tcMar>
          </w:tcPr>
          <w:p w14:paraId="3C7692E2"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2BEDC264"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9</w:t>
            </w:r>
          </w:p>
        </w:tc>
      </w:tr>
      <w:tr w:rsidR="002F50C4" w:rsidRPr="00D022DD" w14:paraId="545049B5"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9263B70"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2AC32E8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23b</w:t>
            </w:r>
          </w:p>
        </w:tc>
        <w:tc>
          <w:tcPr>
            <w:tcW w:w="0" w:type="auto"/>
            <w:shd w:val="clear" w:color="auto" w:fill="FFFFFF"/>
            <w:tcMar>
              <w:top w:w="0" w:type="dxa"/>
              <w:left w:w="0" w:type="dxa"/>
              <w:bottom w:w="0" w:type="dxa"/>
              <w:right w:w="0" w:type="dxa"/>
            </w:tcMar>
          </w:tcPr>
          <w:p w14:paraId="1CDCA7A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58190E8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9-13</w:t>
            </w:r>
          </w:p>
        </w:tc>
      </w:tr>
      <w:tr w:rsidR="002F50C4" w:rsidRPr="00D022DD" w14:paraId="2EE11616"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72882B7"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582B77C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23c</w:t>
            </w:r>
          </w:p>
        </w:tc>
        <w:tc>
          <w:tcPr>
            <w:tcW w:w="0" w:type="auto"/>
            <w:shd w:val="clear" w:color="auto" w:fill="FFFFFF"/>
            <w:tcMar>
              <w:top w:w="0" w:type="dxa"/>
              <w:left w:w="0" w:type="dxa"/>
              <w:bottom w:w="0" w:type="dxa"/>
              <w:right w:w="0" w:type="dxa"/>
            </w:tcMar>
          </w:tcPr>
          <w:p w14:paraId="169EEA3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698BAFB8"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9-13</w:t>
            </w:r>
          </w:p>
        </w:tc>
      </w:tr>
      <w:tr w:rsidR="002F50C4" w:rsidRPr="00D022DD" w14:paraId="46CF530B"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C192795"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3C102D9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23d</w:t>
            </w:r>
          </w:p>
        </w:tc>
        <w:tc>
          <w:tcPr>
            <w:tcW w:w="0" w:type="auto"/>
            <w:shd w:val="clear" w:color="auto" w:fill="FFFFFF"/>
            <w:tcMar>
              <w:top w:w="0" w:type="dxa"/>
              <w:left w:w="0" w:type="dxa"/>
              <w:bottom w:w="0" w:type="dxa"/>
              <w:right w:w="0" w:type="dxa"/>
            </w:tcMar>
          </w:tcPr>
          <w:p w14:paraId="53B19EA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602000E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14</w:t>
            </w:r>
          </w:p>
        </w:tc>
      </w:tr>
      <w:tr w:rsidR="002F50C4" w:rsidRPr="00D022DD" w14:paraId="5B803B73"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AB19E8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OTHER INFORMATION</w:t>
            </w:r>
          </w:p>
        </w:tc>
        <w:tc>
          <w:tcPr>
            <w:tcW w:w="0" w:type="auto"/>
            <w:shd w:val="clear" w:color="auto" w:fill="FFFFCC"/>
            <w:tcMar>
              <w:top w:w="0" w:type="dxa"/>
              <w:left w:w="0" w:type="dxa"/>
              <w:bottom w:w="0" w:type="dxa"/>
              <w:right w:w="0" w:type="dxa"/>
            </w:tcMar>
          </w:tcPr>
          <w:p w14:paraId="2B1B1FC5"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4A9E9F09"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4247E746"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1753124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758E8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Registration and protocol</w:t>
            </w:r>
          </w:p>
        </w:tc>
        <w:tc>
          <w:tcPr>
            <w:tcW w:w="0" w:type="auto"/>
            <w:shd w:val="clear" w:color="auto" w:fill="FFFFFF"/>
            <w:tcMar>
              <w:top w:w="0" w:type="dxa"/>
              <w:left w:w="0" w:type="dxa"/>
              <w:bottom w:w="0" w:type="dxa"/>
              <w:right w:w="0" w:type="dxa"/>
            </w:tcMar>
          </w:tcPr>
          <w:p w14:paraId="75E8E1F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24a</w:t>
            </w:r>
          </w:p>
        </w:tc>
        <w:tc>
          <w:tcPr>
            <w:tcW w:w="0" w:type="auto"/>
            <w:shd w:val="clear" w:color="auto" w:fill="FFFFFF"/>
            <w:tcMar>
              <w:top w:w="0" w:type="dxa"/>
              <w:left w:w="0" w:type="dxa"/>
              <w:bottom w:w="0" w:type="dxa"/>
              <w:right w:w="0" w:type="dxa"/>
            </w:tcMar>
          </w:tcPr>
          <w:p w14:paraId="0232EC80"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76A79D8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r>
      <w:tr w:rsidR="002F50C4" w:rsidRPr="00D022DD" w14:paraId="54781241"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8F0C3E5"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7798186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24b</w:t>
            </w:r>
          </w:p>
        </w:tc>
        <w:tc>
          <w:tcPr>
            <w:tcW w:w="0" w:type="auto"/>
            <w:shd w:val="clear" w:color="auto" w:fill="FFFFFF"/>
            <w:tcMar>
              <w:top w:w="0" w:type="dxa"/>
              <w:left w:w="0" w:type="dxa"/>
              <w:bottom w:w="0" w:type="dxa"/>
              <w:right w:w="0" w:type="dxa"/>
            </w:tcMar>
          </w:tcPr>
          <w:p w14:paraId="20EE37E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6DE3BA89"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r>
      <w:tr w:rsidR="002F50C4" w:rsidRPr="00D022DD" w14:paraId="02B7F12A"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D612474" w14:textId="77777777" w:rsidR="002F50C4" w:rsidRPr="00D022DD"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32C02BA4"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24c</w:t>
            </w:r>
          </w:p>
        </w:tc>
        <w:tc>
          <w:tcPr>
            <w:tcW w:w="0" w:type="auto"/>
            <w:shd w:val="clear" w:color="auto" w:fill="FFFFFF"/>
            <w:tcMar>
              <w:top w:w="0" w:type="dxa"/>
              <w:left w:w="0" w:type="dxa"/>
              <w:bottom w:w="0" w:type="dxa"/>
              <w:right w:w="0" w:type="dxa"/>
            </w:tcMar>
          </w:tcPr>
          <w:p w14:paraId="1157009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51BE0AFA"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r>
      <w:tr w:rsidR="002F50C4" w:rsidRPr="00D022DD" w14:paraId="662D90C4"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AB91A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Support</w:t>
            </w:r>
          </w:p>
        </w:tc>
        <w:tc>
          <w:tcPr>
            <w:tcW w:w="0" w:type="auto"/>
            <w:shd w:val="clear" w:color="auto" w:fill="FFFFFF"/>
            <w:tcMar>
              <w:top w:w="0" w:type="dxa"/>
              <w:left w:w="0" w:type="dxa"/>
              <w:bottom w:w="0" w:type="dxa"/>
              <w:right w:w="0" w:type="dxa"/>
            </w:tcMar>
          </w:tcPr>
          <w:p w14:paraId="01FF92C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25</w:t>
            </w:r>
          </w:p>
        </w:tc>
        <w:tc>
          <w:tcPr>
            <w:tcW w:w="0" w:type="auto"/>
            <w:shd w:val="clear" w:color="auto" w:fill="FFFFFF"/>
            <w:tcMar>
              <w:top w:w="0" w:type="dxa"/>
              <w:left w:w="0" w:type="dxa"/>
              <w:bottom w:w="0" w:type="dxa"/>
              <w:right w:w="0" w:type="dxa"/>
            </w:tcMar>
          </w:tcPr>
          <w:p w14:paraId="44ADD3D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5BA50E9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16</w:t>
            </w:r>
          </w:p>
        </w:tc>
      </w:tr>
      <w:tr w:rsidR="002F50C4" w:rsidRPr="00D022DD" w14:paraId="1BBCB87C"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17AE3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Competing interests</w:t>
            </w:r>
          </w:p>
        </w:tc>
        <w:tc>
          <w:tcPr>
            <w:tcW w:w="0" w:type="auto"/>
            <w:shd w:val="clear" w:color="auto" w:fill="FFFFFF"/>
            <w:tcMar>
              <w:top w:w="0" w:type="dxa"/>
              <w:left w:w="0" w:type="dxa"/>
              <w:bottom w:w="0" w:type="dxa"/>
              <w:right w:w="0" w:type="dxa"/>
            </w:tcMar>
          </w:tcPr>
          <w:p w14:paraId="1082FC8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26</w:t>
            </w:r>
          </w:p>
        </w:tc>
        <w:tc>
          <w:tcPr>
            <w:tcW w:w="0" w:type="auto"/>
            <w:shd w:val="clear" w:color="auto" w:fill="FFFFFF"/>
            <w:tcMar>
              <w:top w:w="0" w:type="dxa"/>
              <w:left w:w="0" w:type="dxa"/>
              <w:bottom w:w="0" w:type="dxa"/>
              <w:right w:w="0" w:type="dxa"/>
            </w:tcMar>
          </w:tcPr>
          <w:p w14:paraId="0C1E6F6F"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06A5A52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16</w:t>
            </w:r>
          </w:p>
        </w:tc>
      </w:tr>
      <w:tr w:rsidR="002F50C4" w:rsidRPr="00D022DD" w14:paraId="6AB50C70" w14:textId="77777777" w:rsidTr="00156A0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1FE2A3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7EA555AA"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27D45FF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972F88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16</w:t>
            </w:r>
          </w:p>
        </w:tc>
      </w:tr>
    </w:tbl>
    <w:p w14:paraId="3EAB03C6" w14:textId="77777777" w:rsidR="002F50C4" w:rsidRPr="00D022DD" w:rsidRDefault="002F50C4" w:rsidP="002F50C4">
      <w:pPr>
        <w:pStyle w:val="Ttulo5"/>
        <w:rPr>
          <w:rFonts w:ascii="Times New Roman" w:hAnsi="Times New Roman" w:cs="Times New Roman"/>
        </w:rPr>
      </w:pPr>
      <w:bookmarkStart w:id="2" w:name="section"/>
    </w:p>
    <w:p w14:paraId="41BC89AA" w14:textId="77777777" w:rsidR="002F50C4" w:rsidRPr="00D022DD" w:rsidRDefault="002F50C4" w:rsidP="002F50C4">
      <w:pPr>
        <w:pStyle w:val="Ttulo1"/>
        <w:rPr>
          <w:rFonts w:ascii="Times New Roman" w:hAnsi="Times New Roman" w:cs="Times New Roman"/>
          <w:sz w:val="24"/>
          <w:szCs w:val="24"/>
        </w:rPr>
      </w:pPr>
      <w:bookmarkStart w:id="3" w:name="primsa-abstract-checklist"/>
      <w:bookmarkEnd w:id="1"/>
      <w:bookmarkEnd w:id="2"/>
      <w:r w:rsidRPr="00D022DD">
        <w:rPr>
          <w:rFonts w:ascii="Times New Roman" w:hAnsi="Times New Roman" w:cs="Times New Roman"/>
          <w:sz w:val="24"/>
          <w:szCs w:val="24"/>
        </w:rPr>
        <w:t>PRIMSA Abstract Checklist</w:t>
      </w:r>
    </w:p>
    <w:tbl>
      <w:tblPr>
        <w:tblW w:w="0" w:type="auto"/>
        <w:jc w:val="center"/>
        <w:tblLook w:val="0420" w:firstRow="1" w:lastRow="0" w:firstColumn="0" w:lastColumn="0" w:noHBand="0" w:noVBand="1"/>
      </w:tblPr>
      <w:tblGrid>
        <w:gridCol w:w="1621"/>
        <w:gridCol w:w="465"/>
        <w:gridCol w:w="5378"/>
        <w:gridCol w:w="1020"/>
      </w:tblGrid>
      <w:tr w:rsidR="002F50C4" w:rsidRPr="00D022DD" w14:paraId="0DAFF207" w14:textId="77777777" w:rsidTr="00156A0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78FA043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A809A6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2B14FE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752C72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b/>
                <w:color w:val="FFFFFF"/>
                <w:sz w:val="18"/>
                <w:szCs w:val="18"/>
              </w:rPr>
              <w:t>Reported?</w:t>
            </w:r>
          </w:p>
        </w:tc>
      </w:tr>
      <w:tr w:rsidR="002F50C4" w:rsidRPr="00D022DD" w14:paraId="4DC047EB"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1E4A08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TITLE</w:t>
            </w:r>
          </w:p>
        </w:tc>
        <w:tc>
          <w:tcPr>
            <w:tcW w:w="0" w:type="auto"/>
            <w:shd w:val="clear" w:color="auto" w:fill="FFFFCC"/>
            <w:tcMar>
              <w:top w:w="0" w:type="dxa"/>
              <w:left w:w="0" w:type="dxa"/>
              <w:bottom w:w="0" w:type="dxa"/>
              <w:right w:w="0" w:type="dxa"/>
            </w:tcMar>
          </w:tcPr>
          <w:p w14:paraId="2AEE43EA"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11B033B0"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FBBABF3"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74A4E0BD"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93D683"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Title</w:t>
            </w:r>
          </w:p>
        </w:tc>
        <w:tc>
          <w:tcPr>
            <w:tcW w:w="0" w:type="auto"/>
            <w:shd w:val="clear" w:color="auto" w:fill="FFFFFF"/>
            <w:tcMar>
              <w:top w:w="0" w:type="dxa"/>
              <w:left w:w="0" w:type="dxa"/>
              <w:bottom w:w="0" w:type="dxa"/>
              <w:right w:w="0" w:type="dxa"/>
            </w:tcMar>
          </w:tcPr>
          <w:p w14:paraId="16995F1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w:t>
            </w:r>
          </w:p>
        </w:tc>
        <w:tc>
          <w:tcPr>
            <w:tcW w:w="0" w:type="auto"/>
            <w:shd w:val="clear" w:color="auto" w:fill="FFFFFF"/>
            <w:tcMar>
              <w:top w:w="0" w:type="dxa"/>
              <w:left w:w="0" w:type="dxa"/>
              <w:bottom w:w="0" w:type="dxa"/>
              <w:right w:w="0" w:type="dxa"/>
            </w:tcMar>
          </w:tcPr>
          <w:p w14:paraId="14E2E19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EF4E93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09814136"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44E9E1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BACKGROUND</w:t>
            </w:r>
          </w:p>
        </w:tc>
        <w:tc>
          <w:tcPr>
            <w:tcW w:w="0" w:type="auto"/>
            <w:shd w:val="clear" w:color="auto" w:fill="FFFFCC"/>
            <w:tcMar>
              <w:top w:w="0" w:type="dxa"/>
              <w:left w:w="0" w:type="dxa"/>
              <w:bottom w:w="0" w:type="dxa"/>
              <w:right w:w="0" w:type="dxa"/>
            </w:tcMar>
          </w:tcPr>
          <w:p w14:paraId="07145DEF"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3364517F"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A974D67"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6BF8DB28"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EAF717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Objectives</w:t>
            </w:r>
          </w:p>
        </w:tc>
        <w:tc>
          <w:tcPr>
            <w:tcW w:w="0" w:type="auto"/>
            <w:shd w:val="clear" w:color="auto" w:fill="FFFFFF"/>
            <w:tcMar>
              <w:top w:w="0" w:type="dxa"/>
              <w:left w:w="0" w:type="dxa"/>
              <w:bottom w:w="0" w:type="dxa"/>
              <w:right w:w="0" w:type="dxa"/>
            </w:tcMar>
          </w:tcPr>
          <w:p w14:paraId="6BA08239"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2</w:t>
            </w:r>
          </w:p>
        </w:tc>
        <w:tc>
          <w:tcPr>
            <w:tcW w:w="0" w:type="auto"/>
            <w:shd w:val="clear" w:color="auto" w:fill="FFFFFF"/>
            <w:tcMar>
              <w:top w:w="0" w:type="dxa"/>
              <w:left w:w="0" w:type="dxa"/>
              <w:bottom w:w="0" w:type="dxa"/>
              <w:right w:w="0" w:type="dxa"/>
            </w:tcMar>
          </w:tcPr>
          <w:p w14:paraId="07B0B40E"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20F82D91"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4E631055"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4FC724F"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METHODS</w:t>
            </w:r>
          </w:p>
        </w:tc>
        <w:tc>
          <w:tcPr>
            <w:tcW w:w="0" w:type="auto"/>
            <w:shd w:val="clear" w:color="auto" w:fill="FFFFCC"/>
            <w:tcMar>
              <w:top w:w="0" w:type="dxa"/>
              <w:left w:w="0" w:type="dxa"/>
              <w:bottom w:w="0" w:type="dxa"/>
              <w:right w:w="0" w:type="dxa"/>
            </w:tcMar>
          </w:tcPr>
          <w:p w14:paraId="23BA2661"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375F1D5F"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56F69FF3"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65C9B945"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9766BAA"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Eligibility criteria</w:t>
            </w:r>
          </w:p>
        </w:tc>
        <w:tc>
          <w:tcPr>
            <w:tcW w:w="0" w:type="auto"/>
            <w:shd w:val="clear" w:color="auto" w:fill="FFFFFF"/>
            <w:tcMar>
              <w:top w:w="0" w:type="dxa"/>
              <w:left w:w="0" w:type="dxa"/>
              <w:bottom w:w="0" w:type="dxa"/>
              <w:right w:w="0" w:type="dxa"/>
            </w:tcMar>
          </w:tcPr>
          <w:p w14:paraId="5F0D29FA"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3</w:t>
            </w:r>
          </w:p>
        </w:tc>
        <w:tc>
          <w:tcPr>
            <w:tcW w:w="0" w:type="auto"/>
            <w:shd w:val="clear" w:color="auto" w:fill="FFFFFF"/>
            <w:tcMar>
              <w:top w:w="0" w:type="dxa"/>
              <w:left w:w="0" w:type="dxa"/>
              <w:bottom w:w="0" w:type="dxa"/>
              <w:right w:w="0" w:type="dxa"/>
            </w:tcMar>
          </w:tcPr>
          <w:p w14:paraId="1710582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6911AA93"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047E73E7"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D56D2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Information sources</w:t>
            </w:r>
          </w:p>
        </w:tc>
        <w:tc>
          <w:tcPr>
            <w:tcW w:w="0" w:type="auto"/>
            <w:shd w:val="clear" w:color="auto" w:fill="FFFFFF"/>
            <w:tcMar>
              <w:top w:w="0" w:type="dxa"/>
              <w:left w:w="0" w:type="dxa"/>
              <w:bottom w:w="0" w:type="dxa"/>
              <w:right w:w="0" w:type="dxa"/>
            </w:tcMar>
          </w:tcPr>
          <w:p w14:paraId="44CA1A69"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4</w:t>
            </w:r>
          </w:p>
        </w:tc>
        <w:tc>
          <w:tcPr>
            <w:tcW w:w="0" w:type="auto"/>
            <w:shd w:val="clear" w:color="auto" w:fill="FFFFFF"/>
            <w:tcMar>
              <w:top w:w="0" w:type="dxa"/>
              <w:left w:w="0" w:type="dxa"/>
              <w:bottom w:w="0" w:type="dxa"/>
              <w:right w:w="0" w:type="dxa"/>
            </w:tcMar>
          </w:tcPr>
          <w:p w14:paraId="1863F76D"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4E17DCC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4985C95E"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3106B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Risk of bias</w:t>
            </w:r>
          </w:p>
        </w:tc>
        <w:tc>
          <w:tcPr>
            <w:tcW w:w="0" w:type="auto"/>
            <w:shd w:val="clear" w:color="auto" w:fill="FFFFFF"/>
            <w:tcMar>
              <w:top w:w="0" w:type="dxa"/>
              <w:left w:w="0" w:type="dxa"/>
              <w:bottom w:w="0" w:type="dxa"/>
              <w:right w:w="0" w:type="dxa"/>
            </w:tcMar>
          </w:tcPr>
          <w:p w14:paraId="2DDB4AE3"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5</w:t>
            </w:r>
          </w:p>
        </w:tc>
        <w:tc>
          <w:tcPr>
            <w:tcW w:w="0" w:type="auto"/>
            <w:shd w:val="clear" w:color="auto" w:fill="FFFFFF"/>
            <w:tcMar>
              <w:top w:w="0" w:type="dxa"/>
              <w:left w:w="0" w:type="dxa"/>
              <w:bottom w:w="0" w:type="dxa"/>
              <w:right w:w="0" w:type="dxa"/>
            </w:tcMar>
          </w:tcPr>
          <w:p w14:paraId="50D4A6F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0916C4BA"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46EF051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C8B050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Synthesis of results</w:t>
            </w:r>
          </w:p>
        </w:tc>
        <w:tc>
          <w:tcPr>
            <w:tcW w:w="0" w:type="auto"/>
            <w:shd w:val="clear" w:color="auto" w:fill="FFFFFF"/>
            <w:tcMar>
              <w:top w:w="0" w:type="dxa"/>
              <w:left w:w="0" w:type="dxa"/>
              <w:bottom w:w="0" w:type="dxa"/>
              <w:right w:w="0" w:type="dxa"/>
            </w:tcMar>
          </w:tcPr>
          <w:p w14:paraId="6C4C83E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6</w:t>
            </w:r>
          </w:p>
        </w:tc>
        <w:tc>
          <w:tcPr>
            <w:tcW w:w="0" w:type="auto"/>
            <w:shd w:val="clear" w:color="auto" w:fill="FFFFFF"/>
            <w:tcMar>
              <w:top w:w="0" w:type="dxa"/>
              <w:left w:w="0" w:type="dxa"/>
              <w:bottom w:w="0" w:type="dxa"/>
              <w:right w:w="0" w:type="dxa"/>
            </w:tcMar>
          </w:tcPr>
          <w:p w14:paraId="4E6D351F"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4E9BB802"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7DDEDA1A"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AA2E718"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RESULTS</w:t>
            </w:r>
          </w:p>
        </w:tc>
        <w:tc>
          <w:tcPr>
            <w:tcW w:w="0" w:type="auto"/>
            <w:shd w:val="clear" w:color="auto" w:fill="FFFFCC"/>
            <w:tcMar>
              <w:top w:w="0" w:type="dxa"/>
              <w:left w:w="0" w:type="dxa"/>
              <w:bottom w:w="0" w:type="dxa"/>
              <w:right w:w="0" w:type="dxa"/>
            </w:tcMar>
          </w:tcPr>
          <w:p w14:paraId="36887636"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2C2BBE13"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527AB2E"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6FDE5695"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6201D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Included studies</w:t>
            </w:r>
          </w:p>
        </w:tc>
        <w:tc>
          <w:tcPr>
            <w:tcW w:w="0" w:type="auto"/>
            <w:shd w:val="clear" w:color="auto" w:fill="FFFFFF"/>
            <w:tcMar>
              <w:top w:w="0" w:type="dxa"/>
              <w:left w:w="0" w:type="dxa"/>
              <w:bottom w:w="0" w:type="dxa"/>
              <w:right w:w="0" w:type="dxa"/>
            </w:tcMar>
          </w:tcPr>
          <w:p w14:paraId="6FED929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7</w:t>
            </w:r>
          </w:p>
        </w:tc>
        <w:tc>
          <w:tcPr>
            <w:tcW w:w="0" w:type="auto"/>
            <w:shd w:val="clear" w:color="auto" w:fill="FFFFFF"/>
            <w:tcMar>
              <w:top w:w="0" w:type="dxa"/>
              <w:left w:w="0" w:type="dxa"/>
              <w:bottom w:w="0" w:type="dxa"/>
              <w:right w:w="0" w:type="dxa"/>
            </w:tcMar>
          </w:tcPr>
          <w:p w14:paraId="081E4E08"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0DA436FE"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4E4CD2E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AC87B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Synthesis of results</w:t>
            </w:r>
          </w:p>
        </w:tc>
        <w:tc>
          <w:tcPr>
            <w:tcW w:w="0" w:type="auto"/>
            <w:shd w:val="clear" w:color="auto" w:fill="FFFFFF"/>
            <w:tcMar>
              <w:top w:w="0" w:type="dxa"/>
              <w:left w:w="0" w:type="dxa"/>
              <w:bottom w:w="0" w:type="dxa"/>
              <w:right w:w="0" w:type="dxa"/>
            </w:tcMar>
          </w:tcPr>
          <w:p w14:paraId="58DE6AF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8</w:t>
            </w:r>
          </w:p>
        </w:tc>
        <w:tc>
          <w:tcPr>
            <w:tcW w:w="0" w:type="auto"/>
            <w:shd w:val="clear" w:color="auto" w:fill="FFFFFF"/>
            <w:tcMar>
              <w:top w:w="0" w:type="dxa"/>
              <w:left w:w="0" w:type="dxa"/>
              <w:bottom w:w="0" w:type="dxa"/>
              <w:right w:w="0" w:type="dxa"/>
            </w:tcMar>
          </w:tcPr>
          <w:p w14:paraId="67BB5602"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18DF6C5C"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671CBA9E"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4439459"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DISCUSSION</w:t>
            </w:r>
          </w:p>
        </w:tc>
        <w:tc>
          <w:tcPr>
            <w:tcW w:w="0" w:type="auto"/>
            <w:shd w:val="clear" w:color="auto" w:fill="FFFFCC"/>
            <w:tcMar>
              <w:top w:w="0" w:type="dxa"/>
              <w:left w:w="0" w:type="dxa"/>
              <w:bottom w:w="0" w:type="dxa"/>
              <w:right w:w="0" w:type="dxa"/>
            </w:tcMar>
          </w:tcPr>
          <w:p w14:paraId="5F9F0F85"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74233E73"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071FB984"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33939E1E"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4302C0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Limitations of evidence</w:t>
            </w:r>
          </w:p>
        </w:tc>
        <w:tc>
          <w:tcPr>
            <w:tcW w:w="0" w:type="auto"/>
            <w:shd w:val="clear" w:color="auto" w:fill="FFFFFF"/>
            <w:tcMar>
              <w:top w:w="0" w:type="dxa"/>
              <w:left w:w="0" w:type="dxa"/>
              <w:bottom w:w="0" w:type="dxa"/>
              <w:right w:w="0" w:type="dxa"/>
            </w:tcMar>
          </w:tcPr>
          <w:p w14:paraId="57168A5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9</w:t>
            </w:r>
          </w:p>
        </w:tc>
        <w:tc>
          <w:tcPr>
            <w:tcW w:w="0" w:type="auto"/>
            <w:shd w:val="clear" w:color="auto" w:fill="FFFFFF"/>
            <w:tcMar>
              <w:top w:w="0" w:type="dxa"/>
              <w:left w:w="0" w:type="dxa"/>
              <w:bottom w:w="0" w:type="dxa"/>
              <w:right w:w="0" w:type="dxa"/>
            </w:tcMar>
          </w:tcPr>
          <w:p w14:paraId="16C73954"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73EF04A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26B90987"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25B825"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Interpretation</w:t>
            </w:r>
          </w:p>
        </w:tc>
        <w:tc>
          <w:tcPr>
            <w:tcW w:w="0" w:type="auto"/>
            <w:shd w:val="clear" w:color="auto" w:fill="FFFFFF"/>
            <w:tcMar>
              <w:top w:w="0" w:type="dxa"/>
              <w:left w:w="0" w:type="dxa"/>
              <w:bottom w:w="0" w:type="dxa"/>
              <w:right w:w="0" w:type="dxa"/>
            </w:tcMar>
          </w:tcPr>
          <w:p w14:paraId="5F1635B6"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10</w:t>
            </w:r>
          </w:p>
        </w:tc>
        <w:tc>
          <w:tcPr>
            <w:tcW w:w="0" w:type="auto"/>
            <w:shd w:val="clear" w:color="auto" w:fill="FFFFFF"/>
            <w:tcMar>
              <w:top w:w="0" w:type="dxa"/>
              <w:left w:w="0" w:type="dxa"/>
              <w:bottom w:w="0" w:type="dxa"/>
              <w:right w:w="0" w:type="dxa"/>
            </w:tcMar>
          </w:tcPr>
          <w:p w14:paraId="721771E3"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08790B74"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681D651F"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3AF5636"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OTHER</w:t>
            </w:r>
          </w:p>
        </w:tc>
        <w:tc>
          <w:tcPr>
            <w:tcW w:w="0" w:type="auto"/>
            <w:shd w:val="clear" w:color="auto" w:fill="FFFFCC"/>
            <w:tcMar>
              <w:top w:w="0" w:type="dxa"/>
              <w:left w:w="0" w:type="dxa"/>
              <w:bottom w:w="0" w:type="dxa"/>
              <w:right w:w="0" w:type="dxa"/>
            </w:tcMar>
          </w:tcPr>
          <w:p w14:paraId="188B2B1D" w14:textId="77777777" w:rsidR="002F50C4" w:rsidRPr="00D022DD"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2E01B4AE" w14:textId="77777777" w:rsidR="002F50C4" w:rsidRPr="00D022DD"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127D3315" w14:textId="77777777" w:rsidR="002F50C4" w:rsidRPr="00D022DD" w:rsidRDefault="002F50C4" w:rsidP="00156A00">
            <w:pPr>
              <w:spacing w:before="100" w:after="100"/>
              <w:ind w:left="100" w:right="100"/>
              <w:jc w:val="center"/>
              <w:rPr>
                <w:rFonts w:ascii="Times New Roman" w:hAnsi="Times New Roman"/>
              </w:rPr>
            </w:pPr>
          </w:p>
        </w:tc>
      </w:tr>
      <w:tr w:rsidR="002F50C4" w:rsidRPr="00D022DD" w14:paraId="733F44BB"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ABD54D1"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Funding</w:t>
            </w:r>
          </w:p>
        </w:tc>
        <w:tc>
          <w:tcPr>
            <w:tcW w:w="0" w:type="auto"/>
            <w:shd w:val="clear" w:color="auto" w:fill="FFFFFF"/>
            <w:tcMar>
              <w:top w:w="0" w:type="dxa"/>
              <w:left w:w="0" w:type="dxa"/>
              <w:bottom w:w="0" w:type="dxa"/>
              <w:right w:w="0" w:type="dxa"/>
            </w:tcMar>
          </w:tcPr>
          <w:p w14:paraId="5C6BA7BF"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11</w:t>
            </w:r>
          </w:p>
        </w:tc>
        <w:tc>
          <w:tcPr>
            <w:tcW w:w="0" w:type="auto"/>
            <w:shd w:val="clear" w:color="auto" w:fill="FFFFFF"/>
            <w:tcMar>
              <w:top w:w="0" w:type="dxa"/>
              <w:left w:w="0" w:type="dxa"/>
              <w:bottom w:w="0" w:type="dxa"/>
              <w:right w:w="0" w:type="dxa"/>
            </w:tcMar>
          </w:tcPr>
          <w:p w14:paraId="290F31B7"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46F2FF7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r w:rsidR="002F50C4" w:rsidRPr="00D022DD" w14:paraId="12676211" w14:textId="77777777" w:rsidTr="00156A0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5D3CA53B"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b/>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7A9BA677"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404E21DC" w14:textId="77777777" w:rsidR="002F50C4" w:rsidRPr="00D022DD" w:rsidRDefault="002F50C4" w:rsidP="00156A00">
            <w:pPr>
              <w:spacing w:before="100" w:after="100"/>
              <w:ind w:left="100" w:right="100"/>
              <w:rPr>
                <w:rFonts w:ascii="Times New Roman" w:hAnsi="Times New Roman"/>
              </w:rPr>
            </w:pPr>
            <w:r w:rsidRPr="00D022DD">
              <w:rPr>
                <w:rFonts w:ascii="Times New Roman" w:eastAsia="DejaVu Sans" w:hAnsi="Times New Roman"/>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075CDDD" w14:textId="77777777" w:rsidR="002F50C4" w:rsidRPr="00D022DD" w:rsidRDefault="002F50C4" w:rsidP="00156A00">
            <w:pPr>
              <w:spacing w:before="100" w:after="100"/>
              <w:ind w:left="100" w:right="100"/>
              <w:jc w:val="center"/>
              <w:rPr>
                <w:rFonts w:ascii="Times New Roman" w:hAnsi="Times New Roman"/>
              </w:rPr>
            </w:pPr>
            <w:r w:rsidRPr="00D022DD">
              <w:rPr>
                <w:rFonts w:ascii="Times New Roman" w:eastAsia="DejaVu Sans" w:hAnsi="Times New Roman"/>
                <w:sz w:val="18"/>
                <w:szCs w:val="18"/>
              </w:rPr>
              <w:t>Yes</w:t>
            </w:r>
          </w:p>
        </w:tc>
      </w:tr>
    </w:tbl>
    <w:p w14:paraId="1927DAFA" w14:textId="2B2381D9" w:rsidR="002F50C4" w:rsidRPr="00D022DD" w:rsidRDefault="002F50C4" w:rsidP="002F50C4">
      <w:pPr>
        <w:pStyle w:val="FirstParagraph"/>
        <w:rPr>
          <w:rFonts w:ascii="Times New Roman" w:hAnsi="Times New Roman" w:cs="Times New Roman"/>
          <w:sz w:val="18"/>
          <w:szCs w:val="14"/>
        </w:rPr>
      </w:pPr>
      <w:r w:rsidRPr="00D022DD">
        <w:rPr>
          <w:rFonts w:ascii="Times New Roman" w:hAnsi="Times New Roman" w:cs="Times New Roman"/>
        </w:rPr>
        <w:t> </w:t>
      </w:r>
      <w:r w:rsidRPr="00D022DD">
        <w:rPr>
          <w:rFonts w:ascii="Times New Roman" w:hAnsi="Times New Roman" w:cs="Times New Roman"/>
          <w:i/>
          <w:iCs/>
          <w:sz w:val="18"/>
          <w:szCs w:val="14"/>
        </w:rPr>
        <w:t>From:</w:t>
      </w:r>
      <w:r w:rsidRPr="00D022DD">
        <w:rPr>
          <w:rFonts w:ascii="Times New Roman" w:hAnsi="Times New Roman" w:cs="Times New Roman"/>
          <w:sz w:val="18"/>
          <w:szCs w:val="14"/>
        </w:rPr>
        <w:t xml:space="preserve"> Page MJ, McKenzie JE, Bossuyt PM, Boutron I, Hoffmann TC, Mulrow CD, et al. The PRISMA 2020 statement: an updated guideline for reporting systematic reviews. MetaArXiv. 2020, September 14. DOI: 10.31222/osf.io/v7gm2. For more information, visit: </w:t>
      </w:r>
      <w:hyperlink r:id="rId12">
        <w:r w:rsidRPr="00D022DD">
          <w:rPr>
            <w:rStyle w:val="Hipervnculo"/>
            <w:rFonts w:ascii="Times New Roman" w:hAnsi="Times New Roman" w:cs="Times New Roman"/>
            <w:sz w:val="18"/>
            <w:szCs w:val="14"/>
          </w:rPr>
          <w:t>www.prisma-statement.org</w:t>
        </w:r>
      </w:hyperlink>
    </w:p>
    <w:bookmarkEnd w:id="3"/>
    <w:p w14:paraId="58E3D93E" w14:textId="77777777" w:rsidR="00123558" w:rsidRPr="00D022DD" w:rsidRDefault="00123558" w:rsidP="00A90C11">
      <w:pPr>
        <w:pStyle w:val="MDPI62BackMatter"/>
        <w:ind w:left="0"/>
        <w:rPr>
          <w:bCs/>
        </w:rPr>
      </w:pPr>
    </w:p>
    <w:p w14:paraId="63CC9FFB" w14:textId="77777777" w:rsidR="00EA11E1" w:rsidRPr="00D022DD" w:rsidRDefault="00EA11E1" w:rsidP="00A90C11">
      <w:pPr>
        <w:pStyle w:val="MDPI62BackMatter"/>
        <w:ind w:left="0"/>
        <w:rPr>
          <w:bCs/>
        </w:rPr>
      </w:pPr>
    </w:p>
    <w:p w14:paraId="0A85ADEC" w14:textId="77777777" w:rsidR="00EA11E1" w:rsidRPr="00D022DD" w:rsidRDefault="00EA11E1" w:rsidP="00A90C11">
      <w:pPr>
        <w:pStyle w:val="MDPI62BackMatter"/>
        <w:ind w:left="0"/>
        <w:rPr>
          <w:bCs/>
        </w:rPr>
      </w:pPr>
    </w:p>
    <w:p w14:paraId="70E7B206" w14:textId="77777777" w:rsidR="00BB7795" w:rsidRPr="00D022DD" w:rsidRDefault="00BB7795" w:rsidP="00A90C11">
      <w:pPr>
        <w:pStyle w:val="MDPI62BackMatter"/>
        <w:ind w:left="0"/>
        <w:rPr>
          <w:bCs/>
        </w:rPr>
      </w:pPr>
    </w:p>
    <w:p w14:paraId="357DA2EB" w14:textId="19AE3AC5" w:rsidR="00A90C11" w:rsidRPr="00D022DD" w:rsidRDefault="00E65C56" w:rsidP="0086023B">
      <w:pPr>
        <w:pStyle w:val="MDPI31text"/>
        <w:ind w:left="0"/>
        <w:rPr>
          <w:rFonts w:ascii="Times New Roman" w:hAnsi="Times New Roman"/>
          <w:sz w:val="24"/>
          <w:szCs w:val="24"/>
        </w:rPr>
      </w:pPr>
      <w:r w:rsidRPr="00D022DD">
        <w:rPr>
          <w:rFonts w:ascii="Times New Roman" w:hAnsi="Times New Roman"/>
          <w:b/>
          <w:bCs/>
          <w:sz w:val="24"/>
          <w:szCs w:val="24"/>
        </w:rPr>
        <w:t>Table</w:t>
      </w:r>
      <w:r w:rsidR="00BB7795" w:rsidRPr="00D022DD">
        <w:rPr>
          <w:rFonts w:ascii="Times New Roman" w:hAnsi="Times New Roman"/>
          <w:b/>
          <w:bCs/>
          <w:sz w:val="24"/>
          <w:szCs w:val="24"/>
        </w:rPr>
        <w:t xml:space="preserve"> S2</w:t>
      </w:r>
      <w:r w:rsidR="0086023B" w:rsidRPr="00D022DD">
        <w:rPr>
          <w:rFonts w:ascii="Times New Roman" w:hAnsi="Times New Roman"/>
          <w:b/>
          <w:bCs/>
          <w:sz w:val="24"/>
          <w:szCs w:val="24"/>
        </w:rPr>
        <w:t xml:space="preserve">. </w:t>
      </w:r>
      <w:r w:rsidR="0086023B" w:rsidRPr="00D022DD">
        <w:rPr>
          <w:rFonts w:ascii="Times New Roman" w:hAnsi="Times New Roman"/>
          <w:sz w:val="24"/>
          <w:szCs w:val="24"/>
        </w:rPr>
        <w:t>The adjusted search terms as per searched electronic databases.</w:t>
      </w:r>
    </w:p>
    <w:p w14:paraId="71D198BD" w14:textId="77777777" w:rsidR="0086023B" w:rsidRPr="00D022DD" w:rsidRDefault="0086023B" w:rsidP="0086023B">
      <w:pPr>
        <w:pStyle w:val="MDPI31text"/>
        <w:ind w:left="0" w:firstLine="0"/>
        <w:rPr>
          <w:rFonts w:ascii="Times New Roman" w:hAnsi="Times New Roman"/>
          <w:sz w:val="24"/>
          <w:szCs w:val="24"/>
        </w:rPr>
      </w:pPr>
    </w:p>
    <w:p w14:paraId="0DAE39BE" w14:textId="77777777" w:rsidR="0086023B" w:rsidRPr="00D022DD" w:rsidRDefault="0086023B" w:rsidP="0086023B">
      <w:pPr>
        <w:pStyle w:val="MDPI31text"/>
        <w:ind w:left="0" w:firstLine="0"/>
        <w:rPr>
          <w:rFonts w:ascii="Times New Roman" w:hAnsi="Times New Roman"/>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2"/>
        <w:gridCol w:w="416"/>
        <w:gridCol w:w="6840"/>
        <w:gridCol w:w="1016"/>
      </w:tblGrid>
      <w:tr w:rsidR="00B169B6" w:rsidRPr="00D022DD" w14:paraId="5208F476" w14:textId="77777777" w:rsidTr="00416611">
        <w:trPr>
          <w:trHeight w:val="303"/>
          <w:jc w:val="center"/>
        </w:trPr>
        <w:tc>
          <w:tcPr>
            <w:tcW w:w="0" w:type="auto"/>
            <w:gridSpan w:val="4"/>
            <w:vAlign w:val="center"/>
          </w:tcPr>
          <w:p w14:paraId="569FF864" w14:textId="77777777" w:rsidR="00B169B6" w:rsidRPr="00D022DD" w:rsidRDefault="00B169B6" w:rsidP="00416611">
            <w:pPr>
              <w:jc w:val="center"/>
              <w:rPr>
                <w:rFonts w:ascii="Times New Roman" w:eastAsia="Times New Roman" w:hAnsi="Times New Roman"/>
                <w:b/>
                <w:bCs/>
              </w:rPr>
            </w:pPr>
            <w:r w:rsidRPr="00D022DD">
              <w:rPr>
                <w:rFonts w:ascii="Times New Roman" w:eastAsia="Times New Roman" w:hAnsi="Times New Roman"/>
                <w:b/>
                <w:bCs/>
              </w:rPr>
              <w:t>PubMed</w:t>
            </w:r>
          </w:p>
        </w:tc>
      </w:tr>
      <w:tr w:rsidR="00B169B6" w:rsidRPr="00D022DD" w14:paraId="6C4FFAF4" w14:textId="77777777" w:rsidTr="00416611">
        <w:trPr>
          <w:trHeight w:val="303"/>
          <w:jc w:val="center"/>
        </w:trPr>
        <w:tc>
          <w:tcPr>
            <w:tcW w:w="0" w:type="auto"/>
            <w:vMerge w:val="restart"/>
            <w:vAlign w:val="center"/>
          </w:tcPr>
          <w:p w14:paraId="3C972E6E" w14:textId="77777777" w:rsidR="00B169B6" w:rsidRPr="00D022DD" w:rsidRDefault="00B169B6" w:rsidP="00416611">
            <w:pPr>
              <w:rPr>
                <w:rFonts w:ascii="Times New Roman" w:eastAsia="Times New Roman" w:hAnsi="Times New Roman"/>
              </w:rPr>
            </w:pPr>
          </w:p>
        </w:tc>
        <w:tc>
          <w:tcPr>
            <w:tcW w:w="0" w:type="auto"/>
            <w:vAlign w:val="center"/>
          </w:tcPr>
          <w:p w14:paraId="0EDD0A74"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w:t>
            </w:r>
          </w:p>
        </w:tc>
        <w:tc>
          <w:tcPr>
            <w:tcW w:w="0" w:type="auto"/>
            <w:vAlign w:val="center"/>
          </w:tcPr>
          <w:p w14:paraId="50E6CB79"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(Monkeypox OR “Monkey Pox” OR “Mpox”)</w:t>
            </w:r>
          </w:p>
        </w:tc>
        <w:tc>
          <w:tcPr>
            <w:tcW w:w="0" w:type="auto"/>
            <w:vAlign w:val="center"/>
          </w:tcPr>
          <w:p w14:paraId="4118B7CD" w14:textId="51A70BDC" w:rsidR="00B169B6" w:rsidRPr="00D022DD" w:rsidRDefault="00F60BDC" w:rsidP="00416611">
            <w:pPr>
              <w:rPr>
                <w:rFonts w:ascii="Times New Roman" w:eastAsia="Times New Roman" w:hAnsi="Times New Roman"/>
              </w:rPr>
            </w:pPr>
            <w:r w:rsidRPr="00D022DD">
              <w:rPr>
                <w:rFonts w:ascii="Times New Roman" w:eastAsia="Times New Roman" w:hAnsi="Times New Roman"/>
              </w:rPr>
              <w:t>3,755</w:t>
            </w:r>
          </w:p>
        </w:tc>
      </w:tr>
      <w:tr w:rsidR="00B169B6" w:rsidRPr="00D022DD" w14:paraId="030D5032" w14:textId="77777777" w:rsidTr="00416611">
        <w:trPr>
          <w:trHeight w:val="303"/>
          <w:jc w:val="center"/>
        </w:trPr>
        <w:tc>
          <w:tcPr>
            <w:tcW w:w="0" w:type="auto"/>
            <w:vMerge/>
            <w:vAlign w:val="center"/>
          </w:tcPr>
          <w:p w14:paraId="535B476B"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6FCFB98C"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#2</w:t>
            </w:r>
          </w:p>
        </w:tc>
        <w:tc>
          <w:tcPr>
            <w:tcW w:w="0" w:type="auto"/>
            <w:vAlign w:val="center"/>
          </w:tcPr>
          <w:p w14:paraId="0F0E1C5C" w14:textId="4EAA5F0E" w:rsidR="00B169B6" w:rsidRPr="00D022DD" w:rsidRDefault="00B169B6" w:rsidP="006D61A3">
            <w:pPr>
              <w:rPr>
                <w:rFonts w:ascii="Times New Roman" w:eastAsia="Times New Roman" w:hAnsi="Times New Roman"/>
              </w:rPr>
            </w:pPr>
            <w:r w:rsidRPr="00D022DD">
              <w:rPr>
                <w:rFonts w:ascii="Times New Roman" w:eastAsia="Times New Roman" w:hAnsi="Times New Roman"/>
              </w:rPr>
              <w:t>(</w:t>
            </w:r>
            <w:r w:rsidR="00051059" w:rsidRPr="00D022DD">
              <w:rPr>
                <w:rFonts w:ascii="Times New Roman" w:eastAsia="Times New Roman" w:hAnsi="Times New Roman"/>
              </w:rPr>
              <w:t xml:space="preserve">“Knowledge” OR </w:t>
            </w:r>
            <w:r w:rsidRPr="00D022DD">
              <w:rPr>
                <w:rFonts w:ascii="Times New Roman" w:eastAsia="Times New Roman" w:hAnsi="Times New Roman"/>
              </w:rPr>
              <w:t xml:space="preserve">“ Attitude” OR </w:t>
            </w:r>
            <w:r w:rsidR="008D08E7" w:rsidRPr="00D022DD">
              <w:rPr>
                <w:rFonts w:ascii="Times New Roman" w:eastAsia="Times New Roman" w:hAnsi="Times New Roman"/>
              </w:rPr>
              <w:t xml:space="preserve">“Information Sources” OR </w:t>
            </w:r>
            <w:r w:rsidR="006D61A3" w:rsidRPr="00D022DD">
              <w:rPr>
                <w:rFonts w:ascii="Times New Roman" w:eastAsia="Times New Roman" w:hAnsi="Times New Roman"/>
              </w:rPr>
              <w:t>“Social media” OR “Internet sources” OR “Radio” OR “Television” OR “Newspaper” OR “Friends/Family” OR “WHO website” OR “CDC website” OR “Research articles/ Scientific journals”)</w:t>
            </w:r>
            <w:r w:rsidR="006D61A3" w:rsidRPr="00D022DD">
              <w:rPr>
                <w:rFonts w:ascii="Times New Roman" w:eastAsia="Times New Roman" w:hAnsi="Times New Roman"/>
              </w:rPr>
              <w:tab/>
            </w:r>
            <w:r w:rsidR="006D61A3" w:rsidRPr="00D022DD">
              <w:rPr>
                <w:rFonts w:ascii="Times New Roman" w:eastAsia="Times New Roman" w:hAnsi="Times New Roman"/>
              </w:rPr>
              <w:tab/>
            </w:r>
            <w:r w:rsidR="006D61A3" w:rsidRPr="00D022DD">
              <w:rPr>
                <w:rFonts w:ascii="Times New Roman" w:eastAsia="Times New Roman" w:hAnsi="Times New Roman"/>
              </w:rPr>
              <w:tab/>
            </w:r>
            <w:r w:rsidR="006D61A3" w:rsidRPr="00D022DD">
              <w:rPr>
                <w:rFonts w:ascii="Times New Roman" w:eastAsia="Times New Roman" w:hAnsi="Times New Roman"/>
              </w:rPr>
              <w:tab/>
            </w:r>
          </w:p>
        </w:tc>
        <w:tc>
          <w:tcPr>
            <w:tcW w:w="0" w:type="auto"/>
            <w:vAlign w:val="center"/>
          </w:tcPr>
          <w:p w14:paraId="2B62A980" w14:textId="58C21D24" w:rsidR="00B169B6" w:rsidRPr="00D022DD" w:rsidRDefault="004F3DFE" w:rsidP="00416611">
            <w:pPr>
              <w:rPr>
                <w:rFonts w:ascii="Times New Roman" w:eastAsia="Times New Roman" w:hAnsi="Times New Roman"/>
              </w:rPr>
            </w:pPr>
            <w:r w:rsidRPr="00D022DD">
              <w:rPr>
                <w:rFonts w:ascii="Times New Roman" w:eastAsia="Times New Roman" w:hAnsi="Times New Roman"/>
              </w:rPr>
              <w:t>1,440,822</w:t>
            </w:r>
          </w:p>
        </w:tc>
      </w:tr>
      <w:tr w:rsidR="00B169B6" w:rsidRPr="00D022DD" w14:paraId="30456461" w14:textId="77777777" w:rsidTr="00416611">
        <w:trPr>
          <w:trHeight w:val="303"/>
          <w:jc w:val="center"/>
        </w:trPr>
        <w:tc>
          <w:tcPr>
            <w:tcW w:w="0" w:type="auto"/>
            <w:vMerge/>
            <w:vAlign w:val="center"/>
          </w:tcPr>
          <w:p w14:paraId="30CA4696"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5B02B9B7"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#3</w:t>
            </w:r>
          </w:p>
        </w:tc>
        <w:tc>
          <w:tcPr>
            <w:tcW w:w="0" w:type="auto"/>
            <w:vAlign w:val="center"/>
          </w:tcPr>
          <w:p w14:paraId="129B8E6E"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 xml:space="preserve">#1 AND #2 </w:t>
            </w:r>
          </w:p>
        </w:tc>
        <w:tc>
          <w:tcPr>
            <w:tcW w:w="0" w:type="auto"/>
            <w:vAlign w:val="center"/>
          </w:tcPr>
          <w:p w14:paraId="74B3C97B" w14:textId="424AC1B0" w:rsidR="00B169B6" w:rsidRPr="00D022DD" w:rsidRDefault="00116FBA" w:rsidP="00416611">
            <w:pPr>
              <w:rPr>
                <w:rFonts w:ascii="Times New Roman" w:eastAsia="Times New Roman" w:hAnsi="Times New Roman"/>
              </w:rPr>
            </w:pPr>
            <w:r w:rsidRPr="00D022DD">
              <w:rPr>
                <w:rFonts w:ascii="Times New Roman" w:eastAsia="Times New Roman" w:hAnsi="Times New Roman"/>
              </w:rPr>
              <w:t>254</w:t>
            </w:r>
          </w:p>
        </w:tc>
      </w:tr>
      <w:tr w:rsidR="00B169B6" w:rsidRPr="00D022DD" w14:paraId="3D5881BD" w14:textId="77777777" w:rsidTr="00416611">
        <w:trPr>
          <w:trHeight w:val="303"/>
          <w:jc w:val="center"/>
        </w:trPr>
        <w:tc>
          <w:tcPr>
            <w:tcW w:w="0" w:type="auto"/>
            <w:gridSpan w:val="4"/>
            <w:vAlign w:val="center"/>
          </w:tcPr>
          <w:p w14:paraId="712897E8" w14:textId="77777777" w:rsidR="00B169B6" w:rsidRPr="00D022DD" w:rsidRDefault="00B169B6" w:rsidP="00416611">
            <w:pPr>
              <w:jc w:val="center"/>
              <w:rPr>
                <w:rFonts w:ascii="Times New Roman" w:eastAsia="Times New Roman" w:hAnsi="Times New Roman"/>
                <w:b/>
                <w:bCs/>
              </w:rPr>
            </w:pPr>
            <w:r w:rsidRPr="00D022DD">
              <w:rPr>
                <w:rFonts w:ascii="Times New Roman" w:eastAsia="Times New Roman" w:hAnsi="Times New Roman"/>
                <w:b/>
                <w:bCs/>
              </w:rPr>
              <w:t>Scopus</w:t>
            </w:r>
          </w:p>
        </w:tc>
      </w:tr>
      <w:tr w:rsidR="00B169B6" w:rsidRPr="00D022DD" w14:paraId="667A97AE" w14:textId="77777777" w:rsidTr="00416611">
        <w:trPr>
          <w:trHeight w:val="303"/>
          <w:jc w:val="center"/>
        </w:trPr>
        <w:tc>
          <w:tcPr>
            <w:tcW w:w="0" w:type="auto"/>
            <w:vMerge w:val="restart"/>
            <w:vAlign w:val="center"/>
          </w:tcPr>
          <w:p w14:paraId="0775FD37" w14:textId="77777777" w:rsidR="00B169B6" w:rsidRPr="00D022DD" w:rsidRDefault="00B169B6" w:rsidP="00416611">
            <w:pPr>
              <w:rPr>
                <w:rFonts w:ascii="Times New Roman" w:eastAsia="Times New Roman" w:hAnsi="Times New Roman"/>
              </w:rPr>
            </w:pPr>
          </w:p>
        </w:tc>
        <w:tc>
          <w:tcPr>
            <w:tcW w:w="0" w:type="auto"/>
            <w:vAlign w:val="center"/>
          </w:tcPr>
          <w:p w14:paraId="547FDA61"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w:t>
            </w:r>
          </w:p>
        </w:tc>
        <w:tc>
          <w:tcPr>
            <w:tcW w:w="0" w:type="auto"/>
            <w:vAlign w:val="center"/>
          </w:tcPr>
          <w:p w14:paraId="47E9AC4E"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TITLE-ABS-KEY (Monkeypox OR “Monkey Pox” OR “Mpox”)</w:t>
            </w:r>
          </w:p>
        </w:tc>
        <w:tc>
          <w:tcPr>
            <w:tcW w:w="0" w:type="auto"/>
            <w:vAlign w:val="center"/>
          </w:tcPr>
          <w:p w14:paraId="6A8409D8" w14:textId="5F0D3290" w:rsidR="00B169B6" w:rsidRPr="00D022DD" w:rsidRDefault="00F86499" w:rsidP="00416611">
            <w:pPr>
              <w:rPr>
                <w:rFonts w:ascii="Times New Roman" w:eastAsia="Times New Roman" w:hAnsi="Times New Roman"/>
              </w:rPr>
            </w:pPr>
            <w:r w:rsidRPr="00D022DD">
              <w:rPr>
                <w:rFonts w:ascii="Times New Roman" w:eastAsia="Times New Roman" w:hAnsi="Times New Roman"/>
              </w:rPr>
              <w:t>4,345</w:t>
            </w:r>
          </w:p>
        </w:tc>
      </w:tr>
      <w:tr w:rsidR="00B169B6" w:rsidRPr="00D022DD" w14:paraId="7815FA35" w14:textId="77777777" w:rsidTr="00416611">
        <w:trPr>
          <w:trHeight w:val="303"/>
          <w:jc w:val="center"/>
        </w:trPr>
        <w:tc>
          <w:tcPr>
            <w:tcW w:w="0" w:type="auto"/>
            <w:vMerge/>
            <w:vAlign w:val="center"/>
          </w:tcPr>
          <w:p w14:paraId="0819E3DA"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6446DC6A"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#2</w:t>
            </w:r>
          </w:p>
        </w:tc>
        <w:tc>
          <w:tcPr>
            <w:tcW w:w="0" w:type="auto"/>
            <w:vAlign w:val="center"/>
          </w:tcPr>
          <w:p w14:paraId="0D82AD85" w14:textId="53B619F1" w:rsidR="00B169B6" w:rsidRPr="00D022DD" w:rsidRDefault="00B169B6" w:rsidP="00416611">
            <w:pPr>
              <w:rPr>
                <w:rFonts w:ascii="Times New Roman" w:eastAsia="Times New Roman" w:hAnsi="Times New Roman"/>
              </w:rPr>
            </w:pPr>
            <w:r w:rsidRPr="00D022DD">
              <w:rPr>
                <w:rFonts w:ascii="Times New Roman" w:eastAsia="Times New Roman" w:hAnsi="Times New Roman"/>
              </w:rPr>
              <w:t xml:space="preserve">TITLE-ABS-KEY </w:t>
            </w:r>
            <w:r w:rsidR="0068539E" w:rsidRPr="00D022DD">
              <w:rPr>
                <w:rFonts w:ascii="Times New Roman" w:eastAsia="Times New Roman" w:hAnsi="Times New Roman"/>
              </w:rPr>
              <w:t>(“Knowledge” OR “ Attitude” OR “Information Sources” OR “Social media” OR “Internet sources” OR “Radio” OR “Television” OR “Newspaper” OR “Friends/Family” OR “WHO website” OR “CDC website” OR “Research articles/ Scientific journals”)</w:t>
            </w:r>
          </w:p>
        </w:tc>
        <w:tc>
          <w:tcPr>
            <w:tcW w:w="0" w:type="auto"/>
            <w:vAlign w:val="center"/>
          </w:tcPr>
          <w:p w14:paraId="69478714" w14:textId="02AEF564" w:rsidR="00B169B6" w:rsidRPr="00D022DD" w:rsidRDefault="00604C8D" w:rsidP="00416611">
            <w:pPr>
              <w:rPr>
                <w:rFonts w:ascii="Times New Roman" w:eastAsia="Times New Roman" w:hAnsi="Times New Roman"/>
              </w:rPr>
            </w:pPr>
            <w:r w:rsidRPr="00D022DD">
              <w:rPr>
                <w:rFonts w:ascii="Times New Roman" w:eastAsia="Times New Roman" w:hAnsi="Times New Roman"/>
              </w:rPr>
              <w:t>4,422,460</w:t>
            </w:r>
          </w:p>
        </w:tc>
      </w:tr>
      <w:tr w:rsidR="00B169B6" w:rsidRPr="00D022DD" w14:paraId="61E7C97E" w14:textId="77777777" w:rsidTr="00416611">
        <w:trPr>
          <w:trHeight w:val="303"/>
          <w:jc w:val="center"/>
        </w:trPr>
        <w:tc>
          <w:tcPr>
            <w:tcW w:w="0" w:type="auto"/>
            <w:vMerge/>
            <w:vAlign w:val="center"/>
          </w:tcPr>
          <w:p w14:paraId="7E2CAB53"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12B59AE6"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#3</w:t>
            </w:r>
          </w:p>
        </w:tc>
        <w:tc>
          <w:tcPr>
            <w:tcW w:w="0" w:type="auto"/>
            <w:vAlign w:val="center"/>
          </w:tcPr>
          <w:p w14:paraId="5C0413E3"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 AND #2</w:t>
            </w:r>
          </w:p>
        </w:tc>
        <w:tc>
          <w:tcPr>
            <w:tcW w:w="0" w:type="auto"/>
            <w:vAlign w:val="center"/>
          </w:tcPr>
          <w:p w14:paraId="237BDD5C" w14:textId="6F6CBEC7" w:rsidR="00B169B6" w:rsidRPr="00D022DD" w:rsidRDefault="00B37B71" w:rsidP="00416611">
            <w:pPr>
              <w:rPr>
                <w:rFonts w:ascii="Times New Roman" w:eastAsia="Times New Roman" w:hAnsi="Times New Roman"/>
              </w:rPr>
            </w:pPr>
            <w:r w:rsidRPr="00D022DD">
              <w:rPr>
                <w:rFonts w:ascii="Times New Roman" w:eastAsia="Times New Roman" w:hAnsi="Times New Roman"/>
              </w:rPr>
              <w:t>312</w:t>
            </w:r>
          </w:p>
        </w:tc>
      </w:tr>
      <w:tr w:rsidR="00B169B6" w:rsidRPr="00D022DD" w14:paraId="23B79737" w14:textId="77777777" w:rsidTr="00416611">
        <w:trPr>
          <w:trHeight w:val="303"/>
          <w:jc w:val="center"/>
        </w:trPr>
        <w:tc>
          <w:tcPr>
            <w:tcW w:w="0" w:type="auto"/>
            <w:gridSpan w:val="4"/>
            <w:vAlign w:val="center"/>
          </w:tcPr>
          <w:p w14:paraId="1429D406" w14:textId="77777777" w:rsidR="00B169B6" w:rsidRPr="00D022DD" w:rsidRDefault="00B169B6" w:rsidP="00416611">
            <w:pPr>
              <w:jc w:val="center"/>
              <w:rPr>
                <w:rFonts w:ascii="Times New Roman" w:eastAsia="Times New Roman" w:hAnsi="Times New Roman"/>
                <w:b/>
                <w:bCs/>
              </w:rPr>
            </w:pPr>
            <w:r w:rsidRPr="00D022DD">
              <w:rPr>
                <w:rFonts w:ascii="Times New Roman" w:eastAsia="Times New Roman" w:hAnsi="Times New Roman"/>
                <w:b/>
                <w:bCs/>
              </w:rPr>
              <w:t>Embase</w:t>
            </w:r>
          </w:p>
        </w:tc>
      </w:tr>
      <w:tr w:rsidR="00B169B6" w:rsidRPr="00D022DD" w14:paraId="43F5CF95" w14:textId="77777777" w:rsidTr="00416611">
        <w:trPr>
          <w:trHeight w:val="303"/>
          <w:jc w:val="center"/>
        </w:trPr>
        <w:tc>
          <w:tcPr>
            <w:tcW w:w="0" w:type="auto"/>
            <w:vMerge w:val="restart"/>
            <w:vAlign w:val="center"/>
          </w:tcPr>
          <w:p w14:paraId="5530D2D3" w14:textId="77777777" w:rsidR="00B169B6" w:rsidRPr="00D022DD" w:rsidRDefault="00B169B6" w:rsidP="00416611">
            <w:pPr>
              <w:rPr>
                <w:rFonts w:ascii="Times New Roman" w:eastAsia="Times New Roman" w:hAnsi="Times New Roman"/>
              </w:rPr>
            </w:pPr>
          </w:p>
        </w:tc>
        <w:tc>
          <w:tcPr>
            <w:tcW w:w="0" w:type="auto"/>
            <w:vAlign w:val="center"/>
          </w:tcPr>
          <w:p w14:paraId="4D14CB2F"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w:t>
            </w:r>
          </w:p>
        </w:tc>
        <w:tc>
          <w:tcPr>
            <w:tcW w:w="0" w:type="auto"/>
            <w:vAlign w:val="center"/>
          </w:tcPr>
          <w:p w14:paraId="31C39E72" w14:textId="713C71E6" w:rsidR="00B169B6" w:rsidRPr="00D022DD" w:rsidRDefault="00817D61" w:rsidP="00416611">
            <w:pPr>
              <w:rPr>
                <w:rFonts w:ascii="Times New Roman" w:eastAsia="Times New Roman" w:hAnsi="Times New Roman"/>
              </w:rPr>
            </w:pPr>
            <w:r w:rsidRPr="00D022DD">
              <w:rPr>
                <w:rFonts w:ascii="Times New Roman" w:eastAsia="Times New Roman" w:hAnsi="Times New Roman"/>
              </w:rPr>
              <w:t>monkeypox OR 'monkey pox' OR 'mpox'</w:t>
            </w:r>
          </w:p>
        </w:tc>
        <w:tc>
          <w:tcPr>
            <w:tcW w:w="0" w:type="auto"/>
            <w:vAlign w:val="center"/>
          </w:tcPr>
          <w:p w14:paraId="38A2431F" w14:textId="011E60EA" w:rsidR="00B169B6" w:rsidRPr="00D022DD" w:rsidRDefault="00FC6C38" w:rsidP="00416611">
            <w:pPr>
              <w:rPr>
                <w:rFonts w:ascii="Times New Roman" w:eastAsia="Times New Roman" w:hAnsi="Times New Roman"/>
              </w:rPr>
            </w:pPr>
            <w:r w:rsidRPr="00D022DD">
              <w:rPr>
                <w:rFonts w:ascii="Times New Roman" w:eastAsia="Times New Roman" w:hAnsi="Times New Roman"/>
              </w:rPr>
              <w:t>4,554</w:t>
            </w:r>
          </w:p>
        </w:tc>
      </w:tr>
      <w:tr w:rsidR="00B169B6" w:rsidRPr="00D022DD" w14:paraId="561C6616" w14:textId="77777777" w:rsidTr="00416611">
        <w:trPr>
          <w:trHeight w:val="303"/>
          <w:jc w:val="center"/>
        </w:trPr>
        <w:tc>
          <w:tcPr>
            <w:tcW w:w="0" w:type="auto"/>
            <w:vMerge/>
            <w:vAlign w:val="center"/>
          </w:tcPr>
          <w:p w14:paraId="4829605E"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7662DCCC"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#2</w:t>
            </w:r>
          </w:p>
        </w:tc>
        <w:tc>
          <w:tcPr>
            <w:tcW w:w="0" w:type="auto"/>
            <w:vAlign w:val="center"/>
          </w:tcPr>
          <w:p w14:paraId="49BD7878" w14:textId="01CCBCA1" w:rsidR="00B169B6" w:rsidRPr="00D022DD" w:rsidRDefault="006A5BDF" w:rsidP="00416611">
            <w:pPr>
              <w:rPr>
                <w:rFonts w:ascii="Times New Roman" w:eastAsia="Times New Roman" w:hAnsi="Times New Roman"/>
              </w:rPr>
            </w:pPr>
            <w:r w:rsidRPr="00D022DD">
              <w:rPr>
                <w:rFonts w:ascii="Times New Roman" w:eastAsia="Times New Roman" w:hAnsi="Times New Roman"/>
              </w:rPr>
              <w:t>'knowledge'/exp OR 'knowledge' OR 'attitude'/exp OR 'attitude' OR 'information sources'/exp OR 'information sources' OR 'social media'/exp OR 'social media' OR 'internet sources' OR 'radio'/exp OR 'radio' OR 'television'/exp OR 'television' OR 'newspaper'/exp OR 'newspaper' OR 'friends/family' OR 'who website' OR 'cdc website' OR 'research articles/ scientific journals'</w:t>
            </w:r>
          </w:p>
        </w:tc>
        <w:tc>
          <w:tcPr>
            <w:tcW w:w="0" w:type="auto"/>
            <w:vAlign w:val="center"/>
          </w:tcPr>
          <w:p w14:paraId="04C35EE7" w14:textId="0475A791" w:rsidR="00B169B6" w:rsidRPr="00D022DD" w:rsidRDefault="00817D61" w:rsidP="00416611">
            <w:pPr>
              <w:rPr>
                <w:rFonts w:ascii="Times New Roman" w:eastAsia="Times New Roman" w:hAnsi="Times New Roman"/>
              </w:rPr>
            </w:pPr>
            <w:r w:rsidRPr="00D022DD">
              <w:rPr>
                <w:rFonts w:ascii="Times New Roman" w:eastAsia="Times New Roman" w:hAnsi="Times New Roman"/>
              </w:rPr>
              <w:t>2,438,035</w:t>
            </w:r>
          </w:p>
        </w:tc>
      </w:tr>
      <w:tr w:rsidR="00B169B6" w:rsidRPr="00D022DD" w14:paraId="74C46132" w14:textId="77777777" w:rsidTr="00416611">
        <w:trPr>
          <w:trHeight w:val="303"/>
          <w:jc w:val="center"/>
        </w:trPr>
        <w:tc>
          <w:tcPr>
            <w:tcW w:w="0" w:type="auto"/>
            <w:vMerge/>
            <w:vAlign w:val="center"/>
          </w:tcPr>
          <w:p w14:paraId="1A852D3D"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02254F6F"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#3</w:t>
            </w:r>
          </w:p>
        </w:tc>
        <w:tc>
          <w:tcPr>
            <w:tcW w:w="0" w:type="auto"/>
            <w:vAlign w:val="center"/>
          </w:tcPr>
          <w:p w14:paraId="6C6519BB"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 xml:space="preserve">#1 AND #2 </w:t>
            </w:r>
          </w:p>
        </w:tc>
        <w:tc>
          <w:tcPr>
            <w:tcW w:w="0" w:type="auto"/>
            <w:vAlign w:val="center"/>
          </w:tcPr>
          <w:p w14:paraId="7D9914EA" w14:textId="6A14E6E8" w:rsidR="00B169B6" w:rsidRPr="00D022DD" w:rsidRDefault="000467AF" w:rsidP="00416611">
            <w:pPr>
              <w:rPr>
                <w:rFonts w:ascii="Times New Roman" w:eastAsia="Times New Roman" w:hAnsi="Times New Roman"/>
              </w:rPr>
            </w:pPr>
            <w:r w:rsidRPr="00D022DD">
              <w:rPr>
                <w:rFonts w:ascii="Times New Roman" w:eastAsia="Times New Roman" w:hAnsi="Times New Roman"/>
              </w:rPr>
              <w:t>395</w:t>
            </w:r>
          </w:p>
        </w:tc>
      </w:tr>
      <w:tr w:rsidR="00B169B6" w:rsidRPr="00D022DD" w14:paraId="043360BA" w14:textId="77777777" w:rsidTr="00416611">
        <w:trPr>
          <w:trHeight w:val="303"/>
          <w:jc w:val="center"/>
        </w:trPr>
        <w:tc>
          <w:tcPr>
            <w:tcW w:w="0" w:type="auto"/>
            <w:gridSpan w:val="4"/>
            <w:vAlign w:val="center"/>
          </w:tcPr>
          <w:p w14:paraId="2CD1B5AC" w14:textId="77777777" w:rsidR="00B169B6" w:rsidRPr="00D022DD" w:rsidRDefault="00B169B6" w:rsidP="00416611">
            <w:pPr>
              <w:jc w:val="center"/>
              <w:rPr>
                <w:rFonts w:ascii="Times New Roman" w:eastAsia="Times New Roman" w:hAnsi="Times New Roman"/>
                <w:b/>
                <w:bCs/>
              </w:rPr>
            </w:pPr>
            <w:r w:rsidRPr="00D022DD">
              <w:rPr>
                <w:rFonts w:ascii="Times New Roman" w:eastAsia="Times New Roman" w:hAnsi="Times New Roman"/>
                <w:b/>
                <w:bCs/>
              </w:rPr>
              <w:t>Web of Science</w:t>
            </w:r>
          </w:p>
        </w:tc>
      </w:tr>
      <w:tr w:rsidR="00B169B6" w:rsidRPr="00D022DD" w14:paraId="729DEB97" w14:textId="77777777" w:rsidTr="00416611">
        <w:trPr>
          <w:trHeight w:val="303"/>
          <w:jc w:val="center"/>
        </w:trPr>
        <w:tc>
          <w:tcPr>
            <w:tcW w:w="0" w:type="auto"/>
            <w:vMerge w:val="restart"/>
            <w:vAlign w:val="center"/>
          </w:tcPr>
          <w:p w14:paraId="42127FDC" w14:textId="77777777" w:rsidR="00B169B6" w:rsidRPr="00D022DD" w:rsidRDefault="00B169B6" w:rsidP="00416611">
            <w:pPr>
              <w:rPr>
                <w:rFonts w:ascii="Times New Roman" w:eastAsia="Times New Roman" w:hAnsi="Times New Roman"/>
              </w:rPr>
            </w:pPr>
          </w:p>
        </w:tc>
        <w:tc>
          <w:tcPr>
            <w:tcW w:w="0" w:type="auto"/>
            <w:vAlign w:val="center"/>
          </w:tcPr>
          <w:p w14:paraId="5ABFEEEA"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w:t>
            </w:r>
          </w:p>
        </w:tc>
        <w:tc>
          <w:tcPr>
            <w:tcW w:w="0" w:type="auto"/>
            <w:vAlign w:val="center"/>
          </w:tcPr>
          <w:p w14:paraId="103D789A"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ALL=(Monkeypox OR “Monkey Pox” OR “Mpox”)</w:t>
            </w:r>
          </w:p>
        </w:tc>
        <w:tc>
          <w:tcPr>
            <w:tcW w:w="0" w:type="auto"/>
            <w:vAlign w:val="center"/>
          </w:tcPr>
          <w:p w14:paraId="21486D83"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4,759</w:t>
            </w:r>
          </w:p>
        </w:tc>
      </w:tr>
      <w:tr w:rsidR="00B169B6" w:rsidRPr="00D022DD" w14:paraId="43118709" w14:textId="77777777" w:rsidTr="00416611">
        <w:trPr>
          <w:trHeight w:val="303"/>
          <w:jc w:val="center"/>
        </w:trPr>
        <w:tc>
          <w:tcPr>
            <w:tcW w:w="0" w:type="auto"/>
            <w:vMerge/>
            <w:vAlign w:val="center"/>
          </w:tcPr>
          <w:p w14:paraId="2F63F81E"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29325EE8"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#2</w:t>
            </w:r>
          </w:p>
        </w:tc>
        <w:tc>
          <w:tcPr>
            <w:tcW w:w="0" w:type="auto"/>
            <w:vAlign w:val="center"/>
          </w:tcPr>
          <w:p w14:paraId="0C6FB31D" w14:textId="73A9FD93" w:rsidR="00B169B6" w:rsidRPr="00D022DD" w:rsidRDefault="00B169B6" w:rsidP="00416611">
            <w:pPr>
              <w:rPr>
                <w:rFonts w:ascii="Times New Roman" w:eastAsia="Times New Roman" w:hAnsi="Times New Roman"/>
              </w:rPr>
            </w:pPr>
            <w:r w:rsidRPr="00D022DD">
              <w:rPr>
                <w:rFonts w:ascii="Times New Roman" w:eastAsia="Times New Roman" w:hAnsi="Times New Roman"/>
              </w:rPr>
              <w:t xml:space="preserve">ALL= </w:t>
            </w:r>
            <w:r w:rsidR="00E2210E" w:rsidRPr="00D022DD">
              <w:rPr>
                <w:rFonts w:ascii="Times New Roman" w:eastAsia="Times New Roman" w:hAnsi="Times New Roman"/>
              </w:rPr>
              <w:t>(“Knowledge” OR “ Attitude” OR “Information Sources” OR “Social media” OR “Internet sources” OR “Radio” OR “Television” OR “Newspaper” OR “Friends/Family” OR “WHO website” OR “CDC website” OR “Research articles/ Scientific journals”)</w:t>
            </w:r>
          </w:p>
        </w:tc>
        <w:tc>
          <w:tcPr>
            <w:tcW w:w="0" w:type="auto"/>
            <w:vAlign w:val="center"/>
          </w:tcPr>
          <w:p w14:paraId="3437284B" w14:textId="074F4D97" w:rsidR="00B169B6" w:rsidRPr="00D022DD" w:rsidRDefault="00781421" w:rsidP="00416611">
            <w:pPr>
              <w:rPr>
                <w:rFonts w:ascii="Times New Roman" w:eastAsia="Times New Roman" w:hAnsi="Times New Roman"/>
              </w:rPr>
            </w:pPr>
            <w:r w:rsidRPr="00D022DD">
              <w:rPr>
                <w:rFonts w:ascii="Times New Roman" w:eastAsia="Times New Roman" w:hAnsi="Times New Roman"/>
              </w:rPr>
              <w:t>3</w:t>
            </w:r>
            <w:r w:rsidR="00B169B6" w:rsidRPr="00D022DD">
              <w:rPr>
                <w:rFonts w:ascii="Times New Roman" w:eastAsia="Times New Roman" w:hAnsi="Times New Roman"/>
              </w:rPr>
              <w:t>,</w:t>
            </w:r>
            <w:r w:rsidRPr="00D022DD">
              <w:rPr>
                <w:rFonts w:ascii="Times New Roman" w:eastAsia="Times New Roman" w:hAnsi="Times New Roman"/>
              </w:rPr>
              <w:t>147</w:t>
            </w:r>
            <w:r w:rsidR="00B169B6" w:rsidRPr="00D022DD">
              <w:rPr>
                <w:rFonts w:ascii="Times New Roman" w:eastAsia="Times New Roman" w:hAnsi="Times New Roman"/>
              </w:rPr>
              <w:t>,</w:t>
            </w:r>
            <w:r w:rsidR="003F4697" w:rsidRPr="00D022DD">
              <w:rPr>
                <w:rFonts w:ascii="Times New Roman" w:eastAsia="Times New Roman" w:hAnsi="Times New Roman"/>
              </w:rPr>
              <w:t>231</w:t>
            </w:r>
          </w:p>
        </w:tc>
      </w:tr>
      <w:tr w:rsidR="00B169B6" w:rsidRPr="00D022DD" w14:paraId="543A7F8E" w14:textId="77777777" w:rsidTr="00416611">
        <w:trPr>
          <w:trHeight w:val="303"/>
          <w:jc w:val="center"/>
        </w:trPr>
        <w:tc>
          <w:tcPr>
            <w:tcW w:w="0" w:type="auto"/>
            <w:vMerge/>
            <w:vAlign w:val="center"/>
          </w:tcPr>
          <w:p w14:paraId="12762A2E"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5A3CEC3E"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#3</w:t>
            </w:r>
          </w:p>
        </w:tc>
        <w:tc>
          <w:tcPr>
            <w:tcW w:w="0" w:type="auto"/>
            <w:vAlign w:val="center"/>
          </w:tcPr>
          <w:p w14:paraId="6E3FF5F0"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 xml:space="preserve">#1 AND #2 </w:t>
            </w:r>
          </w:p>
        </w:tc>
        <w:tc>
          <w:tcPr>
            <w:tcW w:w="0" w:type="auto"/>
            <w:vAlign w:val="center"/>
          </w:tcPr>
          <w:p w14:paraId="26CAFC37" w14:textId="058215A0" w:rsidR="00B169B6" w:rsidRPr="00D022DD" w:rsidRDefault="0008561D" w:rsidP="00416611">
            <w:pPr>
              <w:rPr>
                <w:rFonts w:ascii="Times New Roman" w:eastAsia="Times New Roman" w:hAnsi="Times New Roman"/>
              </w:rPr>
            </w:pPr>
            <w:r w:rsidRPr="00D022DD">
              <w:rPr>
                <w:rFonts w:ascii="Times New Roman" w:eastAsia="Times New Roman" w:hAnsi="Times New Roman"/>
              </w:rPr>
              <w:t>474</w:t>
            </w:r>
          </w:p>
        </w:tc>
      </w:tr>
      <w:tr w:rsidR="00B169B6" w:rsidRPr="00D022DD" w14:paraId="195F03AE" w14:textId="77777777" w:rsidTr="00416611">
        <w:trPr>
          <w:trHeight w:val="303"/>
          <w:jc w:val="center"/>
        </w:trPr>
        <w:tc>
          <w:tcPr>
            <w:tcW w:w="0" w:type="auto"/>
            <w:gridSpan w:val="4"/>
            <w:vAlign w:val="center"/>
          </w:tcPr>
          <w:p w14:paraId="633C3F8E" w14:textId="77777777" w:rsidR="00B169B6" w:rsidRPr="00D022DD" w:rsidRDefault="00B169B6" w:rsidP="00416611">
            <w:pPr>
              <w:jc w:val="center"/>
              <w:rPr>
                <w:rFonts w:ascii="Times New Roman" w:eastAsia="Times New Roman" w:hAnsi="Times New Roman"/>
                <w:b/>
                <w:bCs/>
              </w:rPr>
            </w:pPr>
            <w:r w:rsidRPr="00D022DD">
              <w:rPr>
                <w:rFonts w:ascii="Times New Roman" w:eastAsia="Times New Roman" w:hAnsi="Times New Roman"/>
                <w:b/>
                <w:bCs/>
              </w:rPr>
              <w:t>ScienceDirect</w:t>
            </w:r>
          </w:p>
        </w:tc>
      </w:tr>
      <w:tr w:rsidR="00B169B6" w:rsidRPr="00D022DD" w14:paraId="6AF0E6BD" w14:textId="77777777" w:rsidTr="00416611">
        <w:trPr>
          <w:trHeight w:val="303"/>
          <w:jc w:val="center"/>
        </w:trPr>
        <w:tc>
          <w:tcPr>
            <w:tcW w:w="0" w:type="auto"/>
            <w:vMerge w:val="restart"/>
            <w:vAlign w:val="center"/>
          </w:tcPr>
          <w:p w14:paraId="6D1CDC8F" w14:textId="77777777" w:rsidR="00B169B6" w:rsidRPr="00D022DD" w:rsidRDefault="00B169B6" w:rsidP="00416611">
            <w:pPr>
              <w:rPr>
                <w:rFonts w:ascii="Times New Roman" w:eastAsia="Times New Roman" w:hAnsi="Times New Roman"/>
              </w:rPr>
            </w:pPr>
          </w:p>
        </w:tc>
        <w:tc>
          <w:tcPr>
            <w:tcW w:w="0" w:type="auto"/>
            <w:vAlign w:val="center"/>
          </w:tcPr>
          <w:p w14:paraId="07465C8E"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w:t>
            </w:r>
          </w:p>
        </w:tc>
        <w:tc>
          <w:tcPr>
            <w:tcW w:w="0" w:type="auto"/>
            <w:vAlign w:val="center"/>
          </w:tcPr>
          <w:p w14:paraId="315957C7"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(Monkeypox OR “Monkey Pox” OR “Mpox”)</w:t>
            </w:r>
          </w:p>
        </w:tc>
        <w:tc>
          <w:tcPr>
            <w:tcW w:w="0" w:type="auto"/>
            <w:vAlign w:val="center"/>
          </w:tcPr>
          <w:p w14:paraId="4B893CDE" w14:textId="5F69977C" w:rsidR="00B169B6" w:rsidRPr="00D022DD" w:rsidRDefault="00AA1B0B" w:rsidP="00416611">
            <w:pPr>
              <w:rPr>
                <w:rFonts w:ascii="Times New Roman" w:eastAsia="Times New Roman" w:hAnsi="Times New Roman"/>
              </w:rPr>
            </w:pPr>
            <w:r w:rsidRPr="00D022DD">
              <w:rPr>
                <w:rFonts w:ascii="Times New Roman" w:eastAsia="Times New Roman" w:hAnsi="Times New Roman"/>
              </w:rPr>
              <w:t>3,899</w:t>
            </w:r>
          </w:p>
        </w:tc>
      </w:tr>
      <w:tr w:rsidR="00B169B6" w:rsidRPr="00D022DD" w14:paraId="4495C568" w14:textId="77777777" w:rsidTr="00416611">
        <w:trPr>
          <w:trHeight w:val="303"/>
          <w:jc w:val="center"/>
        </w:trPr>
        <w:tc>
          <w:tcPr>
            <w:tcW w:w="0" w:type="auto"/>
            <w:vMerge/>
            <w:vAlign w:val="center"/>
          </w:tcPr>
          <w:p w14:paraId="36D0D58D"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049D437D"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#2</w:t>
            </w:r>
          </w:p>
        </w:tc>
        <w:tc>
          <w:tcPr>
            <w:tcW w:w="0" w:type="auto"/>
            <w:vAlign w:val="center"/>
          </w:tcPr>
          <w:p w14:paraId="2032CDE8" w14:textId="3BA76973" w:rsidR="00B169B6" w:rsidRPr="00D022DD" w:rsidRDefault="006B63F3" w:rsidP="00416611">
            <w:pPr>
              <w:rPr>
                <w:rFonts w:ascii="Times New Roman" w:eastAsia="Times New Roman" w:hAnsi="Times New Roman"/>
              </w:rPr>
            </w:pPr>
            <w:r w:rsidRPr="00D022DD">
              <w:rPr>
                <w:rFonts w:ascii="Times New Roman" w:eastAsia="Times New Roman" w:hAnsi="Times New Roman"/>
              </w:rPr>
              <w:t>(“Knowledge” OR “ Attitude” OR “Information Sources” OR “Social media” OR “Internet sources” OR “Radio” OR “Television” OR “Newspaper” OR “Friends/Family” OR “WHO website” OR “CDC website” OR “Research articles/ Scientific journals”)</w:t>
            </w:r>
          </w:p>
        </w:tc>
        <w:tc>
          <w:tcPr>
            <w:tcW w:w="0" w:type="auto"/>
            <w:vAlign w:val="center"/>
          </w:tcPr>
          <w:p w14:paraId="5811F94C" w14:textId="0A4E8949" w:rsidR="00B169B6" w:rsidRPr="00D022DD" w:rsidRDefault="00514980" w:rsidP="00416611">
            <w:pPr>
              <w:rPr>
                <w:rFonts w:ascii="Times New Roman" w:eastAsia="Times New Roman" w:hAnsi="Times New Roman"/>
              </w:rPr>
            </w:pPr>
            <w:r w:rsidRPr="00D022DD">
              <w:rPr>
                <w:rFonts w:ascii="Times New Roman" w:eastAsia="Times New Roman" w:hAnsi="Times New Roman"/>
              </w:rPr>
              <w:t>81,360</w:t>
            </w:r>
          </w:p>
        </w:tc>
      </w:tr>
      <w:tr w:rsidR="00B169B6" w:rsidRPr="00D022DD" w14:paraId="5538BCCC" w14:textId="77777777" w:rsidTr="00416611">
        <w:trPr>
          <w:trHeight w:val="303"/>
          <w:jc w:val="center"/>
        </w:trPr>
        <w:tc>
          <w:tcPr>
            <w:tcW w:w="0" w:type="auto"/>
            <w:vMerge/>
            <w:vAlign w:val="center"/>
          </w:tcPr>
          <w:p w14:paraId="40C2F6BB" w14:textId="77777777" w:rsidR="00B169B6" w:rsidRPr="00D022DD"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12803682"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#3</w:t>
            </w:r>
          </w:p>
        </w:tc>
        <w:tc>
          <w:tcPr>
            <w:tcW w:w="0" w:type="auto"/>
            <w:vAlign w:val="center"/>
          </w:tcPr>
          <w:p w14:paraId="5BB7D325" w14:textId="77777777" w:rsidR="00B169B6" w:rsidRPr="00D022DD" w:rsidRDefault="00B169B6" w:rsidP="00416611">
            <w:pPr>
              <w:rPr>
                <w:rFonts w:ascii="Times New Roman" w:eastAsia="Times New Roman" w:hAnsi="Times New Roman"/>
              </w:rPr>
            </w:pPr>
            <w:r w:rsidRPr="00D022DD">
              <w:rPr>
                <w:rFonts w:ascii="Times New Roman" w:eastAsia="Times New Roman" w:hAnsi="Times New Roman"/>
              </w:rPr>
              <w:t>#1 AND #2</w:t>
            </w:r>
          </w:p>
        </w:tc>
        <w:tc>
          <w:tcPr>
            <w:tcW w:w="0" w:type="auto"/>
            <w:vAlign w:val="center"/>
          </w:tcPr>
          <w:p w14:paraId="362C1BF1" w14:textId="700C9F48" w:rsidR="00B169B6" w:rsidRPr="00D022DD" w:rsidRDefault="0008561D" w:rsidP="00416611">
            <w:pPr>
              <w:rPr>
                <w:rFonts w:ascii="Times New Roman" w:eastAsia="Times New Roman" w:hAnsi="Times New Roman"/>
              </w:rPr>
            </w:pPr>
            <w:r w:rsidRPr="00D022DD">
              <w:rPr>
                <w:rFonts w:ascii="Times New Roman" w:eastAsia="Times New Roman" w:hAnsi="Times New Roman"/>
              </w:rPr>
              <w:t>398</w:t>
            </w:r>
          </w:p>
        </w:tc>
      </w:tr>
    </w:tbl>
    <w:p w14:paraId="1BB6C7BF" w14:textId="3BA1FA85" w:rsidR="0086023B" w:rsidRPr="00D022DD" w:rsidRDefault="0086023B" w:rsidP="0086023B">
      <w:pPr>
        <w:pStyle w:val="MDPI31text"/>
        <w:ind w:left="0" w:firstLine="0"/>
        <w:rPr>
          <w:rFonts w:ascii="Times New Roman" w:hAnsi="Times New Roman"/>
          <w:b/>
          <w:bCs/>
          <w:sz w:val="24"/>
          <w:szCs w:val="24"/>
        </w:rPr>
        <w:sectPr w:rsidR="0086023B" w:rsidRPr="00D022DD" w:rsidSect="00613085">
          <w:headerReference w:type="even" r:id="rId13"/>
          <w:footerReference w:type="default" r:id="rId14"/>
          <w:footerReference w:type="first" r:id="rId15"/>
          <w:type w:val="continuous"/>
          <w:pgSz w:w="11906" w:h="16838" w:code="9"/>
          <w:pgMar w:top="1417" w:right="1701" w:bottom="1418" w:left="1701" w:header="1020" w:footer="340" w:gutter="0"/>
          <w:pgNumType w:start="1"/>
          <w:cols w:space="425"/>
          <w:titlePg/>
          <w:bidi/>
          <w:docGrid w:linePitch="326"/>
        </w:sectPr>
      </w:pPr>
    </w:p>
    <w:p w14:paraId="630AD3C6" w14:textId="77777777" w:rsidR="00086C21" w:rsidRPr="00D022DD" w:rsidRDefault="00086C21" w:rsidP="00086C21">
      <w:pPr>
        <w:pStyle w:val="MDPI31text"/>
      </w:pPr>
    </w:p>
    <w:p w14:paraId="316B3D7B" w14:textId="636D8E0A" w:rsidR="00086C21" w:rsidRPr="00D022DD" w:rsidRDefault="00E65C56" w:rsidP="003A4A06">
      <w:pPr>
        <w:spacing w:line="240" w:lineRule="auto"/>
        <w:jc w:val="center"/>
        <w:rPr>
          <w:rFonts w:ascii="Times New Roman" w:eastAsia="Times New Roman" w:hAnsi="Times New Roman"/>
          <w:snapToGrid w:val="0"/>
          <w:sz w:val="22"/>
          <w:lang w:eastAsia="de-DE" w:bidi="en-US"/>
        </w:rPr>
      </w:pPr>
      <w:bookmarkStart w:id="4" w:name="_Hlk141574869"/>
      <w:r w:rsidRPr="00D022DD">
        <w:rPr>
          <w:rFonts w:ascii="Times New Roman" w:eastAsia="Times New Roman" w:hAnsi="Times New Roman"/>
          <w:b/>
          <w:bCs/>
          <w:snapToGrid w:val="0"/>
          <w:sz w:val="22"/>
          <w:lang w:eastAsia="de-DE" w:bidi="en-US"/>
        </w:rPr>
        <w:t>Table</w:t>
      </w:r>
      <w:r w:rsidR="00BB7795" w:rsidRPr="00D022DD">
        <w:rPr>
          <w:rFonts w:ascii="Times New Roman" w:eastAsia="Times New Roman" w:hAnsi="Times New Roman"/>
          <w:b/>
          <w:bCs/>
          <w:snapToGrid w:val="0"/>
          <w:sz w:val="22"/>
          <w:lang w:eastAsia="de-DE" w:bidi="en-US"/>
        </w:rPr>
        <w:t xml:space="preserve"> S3</w:t>
      </w:r>
      <w:r w:rsidR="003A4A06" w:rsidRPr="00D022DD">
        <w:rPr>
          <w:rFonts w:ascii="Times New Roman" w:eastAsia="Times New Roman" w:hAnsi="Times New Roman"/>
          <w:snapToGrid w:val="0"/>
          <w:sz w:val="22"/>
          <w:lang w:eastAsia="de-DE" w:bidi="en-US"/>
        </w:rPr>
        <w:t>. Quality of the included studies</w:t>
      </w:r>
    </w:p>
    <w:bookmarkEnd w:id="4"/>
    <w:p w14:paraId="7A225665" w14:textId="77777777" w:rsidR="00086C21" w:rsidRPr="00D022DD" w:rsidRDefault="00086C21" w:rsidP="00086C21">
      <w:pPr>
        <w:pStyle w:val="MDPI31text"/>
      </w:pPr>
    </w:p>
    <w:tbl>
      <w:tblPr>
        <w:tblStyle w:val="Tablanormal2"/>
        <w:tblW w:w="5327" w:type="pct"/>
        <w:jc w:val="center"/>
        <w:tblLayout w:type="fixed"/>
        <w:tblLook w:val="04A0" w:firstRow="1" w:lastRow="0" w:firstColumn="1" w:lastColumn="0" w:noHBand="0" w:noVBand="1"/>
      </w:tblPr>
      <w:tblGrid>
        <w:gridCol w:w="343"/>
        <w:gridCol w:w="1199"/>
        <w:gridCol w:w="1026"/>
        <w:gridCol w:w="1196"/>
        <w:gridCol w:w="1541"/>
        <w:gridCol w:w="2225"/>
        <w:gridCol w:w="1538"/>
        <w:gridCol w:w="1372"/>
        <w:gridCol w:w="1541"/>
        <w:gridCol w:w="1541"/>
        <w:gridCol w:w="1368"/>
        <w:gridCol w:w="1026"/>
        <w:gridCol w:w="1361"/>
      </w:tblGrid>
      <w:tr w:rsidR="009142E0" w:rsidRPr="00D022DD" w14:paraId="7A7C09B6" w14:textId="77777777" w:rsidTr="0018725E">
        <w:trPr>
          <w:gridBefore w:val="1"/>
          <w:cnfStyle w:val="100000000000" w:firstRow="1" w:lastRow="0" w:firstColumn="0" w:lastColumn="0" w:oddVBand="0" w:evenVBand="0" w:oddHBand="0" w:evenHBand="0" w:firstRowFirstColumn="0" w:firstRowLastColumn="0" w:lastRowFirstColumn="0" w:lastRowLastColumn="0"/>
          <w:wBefore w:w="99" w:type="pct"/>
          <w:trHeight w:val="765"/>
          <w:jc w:val="center"/>
        </w:trPr>
        <w:tc>
          <w:tcPr>
            <w:cnfStyle w:val="001000000000" w:firstRow="0" w:lastRow="0" w:firstColumn="1" w:lastColumn="0" w:oddVBand="0" w:evenVBand="0" w:oddHBand="0" w:evenHBand="0" w:firstRowFirstColumn="0" w:firstRowLastColumn="0" w:lastRowFirstColumn="0" w:lastRowLastColumn="0"/>
            <w:tcW w:w="347" w:type="pct"/>
            <w:vAlign w:val="center"/>
          </w:tcPr>
          <w:p w14:paraId="1259622C" w14:textId="77777777" w:rsidR="003A4A06" w:rsidRPr="00D022DD" w:rsidRDefault="003A4A06" w:rsidP="00E37E46">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 w:val="18"/>
                <w:szCs w:val="18"/>
              </w:rPr>
              <w:t>Authors</w:t>
            </w:r>
          </w:p>
        </w:tc>
        <w:tc>
          <w:tcPr>
            <w:tcW w:w="297" w:type="pct"/>
            <w:vAlign w:val="center"/>
          </w:tcPr>
          <w:p w14:paraId="0A17E0AB" w14:textId="77777777" w:rsidR="003A4A06" w:rsidRPr="00D022DD" w:rsidRDefault="003A4A06"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Year</w:t>
            </w:r>
          </w:p>
        </w:tc>
        <w:tc>
          <w:tcPr>
            <w:tcW w:w="346" w:type="pct"/>
            <w:vAlign w:val="center"/>
          </w:tcPr>
          <w:p w14:paraId="61F26391" w14:textId="7E692E75" w:rsidR="003A4A06" w:rsidRPr="00D022DD" w:rsidRDefault="00E242A4"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Eligibility criteria</w:t>
            </w:r>
          </w:p>
        </w:tc>
        <w:tc>
          <w:tcPr>
            <w:tcW w:w="446" w:type="pct"/>
            <w:vAlign w:val="center"/>
          </w:tcPr>
          <w:p w14:paraId="16C81CDD" w14:textId="44E18054" w:rsidR="003A4A06" w:rsidRPr="00D022DD" w:rsidRDefault="00E242A4"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Study subjects and the setting</w:t>
            </w:r>
          </w:p>
        </w:tc>
        <w:tc>
          <w:tcPr>
            <w:tcW w:w="644" w:type="pct"/>
            <w:vAlign w:val="center"/>
          </w:tcPr>
          <w:p w14:paraId="5112B9D1" w14:textId="1875B7B9"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Exposure measured in a valid and reliable way 'gold standard'</w:t>
            </w:r>
          </w:p>
        </w:tc>
        <w:tc>
          <w:tcPr>
            <w:tcW w:w="445" w:type="pct"/>
            <w:vAlign w:val="center"/>
          </w:tcPr>
          <w:p w14:paraId="324A3A7A" w14:textId="7DA2D8AA"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A specified diagnosis or definition</w:t>
            </w:r>
          </w:p>
        </w:tc>
        <w:tc>
          <w:tcPr>
            <w:tcW w:w="397" w:type="pct"/>
            <w:vAlign w:val="center"/>
          </w:tcPr>
          <w:p w14:paraId="55BB1E89" w14:textId="4329B36F"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Confounding factors</w:t>
            </w:r>
          </w:p>
        </w:tc>
        <w:tc>
          <w:tcPr>
            <w:tcW w:w="446" w:type="pct"/>
            <w:vAlign w:val="center"/>
          </w:tcPr>
          <w:p w14:paraId="46BADECA" w14:textId="4865790B"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Dealing with confounding factors</w:t>
            </w:r>
          </w:p>
        </w:tc>
        <w:tc>
          <w:tcPr>
            <w:tcW w:w="446" w:type="pct"/>
            <w:vAlign w:val="center"/>
          </w:tcPr>
          <w:p w14:paraId="566F5B85" w14:textId="339167F5"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Outcomes measured in a valid and reliable way</w:t>
            </w:r>
          </w:p>
        </w:tc>
        <w:tc>
          <w:tcPr>
            <w:tcW w:w="396" w:type="pct"/>
            <w:vAlign w:val="center"/>
          </w:tcPr>
          <w:p w14:paraId="0916D9EE" w14:textId="285D43F3"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Appropriate statistical analysis</w:t>
            </w:r>
          </w:p>
        </w:tc>
        <w:tc>
          <w:tcPr>
            <w:tcW w:w="297" w:type="pct"/>
            <w:vAlign w:val="center"/>
          </w:tcPr>
          <w:p w14:paraId="4CB3466B" w14:textId="6F0C5073"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Scores (8)</w:t>
            </w:r>
          </w:p>
        </w:tc>
        <w:tc>
          <w:tcPr>
            <w:tcW w:w="394" w:type="pct"/>
            <w:vAlign w:val="center"/>
          </w:tcPr>
          <w:p w14:paraId="14A1513D" w14:textId="535B0606" w:rsidR="003A4A06" w:rsidRPr="00D022DD"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Quality (high, moderate, low)</w:t>
            </w:r>
          </w:p>
        </w:tc>
      </w:tr>
      <w:tr w:rsidR="00205CD7" w:rsidRPr="00D022DD" w14:paraId="1C79CAE5"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9FE1521" w14:textId="771A035A" w:rsidR="00205CD7" w:rsidRPr="00EB38E1" w:rsidRDefault="00205CD7" w:rsidP="00205CD7">
            <w:pPr>
              <w:tabs>
                <w:tab w:val="left" w:pos="7925"/>
              </w:tabs>
              <w:autoSpaceDE w:val="0"/>
              <w:autoSpaceDN w:val="0"/>
              <w:adjustRightInd w:val="0"/>
              <w:snapToGrid w:val="0"/>
              <w:spacing w:line="240" w:lineRule="auto"/>
              <w:jc w:val="center"/>
              <w:rPr>
                <w:rFonts w:ascii="Times New Roman" w:hAnsi="Times New Roman"/>
                <w:szCs w:val="18"/>
              </w:rPr>
            </w:pPr>
            <w:r w:rsidRPr="00D022DD">
              <w:rPr>
                <w:rFonts w:ascii="Times New Roman" w:hAnsi="Times New Roman"/>
                <w:szCs w:val="18"/>
              </w:rPr>
              <w:t xml:space="preserve">Abd ElHafeez S,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{"citationID":"Ttb06RgX","properties":{"formattedCitation":"(1)","plainCitation":"(1)","noteIndex":0},"citationItems":[{"id":12980,"uris":["http://zotero.org/users/6456139/items/HKCZZ65E"],"itemData":{"id":12980,"type":"article-journal","abstract":"BACKGROUND AND AIMS: The recent monkeypox (Mpox) outbreak confirmed by the World Health Organization (WHO) underscores the importance of evaluating the knowledge and attitude of medical students toward emerging diseases, given their potential roles as healthcare professionals and sources of public information during outbreaks. This study aimed to assess medical students' knowledge and attitude about Mpox and to identify factors affecting their level of knowledge and attitude in low-income and high-income countries.\nMETHODS: A cross-sectional study was conducted on 11,919 medical students from 27 countries. A newly-developed validated questionnaire was used to collect data on knowledge (14 items), attitude (12 items), and baseline criteria. The relationship between a range of factors with knowledge and attitude was studied using univariate and multivariate analyses.\nRESULTS: 46% of the study participants were males; 10.7% were in their sixth year; 54.6% knew about smallpox; 84% received the coronavirus disease 2019 (COVID-19) vaccine; and 12.5% had training on Mpox. 55.3% had good knowledge of Mpox and 51.7% had a positive attitude towards it. Medical students in their third, fifth, or sixth year high- income countries who obtained information on Mpox from friends, research articles, social media and scientific websites were positive predictors for good knowledge. Conversely, being male or coming from high-income countries showed a negative relation with good knowledge about Mpox. Additionally, a positive attitude was directly influenced by residing in urban areas, being in the fifth year of medical education, having knowledge about smallpox and a history of receiving the coronavirus disease 2019 (COVID-19) vaccine. Receiving information about Mpox from social media or scientific websites and possessing good knowledge about Mpox were also predictors of a positive attitude. On the other hand, being male, employed, or receiving a training program about Mpox were inversely predicting positive attitude about Mpox.\nCONCLUSION: There were differences in knowledge and attitude towards Mpox between medical students in low and high-income countries, emphasizing the need for incorporating epidemiology of re-emerging diseases like Mpox into the medical curriculum to improve disease prevention and control.","container-title":"Frontiers in Public Health","DOI":"10.3389/fpubh.2023.1192542","ISSN":"2296-2565","journalAbbreviation":"Front Public Health","language":"eng","note":"PMID: 37575128\nPMCID: PMC10415161","page":"1192542","source":"PubMed","title":"Assessing disparities in medical students' knowledge and attitude about monkeypox: a cross-sectional study of 27 countries across three continents","title-short":"Assessing disparities in medical students' knowledge and attitude about monkeypox","volume":"11","author":[{"family":"Abd ElHafeez","given":"Samar"},{"family":"Gebreal","given":"Assem"},{"family":"Khalil","given":"Mohammad Adnan"},{"family":"Youssef","given":"Naglaa"},{"family":"Sallam","given":"Malik"},{"family":"Elshabrawy","given":"Abdelhamid"},{"family":"Abdel-Rahman","given":"Suzan"},{"family":"Mahboob","given":"Amira Saad"},{"family":"Yazbek","given":"Saja"},{"family":"Elbanna","given":"Eman H."},{"family":"Adhyaru","given":"Riddhi"},{"family":"Rodoshi","given":"Zarin Nudar"},{"family":"Kih","given":"Yap Siew"},{"family":"Jawad","given":"Huda"},{"family":"Kolotouros","given":"Evangelos"},{"family":"Jaworski","given":"Arkadiusz"},{"family":"AlQarni","given":"Ghadah"},{"family":"Gablan","given":"Mohammad"},{"family":"Condurat","given":"Alexandra"},{"family":"Elden","given":"Ahmed El-Sayed Said Nour"},{"family":"Bennani","given":"Oumayma"},{"family":"Rawat","given":"Kamna"},{"family":"Ismail","given":"Areeba"},{"family":"Al-Hajj","given":"Yasser"},{"family":"Elehamer","given":"Nafisa M. K."},{"family":"Nagi","given":"Jasleen"},{"family":"Admassu","given":"Habtamu"},{"family":"Al Asaad","given":"Saja Hassan"},{"family":"Duvuru","given":"Ruthwik"},{"family":"Ogunlana","given":"Olaoluwaposi"},{"family":"Alosaimi","given":"Bandar"},{"family":"Ghazy","given":"Ramy Mohamed"}],"issued":{"date-parts":[["2023"]]}}}],"schema":"https://github.com/citation-style-language/schema/raw/master/csl-citation.json"}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(1)</w:t>
            </w:r>
            <w:r w:rsidRPr="00D022DD">
              <w:rPr>
                <w:rFonts w:ascii="Times New Roman" w:hAnsi="Times New Roman"/>
                <w:szCs w:val="18"/>
                <w:lang w:val="es-PE"/>
              </w:rPr>
              <w:fldChar w:fldCharType="end"/>
            </w:r>
          </w:p>
        </w:tc>
        <w:tc>
          <w:tcPr>
            <w:tcW w:w="297" w:type="pct"/>
            <w:vAlign w:val="center"/>
          </w:tcPr>
          <w:p w14:paraId="437D4FC1" w14:textId="786CC71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D022DD">
              <w:rPr>
                <w:rFonts w:ascii="Times New Roman" w:hAnsi="Times New Roman"/>
                <w:szCs w:val="18"/>
              </w:rPr>
              <w:t>2023</w:t>
            </w:r>
          </w:p>
        </w:tc>
        <w:tc>
          <w:tcPr>
            <w:tcW w:w="346" w:type="pct"/>
            <w:vAlign w:val="center"/>
          </w:tcPr>
          <w:p w14:paraId="396984DE" w14:textId="001F1F3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201B05C0" w14:textId="44FC604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47B86D11" w14:textId="636E154D"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093D089C" w14:textId="0F26FF2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057FFD93" w14:textId="3E7A52D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pPr>
            <w:r w:rsidRPr="00D022DD">
              <w:t>Unclear</w:t>
            </w:r>
          </w:p>
        </w:tc>
        <w:tc>
          <w:tcPr>
            <w:tcW w:w="446" w:type="pct"/>
            <w:vAlign w:val="center"/>
          </w:tcPr>
          <w:p w14:paraId="1A2FAD06" w14:textId="75C81B3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320D70A2" w14:textId="18C9713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48A6CC32" w14:textId="0309094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41F46FBB" w14:textId="7942DEB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596F4368" w14:textId="05A7480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225F7495"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62B7DF9" w14:textId="4869401B"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Cs w:val="18"/>
              </w:rPr>
            </w:pPr>
            <w:r w:rsidRPr="00EB38E1">
              <w:rPr>
                <w:rFonts w:ascii="Times New Roman" w:hAnsi="Times New Roman"/>
                <w:szCs w:val="18"/>
              </w:rPr>
              <w:t xml:space="preserve">Berdida DJE. </w:t>
            </w:r>
            <w:r w:rsidRPr="00D022DD">
              <w:rPr>
                <w:rFonts w:ascii="Times New Roman" w:hAnsi="Times New Roman"/>
                <w:szCs w:val="18"/>
                <w:lang w:val="es-PE"/>
              </w:rPr>
              <w:fldChar w:fldCharType="begin"/>
            </w:r>
            <w:r w:rsidRPr="00EB38E1">
              <w:rPr>
                <w:rFonts w:ascii="Times New Roman" w:hAnsi="Times New Roman"/>
                <w:szCs w:val="18"/>
              </w:rPr>
              <w:instrText xml:space="preserve"> ADDIN ZOTERO_ITEM CSL_CITATION {"citationID":"w6bcMvdy","properties":{"formattedCitation":"(2)","plainCitation":"(2)","noteIndex":0},"citationItems":[{"id":11745,"uris":["http://zotero.org/users/6456139/items/GNMM4PDG"],"itemData":{"id":11745,"type":"article-journal","abstract":"AIMS: In July 2022, the human monkeypox virus was declared by the World Health Organization, a public health emergency of global concern. This study investigated the Filipinos' knowledge of monkeypox and determined the demographic variables that predicted it.\nDESIGN: Correlational and cross-sectional design adhering to STROBE guidelines.\nMETHODS: Participants were recruited conveniently through social media platforms (n = 575). This study used a 21-item monkeypox knowledge survey questionnaire to collect data from July to September 2022. Logistic regression analysis was used to analyse the data.\nRESULTS: Most participants (53.74%) were above 30 years old, females (68.87%), residing in Luzon (54.96%), college graduates (61.04%), Catholics (78.61%) and employed (68%). Social media, particularly Facebook (57.91%), is the common source of monkeypox-related information (78.61%). Participants' age (&gt;30 years old) is the only predictor of monkeypox infection knowledge (aOR: 3.13; 95%CI: 1.25-7.87, p = .015). They are three times more likely to be knowledgeable than those under 30.\nCONCLUSION: The findings highlight the importance of </w:instrText>
            </w:r>
            <w:r w:rsidRPr="00D022DD">
              <w:rPr>
                <w:rFonts w:ascii="Times New Roman" w:hAnsi="Times New Roman"/>
                <w:szCs w:val="18"/>
                <w:lang w:val="es-PE"/>
              </w:rPr>
              <w:instrText>evidence-based strategies for increasing public knowledge and awareness. The government, healthcare workers and the public should adopt proactive preventive measures against human monkeypox to prevent future pandemics.\nPATIENT OR PUBLIC CONTRIBUTION: No patient or public contribution has been made in this study.\nIMPACT STATEMENT: What problem did the study address? Assessing people's knowledge about monkeypox will help the government and healthcare workers (HCWs) create policies to prevent the spread of the virus. To the best of my knowledge, this is the first study that used a national online survey to assess Filipinos' human monkeypox knowledge. What were the main fin</w:instrText>
            </w:r>
            <w:r w:rsidRPr="00EB38E1">
              <w:rPr>
                <w:rFonts w:ascii="Times New Roman" w:hAnsi="Times New Roman"/>
                <w:szCs w:val="18"/>
              </w:rPr>
              <w:instrText xml:space="preserve">dings? Most participants had insufficient knowledge of the monkeypox infection. Participants' primary source of monkeypox infection information is social media, specifically Facebook. Participants older than 30 had higher knowledge of monkeypox infection. Where and on whom will the research have impact? Raising public awareness and knowledge about monkeypox disease prevents viral transmission in the community. HCWs (e.g., nurses, midwives, and doctors) should report monkeypox patients to appropriate health authorities. Standard and droplet precautions should be practiced and taught to the public to prevent the virus' spread. The government and HCWs should intensify monkeypox awareness programs to increase the public's knowledge and awareness of the disease. They can utilize social media platforms to disseminate correct and relevant information.","container-title":"Journal of Advanced Nursing","DOI":"10.1111/jan.15635","ISSN":"1365-2648","issue":"7","journalAbbreviation":"J Adv Nurs","language":"eng","note":"PMID: 36908101","page":"2684-2694","source":"PubMed","title":"Population-based survey of human monkeypox disease knowledge in the Philippines: An online cross-sectional study","title-short":"Population-based survey of human monkeypox disease knowledge in the Philippines","volume":"79","author":[{"family":"Berdida","given":"Daniel Joseph E."}],"issued":{"date-parts":[["2023",7]]}}}],"schema":"https://github.com/citation-style-language/schema/raw/master/csl-citation.json"}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(2)</w:t>
            </w:r>
            <w:r w:rsidRPr="00D022DD">
              <w:rPr>
                <w:rFonts w:ascii="Times New Roman" w:hAnsi="Times New Roman"/>
                <w:szCs w:val="18"/>
                <w:lang w:val="es-PE"/>
              </w:rPr>
              <w:fldChar w:fldCharType="end"/>
            </w:r>
          </w:p>
        </w:tc>
        <w:tc>
          <w:tcPr>
            <w:tcW w:w="297" w:type="pct"/>
            <w:vAlign w:val="center"/>
          </w:tcPr>
          <w:p w14:paraId="0D8C8A62" w14:textId="30338F5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D022DD">
              <w:rPr>
                <w:rFonts w:ascii="Times New Roman" w:hAnsi="Times New Roman"/>
                <w:szCs w:val="18"/>
              </w:rPr>
              <w:t>2023</w:t>
            </w:r>
          </w:p>
        </w:tc>
        <w:tc>
          <w:tcPr>
            <w:tcW w:w="346" w:type="pct"/>
            <w:vAlign w:val="center"/>
          </w:tcPr>
          <w:p w14:paraId="63A58BAB" w14:textId="450EB43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60EC168E" w14:textId="60240030"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5C2A33F4" w14:textId="187D79A1"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5A1806D5" w14:textId="23F4CFA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66CB087F" w14:textId="5E30D1A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1611D84A" w14:textId="2682C47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45A354CA" w14:textId="01B7528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25F8B548" w14:textId="70E614A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514F5436" w14:textId="5A205C2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6B5E7946" w14:textId="2559EFB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7853F000"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AFE6F57" w14:textId="701FB86B"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D022DD">
              <w:rPr>
                <w:rFonts w:ascii="Times New Roman" w:hAnsi="Times New Roman"/>
                <w:szCs w:val="18"/>
              </w:rPr>
              <w:t xml:space="preserve">Awoyomi OJ,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{"citationID":"ECLydAlS","properties":{"formattedCitation":"(3)","plainCitation":"(3)","noteIndex":0},"citationItems":[{"id":12447,"uris":["http://zotero.org/users/6456139/items/S9XP9T2J"],"itemData":{"id":12447,"type":"article-journal","abstract":"BACKGROUND: The mpox (monkeypox) disease is a re-emerging viral zoonosis of international concern that is endemic in parts of Africa. The mpox virus (MPXV), which was hitherto largely limited to some Central and West African countries, was declared a public health emergency of international concern by the WHO on July 23, 2022 following the rapid spread of the virus to non-endemic countries. Globally, as of March 16, 2023, the WHO had reported 86,496 laboratory-confirmed cases of mpox and 111 deaths in 110 countries. Of the 1,420 cases of mpox reported in Africa as of March 16, 2023, Nigeria alone recorded 57.1% (812) of the confirmed cases and eight fatalities recorded in the continent. To help improve on the understanding of the current situation in Nigeria, the present study assessed the perception and knowledge of mpox among Nigerian healthcare workers, academics and tertiary students. The study also sought to highlight the global public health significance of the MPXV, and recommend a One Health approach to limit exporting of the virus beyond the borders of Nigeria.\nMETHODS: A web-based cross-sectional survey was conducted between 24 July 2022 and 12 August 2022 to evaluate the perception and knowledge of mpox among 1544 Nigerians, consisted of healthcare workers (n = 832), academics (n = 306) and tertiary students (n = 462). Data on the respondents' socio demographics and their information sources on mpox were also collected. Each correct response was allotted one point whi</w:instrText>
            </w:r>
            <w:r w:rsidRPr="00D022DD">
              <w:rPr>
                <w:rFonts w:ascii="Times New Roman" w:hAnsi="Times New Roman" w:hint="eastAsia"/>
                <w:szCs w:val="18"/>
              </w:rPr>
              <w:instrText>le an incorrect response was scored zero. The scores for perception and knowledge were dichotomized into positive (&gt;5.5) and negative (</w:instrText>
            </w:r>
            <w:r w:rsidRPr="00D022DD">
              <w:rPr>
                <w:rFonts w:ascii="Times New Roman" w:hAnsi="Times New Roman" w:hint="eastAsia"/>
                <w:szCs w:val="18"/>
              </w:rPr>
              <w:instrText>≤</w:instrText>
            </w:r>
            <w:r w:rsidRPr="00D022DD">
              <w:rPr>
                <w:rFonts w:ascii="Times New Roman" w:hAnsi="Times New Roman" w:hint="eastAsia"/>
                <w:szCs w:val="18"/>
              </w:rPr>
              <w:instrText>5.5) and adequate (&gt;5.8) and inadequate (</w:instrText>
            </w:r>
            <w:r w:rsidRPr="00D022DD">
              <w:rPr>
                <w:rFonts w:ascii="Times New Roman" w:hAnsi="Times New Roman" w:hint="eastAsia"/>
                <w:szCs w:val="18"/>
              </w:rPr>
              <w:instrText>≤</w:instrText>
            </w:r>
            <w:r w:rsidRPr="00D022DD">
              <w:rPr>
                <w:rFonts w:ascii="Times New Roman" w:hAnsi="Times New Roman" w:hint="eastAsia"/>
                <w:szCs w:val="18"/>
              </w:rPr>
              <w:instrText>5.8), respectively; using the average scores for perception and knowledge. Th</w:instrText>
            </w:r>
            <w:r w:rsidRPr="00D022DD">
              <w:rPr>
                <w:rFonts w:ascii="Times New Roman" w:hAnsi="Times New Roman"/>
                <w:szCs w:val="18"/>
              </w:rPr>
              <w:instrText xml:space="preserve">e average score for perception and knowledge were summarised and presented as the mean and standard deviation (SD). Chi-square tests of association and binary logistic regression were carried out to determine factors associated with the outcome variables.\nRESULTS: Of the 1452 respondents that had heard of mpox, 878 (60.5%) and 419 (28.9%) had adequate knowledge and positive perception concerning MPXV infection respectively. Average perception score was 5.5. Mean perception and knowledge scores were 4.5(SD: 2.0) and 5.8 (SD: 1.9), respectively. Factors that were significantly associated with knowledge level were age (p = 0.020) educational qualification attained (p = 0.004), occupation (p&lt;0.001), and geopolitical zone of residency (p = 0.001). There was a positive correlation between perception and knowledge scores (r = 0.4, p&lt;0.001). Positive perceptions were likely among respondents who had tertiary education, and residing in North-west Nigeria. Likewise, adequate knowledge scores were likely among respondents under 30 years of age, with tertiary education or reside in North-west Nigeria. Sources of information were significantly associated with perception (p = 0.004) and knowledge (p&lt;0.001) of the respondents.\nCONCLUSION: The findings of this study show that there is disparity in the knowledge and perception of mpox in the study population, and as a result, there is a need to intensify awareness about MPXV infection to enhance positive perception among the respondents. This has potential to safeguard public health and contain the disease thus preventing it from spreading to the global community. A One Health approach involving animal and human health workers is imperative for improved knowledge and a good perception towards the disease among </w:instrText>
            </w:r>
            <w:r w:rsidRPr="00D022DD">
              <w:rPr>
                <w:rFonts w:ascii="Times New Roman" w:hAnsi="Times New Roman"/>
                <w:szCs w:val="18"/>
                <w:lang w:val="es-PE"/>
              </w:rPr>
              <w:instrText xml:space="preserve">respondents, and enhanced active surveillance and early detection of MPXV in reservoir hosts (rodents and non-human primates); to prevent reverse zoonotic transmission of the virus at the human-animal interface.","container-title":"PloS One","DOI":"10.1371/journal.pone.0283571","ISSN":"1932-6203","issue":"3","journalAbbreviation":"PLoS One","language":"eng","note":"PMID: 36996122\nPMCID: PMC10062623","page":"e0283571","source":"PubMed","title":"Mpox in Nigeria: Perceptions and knowledge of the disease among critical stakeholders-Global public health consequences","title-short":"Mpox in Nigeria","volume":"18","author":[{"family":"Awoyomi","given":"Olajoju J."},{"family":"Njoga","given":"Emmanuel O."},{"family":"Jaja","given":"Ishmael F."},{"family":"Oyeleye","given":"Felix A."},{"family":"Awoyomi","given":"Priscilla O."},{"family":"Ibrahim","given":"Musawa A."},{"family":"Saulawa","given":"M. A."},{"family":"Galadima","given":"Haruna B."},{"family":"Rowaiye","given":"Adekunle B."},{"family":"Olasoju","given":"Taiwo I."},{"family":"Idrisa","given":"Jamila A."},{"family":"Olalere","given":"Folasade D. H."},{"family":"Olasoju","given":"Mary I."},{"family":"Adisa","given":"Oluwatosin H."},{"family":"Adetunji","given":"Veronica E."},{"family":"Idemudia","given":"Osagie O."},{"family":"Ezenduka","given":"Ekene V."},{"family":"Oguttu","given":"James W."}],"issued":{"date-parts":[["2023"]]}}}],"schema":"https://github.com/citation-style-language/schema/raw/master/csl-citation.json"}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lang w:val="es-PE"/>
              </w:rPr>
              <w:t>(3)</w:t>
            </w:r>
            <w:r w:rsidRPr="00D022DD">
              <w:rPr>
                <w:rFonts w:ascii="Times New Roman" w:hAnsi="Times New Roman"/>
                <w:szCs w:val="18"/>
                <w:lang w:val="es-PE"/>
              </w:rPr>
              <w:fldChar w:fldCharType="end"/>
            </w:r>
          </w:p>
        </w:tc>
        <w:tc>
          <w:tcPr>
            <w:tcW w:w="297" w:type="pct"/>
            <w:vAlign w:val="center"/>
          </w:tcPr>
          <w:p w14:paraId="4E021E51" w14:textId="1474130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Cs w:val="18"/>
                <w:lang w:val="es-PE"/>
              </w:rPr>
              <w:t>2023</w:t>
            </w:r>
          </w:p>
        </w:tc>
        <w:tc>
          <w:tcPr>
            <w:tcW w:w="346" w:type="pct"/>
            <w:vAlign w:val="center"/>
          </w:tcPr>
          <w:p w14:paraId="552DDDA7" w14:textId="65A49A09"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Yes</w:t>
            </w:r>
          </w:p>
        </w:tc>
        <w:tc>
          <w:tcPr>
            <w:tcW w:w="446" w:type="pct"/>
            <w:vAlign w:val="center"/>
          </w:tcPr>
          <w:p w14:paraId="4F5C2872" w14:textId="7C0FE11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Yes</w:t>
            </w:r>
          </w:p>
        </w:tc>
        <w:tc>
          <w:tcPr>
            <w:tcW w:w="644" w:type="pct"/>
            <w:vAlign w:val="center"/>
          </w:tcPr>
          <w:p w14:paraId="4251EEBB" w14:textId="11928AD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Yes</w:t>
            </w:r>
          </w:p>
        </w:tc>
        <w:tc>
          <w:tcPr>
            <w:tcW w:w="445" w:type="pct"/>
            <w:vAlign w:val="center"/>
          </w:tcPr>
          <w:p w14:paraId="1BB392F3" w14:textId="6980990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Yes</w:t>
            </w:r>
          </w:p>
        </w:tc>
        <w:tc>
          <w:tcPr>
            <w:tcW w:w="397" w:type="pct"/>
            <w:vAlign w:val="center"/>
          </w:tcPr>
          <w:p w14:paraId="26A9C00C" w14:textId="2A0558C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lang w:val="es-PE"/>
              </w:rPr>
              <w:t>Unclear</w:t>
            </w:r>
          </w:p>
        </w:tc>
        <w:tc>
          <w:tcPr>
            <w:tcW w:w="446" w:type="pct"/>
            <w:vAlign w:val="center"/>
          </w:tcPr>
          <w:p w14:paraId="6B94125C" w14:textId="44652363"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NA</w:t>
            </w:r>
          </w:p>
        </w:tc>
        <w:tc>
          <w:tcPr>
            <w:tcW w:w="446" w:type="pct"/>
            <w:vAlign w:val="center"/>
          </w:tcPr>
          <w:p w14:paraId="5C404596" w14:textId="2341267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Yes</w:t>
            </w:r>
          </w:p>
        </w:tc>
        <w:tc>
          <w:tcPr>
            <w:tcW w:w="396" w:type="pct"/>
            <w:vAlign w:val="center"/>
          </w:tcPr>
          <w:p w14:paraId="28BA7A8A" w14:textId="445418C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Yes</w:t>
            </w:r>
          </w:p>
        </w:tc>
        <w:tc>
          <w:tcPr>
            <w:tcW w:w="297" w:type="pct"/>
            <w:vAlign w:val="center"/>
          </w:tcPr>
          <w:p w14:paraId="14FBBAF4" w14:textId="22AC72E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6</w:t>
            </w:r>
          </w:p>
        </w:tc>
        <w:tc>
          <w:tcPr>
            <w:tcW w:w="394" w:type="pct"/>
            <w:vAlign w:val="center"/>
          </w:tcPr>
          <w:p w14:paraId="183FECAC" w14:textId="3FBDE40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s-PE"/>
              </w:rPr>
            </w:pPr>
            <w:r w:rsidRPr="00D022DD">
              <w:rPr>
                <w:rFonts w:ascii="Times New Roman" w:hAnsi="Times New Roman"/>
                <w:sz w:val="18"/>
                <w:szCs w:val="18"/>
                <w:lang w:val="es-PE"/>
              </w:rPr>
              <w:t>Moderate</w:t>
            </w:r>
          </w:p>
        </w:tc>
      </w:tr>
      <w:tr w:rsidR="00205CD7" w:rsidRPr="00D022DD" w14:paraId="5ED6A697"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E0783D7" w14:textId="416AD759"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lang w:val="es-PE"/>
              </w:rPr>
              <w:t xml:space="preserve">Gonzales-Zamora JA, et al. </w:t>
            </w:r>
            <w:r w:rsidRPr="00D022DD">
              <w:rPr>
                <w:rFonts w:ascii="Times New Roman" w:hAnsi="Times New Roman"/>
                <w:szCs w:val="18"/>
                <w:lang w:val="es-PE"/>
              </w:rPr>
              <w:fldChar w:fldCharType="begin"/>
            </w:r>
            <w:r w:rsidRPr="00D022DD">
              <w:rPr>
                <w:rFonts w:ascii="Times New Roman" w:hAnsi="Times New Roman"/>
                <w:szCs w:val="18"/>
                <w:lang w:val="es-PE"/>
              </w:rPr>
              <w:instrText xml:space="preserve"> ADDIN ZOTERO_ITEM CSL_CITATION {"citationID":"mLIHFoi5","properties":{"formattedCitation":"(4)","plainCitation":"(4)","noteIndex":0},"citationItems":[{"id":11761,"uris":["http://zotero.org/users/6456139/items/R4R3FPT2"],"itemData":{"id":11761,"type":"article-journal","abstract":"Introduction: Due to the high incidence of mpox in Peru and the poor knowledge about this disease among healthcare workers in non-endemic countries, it is crucial to determine the knowledge status of Peruvian physicians. Methodology: We conducted an analytical cross-sectional study based on an online survey from August to September 2022. Physicians who had a medical license and lived and practiced medicine in Peru were included. To evaluate the factors associated with a higher level of knowledge, we used crude (cPR) and adjusted (aPR) prevalence ratios with 95% confidence intervals (95% CI) using Poisson regression. Results: We included 463 physicians. The mean age was 36.6 (SD: 10.3) years, and most were male (58.1%). Regarding knowledge, the median knowledge score was 14 [IQR: 13 to 15] out of 17 points. In terms of knowledge gaps, only 60.7% of the participants knew that there was an FDA-approved vaccine for mpox, 49.0% of participants knew about mpox proctitis and 33.3% acknowledged that it could be transmitted by the bite of an infected rodent. We found that taking care of patients with mpox (aPR: 1.39; 95% CI: 1.13 to 1.72) was associated with higher knowledge (&gt;p50), while living in the eastern macro-region (aPR: 0.62; 95%</w:instrText>
            </w:r>
            <w:r w:rsidRPr="00D022DD">
              <w:rPr>
                <w:rFonts w:ascii="Times New Roman" w:hAnsi="Times New Roman" w:hint="eastAsia"/>
                <w:szCs w:val="18"/>
                <w:lang w:val="es-PE"/>
              </w:rPr>
              <w:instrText xml:space="preserve"> CI: 0.42 to 0.93) was associated with lower knowledge (</w:instrText>
            </w:r>
            <w:r w:rsidRPr="00D022DD">
              <w:rPr>
                <w:rFonts w:ascii="Times New Roman" w:hAnsi="Times New Roman" w:hint="eastAsia"/>
                <w:szCs w:val="18"/>
                <w:lang w:val="es-PE"/>
              </w:rPr>
              <w:instrText>≤</w:instrText>
            </w:r>
            <w:r w:rsidRPr="00D022DD">
              <w:rPr>
                <w:rFonts w:ascii="Times New Roman" w:hAnsi="Times New Roman" w:hint="eastAsia"/>
                <w:szCs w:val="18"/>
                <w:lang w:val="es-PE"/>
              </w:rPr>
              <w:instrText>p50). Conclusions: Our study showed a high level of knowledge about mpox among Peruvian physici</w:instrText>
            </w:r>
            <w:r w:rsidRPr="00D022DD">
              <w:rPr>
                <w:rFonts w:ascii="Times New Roman" w:hAnsi="Times New Roman" w:hint="eastAsia"/>
                <w:szCs w:val="18"/>
              </w:rPr>
              <w:instrText>ans. However, educational campaigns may be necessary, especially for physicians from the eastern region</w:instrText>
            </w:r>
            <w:r w:rsidRPr="00D022DD">
              <w:rPr>
                <w:rFonts w:ascii="Times New Roman" w:hAnsi="Times New Roman"/>
                <w:szCs w:val="18"/>
              </w:rPr>
              <w:instrText xml:space="preserve"> and those who do not have clinical experience with mpox.","container-title":"Vaccines","DOI":"10.3390/vaccines11010167","ISSN":"2076-393X","issue":"1","journalAbbreviation":"Vaccines (Basel)","language":"eng","note":"PMID: 36680012\nPMCID: PMC9860588","page":"167","source":"PubMed","title":"Level of Knowledge Regarding Mpox among Peruvian Physicians during the 2022 Outbreak: A Cross-Sectional Study","title-short":"Level of Knowledge Regarding Mpox among Peruvian Physicians during the 2022 Outbreak","volume":"11","author":[{"family":"Gonzales-Zamora","given":"Jose A."},{"family":"Soriano-Moreno","given":"David R."},{"family":"Soriano-Moreno","given":"Anderson N."},{"family":"Ponce-Rosas","given":"Linda"},{"family":"Sangster-Carrasco","given":"Lucero"},{"family":"De-Los-Rios-Pinto","given":"Abraham"},{"family":"Benito-Vargas","given":"Raysa M."},{"family":"Murrieta-Ruiz","given":"Valentina"},{"family":"Morocho-Alburqueque","given":"Noelia"},{"family":"Caira-Chuquineyra","given":"Brenda"},{"family":"Fernandez-Guzman","given":"Daniel"},{"family":"Ccami-Bernal","given":"Fabricio"},{"family":"Quispe-Vicuña","given":"Carlos"},{"family":"Alarcon-Parra","given":"Mariano"},{"family":"Pinedo-Soria","given":"Antony"},{"family":"Alave","given":"Jorge"}],"issued":{"date-parts":[["2023",1,12]]}}}],"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(4)</w:t>
            </w:r>
            <w:r w:rsidRPr="00D022DD">
              <w:rPr>
                <w:rFonts w:ascii="Times New Roman" w:hAnsi="Times New Roman"/>
                <w:szCs w:val="18"/>
                <w:lang w:val="es-PE"/>
              </w:rPr>
              <w:fldChar w:fldCharType="end"/>
            </w:r>
          </w:p>
        </w:tc>
        <w:tc>
          <w:tcPr>
            <w:tcW w:w="297" w:type="pct"/>
            <w:vAlign w:val="center"/>
          </w:tcPr>
          <w:p w14:paraId="4159AFB0" w14:textId="06B3D78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3753F1A4" w14:textId="7E49D6C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 xml:space="preserve">Yes </w:t>
            </w:r>
          </w:p>
        </w:tc>
        <w:tc>
          <w:tcPr>
            <w:tcW w:w="446" w:type="pct"/>
            <w:vAlign w:val="center"/>
          </w:tcPr>
          <w:p w14:paraId="1892DBEF" w14:textId="083A70CB"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 xml:space="preserve">Yes </w:t>
            </w:r>
          </w:p>
        </w:tc>
        <w:tc>
          <w:tcPr>
            <w:tcW w:w="644" w:type="pct"/>
            <w:vAlign w:val="center"/>
          </w:tcPr>
          <w:p w14:paraId="28B5D1F3" w14:textId="2F318B57"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 xml:space="preserve">Yes </w:t>
            </w:r>
          </w:p>
        </w:tc>
        <w:tc>
          <w:tcPr>
            <w:tcW w:w="445" w:type="pct"/>
            <w:vAlign w:val="center"/>
          </w:tcPr>
          <w:p w14:paraId="0647F21A" w14:textId="4FBFBAC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 xml:space="preserve">Yes </w:t>
            </w:r>
          </w:p>
        </w:tc>
        <w:tc>
          <w:tcPr>
            <w:tcW w:w="397" w:type="pct"/>
            <w:vAlign w:val="center"/>
          </w:tcPr>
          <w:p w14:paraId="04FC5ECA" w14:textId="017F4FE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1F5CAB43" w14:textId="08BC1DC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6244170A" w14:textId="156C56D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 xml:space="preserve">Yes </w:t>
            </w:r>
          </w:p>
        </w:tc>
        <w:tc>
          <w:tcPr>
            <w:tcW w:w="396" w:type="pct"/>
            <w:vAlign w:val="center"/>
          </w:tcPr>
          <w:p w14:paraId="6934CA93" w14:textId="69488C2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 xml:space="preserve">Yes </w:t>
            </w:r>
          </w:p>
        </w:tc>
        <w:tc>
          <w:tcPr>
            <w:tcW w:w="297" w:type="pct"/>
            <w:vAlign w:val="center"/>
          </w:tcPr>
          <w:p w14:paraId="294C517B" w14:textId="305C74F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6FDE9A9F" w14:textId="1F750643"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48982871"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448B0B1" w14:textId="64E2DE5C"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rPr>
              <w:t xml:space="preserve">Abu-Farha RK,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{"citationID":"6ITENv8d","properties":{"formattedCitation":"(5)","plainCitation":"(5)","noteIndex":0},"citationItems":[{"id":12462,"uris":["http://zotero.org/users/6456139/items/383X7ZF5"],"itemData":{"id":12462,"type":"article-journal","abstract":"Hundreds of human mpox cases are spreading outside of Western and Central Africa, which could be considered a significant world health problem. In this study, we sought to assess public knowledge and perceptions of human mpox. The study was a cross-sectional survey conducted in Jordan in September-October 2022. All participants were approached through social media portals. A total of 1195 participants agreed to participate in this study. The participants showed a low median knowledge score about human mpox (4.0 out of 15.0, IQR = 5.0), with only 27.9% of the participants (n = 334) correctly identifying that human mpox is not a bacterial disease, and around half of them (n = 589, 49.3%) knowing that this disease affects both gende</w:instrText>
            </w:r>
            <w:r w:rsidRPr="00D022DD">
              <w:rPr>
                <w:rFonts w:ascii="Times New Roman" w:hAnsi="Times New Roman" w:hint="eastAsia"/>
                <w:szCs w:val="18"/>
              </w:rPr>
              <w:instrText>rs. Higher monthly income (</w:instrText>
            </w:r>
            <w:r w:rsidRPr="00D022DD">
              <w:rPr>
                <w:rFonts w:ascii="Times New Roman" w:hAnsi="Times New Roman" w:hint="eastAsia"/>
                <w:szCs w:val="18"/>
              </w:rPr>
              <w:instrText>≥</w:instrText>
            </w:r>
            <w:r w:rsidRPr="00D022DD">
              <w:rPr>
                <w:rFonts w:ascii="Times New Roman" w:hAnsi="Times New Roman" w:hint="eastAsia"/>
                <w:szCs w:val="18"/>
              </w:rPr>
              <w:instrText>400 JD/month) was significantly associated with better knowledge about the disease. Social media was the most comprehensive source of information about mpox (n = 1018, 85.2%). Finally, 57.3% of the participants (n = 685) believ</w:instrText>
            </w:r>
            <w:r w:rsidRPr="00D022DD">
              <w:rPr>
                <w:rFonts w:ascii="Times New Roman" w:hAnsi="Times New Roman"/>
                <w:szCs w:val="18"/>
              </w:rPr>
              <w:instrText>ed that mpox would affect social and economic life, like the COVID-19 pandemic. These findings highlight the urgent need for systematic stra</w:instrText>
            </w:r>
            <w:r w:rsidRPr="00D022DD">
              <w:rPr>
                <w:rFonts w:ascii="Times New Roman" w:hAnsi="Times New Roman"/>
                <w:szCs w:val="18"/>
                <w:lang w:val="es-PE"/>
              </w:rPr>
              <w:instrText xml:space="preserve">tegies that should be promoted to increase public knowledge of mpox, which will be critical in improving the capacity to respond to the disease.","container-title":"Tropical Medicine and Infectious Disease","DOI":"10.3390/tropicalmed8010041","ISSN":"2414-6366","issue":"1","journalAbbreviation":"Trop Med Infect Dis","language":"eng","note":"PMID: 36668948\nPMCID: PMC9861141","page":"41","source":"PubMed","title":"Public Knowledge and Perceptions about the Emerging Human Mpox in Jordan: A Cross-Sectional Study","title-short":"Public Knowledge and Perceptions about the Emerging Human Mpox in Jordan","volume":"8","author":[{"family":"Abu-Farha","given":"Rana K."},{"family":"Alzoubi","given":"Karem H."},{"family":"Mukattash","given":"Tareq L."},{"family":"Alkhawaldeh","given":"Rama"},{"family":"Barakat","given":"Muna"},{"family":"Thiab","given":"Samar"}],"issued":{"date-parts":[["2023",1,5]]}}}],"schema":"https://github.com/citation-style-language/schema/raw/master/csl-citation.json"}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(5)</w:t>
            </w:r>
            <w:r w:rsidRPr="00D022DD">
              <w:rPr>
                <w:rFonts w:ascii="Times New Roman" w:hAnsi="Times New Roman"/>
                <w:szCs w:val="18"/>
                <w:lang w:val="es-PE"/>
              </w:rPr>
              <w:fldChar w:fldCharType="end"/>
            </w:r>
            <w:r w:rsidRPr="00D022DD">
              <w:rPr>
                <w:rFonts w:ascii="Times New Roman" w:hAnsi="Times New Roman"/>
                <w:szCs w:val="18"/>
                <w:lang w:val="es-PE"/>
              </w:rPr>
              <w:t xml:space="preserve"> </w:t>
            </w:r>
          </w:p>
        </w:tc>
        <w:tc>
          <w:tcPr>
            <w:tcW w:w="297" w:type="pct"/>
            <w:vAlign w:val="center"/>
          </w:tcPr>
          <w:p w14:paraId="53AF5B14" w14:textId="70BE165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3D6B3B8C" w14:textId="28C6E19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4BAC1E60" w14:textId="4505DBF6"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0945F3DF" w14:textId="1D05376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7F563BC4" w14:textId="20AFCCB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362326BE" w14:textId="39A3D9E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7186AF35" w14:textId="575D5C8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5BA9712D" w14:textId="784BC91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0E67A9E9" w14:textId="1F365F0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39EE0BF6" w14:textId="4DFE54C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7C4DBEAB" w14:textId="0319B71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6585AABE"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2F0FB7D8" w14:textId="4040F428"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lang w:val="es-PE"/>
              </w:rPr>
              <w:t xml:space="preserve">Araoz-Salinas JM, et al. </w:t>
            </w:r>
            <w:r w:rsidRPr="00D022DD">
              <w:rPr>
                <w:rFonts w:ascii="Times New Roman" w:hAnsi="Times New Roman"/>
                <w:szCs w:val="18"/>
                <w:lang w:val="es-PE"/>
              </w:rPr>
              <w:fldChar w:fldCharType="begin"/>
            </w:r>
            <w:r w:rsidRPr="00D022DD">
              <w:rPr>
                <w:rFonts w:ascii="Times New Roman" w:hAnsi="Times New Roman"/>
                <w:szCs w:val="18"/>
                <w:lang w:val="es-PE"/>
              </w:rPr>
              <w:instrText xml:space="preserve"> ADDIN ZOTERO_ITEM CSL_CITATION {"citationID":"aFLEHIuK","properties":{"formattedCitation":"(6)","plainCitation":"(6)","noteIndex":0},"citationItems":[{"id":12438,"uris":["http://zotero.org/users/6456139/items/8RW3UBG4"],"itemData":{"id":12438,"type":"article-journal","abstract":"Vaccination against mpox can control the outbreak by targeting high-risk groups such as the LGBTIQ+ community. The aim of the study was to evaluate the perceptions and intentions to get vaccinated against mpox among the LGBTIQ+ community in Peru. We conducted a cross-sectional study from 1 November 2022 to 17 January 2023 in Peru. We included individuals over 18 years old, belonging to the LGBTIQ+ community, and residing in the departments of Lima and Callao. To evaluate the factors associated with the intention to be vaccinated, we used Poisson regression with robust variance to create a multivariate model. The study comprised 373 individuals who self-identified as members of the LGBTIQ+ community. The participants had a mean age of 31 years (SD ± 9), with 85.0% males and 75.3% reporting to be homosexual men. The majority (88.5%) expressed their intention to receive the vaccine against mpox. Believing that the vaccine is safe was associated with a higher intention to be vaccinated (aPR: 1.24; 95% CI: 1.02 to 1.50; p = 0.028). Our study population showed a high level of mpox vaccination intent. Educational campaigns reinforcing the concept of vaccine safety should be conducted to increase the intention and possibly the vaccination rate in the LGBTIQ+ community.","container-title":"Vaccines","DOI":"10.3390/vaccines11051008","ISSN":"2076-393X","issue":"5","journalAbbreviation":"Vaccines (Basel)","language":"eng","note":"PMID: 37243112\nPMCID: PMC10220940","page":"1008","source":"PubMed","title":"Perceptions and Intention to Get Vaccinated against Mpox among the LGBTIQ+ Community during the 2022 Outbreak: A Cross-Sectional Study in Peru","title-short":"Perceptions and Intention to Get Vaccinated against Mpox among the LGBTIQ+ Community during the 2022 Outbreak","volume":"11","author":[{"family":"Araoz-Salinas","given":"Julieta M."},{"family":"Ortiz-Saavedra","given":"Brando"},{"family":"Ponce-Rosas","given":"Linda"},{"family":"Soriano-Moreno","given":"David R."},{"family":"Soriano-Moreno","given":"Anderson N."},{"family":"Alave","given":"Jorge"},{"family":"Gonzales-Zamora","given":"Jose A."}],"issued":{"date-parts":[["2023",5,21]]}}}],"schema":"https://github.com/citation-style-language/schema/raw/master/csl-citation.json"}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(6)</w:t>
            </w:r>
            <w:r w:rsidRPr="00D022DD">
              <w:rPr>
                <w:rFonts w:ascii="Times New Roman" w:hAnsi="Times New Roman"/>
                <w:szCs w:val="18"/>
                <w:lang w:val="es-PE"/>
              </w:rPr>
              <w:fldChar w:fldCharType="end"/>
            </w:r>
          </w:p>
        </w:tc>
        <w:tc>
          <w:tcPr>
            <w:tcW w:w="297" w:type="pct"/>
            <w:vAlign w:val="center"/>
          </w:tcPr>
          <w:p w14:paraId="090C94E4" w14:textId="06C7967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617F602B" w14:textId="3EBED1E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5FCB1ACB" w14:textId="0CD4396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42B8A3E1" w14:textId="5381A2A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6E42AD7D" w14:textId="70335F9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6B42A199" w14:textId="4C43A21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2E86C44B" w14:textId="2FC22A5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4073B94B" w14:textId="0E6DB160"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329841D2" w14:textId="03E98B9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1621EB62" w14:textId="7BA8FBB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2E4FDD21" w14:textId="6EAEA34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184DC597"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1391D3" w14:textId="03E05BE2"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rPr>
              <w:t xml:space="preserve">Sobaikhi NH,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{"citationID":"oQWAVJ5l","properties":{"formattedCitation":"(7)","plainCitation":"(7)","noteIndex":0},"citationItems":[{"id":11902,"uris":["http://zotero.org/users/6456139/items/RTHFBVE7"],"itemData":{"id":11902,"type":"article-journal","abstract":"Background: Monkeypox outbreaks in non-endemic countries emphasize the importance of being prepared to prevent its progression to a pandemic. To effectively control monkeypox, healthcare providers must have sufficient knowledge and good attitudes and practices to limit its spread. We initiated this project to assess the factors associated with health workers’ knowledge and attitude toward monkeypox in southwestern Saudi Arabia. Methods: We included 398 eligible health workers working at various health facilities. Data was collected using an online survey, and participants had an opportunity to consent. We conducted descriptive statistics for all variables and used chi-square statistics, t-test, and multivariate analysis to establish the association between health workers’ demographic characteristics and knowledge of monkeypox disease. Results: The mean age was 30.93 ± 8.25 years for the included participants, and most of them were between 22 and 29 years, male, single, nurses, working in government hospitals, and had worked for at least five years. The chi-square and t-test showed that the participants’ knowledge level was significantly related to age, marital status, job title, and medical practice. Most of the participants had low knowledge and good attitudes toward monkeypox prevention measures. Multivariate analysis showed that higher knowledge was associated with younger age after controlling all other significant bivariate relationships between knowledge and demographics. Conclusions: This study found low knowledge levels and high good attitude levels of monkeypox among the participants. As such, there is a need to support health workers in understanding monkeypox epidemiology, prevention, and treatment. Therefore, Saudi Arabia will be making significant strides to being well prepared and ready to handle future monkeypox outbreaks.","container-title":"Diseases","DOI":"10.3390/diseases11020081","ISSN":"2079-9721","issue":"2","language":"en","license":"http://creativecommons.org/licenses/by/3.0/","note":"number: 2\npublisher: Multidisciplinary Digital Publishing Institute","page":"81","source":"www.mdpi.com","title":"Health Workers’ Knowledge and Attitude towards Monkeypox in Southwestern Saudi Arabia: A Cross-Sectional Study","title-short":"Health Workers’ Knowledge and Attitude towards Monkeypox in Southwestern Saudi Arabia","volume":"11","author":[{"family":"Sobaikhi","given":"Nasser H."},{"family":"Alshahrani","given":"Najim Z."},{"family":"Hazazi","given":"Rakan S."},{"family":"Al-Musawa","given":"Hafiz I."},{"family":"Jarram","given":"Raed E."},{"family":"Alabah","given":"Amjad E."},{"family":"Haqawi","given":"Nawaf F."},{"family":"Munhish","given":"Fadi A."},{"family":"Shajeri","given":"Mohammed A."},{"family":"Matari","given":"Mohammed H."},{"family":"Salami","given":"Riyadh M."},{"family":"Hobani","given":"Alhassan H."},{"family":"Yahya","given":"Najla A."},{"family":"Alhazmi","given":"Abdulaziz H."}],"issued":{"date-parts":[["2023",6]]}}}],"schema":"https://github.com/citation-style-language/schema/raw/master/csl-citation.json"}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(7)</w:t>
            </w:r>
            <w:r w:rsidRPr="00D022DD">
              <w:rPr>
                <w:rFonts w:ascii="Times New Roman" w:hAnsi="Times New Roman"/>
                <w:szCs w:val="18"/>
              </w:rPr>
              <w:fldChar w:fldCharType="end"/>
            </w:r>
          </w:p>
        </w:tc>
        <w:tc>
          <w:tcPr>
            <w:tcW w:w="297" w:type="pct"/>
            <w:vAlign w:val="center"/>
          </w:tcPr>
          <w:p w14:paraId="64CE1A2D" w14:textId="37212979"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06C30CEC" w14:textId="455C6FA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783AFF33" w14:textId="44AAA70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51CF17F9" w14:textId="4CD80BD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09A2C6D2" w14:textId="394AD6C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53F52E5E" w14:textId="2A9A5AA3"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450CA736" w14:textId="114C8C3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10D78D51" w14:textId="213A70D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38551872" w14:textId="319C916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339793D9" w14:textId="0211A9A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lang w:val="es-PE"/>
              </w:rPr>
              <w:t>6</w:t>
            </w:r>
          </w:p>
        </w:tc>
        <w:tc>
          <w:tcPr>
            <w:tcW w:w="394" w:type="pct"/>
            <w:vAlign w:val="center"/>
          </w:tcPr>
          <w:p w14:paraId="590FBBC8" w14:textId="38C4D0D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622F3F79"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18C9480" w14:textId="3F554203"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rPr>
              <w:t xml:space="preserve">Alhasan K,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{"citationID":"bhH0Qky8","properties":{"formattedCitation":"(8)","plainCitation":"(8)","noteIndex":0},"citationItems":[{"id":12582,"uris":["http://zotero.org/users/6456139/items/9SWEP5IJ"],"itemData":{"id":12582,"type":"article-journal","abstract":"BACKGROUND: In response to the global Mpox outbreaks, this survey aimed to assess the knowledge, perceptions, and advocacy of Mpox vaccines among solid organ transplant healthcare workers (HCWs) in Saudi Arabia.\nMETHODS: A cross-sectional survey was conducted among solid organ transplant HCWs in Saudi Arabia from 15 August to 5 September 2022. A total of 199 responses were received from participants primarily working in the kidney (54.8%) and liver (14.6%) transplant units.\nRESULTS: The survey found that most participants were aware of the 2022 Mpox outbreak, but the majority were more concerned about COVID-19 than Mpox. While the majority of participants thought laboratory personnel and HCWs in direct contact with Mpox patients should receive the vaccine, less than 60% believed that all HCWs should be vaccinated. Additionally, over half of the participants lacked knowledge of animal-human transmission of the virus.\nCONCLUSION: The results highlight the need for increased education on Mpox among transplant HCWs in Saudi Arabia, particularly regarding the virus's transmission dynamics and vaccines. This education is crucial to improve HCWs' understanding of this emerging disease, especially given their vulnerability during the COVID-19 pandemic.","container-title":"Healthcare (Basel, Switzerland)","DOI":"10.3390/healthcare11040603","ISSN":"2227-9032","issue":"4","journalAbbreviation":"Healthcare (Basel)","language":"eng","note":"PMID: 36833136\nPMCID: PMC9957203","page":"603","source":"PubMed","title":"Mpox Perceptions and Vaccine Advocacy among the Healthcare Workers of Solid Organ Transplant Centers: A Multicenter, Cross-Sectional Survey in Saudi Arabia","title-short":"Mpox Perceptions and Vaccine Advocacy among the Healthcare Workers of Solid Organ Transplant Centers","volume":"11","author":[{"family":"Alhasan","given":"Khalid"},{"family":"Sallam","given":"Malik"},{"family":"Aljamaan","given":"Fadi"},{"family":"Ali","given":"Tariq"},{"family":"Al-Jedai","given":"Ahmed"},{"family":"Nazmi","given":"Ahmed"},{"family":"Ajlan","given":"Aziza"},{"family":"Aleid","given":"Hassan"},{"family":"Karar","given":"Enaam"},{"family":"Al-Awwami","given":"Moheeb"},{"family":"Almojalli","given":"Hamad"},{"family":"Shah","given":"Yaser Zahir"},{"family":"Mohammed","given":"Amir Eltayeb Ismail"},{"family":"Barry","given":"Mazin"},{"family":"Alsubaie","given":"Sarah"},{"family":"Altheaby","given":"Abdulrahman"},{"family":"Almaghrabi","given":"Reem S."},{"family":"Askandarani","given":"Sumayah"},{"family":"Memish","given":"Ziad A."},{"family":"Al-Tawfiq","given":"Jaffar A."},{"family":"Broering","given":"Dieter Clemens"},{"family":"Temsah","given":"Mohamad-Hani"}],"issued":{"date-parts":[["2023",2,17]]}}}],"schema":"https://github.com/citation-style-language/schema/raw/master/csl-citation.json"}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(8)</w:t>
            </w:r>
            <w:r w:rsidRPr="00D022DD">
              <w:rPr>
                <w:rFonts w:ascii="Times New Roman" w:hAnsi="Times New Roman"/>
                <w:szCs w:val="18"/>
              </w:rPr>
              <w:fldChar w:fldCharType="end"/>
            </w:r>
          </w:p>
        </w:tc>
        <w:tc>
          <w:tcPr>
            <w:tcW w:w="297" w:type="pct"/>
            <w:vAlign w:val="center"/>
          </w:tcPr>
          <w:p w14:paraId="6929E42A" w14:textId="68C9319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5E5421D8" w14:textId="373C911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3667D056" w14:textId="61D7122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07230E28" w14:textId="33F8BB0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7D687ED5" w14:textId="4A46F54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36E94A2F" w14:textId="0A2309A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369FE753" w14:textId="1C1DBA5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66E2C169" w14:textId="5A07AE1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2422D1C8" w14:textId="5E82A75B"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66D6AA10" w14:textId="344716B3"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544721CB" w14:textId="7EB0F28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0F698835"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0B62A14" w14:textId="1FD8C682"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rPr>
              <w:t xml:space="preserve">Torres TS,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{"citationID":"n86dNj2t","properties":{"formattedCitation":"(9)","plainCitation":"(9)","noteIndex":0},"citationItems":[{"id":12456,"uris":["http://zotero.org/users/6456139/items/6MBYJGAM"],"itemData":{"id":12456,"type":"article-journal","abstract":"BACKGROUND: The 2022 multicountry mpox outbreak positioned the condition as a public health emergency of international concern. By May 2023, Brazil ranked second globally in the cumulative number of mpox cases and deaths. The higher incidence of mpox among gay and other men who have sex with men in the current mpox outbreak deepens the stigma and discrimination against sexual and gender minorities (SGM). This might worsen the structural barriers impacting access to health services, which ultimately leads to undertesting and underreporting of cases. There are no data available on mpox knowledge and stigma in Latin America.\nOBJECTIVE: We aimed to evaluate mpox knowledge, stigma, and willingness to vaccinate for mpox among SGM, and to describe sociodemographic and behavioral characteristics according to self-reported mpox diagnosis.\nMETHODS: A cross-sectional, internet-based survey was conducted in a convenience sample of adults (aged &gt;18 years) living in Brazil recruited through advertisements on dating apps, social media, referral institutions for infectious diseases websites, and mass media (October-November 2022). We compared participants' characteristics according to self-reported mpox diagnosis using chi-square test or Fisher exact test for qualitative variables and Kruskal-Wallis test for quantitative variables.\nRESULTS: We enrolled 6236 participants: 5685 (91.2%) were cisgender men; 6032 (96.7%) were gay, bisexual, or pansexual; 3877 (62.2%) were White; 4902 (78.7%) had tertiary education; and 4070 (65.2%) reported low or middle income. Most participants (n=5258, 84.4%) agreed or strongly agreed that \"LGBTQIA+ individuals are being discriminated and stigmatized due to mpox.\" Mpox awareness was 96.9% (n=6044), and 5008 (95.1%) were willing to get vaccinated for mpox. Overall, 324 (5.2%) reported an mpox diagnosis. Among these, 318 (98.1%) reported lesions, 178 (56%) local pain, and 316 (99.4%) sought health care. Among participants not reporting a diagnosis, 288 (4.9%) had a suspicious lesion, but only 158 (54.9%) of these had sought health care. Compared to participants with no diagnosis, those reporting an mpox diagnosis were younger (P&lt;.001), reported more sex partners (P&lt;.001), and changes in sexual behavior after mpox onset (P=.002). Moreover, participants diagnosed with mpox reported more frequently being tested for HIV in the prior 3 months (P&lt;.001), living with HIV (P&lt;.001), currently using HIV pre-exposure prophylaxis (P&lt;.001), and previous sexually transmitted infection diagnosis (P&lt;.001).\nCONCLUSIONS: Our results point to high mpox knowledge and willingness to vaccinate among SGM in Brazil. Participants self-reporting mpox diagnosis more frequently reported to be living with HIV, STI diagnosis, and current pre-exposure prophylaxis use, highlighting the importance of an mpox assessment that includes comprehensive sexual health screenings. Efforts to decrease stigma related to mpox among SGM are necessary to avoid mpox underdiagnosis.","container-title":"JMIR public health and surveillance","DOI":"10.2196/46489","ISSN":"2369-2960","journalAbbreviation":"JMIR Public Health Surveill","language":"eng","note":"PMID: 37459174","page":"e46489","source":"PubMed","title":"Evaluation of Mpox Knowledge, Stigma, and Willingness to Vaccinate for Mpox: Cross-Sectional Web-Based Survey Among Sexual and Gender Minorities","title-short":"Evaluation of Mpox Knowledge, Stigma, and Willingness to Vaccinate for Mpox","volume":"9","author":[{"family":"Torres","given":"Thiago Silva"},{"family":"Silva","given":"Mayara Secco Torres"},{"family":"Coutinho","given":"Carolina"},{"family":"Hoagland","given":"Brenda"},{"family":"Jalil","given":"Emilia Moreira"},{"family":"Cardoso","given":"Sandra Wagner"},{"family":"Moreira","given":"Julio"},{"family":"Magalhaes","given":"Monica Avelar"},{"family":"Luz","given":"Paula Mendes"},{"family":"Veloso","given":"Valdilea G."},{"family":"Grinsztejn","given":"Beatriz"}],"issued":{"date-parts":[["2023",7,17]]}}}],"schema":"https://github.com/citation-style-language/schema/raw/master/csl-citation.json"}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(9)</w:t>
            </w:r>
            <w:r w:rsidRPr="00D022DD">
              <w:rPr>
                <w:rFonts w:ascii="Times New Roman" w:hAnsi="Times New Roman"/>
                <w:szCs w:val="18"/>
              </w:rPr>
              <w:fldChar w:fldCharType="end"/>
            </w:r>
          </w:p>
        </w:tc>
        <w:tc>
          <w:tcPr>
            <w:tcW w:w="297" w:type="pct"/>
            <w:vAlign w:val="center"/>
          </w:tcPr>
          <w:p w14:paraId="5779139C" w14:textId="444F79E3"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7D661C2D" w14:textId="09A59759"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4F6AA8BE" w14:textId="12E16FF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5AF23969" w14:textId="1BDB9EA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41CC654B" w14:textId="637BA12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70B08543" w14:textId="2B9E46E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7BFFA095" w14:textId="717370D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19916702" w14:textId="73AE74D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7A2986D9" w14:textId="555B3BD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26272BD8" w14:textId="4E084E7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47C9BE6E" w14:textId="31900EC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464B0F43"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816135" w14:textId="73F43555"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sz w:val="18"/>
                <w:szCs w:val="18"/>
              </w:rPr>
            </w:pPr>
            <w:r w:rsidRPr="00D022DD">
              <w:rPr>
                <w:rFonts w:ascii="Times New Roman" w:hAnsi="Times New Roman"/>
                <w:szCs w:val="18"/>
              </w:rPr>
              <w:t xml:space="preserve">Shafei AM,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{"citationID":"oPHJD1BU","properties":{"formattedCitation":"(10)","plainCitation":"(10)","noteIndex":0},"citationItems":[{"id":12450,"uris":["http://zotero.org/users/6456139/items/JZV2X2IM"],"itemData":{"id":12450,"type":"article-journal","abstract":"This study aimed to evaluate knowledge about monkeypox and confidence in dealing with monkeypox diagnosis and management among resident physicians in the Asir region of Saudi Arabia. The data of this cross-sectional study were collected online through a structured questionnaire (N = 315). Knowledge about monkeypox was assessed by 24 questions and a three-item scale assessed confidence in managing monkeypox cases. Multiple logistic regression analysis was performed to assess the associations. Overall, two-thirds of the respondents (67.3%) showed good knowledge about monkeypox and the rest of them (32.7%) had poor knowledge. Respondents who received a copy of the Saudi MOH protocol for monkeypox and attended any conference or lecture about monkeypox were more likely to have good knowledge about monkeypox. Moreover, almost two-thirds of the participants were not confident that they could diagnose or manage the monkeypox. Respondents who received information about monkeypox during residency or medical school had higher confidence in managing monkeypox cases. It can be concluded that the Saudi healthcare system has scope to take necessary steps to contain the monkeypox endemic. The Saudi MOH should arrange conferences and educational programs on monkeypox so that healthcare professionals can improve their knowledge and be confident in the management and diagnosis of monkeypox cases.","container-title":"Pathogens (Basel, Switzerland)","DOI":"10.3390/pathogens12070872","ISSN":"2076-0817","issue":"7","journalAbbreviation":"Pathogens","language":"eng","note":"PMID: 37513719","page":"872","source":"PubMed","title":"Resident Physicians' Knowledge and Preparedness Regarding Human Monkeypox: A Cross-Sectional Study from Saudi Arabia","title-short":"Resident Physicians' Knowledge and Preparedness Regarding Human Monkeypox","volume":"12","author":[{"family":"Shafei","given":"Ali Mohammad"},{"family":"Al-Mosaa","given":"Khalid M."},{"family":"Alshahrani","given":"Najm Z."},{"family":"ALAmmari","given":"Mohammed Hassan Mohammed"},{"family":"Almuhlafi","given":"Mashael Obaid Othman"},{"family":"Draim","given":"Nasser Hassan Awdah Al"},{"family":"Alwadie","given":"Afnan Misfer"},{"family":"Alghrab","given":"Abdullah Ibrahim"}],"issued":{"date-parts":[["2023",6,26]]}}}],"schema":"https://github.com/citation-style-language/schema/raw/master/csl-citation.json"}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(10)</w:t>
            </w:r>
            <w:r w:rsidRPr="00D022DD">
              <w:rPr>
                <w:rFonts w:ascii="Times New Roman" w:hAnsi="Times New Roman"/>
                <w:szCs w:val="18"/>
                <w:lang w:val="es-PE"/>
              </w:rPr>
              <w:fldChar w:fldCharType="end"/>
            </w:r>
            <w:r w:rsidRPr="00D022DD">
              <w:rPr>
                <w:rFonts w:ascii="Times New Roman" w:hAnsi="Times New Roman"/>
                <w:szCs w:val="18"/>
                <w:lang w:val="es-PE"/>
              </w:rPr>
              <w:t xml:space="preserve"> </w:t>
            </w:r>
          </w:p>
        </w:tc>
        <w:tc>
          <w:tcPr>
            <w:tcW w:w="297" w:type="pct"/>
            <w:vAlign w:val="center"/>
          </w:tcPr>
          <w:p w14:paraId="597AF24A" w14:textId="086BEAE1"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Cs w:val="18"/>
              </w:rPr>
              <w:t>2023</w:t>
            </w:r>
          </w:p>
        </w:tc>
        <w:tc>
          <w:tcPr>
            <w:tcW w:w="346" w:type="pct"/>
            <w:vAlign w:val="center"/>
          </w:tcPr>
          <w:p w14:paraId="1B87F2E7" w14:textId="151932A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0DCEEEB1" w14:textId="6D9116D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5CADD806" w14:textId="1278FA9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73494E83" w14:textId="29BBD7F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63AF0D4C" w14:textId="71F5816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2AE82ADE" w14:textId="74BC573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1445418A" w14:textId="06C5E0DC"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3FEFF910" w14:textId="281311D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7432C1E9" w14:textId="4285D15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5A460573" w14:textId="25E68CE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07DE56AC"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29F27280" w14:textId="49B46A32"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lang w:val="es-PE"/>
              </w:rPr>
              <w:t xml:space="preserve">Al-Mustapha AI, et al. </w:t>
            </w:r>
            <w:r w:rsidRPr="00D022DD">
              <w:rPr>
                <w:rFonts w:ascii="Times New Roman" w:hAnsi="Times New Roman"/>
                <w:szCs w:val="18"/>
                <w:lang w:val="es-PE"/>
              </w:rPr>
              <w:fldChar w:fldCharType="begin"/>
            </w:r>
            <w:r w:rsidRPr="00D022DD">
              <w:rPr>
                <w:rFonts w:ascii="Times New Roman" w:hAnsi="Times New Roman"/>
                <w:szCs w:val="18"/>
                <w:lang w:val="es-PE"/>
              </w:rPr>
              <w:instrText xml:space="preserve"> ADDIN ZOTERO_ITEM CSL_CITATION {"citationID":"KKSlRyJV","properties":{"formattedCitation":"(11)","plainCitation":"(11)","noteIndex":0},"citationItems":[{"id":11694,"uris":["http://zotero.org/users/6456139/items/XYQ5BSUF"],"itemData":{"id":11694,"type":"article-journal","abstract":"The Monkeypox Disease (MPXD) gained attention due to its widened geographical distribution outside of Africa, Hence, a it was declared a global health emergency. The index case in Europe was from a Nigerian traveller. This study assessed public awareness and knowledge of the MPXD by conducting an online, cross-sectional survey of educated Nigerians. A total of 822 respondents were recruited using the snowball sampling method between the 16th to 29th of August 2022. More responses were retrieved from the Northeastern geopolitical region (30.1%, n=220) than other regions. Descriptive statistics revealed that 89% (n=731/822) of the study participants were aware of the MPXD but only 58.7% (n=429/731) of them had good knowledge of the disease with a mean knowledge score of 5.31±2.09. The main knowledge gaps were in the incubation period of the disease, the signs and symptoms, its mode of transmission, and preventive practices needed to curb the spread of the monkeypox virus (MPXV). Specifically, only 24.5% (n=179) of them knew that MPXV can be transmitted via sexual contact. Most of the study participants (79.2%, n=651) opined that we can prevent the occurrence of public health emergencies in the future. The multivariable logistic regression analysis revealed that of the socio-demographic variables, the male gender (OR: 1.69; 95% CI: 1.22,2.33); Ph.D. level education (1.44; 95% CI: 1.048,4.23); and being homosexual (OR:1.65; 95% CI: 1.07,3.78) were significantly associated with good knowledge of MPXD. Despite the varying prevalence across the country, the region of</w:instrText>
            </w:r>
            <w:r w:rsidRPr="00EB38E1">
              <w:rPr>
                <w:rFonts w:ascii="Times New Roman" w:hAnsi="Times New Roman"/>
                <w:szCs w:val="18"/>
              </w:rPr>
              <w:instrText xml:space="preserve"> residence within Nigeria did not influence the knowledge of MPXD among the respondents. The knowledge gaps necessitate intensified public health risk communication with a focus on modes of transmission and the preventive measures needed to curb the spread of the MPXV.","container-title":"BMC public health","DOI":"10.1186/s12889-023-15398-0","ISSN":"1471-2458","issue":"1","journalAbbreviation":"BMC Public Health","language":"eng","note":"PMID: 36991417\nPMCID: PMC10054201","page":"591","source":"PubMed","title":"A cross-sectional survey of public knowledge of the monkeypox disease in Nigeria","volume":"23","author":[{"family":"Al-Mustapha","given":"Ahmad Ibrahim"},{"family":"Ogundijo","given":"Oluwaseun Adeolu"},{"family":"Sikiru","given":"Nafisah Ayinde"},{"family":"Kolawole","given":"Barakat"},{"family":"Oyewo","given":"Muftau"},{"family":"El-Nadi","given":"Hager"},{"family":"Mustapha","given":"Ashiru Mohammed"},{"family":"Adebudo","given":"Lucky Icomiare"},{"family":"Odukoya","given":"Adesoji"},{"family":"Asiegbu","given":"Emmanuella Chinenye"},{"family":"Nanven","given":"Magdalene B."},</w:instrText>
            </w:r>
            <w:r w:rsidRPr="00D022DD">
              <w:rPr>
                <w:rFonts w:ascii="Times New Roman" w:hAnsi="Times New Roman"/>
                <w:szCs w:val="18"/>
              </w:rPr>
              <w:instrText xml:space="preserve">{"family":"Lawal-Atolagbe","given":"Taibat"},{"family":"Lawal-Lah","given":"Fatima"},{"family":"Awoyale","given":"Oladayo David"},{"family":"Abubakar","given":"Ahmed Tijani"},{"family":"Sahabi","given":"Kabiru"},{"family":"Babandi","given":"Zaharadeen S."}],"issued":{"date-parts":[["2023",3,29]]}}}],"schema":"https://github.com/citation-style-language/schema/raw/master/csl-citation.json"}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(11)</w:t>
            </w:r>
            <w:r w:rsidRPr="00D022DD">
              <w:rPr>
                <w:rFonts w:ascii="Times New Roman" w:hAnsi="Times New Roman"/>
                <w:szCs w:val="18"/>
                <w:lang w:val="es-PE"/>
              </w:rPr>
              <w:fldChar w:fldCharType="end"/>
            </w:r>
          </w:p>
        </w:tc>
        <w:tc>
          <w:tcPr>
            <w:tcW w:w="297" w:type="pct"/>
            <w:vAlign w:val="center"/>
          </w:tcPr>
          <w:p w14:paraId="551F6D51" w14:textId="3D144B5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31B1ADF1" w14:textId="4DF3B3B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086AD783" w14:textId="194380C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05DA71B8" w14:textId="7C291E0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28494B01" w14:textId="4604317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1ECF30D2" w14:textId="4282F88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0D909865" w14:textId="2BAD37A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7F3325B1" w14:textId="2F3C170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6839F0AF" w14:textId="2F4CEEF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11D34D4F" w14:textId="4A1B096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72497A1B" w14:textId="43D00E1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79945B35"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8B673B" w14:textId="7D461EB4"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Ibrahim AM,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{"citationID":"l08HgXYY","properties":{"formattedCitation":"(12)","plainCitation":"(12)","noteIndex":0},"citationItems":[{"id":12444,"uris":["http://zotero.org/users/6456139/items/WWL6P5SR"],"itemData":{"id":12444,"type":"article-journal","abstract":"Objectives: This research aims to assess the base level of knowledge and attitude of Applied Medical Sciences Students regarding mpox and whether an educational intervention could improve their knowledge and attitude. Methods: A quasi-experimental research was used, involving 960 medical students from Applied Medical Sciences College at Prince Sattam Bin Abdulaziz University, KSA. They were recruited from the beginning of November 2022 till the mid of January 2023 based on the non-randomized sampling method. A standardized, anonymous, and closed-ended questionnaire was used, compromising three main sections: participants' demographics, knowledge, and attitudes toward the mpox epidemic. Results: Total knowledge scores of the studied sample in the pretest phase were 45.43 ± 6.29 compared to 65.03 ± 2.93 in the post-test phase. Besides, total attitude scores were 48.62 ± 4.78 before program implementation, while after conducting the program reached 70.65 ± 5.13. There was a notable improvement in the total knowledge score of the sample studied after the intervention was implemented, particularly for neurological manifestations. Conclusion: After the program's implementation, there was an obvious improvement in the medical students' total knowledge and attitude scores concerning the mpox epidemic. It is necessary to initiate well-organized training initiatives for all other medical faculties, paramedics, and applied health institutions in Saudi Arabia.","container-title":"The Libyan Journal of Medicine","DOI":"10.1080/19932820.2023.2222448","ISSN":"1819-6357","issue":"1","journalAbbreviation":"Libyan J Med","language":"eng","note":"PMID: 37300843\nPMCID: PMC10259327","page":"2222448","source":"PubMed","title":"Knowledge and attitudes towards mpox and effect of intervention among College of Applied Medical Sciences students","volume":"18","author":[{"family":"Ibrahim","given":"Ateya Megahed"},{"family":"Zaghamir","given":"Donia Elsaid Fathi"}],"issued":{"date-parts":[["2023",12]]}}}],"schema":"https://github.com/citation-style-language/schema/raw/master/csl-citation.json"}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(12)</w:t>
            </w:r>
            <w:r w:rsidRPr="00D022DD">
              <w:rPr>
                <w:rFonts w:ascii="Times New Roman" w:hAnsi="Times New Roman"/>
                <w:szCs w:val="18"/>
                <w:lang w:val="es-PE"/>
              </w:rPr>
              <w:fldChar w:fldCharType="end"/>
            </w:r>
          </w:p>
        </w:tc>
        <w:tc>
          <w:tcPr>
            <w:tcW w:w="297" w:type="pct"/>
            <w:vAlign w:val="center"/>
          </w:tcPr>
          <w:p w14:paraId="5A040498" w14:textId="5A2AC16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673123F7" w14:textId="2B36F853"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633DB862" w14:textId="76E15FA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51D778E4" w14:textId="3134B3F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5245B53E" w14:textId="3422525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5746F35F" w14:textId="2DF8404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57F37A46" w14:textId="0C4ED68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32A6A573" w14:textId="47886B4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3E25F456" w14:textId="5787A3A0"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511B4CA0" w14:textId="197609C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1F57779C" w14:textId="1F68030B"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226FAE5F"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023D3325" w14:textId="0FAE2D66"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Fu L,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{"citationID":"dwMXsR42","properties":{"formattedCitation":"(13)","plainCitation":"(13)","noteIndex":0},"citationItems":[{"id":12375,"uris":["http://zotero.org/users/6456139/items/SWU25J9W"],"itemData":{"id":12375,"type":"article-journal","abstract":"BACKGROUND: Men who have sex with men (MSM) living with HIV make up the majority of cases in the current Mpox outbreak. We aimed to investigate the perception of and vaccine readiness towards Mpox among MSM living with HIV in China.\nMETHODS: This cross-sectional online study was conducted from 10 August to 9 September 2022. Participants responded to survey questions about their socio-demographic information, HIV status, sexual behaviors, knowledge of Mpox, and attitudes towards Mpox vaccines.\nRESULTS: A total of 577 MSM living with HIV participated in the study. A total of 37.6% expressed concerns about the Mpox epidemic in China, and 56.8% were willing to get the Mpox vaccine. Men who had &gt; four sexual partners in the previous three months (aOR = 1.9 95% CI: 1.2-2.8 Ref: 0), had close contact with &gt; four individuals in a day (3.1, 1.5-6.5 Ref: 0-3), were worried about the Mpox epidemic in China (1.6, 1.1-2.3 Ref: No), and believed that Mpox vaccines are safe (6.6, 2.7-16.4 Ref: No or not sure) and effective (1.9, 1.1-3.3 Ref: No) for people living with HIV were more likely to be willing to get the Mpox vaccine. MSM living with HIV with a high school education or below (0.5, 0.3-0.9 Ref: Postgraduate diploma), and sometimes (0.5, 0.3-0.8 Ref: Often), seldom, or never (0.5, 0.3-0.9 Ref: Often) followed news about Mpox were unwilling to get the Mpox vaccine.\nCONCLUSION: The ongoing Mpox pandemic has not attracted widespread concerns among MSM living with HIV in China. Having more sexual partners and close contacts, worrying about the Mpox epidemic, and believing in the vaccine's safety and efficacy were predictors of their willingness to get the Mpox vaccine. Efforts should be made to raise awareness of the potential risk of Mpox in this at-risk population. Public health strategies should fully address predictors of vaccination willingness.","container-title":"Vaccines","DOI":"10.3390/vaccines11030528","ISSN":"2076-393X","issue":"3","journalAbbreviation":"Vaccines (Basel)","language":"eng","note":"PMID: 36992114\nPMCID: PMC10059946","page":"528","source":"PubMed","title":"Perception of and Vaccine Readiness towards Mpox among Men Who Have Sex with Men Living with HIV in China: A Cross-Sectional Study","title-short":"Perception of and Vaccine Readiness towards Mpox among Men Who Have Sex with Men Living with HIV in China","volume":"11","author":[{"family":"Fu","given":"Leiwen"},{"family":"Sun","given":"Yinghui"},{"family":"Li","given":"Yuwei"},{"family":"Wang","given":"Bingyi"},{"family":"Yang","given":"Luoyao"},{"family":"Tian","given":"Tian"},{"family":"Wu","given":"Xinsheng"},{"family":"Peng","given":"Xin"},{"family":"Liu","given":"Qi"},{"family":"Chen","given":"Yuanyi"},{"family":"Lin","given":"Yi-Fan"},{"family":"Li","given":"Hui"},{"family":"Meng","given":"Xiaojun"},{"family":"Zou","given":"Huachun"}],"issued":{"date-parts":[["2023",2,23]]}}}],"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(13)</w:t>
            </w:r>
            <w:r w:rsidRPr="00D022DD">
              <w:rPr>
                <w:rFonts w:ascii="Times New Roman" w:hAnsi="Times New Roman"/>
                <w:szCs w:val="18"/>
                <w:lang w:val="es-PE"/>
              </w:rPr>
              <w:fldChar w:fldCharType="end"/>
            </w:r>
          </w:p>
        </w:tc>
        <w:tc>
          <w:tcPr>
            <w:tcW w:w="297" w:type="pct"/>
            <w:vAlign w:val="center"/>
          </w:tcPr>
          <w:p w14:paraId="00DFB3F0" w14:textId="16B9F7E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2106B916" w14:textId="3CF62466"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19F742A0" w14:textId="49DF41E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3DC3BF51" w14:textId="29654B8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198F57B0" w14:textId="5D21A19D"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2B23C139" w14:textId="36A9B1C3"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15B869B9" w14:textId="5421EDE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5EBC92A8" w14:textId="34B05E4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03531692" w14:textId="6D1CCB5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259582DB" w14:textId="2176473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73C9DEA7" w14:textId="798ABF6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7EFAC9E4"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E9CA81D" w14:textId="050F7669"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lastRenderedPageBreak/>
              <w:t xml:space="preserve">Jamaleddine Y,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{"citationID":"MUHEHRnO","properties":{"formattedCitation":"(14)","plainCitation":"(14)","noteIndex":0},"citationItems":[{"id":11689,"uris":["http://zotero.org/users/6456139/items/RTHUDQAU"],"itemData":{"id":11689,"type":"article-journal","abstract":"INTRODUCTION: Monkeypox is a currently re-emerging disease in the world and several cases have been detected in Lebanon. For this reason, an assessment of the knowledge and attitude of the Lebanese population towards monkeypox and smallpox or monkeypox vaccines had to be done.\nMETHODS: A cross-sectional study was conducted using a questionnaire developed from previous literature among a sample of Lebanese residents. It recorded the sociodemographic characteristics and comorbidities of the participants and analyzed the patterns of knowledge and attitudes in Lebanon.\nRESULTS: Among 493 participants, it was found that there is a generally low knowledge of and an average attitude toward monkeypox. However, knowledge is better with higher educational levels, COVID-19 vaccination, and residency in the south of Lebanon and poorer with marriage and residency in Beirut. Attitude is better in females but poorer with higher educational levels. Several other effectors have been devised too. As for vaccination, taking the smallpox vaccine as a proactive measure is predicted with previous COVID-19 vaccination and better attitude but not in the residents of the north of Lebanon and married Lebanese residents. Higher educational levels and a better attitude were positive predictions of taking the monkeypox vaccine whenever it is developed.\nCONCLUSION: This study revealed low level of knowledge and attitude towards monkeypox and its vaccines, which can be a rich resource when proactive measures are developed.","container-title":"Journal of Preventive Medicine and Hygiene","DOI":"10.15167/2421-4248/jpmh2023.64.1.2903","ISSN":"2421-4248","issue":"1","journalAbbreviation":"J Prev Med Hyg","language":"eng","note":"PMID: 37293454\nPMCID: PMC10246610","page":"E13-E26","source":"PubMed","title":"Knowledge and attitude towards monkeypox among the Lebanese population and their attitude towards vaccination","volume":"64","author":[{"family":"Jamaleddine","given":"Youssef"},{"family":"El Ezz","given":"Asem Abou"},{"family":"Mahmoud","given":"Mahmoud"},{"family":"Ismail","given":"Omar"},{"family":"Saifan","given":"Ahmad"},{"family":"Mayta","given":"Zaid"},{"family":"Saab","given":"Abdallah"},{"family":"Salameh","given":"Pascale"}],"issued":{"date-parts":[["2023",3]]}}}],"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(14)</w:t>
            </w:r>
            <w:r w:rsidRPr="00D022DD">
              <w:rPr>
                <w:rFonts w:ascii="Times New Roman" w:hAnsi="Times New Roman"/>
                <w:szCs w:val="18"/>
                <w:lang w:val="es-PE"/>
              </w:rPr>
              <w:fldChar w:fldCharType="end"/>
            </w:r>
          </w:p>
        </w:tc>
        <w:tc>
          <w:tcPr>
            <w:tcW w:w="297" w:type="pct"/>
            <w:vAlign w:val="center"/>
          </w:tcPr>
          <w:p w14:paraId="5AEA6934" w14:textId="5D59EC88"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6DD2D5B7" w14:textId="6484643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4C5DC7EA" w14:textId="4606B38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44CB2E5B" w14:textId="4067DFC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41BE2470" w14:textId="6F31B45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3688AC30" w14:textId="78B6F6E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34427C90" w14:textId="4C829B21"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75B172F5" w14:textId="49862731"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33940842" w14:textId="3A9A5ED0"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510D8B24" w14:textId="16AD438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0F9FC2A4" w14:textId="3D2F1A58"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08B05C43"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B3BCEB1" w14:textId="3EE4986A"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Ahmed SK,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{"citationID":"SxogmHDB","properties":{"formattedCitation":"(15)","plainCitation":"(15)","noteIndex":0},"citationItems":[{"id":11686,"uris":["http://zotero.org/users/6456139/items/JFTMUR6P"],"itemData":{"id":11686,"type":"article-journal","abstract":"The rapid spread of monkeypox (mpox) has been declared as a public health emergency of international concern (PHEIC). The present study aimed to assess the knowledge, attitude, and worry levels of the general population in the Kurdistan region of Iraq regarding the ongoing mpox multi-country outbreak. An online cross-sectional survey was conducted between 27-30 July 2022, using a convenience sampling method. The questionnaire was adapted from previous studies addressing the same topic. The independent Student's t-test, one-way ANOVA, and logistic regression were used to assess possible factors associated with knowledge, attitude, and worry toward mpox. A total of 510 respondents were included in the final analysis. The participants showed a moderate level of mpox knowledge, a neutral attitude towards mpox, and a relatively moderate worry level. The logistic regression analysis showed that age, gender, marital status, religion, level of education, and place of residence were associated with mpox knowledge; however, the significant variables in the multivariate regression analysis were gender, religion, level of education, and residential area. Gender and residential area were associated with attitudes toward mpox; however, the significant variables in the multivariate regression analysis were gender and residential areas. The worry toward mpox was influenced by gender, marital status, religion, and place of residence, yet the significant variables in the multivariate regression analysis were gender, religion, educational level, and residential area. In conclusion, the Kurdish population had moderate knowledge, a neutral attitude, and a moderate level of worry about mpox. Considering the continuous rapid rise in mpox cases in several countries, and its possible risk as pandemic amid the ongoing COVID-19 pandemic, proactive control measures, adequate disease prevention strategies, and preparedness plans need to be formulated and immediately implemented to tackle the appearance of fears among people, and to safeguard the mental health of the public.","container-title":"Vaccines","DOI":"10.3390/vaccines11030610","ISSN":"2076-393X","issue":"3","journalAbbreviation":"Vaccines (Basel)","language":"eng","note":"PMID: 36992194\nPMCID: PMC10054073","page":"610","source":"PubMed","title":"Knowledge, Attitude and Worry in the Kurdistan Region of Iraq during the Mpox (Monkeypox) Outbreak in 2022: An Online Cross-Sectional Study","title-short":"Knowledge, Attitude and Worry in the Kurdistan Region of Iraq during the Mpox (Monkeypox) Outbreak in 2022","volume":"11","author":[{"family":"Ahmed","given":"Sirwan Khalid"},{"family":"Abdulqadir","given":"Salar Omar"},{"family":"Omar","given":"Rukhsar Muhammad"},{"family":"Abdullah","given":"Ardalan Jabbar"},{"family":"Rahman","given":"Hawre Asaad"},{"family":"Hussein","given":"Safin Hassan"},{"family":"Mohammed Amin","given":"Halkawt Ismail"},{"family":"Chandran","given":"Deepak"},{"family":"Sharma","given":"Anil Kumar"},{"family":"Dhama","given":"Kuldeep"},{"family":"Sallam","given":"Malik"},{"family":"Harapan","given":"Harapan"},{"family":"Salari","given":"Nader"},{"family":"Chakraborty","given":"Chiranjib"},{"family":"Abdulla","given":"Araz Qadir"}],"issued":{"date-parts":[["2023",3,8]]}}}],"schema":"https://github.com/citation-style-language/schema/raw/master/csl-citation.json"}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(15)</w:t>
            </w:r>
            <w:r w:rsidRPr="00D022DD">
              <w:rPr>
                <w:rFonts w:ascii="Times New Roman" w:hAnsi="Times New Roman"/>
                <w:szCs w:val="18"/>
              </w:rPr>
              <w:fldChar w:fldCharType="end"/>
            </w:r>
          </w:p>
        </w:tc>
        <w:tc>
          <w:tcPr>
            <w:tcW w:w="297" w:type="pct"/>
            <w:vAlign w:val="center"/>
          </w:tcPr>
          <w:p w14:paraId="20754713" w14:textId="296A6A6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4E347786" w14:textId="7E6240A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4DDA1E6E" w14:textId="1A58524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43CE3821" w14:textId="7C665D1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594C1F7B" w14:textId="7F5F43D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58609530" w14:textId="522DB28D"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0C4834AC" w14:textId="5AD36FB3"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491962FB" w14:textId="7C711A8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6DF70F5F" w14:textId="1A140B4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3A15A7B3" w14:textId="348F1F7D"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lang w:val="es-PE"/>
              </w:rPr>
              <w:t>6</w:t>
            </w:r>
          </w:p>
        </w:tc>
        <w:tc>
          <w:tcPr>
            <w:tcW w:w="394" w:type="pct"/>
            <w:vAlign w:val="center"/>
          </w:tcPr>
          <w:p w14:paraId="6BCF3EFD" w14:textId="40E3182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26DA17E3"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C830D8C" w14:textId="4E49C08D"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Swed S,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{"citationID":"2zBrHXQ6","properties":{"formattedCitation":"(16)","plainCitation":"(16)","noteIndex":0},"citationItems":[{"id":11730,"uris":["http://zotero.org/users/6456139/items/Q5VGZGJY"],"itemData":{"id":11730,"type":"article-journal","abstract":"Background &amp; aim\nThe monkeypox virus (MPXV), an Orthopoxvirus family member, is the zoonotic agent that causes mpox (formerly known as monkeypox). The ongoing mpox pandemic has caused cases across continents involving 110 countries. This study aimed to assess mpox knowledge and its determinants among healthcare personnel.\nMethods\nThis cross-sectional study was conducted from June 6 to June 25, 2022, among 17 Arab countries. The self-administered questionnaire consists of 53 questions assessing the knowledge about the monkeypox virus.\nResults\nIn total, 5874 medical students and clinical doctors from 17 Arab countries participated in this study. Only 13.8% (n = 812) of respondents have ever received information about mpox during their studies in medicine. The mean knowledge score was 13.84, and the median score was 15 (range 1–34). More than half (51.3%, n = 3012) have heard about mpox before. A low proportion of the participants had a good level of knowledge on mpox. Only 11.7% of respondents had correctly identified the natural host and the incubation period of mpox. More than half (58.9%) were aware of the signs and symptoms of mpox. Few respondents (28%) believed that mpox and smallpox have similar signs and symptoms. Specialist doctors had higher knowledge of mpox (AOR = 2.96, 95% CI = 2.24–3.92, p &lt; 0.001) than other cadres.\nConclusion\nMpox awareness among Arabic medical students and practitioners is low; hence immediate action in creating awareness among arab healthcare professionals is the need of the hour. This is crucial in the mpox early detection and prevention of its spread.","container-title":"New Microbes and New Infections","DOI":"10.1016/j.nmni.2023.101146","ISSN":"2052-2975","journalAbbreviation":"New Microbes and New Infections","language":"en","page":"101146","source":"ScienceDirect","title":"Knowledge of mpox and its determinants among the healthcare personnel in Arabic regions: A multi-country cross-sectional study","title-short":"Knowledge of mpox and its determinants among the healthcare personnel in Arabic regions","volume":"54","author":[{"family":"Swed","given":"Sarya"},{"family":"Bohsas","given":"Haidara"},{"family":"Patwary","given":"Muhammad Mainuddin"},{"family":"Alibrahim","given":"Hidar"},{"family":"Rakab","given":"Amine"},{"family":"Nashwan","given":"Abdulqadir J."},{"family":"Hafez","given":"Wael"},{"family":"Hassan","given":"Noheir A. I."},{"family":"Shoib","given":"Sheikh"},{"family":"Elsayed","given":"Mohamed"},{"family":"Sawaf","given":"Bisher"},{"family":"Albuni","given":"Mhd Kutaiba"},{"family":"Battikh","given":"Elias"},{"family":"Mohamed","given":"Gihan","dropping-particle":"mustafa kamal"},{"family":"AlBozom","given":"Adel"},{"family":"Shaddad","given":"Ebrahim"},{"family":"fathey","given":"Sherihan"},{"family":"Nu Htay","given":"Mila Nu"},{"family":"Sah","given":"Sanjit"},{"family":"Cherrez-Ojeda","given":"Ivan"},{"family":"Mohanty","given":"Aroop"},{"family":"Padhi","given":"Bijaya Kumar"},{"family":"Rodriguez-Morales","given":"Alfonso J."},{"family":"Gandhi P","given":"Aravind"},{"family":"Sah","given":"Ranjit"}],"issued":{"date-parts":[["2023",9,1]]}}}],"schema":"https://github.com/citation-style-language/schema/raw/master/csl-citation.json"}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(16)</w:t>
            </w:r>
            <w:r w:rsidRPr="00D022DD">
              <w:rPr>
                <w:rFonts w:ascii="Times New Roman" w:hAnsi="Times New Roman"/>
                <w:szCs w:val="18"/>
              </w:rPr>
              <w:fldChar w:fldCharType="end"/>
            </w:r>
          </w:p>
        </w:tc>
        <w:tc>
          <w:tcPr>
            <w:tcW w:w="297" w:type="pct"/>
            <w:vAlign w:val="center"/>
          </w:tcPr>
          <w:p w14:paraId="5AAB9869" w14:textId="6985A5D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0402EB36" w14:textId="7E7FD81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7F061BC7" w14:textId="099188B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2864A518" w14:textId="29DDEFB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381E50AD" w14:textId="58D52DD0"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7E09D735" w14:textId="149D69D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5A920EB4" w14:textId="59F5EEB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304AF25F" w14:textId="4AD4A2F3"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4640FE54" w14:textId="5A7C196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4669B1DC" w14:textId="346BA6D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5FD91A7D" w14:textId="3509F5C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1763EAC8"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EBC1E1A" w14:textId="6F6C282E"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Elkhwesky Z,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{"citationID":"2FtWuqck","properties":{"formattedCitation":"(17)","plainCitation":"(17)","noteIndex":0},"citationItems":[{"id":11727,"uris":["http://zotero.org/users/6456139/items/RYLRF9AE"],"itemData":{"id":11727,"type":"article-journal","abstract":"BACKGROUND: The re-emerging human monkeypox virus (MPXV) poses a global threat. The rising number of confirmed MPXV cases worldwide is a significant reason for concern. This study aims to investigate (1) hotel employees' knowledge in Egypt of MPXV source, signs/symptoms, transmission, prevention, and treatment, (2) the primary sources of their information about MPXV, (3) whether or not they received information about MPXV from their hotels, and (4) the differences of employees' knowledge in terms of gender, age, marital status, level of education, type of contract, professional category, hotel department, type of hotel, seniority in the hotel, and the number of hotel rooms.\nMETHODS: Using a quantitative approach, we collected data from 453 employees in Egyptian hotels via a web-based questionnaire. The survey included questions regarding the MPXV source, signs/symptoms, transmission, prevention, and treatment, as well as its primary information sources. The questionnaire also included questions regarding participants' demographics and hotel characteristics.\nRESULTS: The findings indicated that more than half of hotel employees have inadequate knowledge of MPXV. Additionally, the majority of employees selected social media as their primary source of MPXV-related information. Surprisingly, most participants reported that their hotels neglected to provide them with the MPXV's information. Age, marital status, education, professional category, and tenure in the hotel all have a significant impact on their MPXV knowledge level.\nCONCLUSION: The current paper presents significant implications for both theory and practice. This study provides government agencies and hotels with guidelines for preventing the outbreak of MPXV. According to our knowledge, this is the first study conducted with hotel employees in the MPXV Egyptian context.","container-title":"Travel Medicine and Infectious Disease","DOI":"10.1016/j.tmaid.2023.102574","ISSN":"1873-0442","journalAbbreviation":"Travel Med Infect Dis","language":"eng","note":"PMID: 37061148\nPMCID: PMC10102563","page":"102574","source":"PubMed","title":"Hotel employees' knowledge of monkeypox's source, symptoms, transmission, prevention, and treatment in Egypt","volume":"53","author":[{"family":"Elkhwesky","given":"Zakaria"},{"family":"Derhab","given":"Neama"},{"family":"Elkhwesky","given":"Fady Fayez Youssif"},{"family":"Abuelhassan","given":"Abuelhassan Elshazly"},{"family":"Hassan","given":"Hamada"}],"issued":{"date-parts":[["2023"]]}}}],"schema":"https://github.com/citation-style-language/schema/raw/master/csl-citation.json"}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(17)</w:t>
            </w:r>
            <w:r w:rsidRPr="00D022DD">
              <w:rPr>
                <w:rFonts w:ascii="Times New Roman" w:hAnsi="Times New Roman"/>
                <w:szCs w:val="18"/>
                <w:lang w:val="es-PE"/>
              </w:rPr>
              <w:fldChar w:fldCharType="end"/>
            </w:r>
          </w:p>
        </w:tc>
        <w:tc>
          <w:tcPr>
            <w:tcW w:w="297" w:type="pct"/>
            <w:vAlign w:val="center"/>
          </w:tcPr>
          <w:p w14:paraId="41DBBEC3" w14:textId="4B1ACC7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2632074C" w14:textId="7D138569"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684EBAE2" w14:textId="70F1F70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2F646CDC" w14:textId="2A5D23E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3AB0F7F5" w14:textId="38DE76A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32254926" w14:textId="5FBE34F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5B73F3CC" w14:textId="2348097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0A5CAD68" w14:textId="1DA0F1D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20752F86" w14:textId="426B122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4AACD8C2" w14:textId="54C00B86"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64046357" w14:textId="5535D32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45C2162E"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22959D6" w14:textId="1A4D4BA3"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Youssef D,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{"citationID":"MnxZbJrX","properties":{"formattedCitation":"(18)","plainCitation":"(18)","noteIndex":0},"citationItems":[{"id":11724,"uris":["http://zotero.org/users/6456139/items/C7B4X54E"],"itemData":{"id":11724,"type":"article-journal","abstract":"INTRODUCTION: The ongoing multi-country outbreak of monkeypox (MPX) that emerges in non-endemic areas is a rare and unprecedented event that has sparked a widespread public health concern. Lebanon has reported four confirmed cases of MPX so far. Since good knowledge about the MPX virus and its associated disease is paramount for helping the Lebanese population prepare for a possible outbreak, therefore, it is important to assess their current level of knowledge regarding MPX and to identify its associated factors to highlight any knowledge gaps that need to be filled.\nMETHODS: An online cross-sectional study was conducted over the first 2 weeks of August 2022 among adults aged 18 years and above recruited from all Lebanese provinces using a convenience sampling technique. An anonymous, Arabic, self-reported questionnaire covering all main aspects of knowledge regarding MPX was developed and adapted based on the available literature. The Chi-square test was used to determine the associations between knowledge levels and independent variables including baseline characteristics. Multivariable logistic regression was also carried out on the significant variables in the bivariate analyses to identify the factors associated with the good knowledge level.\nRESULTS: A total of 793 Lebanese adults participated in the study. The overall level of knowledge level regarding human MPX was poor among the Lebanese population; with only 33.04% of them having a good knowledge level </w:instrText>
            </w:r>
            <w:r w:rsidRPr="00D022DD">
              <w:rPr>
                <w:rFonts w:ascii="Times New Roman" w:hAnsi="Times New Roman" w:hint="eastAsia"/>
                <w:szCs w:val="18"/>
              </w:rPr>
              <w:instrText>≥</w:instrText>
            </w:r>
            <w:r w:rsidRPr="00D022DD">
              <w:rPr>
                <w:rFonts w:ascii="Times New Roman" w:hAnsi="Times New Roman"/>
                <w:szCs w:val="18"/>
              </w:rPr>
              <w:instrText xml:space="preserve"> 60%. Knowledge gaps and a substantial poor knowledge level were found in the majority of MPX knowledge domains especially those related to the routes of transmission (76.67%), clinical presentation and symptoms (71.63%), treatment (86.25%), and severity of the disease (91.3%). Interestingly, participants have a good knowledge level of the precautionary measures (80.45%), and the response to a suspected infection (65.20%). Female gender [(aOR = 0.870, CI 95% (0.613-0.941)], increased age 49 [aOR = 0.743, CI 95% (0.381-0.908)], and living in rural areas [aOR = 0.412, CI 95% (0.227-0.861)] were found negatively associated with a good level of knowledge. However, participants with higher educational levels [aOR = 1.243, CI 95% (1.032-3.801)], those working in the medical field [aOR = 1.932, CI 95% (1.331-3.419)], those suffering from chronic disease/immunodeficiency [aOR = 1.231, CI 95% (1.128-2.002)], and participants with moderate/high economic situations [aOR = 2.131, CI 95% (1.431-4.221)] were more likely to have a good knowledge score compared to their counterparts.\nCONCLUSIONS: The current study pointed out to poor knowledge level regarding MPX among the Lebanese population with substantial knowledge gaps in most aspects of MPX knowledge. The findings stress the urgent need to raise awareness and proactively fill the unveiled gaps, especially among less informed groups.","container-title":"Journal of Pharmaceutical Policy and Practice","DOI":"10.1186/s40545-023-00544-1","ISSN":"2052-3211","issue":"1","journalAbbreviation":"J Pharm Policy Pract","language":"eng","note":"PMID: 36882801\nPMCID: PMC9990574","page":"39","source":"PubMed","title":"When a neglected tropical zoonotic disease emerges in non-endemic countries: need to proactively fill the unveiled knowledge gaps towards human monkeypox among the Lebanese population","title-short":"When a neglected tropical zoonotic disease emerges in non-endemic countries","volume":"16","author":[{"family":"Youssef","given":"Dalal"},{"family":"Abboud","given":"Edmond"},{"family":"Kawtharani","given":"Malak"},{"family":"Zheim","given":"Zahraa"},{"family":"Abou Arrage","given":"Nisrine"},{"family":"Youssef","given":"Janet"}],"issued":{"date-parts":[["2023",3,7]]}}}],"schema":"https://github.com/citation-style-language/schema/raw/master/csl-citation.json"}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(18)</w:t>
            </w:r>
            <w:r w:rsidRPr="00D022DD">
              <w:rPr>
                <w:rFonts w:ascii="Times New Roman" w:hAnsi="Times New Roman"/>
                <w:szCs w:val="18"/>
              </w:rPr>
              <w:fldChar w:fldCharType="end"/>
            </w:r>
          </w:p>
        </w:tc>
        <w:tc>
          <w:tcPr>
            <w:tcW w:w="297" w:type="pct"/>
            <w:vAlign w:val="center"/>
          </w:tcPr>
          <w:p w14:paraId="676863A5" w14:textId="112FDF3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2023</w:t>
            </w:r>
          </w:p>
        </w:tc>
        <w:tc>
          <w:tcPr>
            <w:tcW w:w="346" w:type="pct"/>
            <w:vAlign w:val="center"/>
          </w:tcPr>
          <w:p w14:paraId="2AC3A947" w14:textId="185F3E2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2F41D7B2" w14:textId="18E155C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0BFC8569" w14:textId="3CEC809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7196B408" w14:textId="1827555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3D857B29" w14:textId="4CD6558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44D2AF3B" w14:textId="17737FA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61995461" w14:textId="44F6140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5247074C" w14:textId="2F6AED8B"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09EFC455" w14:textId="607E228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4E4B9C90" w14:textId="04D6DE91"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2CC51027"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F45F948" w14:textId="0BA22795"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Sahin TK,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{"citationID":"btn4M0ZH","properties":{"formattedCitation":"(19)","plainCitation":"(19)","noteIndex":0},"citationItems":[{"id":11721,"uris":["http://zotero.org/users/6456139/items/CM364ISU"],"itemData":{"id":11721,"type":"article-journal","abstract":"Background: In May 2022, the monkeypox virus outbreak in multiple countries on various continents marked a potential resurgence of the disease as a global health issue. Considering the crucial role of physicians in mitigating the monkeypox outbreak, we sought to evaluate physicians’ knowledge, attitude, concerns, and vaccine acceptance for monkeypox, in the shadow of the COVID-19 pandemic. Methods: A large-scale, cross-sectional survey was conducted among 283 physicians between 20 August−2 September 2022, in Turkey. The participants’ sociodemographic characteristics, knowledge, attitudes, concerns, and vaccine acceptance toward monkeypox infection were collected via a questionnaire. Results: Our study revealed that 32.5% of phy</w:instrText>
            </w:r>
            <w:r w:rsidRPr="00D022DD">
              <w:rPr>
                <w:rFonts w:ascii="Times New Roman" w:hAnsi="Times New Roman" w:hint="eastAsia"/>
                <w:szCs w:val="18"/>
              </w:rPr>
              <w:instrText>sicians achieved a good level of knowledge; similarly, 31.4% of the physicians planned to have the monkeypox vaccine. Multivariate binary logistic regression analysis showed that female physicians (p = 0.031) and older people (</w:instrText>
            </w:r>
            <w:r w:rsidRPr="00D022DD">
              <w:rPr>
                <w:rFonts w:ascii="Times New Roman" w:hAnsi="Times New Roman" w:hint="eastAsia"/>
                <w:szCs w:val="18"/>
              </w:rPr>
              <w:instrText>≥</w:instrText>
            </w:r>
            <w:r w:rsidRPr="00D022DD">
              <w:rPr>
                <w:rFonts w:ascii="Times New Roman" w:hAnsi="Times New Roman" w:hint="eastAsia"/>
                <w:szCs w:val="18"/>
              </w:rPr>
              <w:instrText>30 vs. &lt;30) were more likel</w:instrText>
            </w:r>
            <w:r w:rsidRPr="00D022DD">
              <w:rPr>
                <w:rFonts w:ascii="Times New Roman" w:hAnsi="Times New Roman"/>
                <w:szCs w:val="18"/>
              </w:rPr>
              <w:instrText xml:space="preserve">y to be knowledgeable about monkeypox (p = 0.007). We found that participants from divisions of internal medicine (p = 0.033) who knew about the monkeypox disease during medical school or residency (p = 0.005) and were previously exposed to COVID-19 disease (p = 0.005) were more likely to have a good knowledge score of monkeypox. We also found that physicians with a good knowledge score were more worried about monkeypox compared to COVID-19 (AOR: 2.22; 95% CI:1.13−4.33; p = 0.019). Additionally, those who had information on monkeypox during medical education (AOR = 2.16, 95% CI = 1.10−4.21; p = 0.024) were more likely to receive the smallpox vaccine to prevent monkeypox viral infection when available. Conclusions: The present study pointed out that physicians in Turkey have unsatisfactory levels of knowledge about the emerging monkeypox. This study results can impede attempts to detect and manage cases of monkeypox and should be addressed through appropriate and timely awareness and educational programs, alerts, and seminars. These might serve as the basis for policymakers’ decisions about promoting national monkeypox vaccination strategies and addressing potential vaccine hesitancy and misinformation when needed.","container-title":"Vaccines","DOI":"10.3390/vaccines11010019","ISSN":"2076-393X","issue":"1","journalAbbreviation":"Vaccines (Basel)","language":"eng","note":"PMID: 36679864\nPMCID: PMC9863926","page":"19","source":"PubMed","title":"Knowledge and Attitudes of Turkish Physicians towards Human Monkeypox Disease and Related Vaccination: A Cross-Sectional Study","title-short":"Knowledge and Attitudes of Turkish Physicians towards Human Monkeypox Disease and Related Vaccination","volume":"11","author":[{"family":"Sahin","given":"Taha Koray"},{"family":"Erul","given":"Enes"},{"family":"Aksun","given":"Melek Seren"},{"family":"Sonmezer","given":"Meliha Cagla"},{"family":"Unal","given":"Serhat"},{"family":"Akova","given":"Murat"}],"issued":{"date-parts":[["2022",12,21]]}}}],"schema":"https://github.com/citation-style-language/schema/raw/master/csl-citation.json"}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(19)</w:t>
            </w:r>
            <w:r w:rsidRPr="00D022DD">
              <w:rPr>
                <w:rFonts w:ascii="Times New Roman" w:hAnsi="Times New Roman"/>
                <w:szCs w:val="18"/>
              </w:rPr>
              <w:fldChar w:fldCharType="end"/>
            </w:r>
          </w:p>
        </w:tc>
        <w:tc>
          <w:tcPr>
            <w:tcW w:w="297" w:type="pct"/>
            <w:vAlign w:val="center"/>
          </w:tcPr>
          <w:p w14:paraId="4A792E93" w14:textId="2A72ACCD"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2022</w:t>
            </w:r>
          </w:p>
        </w:tc>
        <w:tc>
          <w:tcPr>
            <w:tcW w:w="346" w:type="pct"/>
            <w:vAlign w:val="center"/>
          </w:tcPr>
          <w:p w14:paraId="25FC9B11" w14:textId="0D193AD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66D59099" w14:textId="1BF4371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2A192AFB" w14:textId="5B15AA7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22929A27" w14:textId="59332F7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6D30A222" w14:textId="47F00EB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7DC8D5A1" w14:textId="7F9C4F3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1CB87541" w14:textId="2A981CC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6B770A83" w14:textId="28955E8E"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50DB43DE" w14:textId="4CEF983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EB38E1">
              <w:rPr>
                <w:rFonts w:ascii="Times New Roman" w:hAnsi="Times New Roman"/>
                <w:sz w:val="18"/>
                <w:szCs w:val="18"/>
              </w:rPr>
              <w:t>6</w:t>
            </w:r>
          </w:p>
        </w:tc>
        <w:tc>
          <w:tcPr>
            <w:tcW w:w="394" w:type="pct"/>
            <w:vAlign w:val="center"/>
          </w:tcPr>
          <w:p w14:paraId="06C7744B" w14:textId="5F55AE3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5AC8AD5F"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BBF4B90" w14:textId="0446A642"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Alshahrani NZ,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{"citationID":"WMA0Vh1e","properties":{"formattedCitation":"(20)","plainCitation":"(20)","noteIndex":0},"citationItems":[{"id":11697,"uris":["http://zotero.org/users/6456139/items/GAE2RF82"],"itemData":{"id":11697,"type":"article-journal","abstract":"INTRODUCTION: The recent multi-nation outbreaks of human monkeypox in non-endemic areas have created an emerging public health issue. Medical students who will become future healthcare providers are directly associated with community people and can easily sensitize the general population, so it is crucial to assess their degree of knowledge and attitudes regarding recently emerging infections or pathogens. However, studies on medical students' perception of the monkeypox virus are scarce in Saudi Arabia. Therefore, the objective of this study was to assess the monkeypox virus-related knowledge and attitudes among medical students in the country.\nMETHODS: A cross-sectional study was conducted from May to July 2022 among undergraduate medical students at King Khalid University, Abha, Saudi Arabia. A systematic random sampling technique was applied to select the study participants. A self-administered questionnaire was used to gather data on sociodemographic characteristics, knowledge and attitudes toward the monkeypox virus. Descriptive statistics and Chi-square tests were performed.\nRESULTS: A total of 314 medical students were recruited for this study. The findings from this study showed that the vast majority of medical students (72%) had poor knowledge about the monkeypox virus. Respondents' age, grade point average (GPA), fathers' education level, and training received about the monkeypox virus were significantly associated with the level of knowledge about the monkeypox virus (p &lt; 0.05). Nearly half of the respondents (45.9%) agreed that the monkeypox virus could be transmitted to Saudi Arabia. Overall, this study showed that the awareness levels regarding the monkeypox virus were significantly higher among seniors as compared to junior students.\nCONCLUSION: The study found poor knowledge of the monkeypox virus among currently enrolled medical students in the country's highest-ranked medical school. This finding emphasizes the urgent need to increase their knowledge because controlling outbreaks requires significant cooperation from knowledgeable and skilled healthcare providers.","container-title":"Cureus","DOI":"10.7759/cureus.28060","ISSN":"2168-8184","issue":"8","journalAbbreviation":"Cureus","language":"eng","note":"PMID: 36127980\nPMCID: PMC9477600","page":"e28060","source":"PubMed","title":"Medical Students' Perception Regarding the Re-emerging Monkeypox Virus: An Institution-Based Cross-Sectional Study From Saudi Arabia","title-short":"Medical Students' Perception Regarding the Re-emerging Monkeypox Virus","volume":"14","author":[{"family":"Alshahrani","given":"Najim Z."},{"family":"Mitra","given":"Sayan"},{"family":"Alkuwaiti","given":"Ali A."},{"family":"Alhumam","given":"Maathir N."},{"family":"Altmimi","given":"Sarah Muqbil B."},{"family":"Alamri","given":"Mohammad Hassan M."},{"family":"Albalawi","given":"Zainab Atallah S."},{"family":"Almorgi","given":"Majed W."},{"family":"Alharbi","given":"Hamad Khulaif D."},{"family":"Alshahrani","given":"Sultan M."}],"issued":{"date-parts":[["2022",8]]}}}],"schema":"https://github.com/citation-style-language/schema/raw/master/csl-citation.json"}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(20)</w:t>
            </w:r>
            <w:r w:rsidRPr="00D022DD">
              <w:rPr>
                <w:rFonts w:ascii="Times New Roman" w:hAnsi="Times New Roman"/>
                <w:szCs w:val="18"/>
                <w:lang w:val="es-PE"/>
              </w:rPr>
              <w:fldChar w:fldCharType="end"/>
            </w:r>
          </w:p>
        </w:tc>
        <w:tc>
          <w:tcPr>
            <w:tcW w:w="297" w:type="pct"/>
            <w:vAlign w:val="center"/>
          </w:tcPr>
          <w:p w14:paraId="54C2C414" w14:textId="3EEF0F27"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2022</w:t>
            </w:r>
          </w:p>
        </w:tc>
        <w:tc>
          <w:tcPr>
            <w:tcW w:w="346" w:type="pct"/>
            <w:vAlign w:val="center"/>
          </w:tcPr>
          <w:p w14:paraId="4EE91B44" w14:textId="42C01007"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5FC7DE09" w14:textId="5D33B46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119DF369" w14:textId="3A884F3D"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738FCB73" w14:textId="7A877E16"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6E7CDF7A" w14:textId="000DFD12"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47965051" w14:textId="06D7C34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6C941D26" w14:textId="1E6AB9E8"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092F1FF6" w14:textId="7F6AC79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6FE9DC3B" w14:textId="268A2E0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79B2C8A7" w14:textId="37CF9A7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3D804572"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D7251B5" w14:textId="75FA0930"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Alshahrani NZ,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{"citationID":"z23bCsrc","properties":{"formattedCitation":"(21)","plainCitation":"(21)","noteIndex":0},"citationItems":[{"id":11739,"uris":["http://zotero.org/users/6456139/items/DFGHMJCL"],"itemData":{"id":11739,"type":"article-journal","abstract":"Monkeypox is re-emerging and spreading over the world, posing a serious threat to human life, especially in non-endemic countries, including Saudi Arabia. Due to the paucity of research on knowledge about monkeypox in Saudi Arabia, this study aimed to evaluate the general population’s knowledge of monkeypox in a sample of the country. A web-based cross-sectional survey was conducted from 25 May 2022 to 15 July 2022. Participants’ knowledge about monkeypox on a 23-item scale and socio-demographic characteristics were gathered in the survey. Pearson’s Chi-square test was used to compare knowledge level (categorized into high and low) and explanatory variables. Out of 480, only 48% of the respondents had high knowledge (mean score &gt; 14). Participants’ age, marital status, residential region, living in the urban area, education level, employment status, being a healthcare worker, income, and smoking status were significantly associated with the level of knowledge about monkeypox (p &lt; 0.01). Overall, social media (75.0%) was the most frequently reported source from where participants obtained monkeypox-related information followed by TV and radio (45.6%), family or friend (15.6%), and healthcare provider (13.8%). We found that overall knowledge of monkeypox infection was slightly poor among the Saudi population. These findings highlight the urgent need for public education on monkeypox to promote awareness and engage the public ahead of the outbreak.","container-title":"Pathogens (Basel, Switzerland)","DOI":"10.3390/pathogens11080904","ISSN":"2076-0817","issue":"8","journalAbbreviation":"Pathogens","language":"eng","note":"PMID: 36015025\nPMCID: PMC9414752","page":"904","source":"PubMed","title":"Assessment of Knowledge of Monkeypox Viral Infection among the General Population in Saudi Arabia","volume":"11","author":[{"family":"Alshahrani","given":"Najim Z."},{"family":"Alzahrani","given":"Faris"},{"family":"Alarifi","given":"Abdullah M."},{"family":"Algethami","given":"Mohammed R."},{"family":"Alhumam","given":"Maathir Naser"},{"family":"Ayied","given":"Hatim Abdullah Mohammed"},{"family":"Awan","given":"Ahmed Zuhier"},{"family":"Almutairi","given":"Abdullah Faisal"},{"family":"Bamakhrama","given":"Saeed Abdullah"},{"family":"Almushari","given":"Budur Saad"},{"family":"Sah","given":"Ranjit"}],"issued":{"date-parts":[["2022",8,11]]}}}],"schema":"https://github.com/citation-style-language/schema/raw/master/csl-citation.json"}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(21)</w:t>
            </w:r>
            <w:r w:rsidRPr="00D022DD">
              <w:rPr>
                <w:rFonts w:ascii="Times New Roman" w:hAnsi="Times New Roman"/>
                <w:szCs w:val="18"/>
              </w:rPr>
              <w:fldChar w:fldCharType="end"/>
            </w:r>
          </w:p>
        </w:tc>
        <w:tc>
          <w:tcPr>
            <w:tcW w:w="297" w:type="pct"/>
            <w:vAlign w:val="center"/>
          </w:tcPr>
          <w:p w14:paraId="05B57103" w14:textId="515140A8"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2022</w:t>
            </w:r>
          </w:p>
        </w:tc>
        <w:tc>
          <w:tcPr>
            <w:tcW w:w="346" w:type="pct"/>
            <w:vAlign w:val="center"/>
          </w:tcPr>
          <w:p w14:paraId="1CBD34EB" w14:textId="42D853F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21A3D106" w14:textId="001A952F"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249688C1" w14:textId="3FE309F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3E092915" w14:textId="18B0058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0079E3B9" w14:textId="5B7413C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5F21E28F" w14:textId="3367A54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31FD6430" w14:textId="2A3C5A1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60F95B61" w14:textId="685971F5"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59337F30" w14:textId="4345B80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27A3444F" w14:textId="0E921257"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5BDE61A5"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905653" w14:textId="15C65BC1"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Riad A,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{"citationID":"RKSVmGU0","properties":{"formattedCitation":"(22)","plainCitation":"(22)","noteIndex":0},"citationItems":[{"id":12353,"uris":["http://zotero.org/users/6456139/items/2KG75W2I"],"itemData":{"id":12353,"type":"article-journal","abstract":"BACKGROUND: The recent human monkeypox virus (HMPXV) outbreak in non-endemic countries that started in May 2022 has raised concerns among public health authorities worldwide. Healthcare workers (HCWs) play a decisive role during epidemics in transmitting accurate information to the public and motivating them to pursue protective behaviours, including immunisation.\nMETHODS: A cross-sectional survey-based study was conducted in the Czech Republic in September 2022 to evaluate HMPXV-related knowledge and vaccination perceptions among HCWs. The study utilised a digital self-administered questionnaire (SAQ) to collect data from the target population. The proposed SAQ inquired about participants' sociodemographic and anamnestic characteristics, perceived knowledge of HMPXV, factual knowledge, and vaccination perceptions according to the health belief model (HBM).\nRESULTS: A total of 341 participants were included in this study; most of them were females (88.9%), allied HCWs (89.4%), heterosexuals (87.1%), married (61.9%), and vaccinated against COVID-19 (91.2%). Only 8.8% of the participants agreed to receive vaccination against HMPXV; 44.9% rejected it, while 46.3% were hesitant. While digital news portals (47.5%) and social media (25.8%) were among the most utilised sources of information about HMPXV, the scientific journals (5.6%), ECDC (5%), and the U.S. CDC (1.5%) were the least common sources. The participants demonstrated suboptimal levels of factual knowledge, especially regarding HMPXV vaccines (1.5 ± 1.2 (0-4)) and treatments (0.9 ± 0.9 (0-4)). Additionally, several misconceptions were detectable among the participants, regarding topics such as the availability of effective vaccines and antivirals against HMPXV, the risk of vertical transmission, and homosexual stigmatisation. The HBM indicated that the cues to action and perceived susceptibility were the most important constructs to predict HMPXV vaccine acceptance.\nCONCLUSIONS: the findings of this study call upon public health practitioners and health policymakers in the Czech Republic to act accordingly in order to determine the drivers of vaccine hesitancy among Czech HCWs. Dedicated educational campaigns should aim to counter the HCWs' misconceptions around HMPXV, and future studies should aim to explore the prevalence and drivers of HMPXV vaccine hesitancy among the general population.","container-title":"Vaccines","DOI":"10.3390/vaccines10122022","ISSN":"2076-393X","issue":"12","journalAbbreviation":"Vaccines (Basel)","language":"eng","note":"PMID: 36560432\nPMCID: PMC9788212","page":"2022","source":"PubMed","title":"Monkeypox Knowledge and Vaccine Hesitancy of Czech Healthcare Workers: A Health Belief Model (HBM)-Based Study","title-short":"Monkeypox Knowledge and Vaccine Hesitancy of Czech Healthcare Workers","volume":"10","author":[{"family":"Riad","given":"Abanoub"},{"family":"Drobov","given":"Anton"},{"family":"Rozmarinová","given":"Jana"},{"family":"Drapáčová","given":"Pavla"},{"family":"Klugarová","given":"Jitka"},{"family":"Dušek","given":"Ladislav"},{"family":"Pokorná","given":"Andrea"},{"family":"Klugar","given":"Miloslav"}],"issued":{"date-parts":[["2022",11,26]]}}}],"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(22)</w:t>
            </w:r>
            <w:r w:rsidRPr="00D022DD">
              <w:rPr>
                <w:rFonts w:ascii="Times New Roman" w:hAnsi="Times New Roman"/>
                <w:szCs w:val="18"/>
              </w:rPr>
              <w:fldChar w:fldCharType="end"/>
            </w:r>
          </w:p>
        </w:tc>
        <w:tc>
          <w:tcPr>
            <w:tcW w:w="297" w:type="pct"/>
            <w:vAlign w:val="center"/>
          </w:tcPr>
          <w:p w14:paraId="174C750A" w14:textId="30723BC1"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2022</w:t>
            </w:r>
          </w:p>
        </w:tc>
        <w:tc>
          <w:tcPr>
            <w:tcW w:w="346" w:type="pct"/>
            <w:vAlign w:val="center"/>
          </w:tcPr>
          <w:p w14:paraId="6B32C4AA" w14:textId="29474BD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15AFAB44" w14:textId="2F35BC9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0F4A0CC6" w14:textId="76CED10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26D8BCD5" w14:textId="41909850"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63D0F3FE" w14:textId="00941F5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622D5573" w14:textId="1A85AF8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0034187D" w14:textId="15AB2D9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699C229D" w14:textId="63012DD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25E8CB83" w14:textId="72F52B6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6ED426B8" w14:textId="7EE243E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1C6719FC"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4A3E639" w14:textId="0DA665F1"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Kaur A, et al. </w:t>
            </w:r>
            <w:r w:rsidRPr="00D022DD">
              <w:rPr>
                <w:rFonts w:ascii="Times New Roman" w:hAnsi="Times New Roman"/>
                <w:szCs w:val="18"/>
                <w:lang w:val="es-PE"/>
              </w:rPr>
              <w:fldChar w:fldCharType="begin"/>
            </w:r>
            <w:r w:rsidRPr="00D022DD">
              <w:rPr>
                <w:rFonts w:ascii="Times New Roman" w:hAnsi="Times New Roman"/>
                <w:szCs w:val="18"/>
              </w:rPr>
              <w:instrText xml:space="preserve"> ADDIN ZOTERO_ITEM CSL_CITATION {"citationID":"JsrNHYo0","properties":{"formattedCitation":"(23)","plainCitation":"(23)","noteIndex":0},"citationItems":[{"id":11712,"uris":["http://zotero.org/users/6456139/items/GS375QQD"],"itemData":{"id":11712,"type":"article-journal","abstract":"BACKGROUND: The emergence of monkeypox has presented a new challenge for health agencies around the globe. There is significant increase in the number of cases that too in non-endemic countries with more than 18000 cases reported worldwide.\nOBJECTIVE: The present study was conducted to assess knowledge and awareness regarding monkeypox among dental professionals.\nMATERIALS AND METHOD: The present cross-sectional study among 410 subjects who were residing in a northern state of the country. Informed consent was obtained from all the subjects. Study sample was selected on the basis of Systematic random sampling methodology. A self-designed close-ended questionnaire written in English and verified by experts was utilized for the study. The questionnaire was delivered personally to study subjects to collect the required information. Chi-square test and ANOVA were used for statistical analysis.\nRESULTS: One-fourth (24.8%) of the subjects never heard about monkeypox disease. Negative response was given by 44.8% of subjects regarding resemblance of monkeypox with small pox. Only 31.2% of subjects had knowledge regarding oral manifestations of the disease. High knowledge scores were reported by only 28% of subjects. Higher knowledge levels were significantly related to education level and working profile of study subjects. Online media (Internet) was preferred as the main source to obtain more information by 42.2 of subjects.\nCONCLUSION: There was low level of knowledge regarding monkeypox among study subjects. There is an urgent need for dental professionals to keep themselves updated with recent knowledge on new emerging infectious diseases.","container-title":"Roczniki Panstwowego Zakladu Higieny","DOI":"10.32394/rpzh.2022.0226","ISSN":"0035-7715","issue":"3","journalAbbreviation":"Rocz Panstw Zakl Hig","language":"eng","note":"PMID: 36169392","page":"365-371","source":"PubMed","title":"Identifying monkeypox: do dental professionals have adequate knowledge and awareness?","title-short":"Identifying monkeypox","volume":"73","author":[{"family":"Kaur","given":"Ambreen"},{"family":"Goel","given":"Richa"},{"family":"Singh","given":"Ravinder"},{"family":"Bhardwaj","given":"Arvind"},{"family":"Kumari","given":"Raj"},{"family":"Gambhir","given":"Ramandeep Singh"}],"issued":{"date-parts":[["2022"]]}}}],"schema":"https://github.com/citation-style-language/schema/raw/master/csl-citation.json"} </w:instrText>
            </w:r>
            <w:r w:rsidRPr="00D022DD">
              <w:rPr>
                <w:rFonts w:ascii="Times New Roman" w:hAnsi="Times New Roman"/>
                <w:szCs w:val="18"/>
                <w:lang w:val="es-PE"/>
              </w:rPr>
              <w:fldChar w:fldCharType="separate"/>
            </w:r>
            <w:r w:rsidRPr="00D022DD">
              <w:rPr>
                <w:rFonts w:ascii="Times New Roman" w:hAnsi="Times New Roman"/>
              </w:rPr>
              <w:t>(23)</w:t>
            </w:r>
            <w:r w:rsidRPr="00D022DD">
              <w:rPr>
                <w:rFonts w:ascii="Times New Roman" w:hAnsi="Times New Roman"/>
                <w:szCs w:val="18"/>
                <w:lang w:val="es-PE"/>
              </w:rPr>
              <w:fldChar w:fldCharType="end"/>
            </w:r>
          </w:p>
        </w:tc>
        <w:tc>
          <w:tcPr>
            <w:tcW w:w="297" w:type="pct"/>
            <w:vAlign w:val="center"/>
          </w:tcPr>
          <w:p w14:paraId="0EC3E18A" w14:textId="11D27B32"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2022</w:t>
            </w:r>
          </w:p>
        </w:tc>
        <w:tc>
          <w:tcPr>
            <w:tcW w:w="346" w:type="pct"/>
            <w:vAlign w:val="center"/>
          </w:tcPr>
          <w:p w14:paraId="0BB033E4" w14:textId="3DE75201"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01C3739F" w14:textId="6E41D1E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42373A4F" w14:textId="7DA9A31B"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5BC4AE3C" w14:textId="44B2F15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235D13DB" w14:textId="5C63F92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44CF8D27" w14:textId="75E53FEA"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6966EDC7" w14:textId="76D1FC99"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2CBCD89D" w14:textId="70D47EE0"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63CED966" w14:textId="3231B52C"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lang w:val="es-PE"/>
              </w:rPr>
              <w:t>6</w:t>
            </w:r>
          </w:p>
        </w:tc>
        <w:tc>
          <w:tcPr>
            <w:tcW w:w="394" w:type="pct"/>
            <w:vAlign w:val="center"/>
          </w:tcPr>
          <w:p w14:paraId="1176FA25" w14:textId="25F0D3F4" w:rsidR="00205CD7" w:rsidRPr="00D022DD" w:rsidRDefault="00205CD7" w:rsidP="00205CD7">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r w:rsidR="00205CD7" w:rsidRPr="00D022DD" w14:paraId="1CEBB4A9"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91D8133" w14:textId="388E62D1" w:rsidR="00205CD7" w:rsidRPr="00D022DD" w:rsidRDefault="00205CD7" w:rsidP="00205CD7">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D022DD">
              <w:rPr>
                <w:rFonts w:ascii="Times New Roman" w:hAnsi="Times New Roman"/>
                <w:szCs w:val="18"/>
              </w:rPr>
              <w:t xml:space="preserve">Harapan H, et al. </w:t>
            </w:r>
            <w:r w:rsidRPr="00D022DD">
              <w:rPr>
                <w:rFonts w:ascii="Times New Roman" w:hAnsi="Times New Roman"/>
                <w:szCs w:val="18"/>
              </w:rPr>
              <w:fldChar w:fldCharType="begin"/>
            </w:r>
            <w:r w:rsidRPr="00D022DD">
              <w:rPr>
                <w:rFonts w:ascii="Times New Roman" w:hAnsi="Times New Roman"/>
                <w:szCs w:val="18"/>
              </w:rPr>
              <w:instrText xml:space="preserve"> ADDIN ZOTERO_ITEM CSL_CITATION {"citationID":"bu0wFFhD","properties":{"formattedCitation":"(24)","plainCitation":"(24)","noteIndex":0},"citationItems":[{"id":11703,"uris":["http://zotero.org/users/6456139/items/JE923GEV"],"itemData":{"id":11703,"type":"article-journal","abstract":"After the first, imported, laboratory-confirmed case of monkeypox in human was reported in Singapore on May 2019, countries in Asia started to strengthen disease surveillance systems. One challenge in preventing monkeypox is a lack of knowledge, particularly among healthcare workers. The aim of this study was to assess the knowledge of monkeypox among general practitioners (GPs) in Indonesia. A cross-sectional online survey was conducted. The survey collected participants' knowledge on a 21-item scale and explanatory variables. A two-step logistic regression analysis was employed to assess the predictors of knowledge of monkeypox. A total of 432 GPs were included; 10.0% and 36.5% of them had a good knowledge using an 80% and 70% cutoff point for knowledge domain, respectively. No explanatory variables were associated with knowledge when using 80% cutoff point. Using the lower cutoff, there was lower knowledge among GPs who graduated from universities located in Sumatra or other islands versus Java (adjusted odds ratio (aOR): 0.53; 95%CI: 0.28-0.97, p = 0.041) and among those were older than 30 years compared to younger GPs (aOR: 0.61; 95%CI: 0.39-0.96, p = 0.033). GPs working in private clinics had less knowledge compared to GPs in community health centers (aOR: 0.55; 95%CI: 0.31-0.99, p = 0.047). In conclusion, knowledge of monkeypox among GPs in Indonesia is relatively low in all groups. Increasing knowledge of monkeypox will be key to improving the capacity of GPs to respond to human monkeypox cases and to report into a disease surveillance system.","container-title":"Pathogens and Global Health","DOI":"10.1080/20477724.2020.1743037","ISSN":"2047-7732","issue":"2","journalAbbreviation":"Pathog Glob Health","language":"eng","note":"PMID: 32202967\nPMCID: PMC7170312","page":"68-75","source":"PubMed","title":"Knowledge of human monkeypox viral infection among general practitioners: a cross-sectional study in Indonesia","title-short":"Knowledge of human monkeypox viral infection among general practitioners","volume":"114","author":[{"family":"Harapan","given":"Harapan"},{"family":"Setiawan","given":"Abdul M."},{"family":"Yufika","given":"Amanda"},{"family":"Anwar","given":"Samsul"},{"family":"Wahyuni","given":"Sri"},{"family":"Asrizal","given":"Febrivan W."},{"family":"Sufri","given":"Muhammad R."},{"family":"Putra","given":"Reza P."},{"family":"Wijayanti","given":"Nanda P."},{"family":"Salwiyadi","given":"Salwiyadi"},{"family":"Maulana","given":"Razi"},{"family":"Khusna","given":"Afriyani"},{"family":"Nusrina","given":"Ina"},{"family":"Shidiq","given":"Muhammad"},{"family":"Fitriani","given":"Devi"},{"family":"Muharrir","given":"Muharrir"},{"family":"Husna","given":"Cut A."},{"family":"Yusri","given":"Fitria"},{"family":"Maulana","given":"Reza"},{"family":"Andalas","given":"Mohd"},{"family":"Wagner","given":"Abram L."},{"family":"Mudatsir","given":"Mudatsir"}],"issued":{"date-parts":[["2020",3]]}}}],"schema":"https://github.com/citation-style-language/schema/raw/master/csl-citation.json"} </w:instrText>
            </w:r>
            <w:r w:rsidRPr="00D022DD">
              <w:rPr>
                <w:rFonts w:ascii="Times New Roman" w:hAnsi="Times New Roman"/>
                <w:szCs w:val="18"/>
              </w:rPr>
              <w:fldChar w:fldCharType="separate"/>
            </w:r>
            <w:r w:rsidRPr="00D022DD">
              <w:rPr>
                <w:rFonts w:ascii="Times New Roman" w:hAnsi="Times New Roman"/>
              </w:rPr>
              <w:t>(24)</w:t>
            </w:r>
            <w:r w:rsidRPr="00D022DD">
              <w:rPr>
                <w:rFonts w:ascii="Times New Roman" w:hAnsi="Times New Roman"/>
                <w:szCs w:val="18"/>
              </w:rPr>
              <w:fldChar w:fldCharType="end"/>
            </w:r>
          </w:p>
        </w:tc>
        <w:tc>
          <w:tcPr>
            <w:tcW w:w="297" w:type="pct"/>
            <w:vAlign w:val="center"/>
          </w:tcPr>
          <w:p w14:paraId="2BF275E4" w14:textId="1762D5CE"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D022DD">
              <w:rPr>
                <w:rFonts w:ascii="Times New Roman" w:hAnsi="Times New Roman"/>
                <w:szCs w:val="18"/>
              </w:rPr>
              <w:t>2020</w:t>
            </w:r>
          </w:p>
        </w:tc>
        <w:tc>
          <w:tcPr>
            <w:tcW w:w="346" w:type="pct"/>
            <w:vAlign w:val="center"/>
          </w:tcPr>
          <w:p w14:paraId="0FA1890B" w14:textId="24B23C14"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6" w:type="pct"/>
            <w:vAlign w:val="center"/>
          </w:tcPr>
          <w:p w14:paraId="43131CF9" w14:textId="64B789FB"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644" w:type="pct"/>
            <w:vAlign w:val="center"/>
          </w:tcPr>
          <w:p w14:paraId="4F4B5C37" w14:textId="7D970FEF"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445" w:type="pct"/>
            <w:vAlign w:val="center"/>
          </w:tcPr>
          <w:p w14:paraId="191D8911" w14:textId="42067BA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7" w:type="pct"/>
            <w:vAlign w:val="center"/>
          </w:tcPr>
          <w:p w14:paraId="1D2017E9" w14:textId="33444BC5"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t>Unclear</w:t>
            </w:r>
          </w:p>
        </w:tc>
        <w:tc>
          <w:tcPr>
            <w:tcW w:w="446" w:type="pct"/>
            <w:vAlign w:val="center"/>
          </w:tcPr>
          <w:p w14:paraId="73420B1A" w14:textId="17224B0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NA</w:t>
            </w:r>
          </w:p>
        </w:tc>
        <w:tc>
          <w:tcPr>
            <w:tcW w:w="446" w:type="pct"/>
            <w:vAlign w:val="center"/>
          </w:tcPr>
          <w:p w14:paraId="47B0CCE5" w14:textId="19A570EA"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396" w:type="pct"/>
            <w:vAlign w:val="center"/>
          </w:tcPr>
          <w:p w14:paraId="64B14F1F" w14:textId="7AE96FE9"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Yes</w:t>
            </w:r>
          </w:p>
        </w:tc>
        <w:tc>
          <w:tcPr>
            <w:tcW w:w="297" w:type="pct"/>
            <w:vAlign w:val="center"/>
          </w:tcPr>
          <w:p w14:paraId="0135419D" w14:textId="787FD348"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6</w:t>
            </w:r>
          </w:p>
        </w:tc>
        <w:tc>
          <w:tcPr>
            <w:tcW w:w="394" w:type="pct"/>
            <w:vAlign w:val="center"/>
          </w:tcPr>
          <w:p w14:paraId="7322E658" w14:textId="008CB727" w:rsidR="00205CD7" w:rsidRPr="00D022DD" w:rsidRDefault="00205CD7" w:rsidP="00205CD7">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D022DD">
              <w:rPr>
                <w:rFonts w:ascii="Times New Roman" w:hAnsi="Times New Roman"/>
                <w:sz w:val="18"/>
                <w:szCs w:val="18"/>
              </w:rPr>
              <w:t>Moderate</w:t>
            </w:r>
          </w:p>
        </w:tc>
      </w:tr>
    </w:tbl>
    <w:p w14:paraId="33F83F7B" w14:textId="77777777" w:rsidR="004078FF" w:rsidRPr="00D022DD" w:rsidRDefault="00DC5131" w:rsidP="00086C21">
      <w:pPr>
        <w:pStyle w:val="MDPI31text"/>
        <w:jc w:val="center"/>
        <w:rPr>
          <w:rFonts w:ascii="Times New Roman" w:hAnsi="Times New Roman"/>
          <w:sz w:val="22"/>
          <w:szCs w:val="24"/>
        </w:rPr>
      </w:pPr>
      <w:r w:rsidRPr="00D022DD">
        <w:rPr>
          <w:rFonts w:ascii="Times New Roman" w:hAnsi="Times New Roman"/>
          <w:snapToGrid/>
          <w:szCs w:val="20"/>
        </w:rPr>
        <w:t>NA: Not assessed</w:t>
      </w:r>
      <w:r w:rsidR="004078FF" w:rsidRPr="00D022DD">
        <w:rPr>
          <w:rFonts w:ascii="Times New Roman" w:hAnsi="Times New Roman"/>
          <w:snapToGrid/>
          <w:szCs w:val="20"/>
        </w:rPr>
        <w:br/>
      </w:r>
    </w:p>
    <w:p w14:paraId="5436371C" w14:textId="32F9CB47" w:rsidR="007F2C86" w:rsidRPr="00D022DD" w:rsidRDefault="004078FF" w:rsidP="00086C21">
      <w:pPr>
        <w:pStyle w:val="MDPI31text"/>
        <w:jc w:val="center"/>
        <w:rPr>
          <w:rFonts w:ascii="Times New Roman" w:hAnsi="Times New Roman"/>
          <w:sz w:val="22"/>
          <w:szCs w:val="24"/>
        </w:rPr>
      </w:pPr>
      <w:r w:rsidRPr="00D022DD">
        <w:rPr>
          <w:rFonts w:ascii="Times New Roman" w:hAnsi="Times New Roman"/>
          <w:sz w:val="22"/>
          <w:szCs w:val="24"/>
          <w:lang w:val="es-PE"/>
        </w:rPr>
        <w:t xml:space="preserve">Aromataris E, Munn Z (Editors). </w:t>
      </w:r>
      <w:r w:rsidRPr="00D022DD">
        <w:rPr>
          <w:rFonts w:ascii="Times New Roman" w:hAnsi="Times New Roman"/>
          <w:sz w:val="22"/>
          <w:szCs w:val="24"/>
        </w:rPr>
        <w:t>JBI Manual for Evidence Synthesis. JBI, 2020. Available from </w:t>
      </w:r>
      <w:hyperlink r:id="rId16" w:tgtFrame="_blank" w:history="1">
        <w:r w:rsidRPr="00D022DD">
          <w:rPr>
            <w:rStyle w:val="Hipervnculo"/>
            <w:rFonts w:ascii="Times New Roman" w:hAnsi="Times New Roman"/>
            <w:sz w:val="22"/>
            <w:szCs w:val="24"/>
          </w:rPr>
          <w:t>https://synthesismanual.jbi.global</w:t>
        </w:r>
      </w:hyperlink>
      <w:r w:rsidRPr="00D022DD">
        <w:rPr>
          <w:rFonts w:ascii="Times New Roman" w:hAnsi="Times New Roman"/>
          <w:sz w:val="22"/>
          <w:szCs w:val="24"/>
        </w:rPr>
        <w:t>.  </w:t>
      </w:r>
      <w:hyperlink r:id="rId17" w:tgtFrame="_blank" w:history="1">
        <w:r w:rsidRPr="00D022DD">
          <w:rPr>
            <w:rStyle w:val="Hipervnculo"/>
            <w:rFonts w:ascii="Times New Roman" w:hAnsi="Times New Roman"/>
            <w:sz w:val="22"/>
            <w:szCs w:val="24"/>
          </w:rPr>
          <w:t>https://doi.org/10.46658/JBIMES-20-01</w:t>
        </w:r>
      </w:hyperlink>
    </w:p>
    <w:p w14:paraId="359CC0DC" w14:textId="77777777" w:rsidR="00FA20F9" w:rsidRPr="00D022DD" w:rsidRDefault="00FA20F9" w:rsidP="00086C21">
      <w:pPr>
        <w:pStyle w:val="MDPI31text"/>
        <w:jc w:val="center"/>
        <w:rPr>
          <w:rFonts w:ascii="Times New Roman" w:hAnsi="Times New Roman"/>
          <w:sz w:val="22"/>
          <w:szCs w:val="24"/>
        </w:rPr>
      </w:pPr>
    </w:p>
    <w:p w14:paraId="4E19B7F0" w14:textId="580A4709" w:rsidR="0007489C" w:rsidRPr="00D022DD" w:rsidRDefault="0007489C" w:rsidP="0007489C">
      <w:pPr>
        <w:tabs>
          <w:tab w:val="center" w:pos="8108"/>
        </w:tabs>
        <w:rPr>
          <w:lang w:eastAsia="de-DE" w:bidi="en-US"/>
        </w:rPr>
        <w:sectPr w:rsidR="0007489C" w:rsidRPr="00D022DD" w:rsidSect="00E43D79">
          <w:pgSz w:w="19618" w:h="11907" w:orient="landscape" w:code="9"/>
          <w:pgMar w:top="720" w:right="1701" w:bottom="1418" w:left="1701" w:header="1021" w:footer="340" w:gutter="0"/>
          <w:pgNumType w:start="1"/>
          <w:cols w:space="425"/>
          <w:titlePg/>
          <w:bidi/>
          <w:docGrid w:linePitch="326"/>
        </w:sectPr>
      </w:pPr>
    </w:p>
    <w:p w14:paraId="6E0F12B3" w14:textId="46D98E81" w:rsidR="00962BF6" w:rsidRPr="00D022DD" w:rsidRDefault="00962BF6" w:rsidP="00A71CC2">
      <w:pPr>
        <w:pStyle w:val="MDPI31text"/>
      </w:pPr>
      <w:r w:rsidRPr="00D022DD">
        <w:rPr>
          <w:noProof/>
          <w:snapToGrid/>
        </w:rPr>
        <w:lastRenderedPageBreak/>
        <w:drawing>
          <wp:anchor distT="0" distB="0" distL="114300" distR="114300" simplePos="0" relativeHeight="251658240" behindDoc="0" locked="0" layoutInCell="1" allowOverlap="1" wp14:anchorId="387F306D" wp14:editId="7F19E927">
            <wp:simplePos x="0" y="0"/>
            <wp:positionH relativeFrom="margin">
              <wp:align>center</wp:align>
            </wp:positionH>
            <wp:positionV relativeFrom="paragraph">
              <wp:posOffset>19685</wp:posOffset>
            </wp:positionV>
            <wp:extent cx="5606415" cy="3112770"/>
            <wp:effectExtent l="0" t="0" r="0" b="0"/>
            <wp:wrapSquare wrapText="bothSides"/>
            <wp:docPr id="67265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5888" name="Imagen 67265888"/>
                    <pic:cNvPicPr/>
                  </pic:nvPicPr>
                  <pic:blipFill>
                    <a:blip r:embed="rId18"/>
                    <a:stretch>
                      <a:fillRect/>
                    </a:stretch>
                  </pic:blipFill>
                  <pic:spPr>
                    <a:xfrm>
                      <a:off x="0" y="0"/>
                      <a:ext cx="5606415" cy="3112770"/>
                    </a:xfrm>
                    <a:prstGeom prst="rect">
                      <a:avLst/>
                    </a:prstGeom>
                  </pic:spPr>
                </pic:pic>
              </a:graphicData>
            </a:graphic>
            <wp14:sizeRelH relativeFrom="page">
              <wp14:pctWidth>0</wp14:pctWidth>
            </wp14:sizeRelH>
            <wp14:sizeRelV relativeFrom="page">
              <wp14:pctHeight>0</wp14:pctHeight>
            </wp14:sizeRelV>
          </wp:anchor>
        </w:drawing>
      </w:r>
    </w:p>
    <w:p w14:paraId="2A2B11F7" w14:textId="7C68D56A" w:rsidR="00A71CC2" w:rsidRPr="00D022DD" w:rsidRDefault="00A71CC2" w:rsidP="00A71CC2">
      <w:pPr>
        <w:pStyle w:val="MDPI31text"/>
        <w:numPr>
          <w:ilvl w:val="0"/>
          <w:numId w:val="26"/>
        </w:numPr>
      </w:pPr>
      <w:r w:rsidRPr="00D022DD">
        <w:t>Studies</w:t>
      </w:r>
      <w:r w:rsidR="00384915" w:rsidRPr="00D022DD">
        <w:t xml:space="preserve"> evaluating social networks as a source of information about monkeypox.</w:t>
      </w:r>
    </w:p>
    <w:p w14:paraId="515D0B51" w14:textId="29D9151F" w:rsidR="00A71CC2" w:rsidRPr="00D022DD" w:rsidRDefault="00A71CC2" w:rsidP="00A71CC2">
      <w:pPr>
        <w:pStyle w:val="MDPI31text"/>
      </w:pPr>
    </w:p>
    <w:p w14:paraId="4885522A" w14:textId="6CC95988" w:rsidR="00442FE5" w:rsidRPr="00D022DD" w:rsidRDefault="006D7B22" w:rsidP="00A71CC2">
      <w:pPr>
        <w:pStyle w:val="MDPI31text"/>
      </w:pPr>
      <w:r w:rsidRPr="00D022DD">
        <w:rPr>
          <w:noProof/>
          <w:snapToGrid/>
        </w:rPr>
        <w:drawing>
          <wp:anchor distT="0" distB="0" distL="114300" distR="114300" simplePos="0" relativeHeight="251659264" behindDoc="0" locked="0" layoutInCell="1" allowOverlap="1" wp14:anchorId="1B4B72D6" wp14:editId="037CA528">
            <wp:simplePos x="0" y="0"/>
            <wp:positionH relativeFrom="margin">
              <wp:align>center</wp:align>
            </wp:positionH>
            <wp:positionV relativeFrom="paragraph">
              <wp:posOffset>271145</wp:posOffset>
            </wp:positionV>
            <wp:extent cx="6050915" cy="3360420"/>
            <wp:effectExtent l="0" t="0" r="6985" b="0"/>
            <wp:wrapSquare wrapText="bothSides"/>
            <wp:docPr id="203792398" name="Imagen 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2398" name="Imagen 2" descr="Gráfico, Gráfico de líneas&#10;&#10;Descripción generada automáticamente"/>
                    <pic:cNvPicPr/>
                  </pic:nvPicPr>
                  <pic:blipFill>
                    <a:blip r:embed="rId19"/>
                    <a:stretch>
                      <a:fillRect/>
                    </a:stretch>
                  </pic:blipFill>
                  <pic:spPr>
                    <a:xfrm>
                      <a:off x="0" y="0"/>
                      <a:ext cx="6050915" cy="3360420"/>
                    </a:xfrm>
                    <a:prstGeom prst="rect">
                      <a:avLst/>
                    </a:prstGeom>
                  </pic:spPr>
                </pic:pic>
              </a:graphicData>
            </a:graphic>
            <wp14:sizeRelH relativeFrom="page">
              <wp14:pctWidth>0</wp14:pctWidth>
            </wp14:sizeRelH>
            <wp14:sizeRelV relativeFrom="page">
              <wp14:pctHeight>0</wp14:pctHeight>
            </wp14:sizeRelV>
          </wp:anchor>
        </w:drawing>
      </w:r>
    </w:p>
    <w:p w14:paraId="55C2D7DB" w14:textId="39FEE68A" w:rsidR="00442FE5" w:rsidRPr="00D022DD" w:rsidRDefault="00442FE5" w:rsidP="00A71CC2">
      <w:pPr>
        <w:pStyle w:val="MDPI31text"/>
      </w:pPr>
    </w:p>
    <w:p w14:paraId="344C4547" w14:textId="5CC42B98" w:rsidR="00A71CC2" w:rsidRPr="00D022DD" w:rsidRDefault="00A71CC2" w:rsidP="00A71CC2">
      <w:pPr>
        <w:pStyle w:val="MDPI31text"/>
      </w:pPr>
    </w:p>
    <w:p w14:paraId="0A15F788" w14:textId="06EDB73C" w:rsidR="00A71CC2" w:rsidRPr="00D022DD" w:rsidRDefault="00A71CC2" w:rsidP="00B046BA">
      <w:pPr>
        <w:pStyle w:val="MDPI31text"/>
        <w:numPr>
          <w:ilvl w:val="0"/>
          <w:numId w:val="26"/>
        </w:numPr>
      </w:pPr>
      <w:r w:rsidRPr="00D022DD">
        <w:t>Studies</w:t>
      </w:r>
      <w:r w:rsidR="00E86F47" w:rsidRPr="00D022DD">
        <w:t xml:space="preserve"> evaluate friends or relatives as a source of information about monkeypox.</w:t>
      </w:r>
    </w:p>
    <w:p w14:paraId="4AEFACE7" w14:textId="77777777" w:rsidR="00A71CC2" w:rsidRPr="00D022DD" w:rsidRDefault="00A71CC2" w:rsidP="00A71CC2">
      <w:pPr>
        <w:pStyle w:val="MDPI31text"/>
      </w:pPr>
    </w:p>
    <w:p w14:paraId="2694C49C" w14:textId="77777777" w:rsidR="00A71CC2" w:rsidRPr="00D022DD" w:rsidRDefault="00A71CC2" w:rsidP="00A71CC2">
      <w:pPr>
        <w:pStyle w:val="MDPI31text"/>
      </w:pPr>
    </w:p>
    <w:p w14:paraId="3344EAD1" w14:textId="77777777" w:rsidR="00A71CC2" w:rsidRPr="00D022DD" w:rsidRDefault="00A71CC2" w:rsidP="00A71CC2">
      <w:pPr>
        <w:pStyle w:val="MDPI31text"/>
      </w:pPr>
    </w:p>
    <w:p w14:paraId="3C4DF9BA" w14:textId="77777777" w:rsidR="00A71CC2" w:rsidRPr="00D022DD" w:rsidRDefault="00A71CC2" w:rsidP="00A71CC2">
      <w:pPr>
        <w:pStyle w:val="MDPI31text"/>
      </w:pPr>
    </w:p>
    <w:p w14:paraId="33E45568" w14:textId="77777777" w:rsidR="00A71CC2" w:rsidRPr="00D022DD" w:rsidRDefault="00A71CC2" w:rsidP="00A71CC2">
      <w:pPr>
        <w:pStyle w:val="MDPI31text"/>
      </w:pPr>
    </w:p>
    <w:p w14:paraId="66AA9013" w14:textId="77777777" w:rsidR="00A71CC2" w:rsidRPr="00D022DD" w:rsidRDefault="00A71CC2" w:rsidP="00A71CC2">
      <w:pPr>
        <w:pStyle w:val="MDPI31text"/>
      </w:pPr>
    </w:p>
    <w:p w14:paraId="3D307CF0" w14:textId="77777777" w:rsidR="00A71CC2" w:rsidRPr="00D022DD" w:rsidRDefault="00A71CC2" w:rsidP="00A71CC2">
      <w:pPr>
        <w:pStyle w:val="MDPI31text"/>
      </w:pPr>
    </w:p>
    <w:p w14:paraId="21301D05" w14:textId="0A9553B4" w:rsidR="008369FA" w:rsidRPr="00D022DD" w:rsidRDefault="008369FA" w:rsidP="00A71CC2">
      <w:pPr>
        <w:pStyle w:val="MDPI31text"/>
      </w:pPr>
    </w:p>
    <w:p w14:paraId="25425AA9" w14:textId="6F614344" w:rsidR="008369FA" w:rsidRPr="00D022DD" w:rsidRDefault="008369FA" w:rsidP="00A71CC2">
      <w:pPr>
        <w:pStyle w:val="MDPI31text"/>
      </w:pPr>
    </w:p>
    <w:p w14:paraId="04DF6179" w14:textId="64295C8A" w:rsidR="008369FA" w:rsidRPr="00D022DD" w:rsidRDefault="00962BF6" w:rsidP="00A71CC2">
      <w:pPr>
        <w:pStyle w:val="MDPI31text"/>
      </w:pPr>
      <w:r w:rsidRPr="00D022DD">
        <w:rPr>
          <w:noProof/>
          <w:snapToGrid/>
        </w:rPr>
        <w:drawing>
          <wp:anchor distT="0" distB="0" distL="114300" distR="114300" simplePos="0" relativeHeight="251660288" behindDoc="0" locked="0" layoutInCell="1" allowOverlap="1" wp14:anchorId="161EC7D8" wp14:editId="49451BB9">
            <wp:simplePos x="0" y="0"/>
            <wp:positionH relativeFrom="margin">
              <wp:align>center</wp:align>
            </wp:positionH>
            <wp:positionV relativeFrom="paragraph">
              <wp:posOffset>168910</wp:posOffset>
            </wp:positionV>
            <wp:extent cx="5909310" cy="3281680"/>
            <wp:effectExtent l="0" t="0" r="0" b="0"/>
            <wp:wrapSquare wrapText="bothSides"/>
            <wp:docPr id="1037028848" name="Imagen 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28848" name="Imagen 3" descr="Gráfico, Gráfico de líneas&#10;&#10;Descripción generada automáticamente"/>
                    <pic:cNvPicPr/>
                  </pic:nvPicPr>
                  <pic:blipFill>
                    <a:blip r:embed="rId20"/>
                    <a:stretch>
                      <a:fillRect/>
                    </a:stretch>
                  </pic:blipFill>
                  <pic:spPr>
                    <a:xfrm>
                      <a:off x="0" y="0"/>
                      <a:ext cx="5909310" cy="3281680"/>
                    </a:xfrm>
                    <a:prstGeom prst="rect">
                      <a:avLst/>
                    </a:prstGeom>
                  </pic:spPr>
                </pic:pic>
              </a:graphicData>
            </a:graphic>
            <wp14:sizeRelH relativeFrom="page">
              <wp14:pctWidth>0</wp14:pctWidth>
            </wp14:sizeRelH>
            <wp14:sizeRelV relativeFrom="page">
              <wp14:pctHeight>0</wp14:pctHeight>
            </wp14:sizeRelV>
          </wp:anchor>
        </w:drawing>
      </w:r>
    </w:p>
    <w:p w14:paraId="2889DFFF" w14:textId="30DD47C3" w:rsidR="008369FA" w:rsidRPr="00D022DD" w:rsidRDefault="008369FA" w:rsidP="00A71CC2">
      <w:pPr>
        <w:pStyle w:val="MDPI31text"/>
      </w:pPr>
    </w:p>
    <w:p w14:paraId="57672B93" w14:textId="36909824" w:rsidR="008369FA" w:rsidRPr="00D022DD" w:rsidRDefault="008369FA" w:rsidP="00C64FC9">
      <w:pPr>
        <w:pStyle w:val="MDPI31text"/>
      </w:pPr>
    </w:p>
    <w:p w14:paraId="3D96B611" w14:textId="41E55CA4" w:rsidR="00A71CC2" w:rsidRPr="00D022DD" w:rsidRDefault="00A71CC2" w:rsidP="00A71CC2">
      <w:pPr>
        <w:pStyle w:val="MDPI31text"/>
        <w:numPr>
          <w:ilvl w:val="0"/>
          <w:numId w:val="26"/>
        </w:numPr>
      </w:pPr>
      <w:r w:rsidRPr="00D022DD">
        <w:t>Studies</w:t>
      </w:r>
      <w:r w:rsidR="00CB7D5E" w:rsidRPr="00D022DD">
        <w:t xml:space="preserve"> evaluating research articles or scientific journals as a source of information on monkeypox.</w:t>
      </w:r>
    </w:p>
    <w:p w14:paraId="2813E675" w14:textId="77777777" w:rsidR="00C64FC9" w:rsidRPr="00D022DD" w:rsidRDefault="00C64FC9" w:rsidP="00C64FC9">
      <w:pPr>
        <w:pStyle w:val="MDPI31text"/>
        <w:ind w:left="720" w:firstLine="0"/>
      </w:pPr>
    </w:p>
    <w:p w14:paraId="12CC857B" w14:textId="77777777" w:rsidR="00A71CC2" w:rsidRPr="00D022DD" w:rsidRDefault="00A71CC2" w:rsidP="00A71CC2">
      <w:pPr>
        <w:pStyle w:val="MDPI31text"/>
      </w:pPr>
    </w:p>
    <w:p w14:paraId="07C5DD00" w14:textId="77777777" w:rsidR="00A71CC2" w:rsidRPr="00D022DD" w:rsidRDefault="00A71CC2" w:rsidP="00A71CC2">
      <w:pPr>
        <w:pStyle w:val="MDPI31text"/>
      </w:pPr>
    </w:p>
    <w:p w14:paraId="4CBBEC24" w14:textId="77777777" w:rsidR="00A71CC2" w:rsidRPr="00D022DD" w:rsidRDefault="00A71CC2" w:rsidP="00A71CC2">
      <w:pPr>
        <w:pStyle w:val="MDPI31text"/>
        <w:ind w:left="0" w:firstLine="0"/>
        <w:jc w:val="center"/>
        <w:rPr>
          <w:rFonts w:ascii="Times New Roman" w:hAnsi="Times New Roman"/>
          <w:sz w:val="24"/>
          <w:szCs w:val="24"/>
        </w:rPr>
      </w:pPr>
      <w:r w:rsidRPr="00D022DD">
        <w:rPr>
          <w:rFonts w:ascii="Times New Roman" w:hAnsi="Times New Roman"/>
          <w:b/>
          <w:bCs/>
          <w:sz w:val="24"/>
          <w:szCs w:val="24"/>
        </w:rPr>
        <w:t>Figure S1</w:t>
      </w:r>
      <w:r w:rsidRPr="00D022DD">
        <w:rPr>
          <w:rFonts w:ascii="Times New Roman" w:hAnsi="Times New Roman"/>
          <w:sz w:val="24"/>
          <w:szCs w:val="24"/>
        </w:rPr>
        <w:t>:</w:t>
      </w:r>
      <w:r w:rsidRPr="00D022DD">
        <w:t xml:space="preserve"> </w:t>
      </w:r>
      <w:r w:rsidRPr="00D022DD">
        <w:rPr>
          <w:rFonts w:ascii="Times New Roman" w:hAnsi="Times New Roman"/>
          <w:sz w:val="24"/>
          <w:szCs w:val="24"/>
        </w:rPr>
        <w:t>Funnel plot and Egger's test illustrate the publication bias of the included studies.</w:t>
      </w:r>
    </w:p>
    <w:p w14:paraId="0D6AE438" w14:textId="0B8EAFA7" w:rsidR="001031FF" w:rsidRPr="00D022DD" w:rsidRDefault="001031FF" w:rsidP="0038322E">
      <w:pPr>
        <w:pStyle w:val="MDPI31text"/>
        <w:ind w:left="0" w:firstLine="0"/>
        <w:rPr>
          <w:rFonts w:ascii="Times New Roman" w:hAnsi="Times New Roman"/>
        </w:rPr>
      </w:pPr>
    </w:p>
    <w:p w14:paraId="5D65ADE3" w14:textId="77777777" w:rsidR="00A71CC2" w:rsidRPr="00D022DD" w:rsidRDefault="00A71CC2" w:rsidP="0038322E">
      <w:pPr>
        <w:pStyle w:val="MDPI31text"/>
        <w:ind w:left="0" w:firstLine="0"/>
        <w:rPr>
          <w:rFonts w:ascii="Times New Roman" w:hAnsi="Times New Roman"/>
        </w:rPr>
      </w:pPr>
    </w:p>
    <w:p w14:paraId="6B55BDD7" w14:textId="77777777" w:rsidR="00A71CC2" w:rsidRPr="00D022DD" w:rsidRDefault="00A71CC2" w:rsidP="0038322E">
      <w:pPr>
        <w:pStyle w:val="MDPI31text"/>
        <w:ind w:left="0" w:firstLine="0"/>
        <w:rPr>
          <w:rFonts w:ascii="Times New Roman" w:hAnsi="Times New Roman"/>
        </w:rPr>
      </w:pPr>
    </w:p>
    <w:p w14:paraId="41834124" w14:textId="77777777" w:rsidR="00A71CC2" w:rsidRPr="00D022DD" w:rsidRDefault="00A71CC2" w:rsidP="0038322E">
      <w:pPr>
        <w:pStyle w:val="MDPI31text"/>
        <w:ind w:left="0" w:firstLine="0"/>
        <w:rPr>
          <w:rFonts w:ascii="Times New Roman" w:hAnsi="Times New Roman"/>
        </w:rPr>
      </w:pPr>
    </w:p>
    <w:p w14:paraId="7B54C072" w14:textId="77777777" w:rsidR="00A71CC2" w:rsidRPr="00D022DD" w:rsidRDefault="00A71CC2" w:rsidP="0038322E">
      <w:pPr>
        <w:pStyle w:val="MDPI31text"/>
        <w:ind w:left="0" w:firstLine="0"/>
        <w:rPr>
          <w:rFonts w:ascii="Times New Roman" w:hAnsi="Times New Roman"/>
        </w:rPr>
      </w:pPr>
    </w:p>
    <w:p w14:paraId="134FC203" w14:textId="77777777" w:rsidR="00A71CC2" w:rsidRPr="00D022DD" w:rsidRDefault="00A71CC2" w:rsidP="0038322E">
      <w:pPr>
        <w:pStyle w:val="MDPI31text"/>
        <w:ind w:left="0" w:firstLine="0"/>
        <w:rPr>
          <w:rFonts w:ascii="Times New Roman" w:hAnsi="Times New Roman"/>
        </w:rPr>
      </w:pPr>
    </w:p>
    <w:p w14:paraId="2FDC0484" w14:textId="77777777" w:rsidR="00A71CC2" w:rsidRPr="00D022DD" w:rsidRDefault="00A71CC2" w:rsidP="0038322E">
      <w:pPr>
        <w:pStyle w:val="MDPI31text"/>
        <w:ind w:left="0" w:firstLine="0"/>
        <w:rPr>
          <w:rFonts w:ascii="Times New Roman" w:hAnsi="Times New Roman"/>
        </w:rPr>
      </w:pPr>
    </w:p>
    <w:p w14:paraId="4C14E4A0" w14:textId="77777777" w:rsidR="00A71CC2" w:rsidRPr="00D022DD" w:rsidRDefault="00A71CC2" w:rsidP="0038322E">
      <w:pPr>
        <w:pStyle w:val="MDPI31text"/>
        <w:ind w:left="0" w:firstLine="0"/>
        <w:rPr>
          <w:rFonts w:ascii="Times New Roman" w:hAnsi="Times New Roman"/>
        </w:rPr>
      </w:pPr>
    </w:p>
    <w:p w14:paraId="347436D5" w14:textId="77777777" w:rsidR="00A71CC2" w:rsidRPr="00D022DD" w:rsidRDefault="00A71CC2" w:rsidP="0038322E">
      <w:pPr>
        <w:pStyle w:val="MDPI31text"/>
        <w:ind w:left="0" w:firstLine="0"/>
        <w:rPr>
          <w:rFonts w:ascii="Times New Roman" w:hAnsi="Times New Roman"/>
        </w:rPr>
      </w:pPr>
    </w:p>
    <w:p w14:paraId="64ECAA6D" w14:textId="77777777" w:rsidR="00A71CC2" w:rsidRPr="00D022DD" w:rsidRDefault="00A71CC2" w:rsidP="0038322E">
      <w:pPr>
        <w:pStyle w:val="MDPI31text"/>
        <w:ind w:left="0" w:firstLine="0"/>
        <w:rPr>
          <w:rFonts w:ascii="Times New Roman" w:hAnsi="Times New Roman"/>
        </w:rPr>
      </w:pPr>
    </w:p>
    <w:p w14:paraId="1BD92FC0" w14:textId="77777777" w:rsidR="00A71CC2" w:rsidRPr="00D022DD" w:rsidRDefault="00A71CC2" w:rsidP="0038322E">
      <w:pPr>
        <w:pStyle w:val="MDPI31text"/>
        <w:ind w:left="0" w:firstLine="0"/>
        <w:rPr>
          <w:rFonts w:ascii="Times New Roman" w:hAnsi="Times New Roman"/>
        </w:rPr>
      </w:pPr>
    </w:p>
    <w:p w14:paraId="6BEA29FA" w14:textId="77777777" w:rsidR="00A71CC2" w:rsidRPr="00D022DD" w:rsidRDefault="00A71CC2" w:rsidP="0038322E">
      <w:pPr>
        <w:pStyle w:val="MDPI31text"/>
        <w:ind w:left="0" w:firstLine="0"/>
        <w:rPr>
          <w:rFonts w:ascii="Times New Roman" w:hAnsi="Times New Roman"/>
        </w:rPr>
      </w:pPr>
    </w:p>
    <w:p w14:paraId="275DDB48" w14:textId="77777777" w:rsidR="00A71CC2" w:rsidRPr="00D022DD" w:rsidRDefault="00A71CC2" w:rsidP="0038322E">
      <w:pPr>
        <w:pStyle w:val="MDPI31text"/>
        <w:ind w:left="0" w:firstLine="0"/>
        <w:rPr>
          <w:rFonts w:ascii="Times New Roman" w:hAnsi="Times New Roman"/>
        </w:rPr>
      </w:pPr>
    </w:p>
    <w:p w14:paraId="08730AD4" w14:textId="77777777" w:rsidR="00A71CC2" w:rsidRPr="00D022DD" w:rsidRDefault="00A71CC2" w:rsidP="0038322E">
      <w:pPr>
        <w:pStyle w:val="MDPI31text"/>
        <w:ind w:left="0" w:firstLine="0"/>
        <w:rPr>
          <w:rFonts w:ascii="Times New Roman" w:hAnsi="Times New Roman"/>
        </w:rPr>
      </w:pPr>
    </w:p>
    <w:p w14:paraId="1A6789F9" w14:textId="77777777" w:rsidR="00A71CC2" w:rsidRPr="00D022DD" w:rsidRDefault="00A71CC2" w:rsidP="0038322E">
      <w:pPr>
        <w:pStyle w:val="MDPI31text"/>
        <w:ind w:left="0" w:firstLine="0"/>
        <w:rPr>
          <w:rFonts w:ascii="Times New Roman" w:hAnsi="Times New Roman"/>
        </w:rPr>
      </w:pPr>
    </w:p>
    <w:p w14:paraId="4F8A38F7" w14:textId="77777777" w:rsidR="00A71CC2" w:rsidRPr="00D022DD" w:rsidRDefault="00A71CC2" w:rsidP="0038322E">
      <w:pPr>
        <w:pStyle w:val="MDPI31text"/>
        <w:ind w:left="0" w:firstLine="0"/>
        <w:rPr>
          <w:rFonts w:ascii="Times New Roman" w:hAnsi="Times New Roman"/>
        </w:rPr>
      </w:pPr>
    </w:p>
    <w:p w14:paraId="2908DDEE" w14:textId="77777777" w:rsidR="00A71CC2" w:rsidRPr="00D022DD" w:rsidRDefault="00A71CC2" w:rsidP="0038322E">
      <w:pPr>
        <w:pStyle w:val="MDPI31text"/>
        <w:ind w:left="0" w:firstLine="0"/>
        <w:rPr>
          <w:rFonts w:ascii="Times New Roman" w:hAnsi="Times New Roman"/>
        </w:rPr>
      </w:pPr>
    </w:p>
    <w:p w14:paraId="5269976F" w14:textId="77777777" w:rsidR="00A71CC2" w:rsidRPr="00D022DD" w:rsidRDefault="00A71CC2" w:rsidP="0038322E">
      <w:pPr>
        <w:pStyle w:val="MDPI31text"/>
        <w:ind w:left="0" w:firstLine="0"/>
        <w:rPr>
          <w:rFonts w:ascii="Times New Roman" w:hAnsi="Times New Roman"/>
        </w:rPr>
      </w:pPr>
    </w:p>
    <w:p w14:paraId="26EA1F90" w14:textId="77777777" w:rsidR="00A71CC2" w:rsidRPr="00D022DD" w:rsidRDefault="00A71CC2" w:rsidP="0038322E">
      <w:pPr>
        <w:pStyle w:val="MDPI31text"/>
        <w:ind w:left="0" w:firstLine="0"/>
        <w:rPr>
          <w:rFonts w:ascii="Times New Roman" w:hAnsi="Times New Roman"/>
        </w:rPr>
      </w:pPr>
    </w:p>
    <w:p w14:paraId="16BE4376" w14:textId="77777777" w:rsidR="00A71CC2" w:rsidRPr="00D022DD" w:rsidRDefault="00A71CC2" w:rsidP="0038322E">
      <w:pPr>
        <w:pStyle w:val="MDPI31text"/>
        <w:ind w:left="0" w:firstLine="0"/>
        <w:rPr>
          <w:rFonts w:ascii="Times New Roman" w:hAnsi="Times New Roman"/>
        </w:rPr>
      </w:pPr>
    </w:p>
    <w:p w14:paraId="47D3F347" w14:textId="77777777" w:rsidR="00A71CC2" w:rsidRPr="00D022DD" w:rsidRDefault="00A71CC2" w:rsidP="0038322E">
      <w:pPr>
        <w:pStyle w:val="MDPI31text"/>
        <w:ind w:left="0" w:firstLine="0"/>
        <w:rPr>
          <w:rFonts w:ascii="Times New Roman" w:hAnsi="Times New Roman"/>
        </w:rPr>
      </w:pPr>
    </w:p>
    <w:p w14:paraId="1D2BBF98" w14:textId="77777777" w:rsidR="00A71CC2" w:rsidRPr="00D022DD" w:rsidRDefault="00A71CC2" w:rsidP="0038322E">
      <w:pPr>
        <w:pStyle w:val="MDPI31text"/>
        <w:ind w:left="0" w:firstLine="0"/>
        <w:rPr>
          <w:rFonts w:ascii="Times New Roman" w:hAnsi="Times New Roman"/>
        </w:rPr>
      </w:pPr>
    </w:p>
    <w:p w14:paraId="70ECF70A" w14:textId="77777777" w:rsidR="00A71CC2" w:rsidRPr="00D022DD" w:rsidRDefault="00A71CC2" w:rsidP="0038322E">
      <w:pPr>
        <w:pStyle w:val="MDPI31text"/>
        <w:ind w:left="0" w:firstLine="0"/>
        <w:rPr>
          <w:rFonts w:ascii="Times New Roman" w:hAnsi="Times New Roman"/>
        </w:rPr>
      </w:pPr>
    </w:p>
    <w:p w14:paraId="788F19B2" w14:textId="77777777" w:rsidR="00A71CC2" w:rsidRPr="00D022DD" w:rsidRDefault="00A71CC2" w:rsidP="0038322E">
      <w:pPr>
        <w:pStyle w:val="MDPI31text"/>
        <w:ind w:left="0" w:firstLine="0"/>
        <w:rPr>
          <w:rFonts w:ascii="Times New Roman" w:hAnsi="Times New Roman"/>
        </w:rPr>
      </w:pPr>
    </w:p>
    <w:p w14:paraId="525C430C" w14:textId="77777777" w:rsidR="00A71CC2" w:rsidRPr="00D022DD" w:rsidRDefault="00A71CC2" w:rsidP="0038322E">
      <w:pPr>
        <w:pStyle w:val="MDPI31text"/>
        <w:ind w:left="0" w:firstLine="0"/>
        <w:rPr>
          <w:rFonts w:ascii="Times New Roman" w:hAnsi="Times New Roman"/>
        </w:rPr>
      </w:pPr>
    </w:p>
    <w:p w14:paraId="5F461278" w14:textId="77777777" w:rsidR="00A71CC2" w:rsidRPr="00D022DD" w:rsidRDefault="00A71CC2" w:rsidP="0038322E">
      <w:pPr>
        <w:pStyle w:val="MDPI31text"/>
        <w:ind w:left="0" w:firstLine="0"/>
        <w:rPr>
          <w:rFonts w:ascii="Times New Roman" w:hAnsi="Times New Roman"/>
        </w:rPr>
      </w:pPr>
    </w:p>
    <w:p w14:paraId="30743F7E" w14:textId="77777777" w:rsidR="00A71CC2" w:rsidRPr="00D022DD" w:rsidRDefault="00A71CC2" w:rsidP="0038322E">
      <w:pPr>
        <w:pStyle w:val="MDPI31text"/>
        <w:ind w:left="0" w:firstLine="0"/>
        <w:rPr>
          <w:rFonts w:ascii="Times New Roman" w:hAnsi="Times New Roman"/>
        </w:rPr>
      </w:pPr>
    </w:p>
    <w:p w14:paraId="79E2611B" w14:textId="50427814" w:rsidR="00A71CC2" w:rsidRPr="00D022DD" w:rsidRDefault="006E2738" w:rsidP="009F5380">
      <w:pPr>
        <w:pStyle w:val="MDPI62BackMatter"/>
        <w:ind w:left="360"/>
        <w:jc w:val="center"/>
        <w:rPr>
          <w:b/>
          <w:sz w:val="22"/>
          <w:szCs w:val="24"/>
        </w:rPr>
      </w:pPr>
      <w:r w:rsidRPr="00D022DD">
        <w:rPr>
          <w:b/>
          <w:noProof/>
          <w:snapToGrid/>
          <w:sz w:val="22"/>
          <w:szCs w:val="24"/>
        </w:rPr>
        <w:drawing>
          <wp:inline distT="0" distB="0" distL="0" distR="0" wp14:anchorId="210570BB" wp14:editId="5E034DE5">
            <wp:extent cx="5400040" cy="3692525"/>
            <wp:effectExtent l="0" t="0" r="0" b="3175"/>
            <wp:docPr id="19039824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82413" name="Imagen 1903982413"/>
                    <pic:cNvPicPr/>
                  </pic:nvPicPr>
                  <pic:blipFill>
                    <a:blip r:embed="rId21"/>
                    <a:stretch>
                      <a:fillRect/>
                    </a:stretch>
                  </pic:blipFill>
                  <pic:spPr>
                    <a:xfrm>
                      <a:off x="0" y="0"/>
                      <a:ext cx="5400040" cy="3692525"/>
                    </a:xfrm>
                    <a:prstGeom prst="rect">
                      <a:avLst/>
                    </a:prstGeom>
                  </pic:spPr>
                </pic:pic>
              </a:graphicData>
            </a:graphic>
          </wp:inline>
        </w:drawing>
      </w:r>
    </w:p>
    <w:p w14:paraId="280EF01E" w14:textId="77777777" w:rsidR="00A71CC2" w:rsidRPr="00D022DD" w:rsidRDefault="00A71CC2" w:rsidP="009F5380">
      <w:pPr>
        <w:pStyle w:val="MDPI62BackMatter"/>
        <w:ind w:left="360"/>
        <w:jc w:val="center"/>
        <w:rPr>
          <w:b/>
          <w:sz w:val="22"/>
          <w:szCs w:val="24"/>
        </w:rPr>
      </w:pPr>
    </w:p>
    <w:p w14:paraId="11622816" w14:textId="6E1FBF3A" w:rsidR="00560B00" w:rsidRPr="00D022DD" w:rsidRDefault="00560B00" w:rsidP="009F5380">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2</w:t>
      </w:r>
      <w:r w:rsidRPr="00D022DD">
        <w:rPr>
          <w:b/>
          <w:sz w:val="22"/>
          <w:szCs w:val="24"/>
        </w:rPr>
        <w:t>.</w:t>
      </w:r>
      <w:r w:rsidRPr="00D022DD">
        <w:rPr>
          <w:bCs/>
          <w:sz w:val="22"/>
          <w:szCs w:val="24"/>
        </w:rPr>
        <w:t xml:space="preserve"> Forest plot showing the prevalence of social networks as a source of information about monkeypox virus infection.</w:t>
      </w:r>
    </w:p>
    <w:p w14:paraId="183EF873" w14:textId="77777777" w:rsidR="00560B00" w:rsidRPr="00D022DD" w:rsidRDefault="00560B00" w:rsidP="00560B00">
      <w:pPr>
        <w:pStyle w:val="MDPI62BackMatter"/>
        <w:ind w:left="360"/>
        <w:rPr>
          <w:bCs/>
          <w:sz w:val="22"/>
          <w:szCs w:val="24"/>
        </w:rPr>
      </w:pPr>
    </w:p>
    <w:p w14:paraId="7965A754" w14:textId="01BA8195" w:rsidR="00560B00" w:rsidRPr="00D022DD" w:rsidRDefault="009F5380" w:rsidP="009F5380">
      <w:pPr>
        <w:pStyle w:val="MDPI62BackMatter"/>
        <w:ind w:left="360"/>
        <w:jc w:val="center"/>
        <w:rPr>
          <w:bCs/>
          <w:sz w:val="22"/>
          <w:szCs w:val="24"/>
        </w:rPr>
      </w:pPr>
      <w:r w:rsidRPr="00D022DD">
        <w:rPr>
          <w:bCs/>
          <w:noProof/>
          <w:snapToGrid/>
          <w:sz w:val="22"/>
          <w:szCs w:val="24"/>
        </w:rPr>
        <w:drawing>
          <wp:inline distT="0" distB="0" distL="0" distR="0" wp14:anchorId="6B09E9B3" wp14:editId="5CFED804">
            <wp:extent cx="5930900" cy="1872586"/>
            <wp:effectExtent l="0" t="0" r="0" b="0"/>
            <wp:docPr id="1529993066"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93066" name="Imagen 2" descr="Gráfico&#10;&#10;Descripción generada automáticamente"/>
                    <pic:cNvPicPr/>
                  </pic:nvPicPr>
                  <pic:blipFill>
                    <a:blip r:embed="rId22"/>
                    <a:stretch>
                      <a:fillRect/>
                    </a:stretch>
                  </pic:blipFill>
                  <pic:spPr>
                    <a:xfrm>
                      <a:off x="0" y="0"/>
                      <a:ext cx="5938054" cy="1874845"/>
                    </a:xfrm>
                    <a:prstGeom prst="rect">
                      <a:avLst/>
                    </a:prstGeom>
                  </pic:spPr>
                </pic:pic>
              </a:graphicData>
            </a:graphic>
          </wp:inline>
        </w:drawing>
      </w:r>
    </w:p>
    <w:p w14:paraId="7DA897FC" w14:textId="0E7CDDCE" w:rsidR="00560B00" w:rsidRPr="00D022DD" w:rsidRDefault="00560B00" w:rsidP="009F5380">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3</w:t>
      </w:r>
      <w:r w:rsidRPr="00D022DD">
        <w:rPr>
          <w:b/>
          <w:sz w:val="22"/>
          <w:szCs w:val="24"/>
        </w:rPr>
        <w:t>.</w:t>
      </w:r>
      <w:r w:rsidRPr="00D022DD">
        <w:rPr>
          <w:bCs/>
          <w:sz w:val="22"/>
          <w:szCs w:val="24"/>
        </w:rPr>
        <w:t xml:space="preserve"> Forest plot showing the prevalence of the Internet as a source of information on monkeypox virus infection.</w:t>
      </w:r>
    </w:p>
    <w:p w14:paraId="62FE22A6" w14:textId="77777777" w:rsidR="00560B00" w:rsidRPr="00D022DD" w:rsidRDefault="00560B00" w:rsidP="00560B00">
      <w:pPr>
        <w:pStyle w:val="MDPI62BackMatter"/>
        <w:ind w:left="360"/>
        <w:rPr>
          <w:b/>
          <w:sz w:val="22"/>
          <w:szCs w:val="24"/>
        </w:rPr>
      </w:pPr>
    </w:p>
    <w:p w14:paraId="4CD109E4" w14:textId="77777777" w:rsidR="00560B00" w:rsidRPr="00D022DD" w:rsidRDefault="00560B00" w:rsidP="00560B00">
      <w:pPr>
        <w:pStyle w:val="MDPI62BackMatter"/>
        <w:ind w:left="360"/>
        <w:rPr>
          <w:b/>
          <w:sz w:val="22"/>
          <w:szCs w:val="24"/>
        </w:rPr>
      </w:pPr>
    </w:p>
    <w:p w14:paraId="51474EE7" w14:textId="77777777" w:rsidR="00560B00" w:rsidRPr="00D022DD" w:rsidRDefault="00560B00" w:rsidP="00560B00">
      <w:pPr>
        <w:pStyle w:val="MDPI62BackMatter"/>
        <w:ind w:left="360"/>
        <w:rPr>
          <w:b/>
          <w:sz w:val="22"/>
          <w:szCs w:val="24"/>
        </w:rPr>
      </w:pPr>
    </w:p>
    <w:p w14:paraId="3125604F" w14:textId="77777777" w:rsidR="00560B00" w:rsidRPr="00D022DD" w:rsidRDefault="00560B00" w:rsidP="00560B00">
      <w:pPr>
        <w:pStyle w:val="MDPI62BackMatter"/>
        <w:ind w:left="360"/>
        <w:rPr>
          <w:b/>
          <w:sz w:val="22"/>
          <w:szCs w:val="24"/>
        </w:rPr>
      </w:pPr>
    </w:p>
    <w:p w14:paraId="61A01308" w14:textId="77777777" w:rsidR="009F5380" w:rsidRPr="00D022DD" w:rsidRDefault="009F5380" w:rsidP="00560B00">
      <w:pPr>
        <w:pStyle w:val="MDPI62BackMatter"/>
        <w:ind w:left="360"/>
        <w:rPr>
          <w:b/>
          <w:sz w:val="22"/>
          <w:szCs w:val="24"/>
        </w:rPr>
      </w:pPr>
    </w:p>
    <w:p w14:paraId="09A756B2" w14:textId="77777777" w:rsidR="009F5380" w:rsidRPr="00D022DD" w:rsidRDefault="009F5380" w:rsidP="00560B00">
      <w:pPr>
        <w:pStyle w:val="MDPI62BackMatter"/>
        <w:ind w:left="360"/>
        <w:rPr>
          <w:b/>
          <w:sz w:val="22"/>
          <w:szCs w:val="24"/>
        </w:rPr>
      </w:pPr>
    </w:p>
    <w:p w14:paraId="1B130AA6" w14:textId="77777777" w:rsidR="009F5380" w:rsidRPr="00D022DD" w:rsidRDefault="009F5380" w:rsidP="00560B00">
      <w:pPr>
        <w:pStyle w:val="MDPI62BackMatter"/>
        <w:ind w:left="360"/>
        <w:rPr>
          <w:b/>
          <w:sz w:val="22"/>
          <w:szCs w:val="24"/>
        </w:rPr>
      </w:pPr>
    </w:p>
    <w:p w14:paraId="51B30E6E" w14:textId="0C75EB49" w:rsidR="009F5380" w:rsidRPr="00D022DD" w:rsidRDefault="00375C4D" w:rsidP="00560B00">
      <w:pPr>
        <w:pStyle w:val="MDPI62BackMatter"/>
        <w:ind w:left="360"/>
        <w:rPr>
          <w:b/>
          <w:sz w:val="22"/>
          <w:szCs w:val="24"/>
        </w:rPr>
      </w:pPr>
      <w:r w:rsidRPr="00D022DD">
        <w:rPr>
          <w:b/>
          <w:noProof/>
          <w:snapToGrid/>
          <w:sz w:val="22"/>
          <w:szCs w:val="24"/>
        </w:rPr>
        <w:drawing>
          <wp:inline distT="0" distB="0" distL="0" distR="0" wp14:anchorId="22D014C1" wp14:editId="5FBA4952">
            <wp:extent cx="5863590" cy="2160234"/>
            <wp:effectExtent l="0" t="0" r="3810" b="0"/>
            <wp:docPr id="2007543519" name="Imagen 3" descr="Gráfico, Diagrama,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43519" name="Imagen 3" descr="Gráfico, Diagrama, Gráfico de cajas y bigotes&#10;&#10;Descripción generada automáticamente"/>
                    <pic:cNvPicPr/>
                  </pic:nvPicPr>
                  <pic:blipFill>
                    <a:blip r:embed="rId23"/>
                    <a:stretch>
                      <a:fillRect/>
                    </a:stretch>
                  </pic:blipFill>
                  <pic:spPr>
                    <a:xfrm>
                      <a:off x="0" y="0"/>
                      <a:ext cx="5889055" cy="2169616"/>
                    </a:xfrm>
                    <a:prstGeom prst="rect">
                      <a:avLst/>
                    </a:prstGeom>
                  </pic:spPr>
                </pic:pic>
              </a:graphicData>
            </a:graphic>
          </wp:inline>
        </w:drawing>
      </w:r>
    </w:p>
    <w:p w14:paraId="47DBABC0" w14:textId="62081209" w:rsidR="00560B00" w:rsidRPr="00D022DD" w:rsidRDefault="00560B00" w:rsidP="00375C4D">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4</w:t>
      </w:r>
      <w:r w:rsidRPr="00D022DD">
        <w:rPr>
          <w:b/>
          <w:sz w:val="22"/>
          <w:szCs w:val="24"/>
        </w:rPr>
        <w:t>.</w:t>
      </w:r>
      <w:r w:rsidRPr="00D022DD">
        <w:rPr>
          <w:bCs/>
          <w:sz w:val="22"/>
          <w:szCs w:val="24"/>
        </w:rPr>
        <w:t xml:space="preserve"> Forest plot showing the prevalence of Radio as a source of information about monkeypox virus infection.</w:t>
      </w:r>
    </w:p>
    <w:p w14:paraId="6BA2AD9B" w14:textId="77777777" w:rsidR="00560B00" w:rsidRPr="00D022DD" w:rsidRDefault="00560B00" w:rsidP="00560B00">
      <w:pPr>
        <w:pStyle w:val="MDPI62BackMatter"/>
        <w:ind w:left="360"/>
        <w:rPr>
          <w:b/>
          <w:sz w:val="22"/>
          <w:szCs w:val="24"/>
        </w:rPr>
      </w:pPr>
    </w:p>
    <w:p w14:paraId="028748D3" w14:textId="77777777" w:rsidR="00560B00" w:rsidRPr="00D022DD" w:rsidRDefault="00560B00" w:rsidP="00560B00">
      <w:pPr>
        <w:pStyle w:val="MDPI62BackMatter"/>
        <w:ind w:left="360"/>
        <w:rPr>
          <w:b/>
          <w:sz w:val="22"/>
          <w:szCs w:val="24"/>
        </w:rPr>
      </w:pPr>
    </w:p>
    <w:p w14:paraId="56677CBF" w14:textId="3C3792A5" w:rsidR="00375C4D" w:rsidRPr="00D022DD" w:rsidRDefault="00375C4D" w:rsidP="00560B00">
      <w:pPr>
        <w:pStyle w:val="MDPI62BackMatter"/>
        <w:ind w:left="360"/>
        <w:rPr>
          <w:b/>
          <w:sz w:val="22"/>
          <w:szCs w:val="24"/>
        </w:rPr>
      </w:pPr>
      <w:r w:rsidRPr="00D022DD">
        <w:rPr>
          <w:b/>
          <w:noProof/>
          <w:snapToGrid/>
          <w:sz w:val="22"/>
          <w:szCs w:val="24"/>
        </w:rPr>
        <w:drawing>
          <wp:inline distT="0" distB="0" distL="0" distR="0" wp14:anchorId="3B01A4D3" wp14:editId="7CFB881F">
            <wp:extent cx="5784850" cy="2435297"/>
            <wp:effectExtent l="0" t="0" r="6350" b="3175"/>
            <wp:docPr id="1918017014" name="Imagen 4"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17014" name="Imagen 4" descr="Gráfico&#10;&#10;Descripción generada automáticamente con confianza media"/>
                    <pic:cNvPicPr/>
                  </pic:nvPicPr>
                  <pic:blipFill>
                    <a:blip r:embed="rId24"/>
                    <a:stretch>
                      <a:fillRect/>
                    </a:stretch>
                  </pic:blipFill>
                  <pic:spPr>
                    <a:xfrm>
                      <a:off x="0" y="0"/>
                      <a:ext cx="5799868" cy="2441619"/>
                    </a:xfrm>
                    <a:prstGeom prst="rect">
                      <a:avLst/>
                    </a:prstGeom>
                  </pic:spPr>
                </pic:pic>
              </a:graphicData>
            </a:graphic>
          </wp:inline>
        </w:drawing>
      </w:r>
    </w:p>
    <w:p w14:paraId="5158B718" w14:textId="6B53D453" w:rsidR="00560B00" w:rsidRPr="00D022DD" w:rsidRDefault="00560B00" w:rsidP="00375C4D">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5</w:t>
      </w:r>
      <w:r w:rsidRPr="00D022DD">
        <w:rPr>
          <w:b/>
          <w:sz w:val="22"/>
          <w:szCs w:val="24"/>
        </w:rPr>
        <w:t>.</w:t>
      </w:r>
      <w:r w:rsidRPr="00D022DD">
        <w:rPr>
          <w:bCs/>
          <w:sz w:val="22"/>
          <w:szCs w:val="24"/>
        </w:rPr>
        <w:t xml:space="preserve"> Forest plot showing the prevalence of Television as a source of information about monkeypox virus infection.</w:t>
      </w:r>
    </w:p>
    <w:p w14:paraId="5AF2B05D" w14:textId="77777777" w:rsidR="00560B00" w:rsidRPr="00D022DD" w:rsidRDefault="00560B00" w:rsidP="00560B00">
      <w:pPr>
        <w:pStyle w:val="MDPI62BackMatter"/>
        <w:ind w:left="360"/>
        <w:rPr>
          <w:b/>
          <w:sz w:val="22"/>
          <w:szCs w:val="24"/>
        </w:rPr>
      </w:pPr>
    </w:p>
    <w:p w14:paraId="04244FD1" w14:textId="77777777" w:rsidR="000C5F11" w:rsidRPr="00D022DD" w:rsidRDefault="000C5F11" w:rsidP="00560B00">
      <w:pPr>
        <w:pStyle w:val="MDPI62BackMatter"/>
        <w:ind w:left="360"/>
        <w:rPr>
          <w:b/>
          <w:sz w:val="22"/>
          <w:szCs w:val="24"/>
        </w:rPr>
      </w:pPr>
    </w:p>
    <w:p w14:paraId="56F4C9F6" w14:textId="492CCC7E" w:rsidR="00560B00" w:rsidRPr="00D022DD" w:rsidRDefault="000C5F11" w:rsidP="00560B00">
      <w:pPr>
        <w:pStyle w:val="MDPI62BackMatter"/>
        <w:ind w:left="360"/>
        <w:rPr>
          <w:b/>
          <w:sz w:val="22"/>
          <w:szCs w:val="24"/>
        </w:rPr>
      </w:pPr>
      <w:r w:rsidRPr="00D022DD">
        <w:rPr>
          <w:b/>
          <w:noProof/>
          <w:snapToGrid/>
          <w:sz w:val="22"/>
          <w:szCs w:val="24"/>
        </w:rPr>
        <w:lastRenderedPageBreak/>
        <w:drawing>
          <wp:inline distT="0" distB="0" distL="0" distR="0" wp14:anchorId="56ADD3A4" wp14:editId="7BBA39F5">
            <wp:extent cx="5833745" cy="2455880"/>
            <wp:effectExtent l="0" t="0" r="0" b="1905"/>
            <wp:docPr id="243197881" name="Imagen 5"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97881" name="Imagen 5" descr="Gráfico, Gráfico de cajas y bigotes&#10;&#10;Descripción generada automáticamente"/>
                    <pic:cNvPicPr/>
                  </pic:nvPicPr>
                  <pic:blipFill>
                    <a:blip r:embed="rId25"/>
                    <a:stretch>
                      <a:fillRect/>
                    </a:stretch>
                  </pic:blipFill>
                  <pic:spPr>
                    <a:xfrm>
                      <a:off x="0" y="0"/>
                      <a:ext cx="5845873" cy="2460986"/>
                    </a:xfrm>
                    <a:prstGeom prst="rect">
                      <a:avLst/>
                    </a:prstGeom>
                  </pic:spPr>
                </pic:pic>
              </a:graphicData>
            </a:graphic>
          </wp:inline>
        </w:drawing>
      </w:r>
    </w:p>
    <w:p w14:paraId="53750576" w14:textId="0E8FB5E9" w:rsidR="00560B00" w:rsidRPr="00D022DD" w:rsidRDefault="00560B00" w:rsidP="000C5F11">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6</w:t>
      </w:r>
      <w:r w:rsidRPr="00D022DD">
        <w:rPr>
          <w:b/>
          <w:sz w:val="22"/>
          <w:szCs w:val="24"/>
        </w:rPr>
        <w:t>.</w:t>
      </w:r>
      <w:r w:rsidRPr="00D022DD">
        <w:rPr>
          <w:bCs/>
          <w:sz w:val="22"/>
          <w:szCs w:val="24"/>
        </w:rPr>
        <w:t xml:space="preserve"> Forest plot showing the prevalence of Radio/Television as a source of information about monkeypox virus infection.</w:t>
      </w:r>
    </w:p>
    <w:p w14:paraId="360C1E76" w14:textId="77777777" w:rsidR="00560B00" w:rsidRPr="00D022DD" w:rsidRDefault="00560B00" w:rsidP="00560B00">
      <w:pPr>
        <w:pStyle w:val="MDPI62BackMatter"/>
        <w:ind w:left="360"/>
        <w:rPr>
          <w:b/>
          <w:sz w:val="22"/>
          <w:szCs w:val="24"/>
        </w:rPr>
      </w:pPr>
    </w:p>
    <w:p w14:paraId="40722EED" w14:textId="0373702C" w:rsidR="00560B00" w:rsidRPr="00D022DD" w:rsidRDefault="000C5F11" w:rsidP="00560B00">
      <w:pPr>
        <w:pStyle w:val="MDPI62BackMatter"/>
        <w:ind w:left="360"/>
        <w:rPr>
          <w:b/>
          <w:sz w:val="22"/>
          <w:szCs w:val="24"/>
        </w:rPr>
      </w:pPr>
      <w:r w:rsidRPr="00D022DD">
        <w:rPr>
          <w:b/>
          <w:noProof/>
          <w:snapToGrid/>
          <w:sz w:val="22"/>
          <w:szCs w:val="24"/>
        </w:rPr>
        <w:drawing>
          <wp:inline distT="0" distB="0" distL="0" distR="0" wp14:anchorId="7EA2EB33" wp14:editId="0B8D2126">
            <wp:extent cx="5860241" cy="2159000"/>
            <wp:effectExtent l="0" t="0" r="7620" b="0"/>
            <wp:docPr id="1513382348" name="Imagen 6"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82348" name="Imagen 6" descr="Gráfico, Gráfico de cajas y bigotes&#10;&#10;Descripción generada automáticamente"/>
                    <pic:cNvPicPr/>
                  </pic:nvPicPr>
                  <pic:blipFill>
                    <a:blip r:embed="rId26"/>
                    <a:stretch>
                      <a:fillRect/>
                    </a:stretch>
                  </pic:blipFill>
                  <pic:spPr>
                    <a:xfrm>
                      <a:off x="0" y="0"/>
                      <a:ext cx="5865069" cy="2160779"/>
                    </a:xfrm>
                    <a:prstGeom prst="rect">
                      <a:avLst/>
                    </a:prstGeom>
                  </pic:spPr>
                </pic:pic>
              </a:graphicData>
            </a:graphic>
          </wp:inline>
        </w:drawing>
      </w:r>
    </w:p>
    <w:p w14:paraId="4B5F4F5E" w14:textId="6084E3E2" w:rsidR="00560B00" w:rsidRPr="00D022DD" w:rsidRDefault="00560B00" w:rsidP="000C5F11">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7</w:t>
      </w:r>
      <w:r w:rsidRPr="00D022DD">
        <w:rPr>
          <w:b/>
          <w:sz w:val="22"/>
          <w:szCs w:val="24"/>
        </w:rPr>
        <w:t>.</w:t>
      </w:r>
      <w:r w:rsidRPr="00D022DD">
        <w:rPr>
          <w:bCs/>
          <w:sz w:val="22"/>
          <w:szCs w:val="24"/>
        </w:rPr>
        <w:t xml:space="preserve"> Forest plot showing the prevalence of newspaper as a source of information on monkeypox virus infection.</w:t>
      </w:r>
    </w:p>
    <w:p w14:paraId="213033FE" w14:textId="77777777" w:rsidR="00560B00" w:rsidRPr="00D022DD" w:rsidRDefault="00560B00" w:rsidP="00560B00">
      <w:pPr>
        <w:pStyle w:val="MDPI62BackMatter"/>
        <w:ind w:left="360"/>
        <w:rPr>
          <w:b/>
          <w:sz w:val="22"/>
          <w:szCs w:val="24"/>
        </w:rPr>
      </w:pPr>
    </w:p>
    <w:p w14:paraId="3BD12275" w14:textId="77777777" w:rsidR="00560B00" w:rsidRPr="00D022DD" w:rsidRDefault="00560B00" w:rsidP="00560B00">
      <w:pPr>
        <w:pStyle w:val="MDPI62BackMatter"/>
        <w:ind w:left="360"/>
        <w:rPr>
          <w:b/>
          <w:sz w:val="22"/>
          <w:szCs w:val="24"/>
        </w:rPr>
      </w:pPr>
    </w:p>
    <w:p w14:paraId="34E8D787" w14:textId="77777777" w:rsidR="00560B00" w:rsidRPr="00D022DD" w:rsidRDefault="00560B00" w:rsidP="00560B00">
      <w:pPr>
        <w:pStyle w:val="MDPI62BackMatter"/>
        <w:ind w:left="360"/>
        <w:rPr>
          <w:b/>
          <w:sz w:val="22"/>
          <w:szCs w:val="24"/>
        </w:rPr>
      </w:pPr>
    </w:p>
    <w:p w14:paraId="2ECA9290" w14:textId="77777777" w:rsidR="007376E6" w:rsidRPr="00D022DD" w:rsidRDefault="007376E6" w:rsidP="00560B00">
      <w:pPr>
        <w:pStyle w:val="MDPI62BackMatter"/>
        <w:ind w:left="360"/>
        <w:rPr>
          <w:b/>
          <w:sz w:val="22"/>
          <w:szCs w:val="24"/>
        </w:rPr>
      </w:pPr>
    </w:p>
    <w:p w14:paraId="7044E540" w14:textId="77777777" w:rsidR="007376E6" w:rsidRPr="00D022DD" w:rsidRDefault="007376E6" w:rsidP="00560B00">
      <w:pPr>
        <w:pStyle w:val="MDPI62BackMatter"/>
        <w:ind w:left="360"/>
        <w:rPr>
          <w:b/>
          <w:sz w:val="22"/>
          <w:szCs w:val="24"/>
        </w:rPr>
      </w:pPr>
    </w:p>
    <w:p w14:paraId="27E65E58" w14:textId="77777777" w:rsidR="007376E6" w:rsidRPr="00D022DD" w:rsidRDefault="007376E6" w:rsidP="00560B00">
      <w:pPr>
        <w:pStyle w:val="MDPI62BackMatter"/>
        <w:ind w:left="360"/>
        <w:rPr>
          <w:b/>
          <w:sz w:val="22"/>
          <w:szCs w:val="24"/>
        </w:rPr>
      </w:pPr>
    </w:p>
    <w:p w14:paraId="58571FBA" w14:textId="77777777" w:rsidR="007376E6" w:rsidRPr="00D022DD" w:rsidRDefault="007376E6" w:rsidP="00560B00">
      <w:pPr>
        <w:pStyle w:val="MDPI62BackMatter"/>
        <w:ind w:left="360"/>
        <w:rPr>
          <w:b/>
          <w:sz w:val="22"/>
          <w:szCs w:val="24"/>
        </w:rPr>
      </w:pPr>
    </w:p>
    <w:p w14:paraId="5479F060" w14:textId="77777777" w:rsidR="007376E6" w:rsidRPr="00D022DD" w:rsidRDefault="007376E6" w:rsidP="00560B00">
      <w:pPr>
        <w:pStyle w:val="MDPI62BackMatter"/>
        <w:ind w:left="360"/>
        <w:rPr>
          <w:b/>
          <w:sz w:val="22"/>
          <w:szCs w:val="24"/>
        </w:rPr>
      </w:pPr>
    </w:p>
    <w:p w14:paraId="69BA1073" w14:textId="77777777" w:rsidR="007376E6" w:rsidRPr="00D022DD" w:rsidRDefault="007376E6" w:rsidP="00560B00">
      <w:pPr>
        <w:pStyle w:val="MDPI62BackMatter"/>
        <w:ind w:left="360"/>
        <w:rPr>
          <w:b/>
          <w:sz w:val="22"/>
          <w:szCs w:val="24"/>
        </w:rPr>
      </w:pPr>
    </w:p>
    <w:p w14:paraId="4271D262" w14:textId="77777777" w:rsidR="007376E6" w:rsidRPr="00D022DD" w:rsidRDefault="007376E6" w:rsidP="00560B00">
      <w:pPr>
        <w:pStyle w:val="MDPI62BackMatter"/>
        <w:ind w:left="360"/>
        <w:rPr>
          <w:b/>
          <w:sz w:val="22"/>
          <w:szCs w:val="24"/>
        </w:rPr>
      </w:pPr>
    </w:p>
    <w:p w14:paraId="6A699867" w14:textId="77777777" w:rsidR="007376E6" w:rsidRPr="00D022DD" w:rsidRDefault="007376E6" w:rsidP="00560B00">
      <w:pPr>
        <w:pStyle w:val="MDPI62BackMatter"/>
        <w:ind w:left="360"/>
        <w:rPr>
          <w:b/>
          <w:sz w:val="22"/>
          <w:szCs w:val="24"/>
        </w:rPr>
      </w:pPr>
    </w:p>
    <w:p w14:paraId="16303AA7" w14:textId="77777777" w:rsidR="007376E6" w:rsidRPr="00D022DD" w:rsidRDefault="007376E6" w:rsidP="00560B00">
      <w:pPr>
        <w:pStyle w:val="MDPI62BackMatter"/>
        <w:ind w:left="360"/>
        <w:rPr>
          <w:b/>
          <w:sz w:val="22"/>
          <w:szCs w:val="24"/>
        </w:rPr>
      </w:pPr>
    </w:p>
    <w:p w14:paraId="60CFD98E" w14:textId="77777777" w:rsidR="007376E6" w:rsidRPr="00D022DD" w:rsidRDefault="007376E6" w:rsidP="00560B00">
      <w:pPr>
        <w:pStyle w:val="MDPI62BackMatter"/>
        <w:ind w:left="360"/>
        <w:rPr>
          <w:b/>
          <w:sz w:val="22"/>
          <w:szCs w:val="24"/>
        </w:rPr>
      </w:pPr>
    </w:p>
    <w:p w14:paraId="694791CC" w14:textId="267B6902" w:rsidR="007376E6" w:rsidRPr="00D022DD" w:rsidRDefault="006E2738" w:rsidP="00560B00">
      <w:pPr>
        <w:pStyle w:val="MDPI62BackMatter"/>
        <w:ind w:left="360"/>
        <w:rPr>
          <w:b/>
          <w:sz w:val="22"/>
          <w:szCs w:val="24"/>
        </w:rPr>
      </w:pPr>
      <w:r w:rsidRPr="00D022DD">
        <w:rPr>
          <w:b/>
          <w:noProof/>
          <w:snapToGrid/>
          <w:sz w:val="22"/>
          <w:szCs w:val="24"/>
        </w:rPr>
        <w:drawing>
          <wp:inline distT="0" distB="0" distL="0" distR="0" wp14:anchorId="6778316A" wp14:editId="6C09A6AA">
            <wp:extent cx="5400040" cy="3410585"/>
            <wp:effectExtent l="0" t="0" r="0" b="0"/>
            <wp:docPr id="196929358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93588" name="Imagen 1969293588"/>
                    <pic:cNvPicPr/>
                  </pic:nvPicPr>
                  <pic:blipFill>
                    <a:blip r:embed="rId27"/>
                    <a:stretch>
                      <a:fillRect/>
                    </a:stretch>
                  </pic:blipFill>
                  <pic:spPr>
                    <a:xfrm>
                      <a:off x="0" y="0"/>
                      <a:ext cx="5400040" cy="3410585"/>
                    </a:xfrm>
                    <a:prstGeom prst="rect">
                      <a:avLst/>
                    </a:prstGeom>
                  </pic:spPr>
                </pic:pic>
              </a:graphicData>
            </a:graphic>
          </wp:inline>
        </w:drawing>
      </w:r>
    </w:p>
    <w:p w14:paraId="22749846" w14:textId="2BD61E80" w:rsidR="00560B00" w:rsidRPr="00D022DD" w:rsidRDefault="00560B00" w:rsidP="007376E6">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8</w:t>
      </w:r>
      <w:r w:rsidRPr="00D022DD">
        <w:rPr>
          <w:b/>
          <w:sz w:val="22"/>
          <w:szCs w:val="24"/>
        </w:rPr>
        <w:t>.</w:t>
      </w:r>
      <w:r w:rsidRPr="00D022DD">
        <w:rPr>
          <w:bCs/>
          <w:sz w:val="22"/>
          <w:szCs w:val="24"/>
        </w:rPr>
        <w:t xml:space="preserve"> Forest plot showing the prevalence of </w:t>
      </w:r>
      <w:r w:rsidR="007376E6" w:rsidRPr="00D022DD">
        <w:rPr>
          <w:bCs/>
          <w:sz w:val="22"/>
          <w:szCs w:val="24"/>
        </w:rPr>
        <w:t xml:space="preserve">Friends/Family </w:t>
      </w:r>
      <w:r w:rsidRPr="00D022DD">
        <w:rPr>
          <w:bCs/>
          <w:sz w:val="22"/>
          <w:szCs w:val="24"/>
        </w:rPr>
        <w:t>as a source of information about monkeypox virus infection.</w:t>
      </w:r>
    </w:p>
    <w:p w14:paraId="41E0A37A" w14:textId="77777777" w:rsidR="00560B00" w:rsidRPr="00D022DD" w:rsidRDefault="00560B00" w:rsidP="00560B00">
      <w:pPr>
        <w:pStyle w:val="MDPI62BackMatter"/>
        <w:ind w:left="360"/>
        <w:rPr>
          <w:b/>
          <w:sz w:val="22"/>
          <w:szCs w:val="24"/>
        </w:rPr>
      </w:pPr>
    </w:p>
    <w:p w14:paraId="40764A7A" w14:textId="77777777" w:rsidR="00560B00" w:rsidRPr="00D022DD" w:rsidRDefault="00560B00" w:rsidP="00560B00">
      <w:pPr>
        <w:pStyle w:val="MDPI62BackMatter"/>
        <w:ind w:left="360"/>
        <w:rPr>
          <w:b/>
          <w:sz w:val="22"/>
          <w:szCs w:val="24"/>
        </w:rPr>
      </w:pPr>
    </w:p>
    <w:p w14:paraId="39FF20F1" w14:textId="79A6C2B7" w:rsidR="00560B00" w:rsidRPr="00D022DD" w:rsidRDefault="00B33AC7" w:rsidP="00560B00">
      <w:pPr>
        <w:pStyle w:val="MDPI62BackMatter"/>
        <w:ind w:left="360"/>
        <w:rPr>
          <w:b/>
          <w:sz w:val="22"/>
          <w:szCs w:val="24"/>
        </w:rPr>
      </w:pPr>
      <w:r w:rsidRPr="00D022DD">
        <w:rPr>
          <w:b/>
          <w:noProof/>
          <w:snapToGrid/>
          <w:sz w:val="22"/>
          <w:szCs w:val="24"/>
        </w:rPr>
        <w:drawing>
          <wp:inline distT="0" distB="0" distL="0" distR="0" wp14:anchorId="0D88E184" wp14:editId="72560966">
            <wp:extent cx="5852557" cy="1847850"/>
            <wp:effectExtent l="0" t="0" r="0" b="0"/>
            <wp:docPr id="1634845178" name="Imagen 8"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45178" name="Imagen 8" descr="Gráfico, Gráfico de cajas y bigotes&#10;&#10;Descripción generada automáticamente"/>
                    <pic:cNvPicPr/>
                  </pic:nvPicPr>
                  <pic:blipFill>
                    <a:blip r:embed="rId28"/>
                    <a:stretch>
                      <a:fillRect/>
                    </a:stretch>
                  </pic:blipFill>
                  <pic:spPr>
                    <a:xfrm>
                      <a:off x="0" y="0"/>
                      <a:ext cx="5862162" cy="1850883"/>
                    </a:xfrm>
                    <a:prstGeom prst="rect">
                      <a:avLst/>
                    </a:prstGeom>
                  </pic:spPr>
                </pic:pic>
              </a:graphicData>
            </a:graphic>
          </wp:inline>
        </w:drawing>
      </w:r>
    </w:p>
    <w:p w14:paraId="6E028813" w14:textId="14C0B8DB" w:rsidR="00560B00" w:rsidRPr="00D022DD" w:rsidRDefault="00560B00" w:rsidP="00B33AC7">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9</w:t>
      </w:r>
      <w:r w:rsidRPr="00D022DD">
        <w:rPr>
          <w:b/>
          <w:sz w:val="22"/>
          <w:szCs w:val="24"/>
        </w:rPr>
        <w:t>.</w:t>
      </w:r>
      <w:r w:rsidRPr="00D022DD">
        <w:rPr>
          <w:bCs/>
          <w:sz w:val="22"/>
          <w:szCs w:val="24"/>
        </w:rPr>
        <w:t xml:space="preserve"> Forest plot showing the prevalence of the WHO website as a source of information on monkeypox virus infection.</w:t>
      </w:r>
    </w:p>
    <w:p w14:paraId="3137C85F" w14:textId="77777777" w:rsidR="00560B00" w:rsidRPr="00D022DD" w:rsidRDefault="00560B00" w:rsidP="00560B00">
      <w:pPr>
        <w:pStyle w:val="MDPI62BackMatter"/>
        <w:ind w:left="360"/>
        <w:rPr>
          <w:b/>
          <w:sz w:val="22"/>
          <w:szCs w:val="24"/>
        </w:rPr>
      </w:pPr>
    </w:p>
    <w:p w14:paraId="01DAB4B4" w14:textId="77777777" w:rsidR="00560B00" w:rsidRPr="00D022DD" w:rsidRDefault="00560B00" w:rsidP="00560B00">
      <w:pPr>
        <w:pStyle w:val="MDPI62BackMatter"/>
        <w:ind w:left="360"/>
        <w:rPr>
          <w:b/>
          <w:sz w:val="22"/>
          <w:szCs w:val="24"/>
        </w:rPr>
      </w:pPr>
    </w:p>
    <w:p w14:paraId="4D1378F8" w14:textId="77777777" w:rsidR="00045919" w:rsidRPr="00D022DD" w:rsidRDefault="00045919" w:rsidP="00560B00">
      <w:pPr>
        <w:pStyle w:val="MDPI62BackMatter"/>
        <w:ind w:left="360"/>
        <w:rPr>
          <w:b/>
          <w:sz w:val="22"/>
          <w:szCs w:val="24"/>
        </w:rPr>
      </w:pPr>
    </w:p>
    <w:p w14:paraId="571BD590" w14:textId="77777777" w:rsidR="00045919" w:rsidRPr="00D022DD" w:rsidRDefault="00045919" w:rsidP="00560B00">
      <w:pPr>
        <w:pStyle w:val="MDPI62BackMatter"/>
        <w:ind w:left="360"/>
        <w:rPr>
          <w:b/>
          <w:sz w:val="22"/>
          <w:szCs w:val="24"/>
        </w:rPr>
      </w:pPr>
    </w:p>
    <w:p w14:paraId="6DCD6ACE" w14:textId="77777777" w:rsidR="00045919" w:rsidRPr="00D022DD" w:rsidRDefault="00045919" w:rsidP="00560B00">
      <w:pPr>
        <w:pStyle w:val="MDPI62BackMatter"/>
        <w:ind w:left="360"/>
        <w:rPr>
          <w:b/>
          <w:sz w:val="22"/>
          <w:szCs w:val="24"/>
        </w:rPr>
      </w:pPr>
    </w:p>
    <w:p w14:paraId="6E46E989" w14:textId="77777777" w:rsidR="00045919" w:rsidRPr="00D022DD" w:rsidRDefault="00045919" w:rsidP="00560B00">
      <w:pPr>
        <w:pStyle w:val="MDPI62BackMatter"/>
        <w:ind w:left="360"/>
        <w:rPr>
          <w:b/>
          <w:sz w:val="22"/>
          <w:szCs w:val="24"/>
        </w:rPr>
      </w:pPr>
    </w:p>
    <w:p w14:paraId="2510D260" w14:textId="3FD0AE65" w:rsidR="00045919" w:rsidRPr="00D022DD" w:rsidRDefault="00045919" w:rsidP="00560B00">
      <w:pPr>
        <w:pStyle w:val="MDPI62BackMatter"/>
        <w:ind w:left="360"/>
        <w:rPr>
          <w:b/>
          <w:sz w:val="22"/>
          <w:szCs w:val="24"/>
        </w:rPr>
      </w:pPr>
      <w:r w:rsidRPr="00D022DD">
        <w:rPr>
          <w:b/>
          <w:noProof/>
          <w:snapToGrid/>
          <w:sz w:val="22"/>
          <w:szCs w:val="24"/>
        </w:rPr>
        <w:lastRenderedPageBreak/>
        <w:drawing>
          <wp:inline distT="0" distB="0" distL="0" distR="0" wp14:anchorId="43BF335B" wp14:editId="7FE2618C">
            <wp:extent cx="5832445" cy="1841500"/>
            <wp:effectExtent l="0" t="0" r="0" b="6350"/>
            <wp:docPr id="107041763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17637" name="Imagen 1070417637"/>
                    <pic:cNvPicPr/>
                  </pic:nvPicPr>
                  <pic:blipFill>
                    <a:blip r:embed="rId29"/>
                    <a:stretch>
                      <a:fillRect/>
                    </a:stretch>
                  </pic:blipFill>
                  <pic:spPr>
                    <a:xfrm>
                      <a:off x="0" y="0"/>
                      <a:ext cx="5839032" cy="1843580"/>
                    </a:xfrm>
                    <a:prstGeom prst="rect">
                      <a:avLst/>
                    </a:prstGeom>
                  </pic:spPr>
                </pic:pic>
              </a:graphicData>
            </a:graphic>
          </wp:inline>
        </w:drawing>
      </w:r>
    </w:p>
    <w:p w14:paraId="722B2827" w14:textId="523675D0" w:rsidR="00560B00" w:rsidRPr="00D022DD" w:rsidRDefault="00560B00" w:rsidP="00045919">
      <w:pPr>
        <w:pStyle w:val="MDPI62BackMatter"/>
        <w:ind w:left="360"/>
        <w:jc w:val="center"/>
        <w:rPr>
          <w:bCs/>
          <w:sz w:val="22"/>
          <w:szCs w:val="24"/>
        </w:rPr>
      </w:pPr>
      <w:r w:rsidRPr="00D022DD">
        <w:rPr>
          <w:b/>
          <w:sz w:val="22"/>
          <w:szCs w:val="24"/>
        </w:rPr>
        <w:t>Figure</w:t>
      </w:r>
      <w:r w:rsidR="00BB7795" w:rsidRPr="00D022DD">
        <w:rPr>
          <w:b/>
          <w:sz w:val="22"/>
          <w:szCs w:val="24"/>
        </w:rPr>
        <w:t xml:space="preserve"> S</w:t>
      </w:r>
      <w:r w:rsidR="00D352D7">
        <w:rPr>
          <w:b/>
          <w:sz w:val="22"/>
          <w:szCs w:val="24"/>
        </w:rPr>
        <w:t>10</w:t>
      </w:r>
      <w:r w:rsidRPr="00D022DD">
        <w:rPr>
          <w:b/>
          <w:sz w:val="22"/>
          <w:szCs w:val="24"/>
        </w:rPr>
        <w:t>.</w:t>
      </w:r>
      <w:r w:rsidRPr="00D022DD">
        <w:rPr>
          <w:bCs/>
          <w:sz w:val="22"/>
          <w:szCs w:val="24"/>
        </w:rPr>
        <w:t xml:space="preserve"> Forest plot showing the prevalence of the CDC website as a source of information on monkeypox virus infection.</w:t>
      </w:r>
    </w:p>
    <w:p w14:paraId="3A18E043" w14:textId="77777777" w:rsidR="00560B00" w:rsidRPr="00D022DD" w:rsidRDefault="00560B00" w:rsidP="00560B00">
      <w:pPr>
        <w:pStyle w:val="MDPI62BackMatter"/>
        <w:ind w:left="360"/>
        <w:rPr>
          <w:b/>
          <w:sz w:val="22"/>
          <w:szCs w:val="24"/>
        </w:rPr>
      </w:pPr>
    </w:p>
    <w:p w14:paraId="0F242AB7" w14:textId="34D8E2E0" w:rsidR="00560B00" w:rsidRPr="00D022DD" w:rsidRDefault="00C616AA" w:rsidP="00560B00">
      <w:pPr>
        <w:pStyle w:val="MDPI62BackMatter"/>
        <w:ind w:left="360"/>
        <w:rPr>
          <w:b/>
          <w:sz w:val="22"/>
          <w:szCs w:val="24"/>
        </w:rPr>
      </w:pPr>
      <w:r w:rsidRPr="00D022DD">
        <w:rPr>
          <w:b/>
          <w:noProof/>
          <w:snapToGrid/>
          <w:sz w:val="22"/>
          <w:szCs w:val="24"/>
        </w:rPr>
        <w:drawing>
          <wp:inline distT="0" distB="0" distL="0" distR="0" wp14:anchorId="7F847C72" wp14:editId="7CF4E333">
            <wp:extent cx="5774061" cy="2127250"/>
            <wp:effectExtent l="0" t="0" r="0" b="6350"/>
            <wp:docPr id="775480942" name="Imagen 10"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80942" name="Imagen 10" descr="Gráfico, Gráfico de cajas y bigotes&#10;&#10;Descripción generada automáticamente"/>
                    <pic:cNvPicPr/>
                  </pic:nvPicPr>
                  <pic:blipFill>
                    <a:blip r:embed="rId30"/>
                    <a:stretch>
                      <a:fillRect/>
                    </a:stretch>
                  </pic:blipFill>
                  <pic:spPr>
                    <a:xfrm>
                      <a:off x="0" y="0"/>
                      <a:ext cx="5776896" cy="2128294"/>
                    </a:xfrm>
                    <a:prstGeom prst="rect">
                      <a:avLst/>
                    </a:prstGeom>
                  </pic:spPr>
                </pic:pic>
              </a:graphicData>
            </a:graphic>
          </wp:inline>
        </w:drawing>
      </w:r>
    </w:p>
    <w:p w14:paraId="7CB045B1" w14:textId="0EF24F7B" w:rsidR="00560B00" w:rsidRPr="00D022DD" w:rsidRDefault="00560B00" w:rsidP="00C616AA">
      <w:pPr>
        <w:pStyle w:val="MDPI62BackMatter"/>
        <w:ind w:left="360"/>
        <w:jc w:val="center"/>
        <w:rPr>
          <w:bCs/>
          <w:sz w:val="22"/>
          <w:szCs w:val="24"/>
        </w:rPr>
      </w:pPr>
      <w:r w:rsidRPr="00D022DD">
        <w:rPr>
          <w:b/>
          <w:sz w:val="22"/>
          <w:szCs w:val="24"/>
        </w:rPr>
        <w:t>Figure</w:t>
      </w:r>
      <w:r w:rsidR="00BB7795" w:rsidRPr="00D022DD">
        <w:rPr>
          <w:b/>
          <w:sz w:val="22"/>
          <w:szCs w:val="24"/>
        </w:rPr>
        <w:t xml:space="preserve"> S1</w:t>
      </w:r>
      <w:r w:rsidR="00D352D7">
        <w:rPr>
          <w:b/>
          <w:sz w:val="22"/>
          <w:szCs w:val="24"/>
        </w:rPr>
        <w:t>1</w:t>
      </w:r>
      <w:r w:rsidRPr="00D022DD">
        <w:rPr>
          <w:b/>
          <w:sz w:val="22"/>
          <w:szCs w:val="24"/>
        </w:rPr>
        <w:t>.</w:t>
      </w:r>
      <w:r w:rsidRPr="00D022DD">
        <w:rPr>
          <w:bCs/>
          <w:sz w:val="22"/>
          <w:szCs w:val="24"/>
        </w:rPr>
        <w:t xml:space="preserve"> Forest plot showing the prevalence of WHO and CDC websites as a source of information on monkeypox virus infection.</w:t>
      </w:r>
    </w:p>
    <w:p w14:paraId="2E937493" w14:textId="77777777" w:rsidR="00560B00" w:rsidRPr="00D022DD" w:rsidRDefault="00560B00" w:rsidP="00560B00">
      <w:pPr>
        <w:pStyle w:val="MDPI62BackMatter"/>
        <w:ind w:left="360"/>
        <w:rPr>
          <w:b/>
          <w:sz w:val="22"/>
          <w:szCs w:val="24"/>
        </w:rPr>
      </w:pPr>
    </w:p>
    <w:p w14:paraId="5136C291" w14:textId="0709033F" w:rsidR="00560B00" w:rsidRPr="00D022DD" w:rsidRDefault="006E2738" w:rsidP="00B76227">
      <w:pPr>
        <w:pStyle w:val="MDPI62BackMatter"/>
        <w:ind w:left="360"/>
        <w:jc w:val="center"/>
        <w:rPr>
          <w:b/>
          <w:sz w:val="22"/>
          <w:szCs w:val="24"/>
        </w:rPr>
      </w:pPr>
      <w:r w:rsidRPr="00D022DD">
        <w:rPr>
          <w:b/>
          <w:noProof/>
          <w:snapToGrid/>
          <w:sz w:val="22"/>
          <w:szCs w:val="24"/>
        </w:rPr>
        <w:drawing>
          <wp:inline distT="0" distB="0" distL="0" distR="0" wp14:anchorId="7FCE3511" wp14:editId="28377B21">
            <wp:extent cx="5400040" cy="2555875"/>
            <wp:effectExtent l="0" t="0" r="0" b="0"/>
            <wp:docPr id="2402779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77931" name="Imagen 240277931"/>
                    <pic:cNvPicPr/>
                  </pic:nvPicPr>
                  <pic:blipFill>
                    <a:blip r:embed="rId31"/>
                    <a:stretch>
                      <a:fillRect/>
                    </a:stretch>
                  </pic:blipFill>
                  <pic:spPr>
                    <a:xfrm>
                      <a:off x="0" y="0"/>
                      <a:ext cx="5400040" cy="2555875"/>
                    </a:xfrm>
                    <a:prstGeom prst="rect">
                      <a:avLst/>
                    </a:prstGeom>
                  </pic:spPr>
                </pic:pic>
              </a:graphicData>
            </a:graphic>
          </wp:inline>
        </w:drawing>
      </w:r>
    </w:p>
    <w:p w14:paraId="116E9C4D" w14:textId="27CA6301" w:rsidR="00560B00" w:rsidRPr="00D022DD" w:rsidRDefault="00560B00" w:rsidP="00B76227">
      <w:pPr>
        <w:pStyle w:val="MDPI62BackMatter"/>
        <w:ind w:left="360"/>
        <w:jc w:val="center"/>
        <w:rPr>
          <w:bCs/>
          <w:sz w:val="22"/>
          <w:szCs w:val="24"/>
        </w:rPr>
      </w:pPr>
      <w:r w:rsidRPr="00D022DD">
        <w:rPr>
          <w:b/>
          <w:sz w:val="22"/>
          <w:szCs w:val="24"/>
        </w:rPr>
        <w:t>Figure</w:t>
      </w:r>
      <w:r w:rsidR="00BB7795" w:rsidRPr="00D022DD">
        <w:rPr>
          <w:b/>
          <w:sz w:val="22"/>
          <w:szCs w:val="24"/>
        </w:rPr>
        <w:t xml:space="preserve"> S1</w:t>
      </w:r>
      <w:r w:rsidR="00D352D7">
        <w:rPr>
          <w:b/>
          <w:sz w:val="22"/>
          <w:szCs w:val="24"/>
        </w:rPr>
        <w:t>2</w:t>
      </w:r>
      <w:r w:rsidRPr="00D022DD">
        <w:rPr>
          <w:b/>
          <w:sz w:val="22"/>
          <w:szCs w:val="24"/>
        </w:rPr>
        <w:t>.</w:t>
      </w:r>
      <w:r w:rsidRPr="00D022DD">
        <w:rPr>
          <w:bCs/>
          <w:sz w:val="22"/>
          <w:szCs w:val="24"/>
        </w:rPr>
        <w:t xml:space="preserve"> Forest plot showing the prevalence of research articles/scientific journals as a source of information on monkeypox virus infection.</w:t>
      </w:r>
    </w:p>
    <w:p w14:paraId="2D1C6E5B" w14:textId="77777777" w:rsidR="00B812D4" w:rsidRPr="00D022DD" w:rsidRDefault="00B812D4" w:rsidP="000550A9">
      <w:pPr>
        <w:pStyle w:val="MDPI31text"/>
        <w:ind w:left="0" w:firstLine="0"/>
        <w:rPr>
          <w:rFonts w:ascii="Times New Roman" w:hAnsi="Times New Roman"/>
          <w:sz w:val="24"/>
          <w:szCs w:val="28"/>
        </w:rPr>
      </w:pPr>
    </w:p>
    <w:p w14:paraId="5B268597" w14:textId="73FE79EC" w:rsidR="00B812D4" w:rsidRPr="00D022DD" w:rsidRDefault="00B812D4" w:rsidP="00D43713">
      <w:pPr>
        <w:pStyle w:val="MDPI31text"/>
        <w:ind w:left="0" w:firstLine="0"/>
        <w:jc w:val="center"/>
        <w:rPr>
          <w:rFonts w:ascii="Times New Roman" w:hAnsi="Times New Roman"/>
          <w:noProof/>
          <w:snapToGrid/>
          <w:sz w:val="24"/>
          <w:szCs w:val="28"/>
        </w:rPr>
      </w:pPr>
    </w:p>
    <w:p w14:paraId="2A7FBA48" w14:textId="2F94D445" w:rsidR="001C49C9" w:rsidRPr="00D022DD" w:rsidRDefault="001C49C9" w:rsidP="001C49C9">
      <w:pPr>
        <w:pStyle w:val="MDPI31text"/>
        <w:ind w:left="0" w:firstLine="0"/>
        <w:jc w:val="center"/>
        <w:rPr>
          <w:rFonts w:ascii="Times New Roman" w:hAnsi="Times New Roman"/>
          <w:sz w:val="24"/>
          <w:szCs w:val="28"/>
        </w:rPr>
      </w:pPr>
      <w:r w:rsidRPr="00D022DD">
        <w:rPr>
          <w:rFonts w:ascii="Times New Roman" w:hAnsi="Times New Roman"/>
          <w:noProof/>
          <w:snapToGrid/>
          <w:sz w:val="24"/>
          <w:szCs w:val="28"/>
        </w:rPr>
        <w:lastRenderedPageBreak/>
        <w:drawing>
          <wp:inline distT="0" distB="0" distL="0" distR="0" wp14:anchorId="4811C94E" wp14:editId="5EB8436C">
            <wp:extent cx="5400040" cy="4319905"/>
            <wp:effectExtent l="0" t="0" r="0" b="4445"/>
            <wp:docPr id="7628363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36322" name="Imagen 762836322"/>
                    <pic:cNvPicPr/>
                  </pic:nvPicPr>
                  <pic:blipFill>
                    <a:blip r:embed="rId32"/>
                    <a:stretch>
                      <a:fillRect/>
                    </a:stretch>
                  </pic:blipFill>
                  <pic:spPr>
                    <a:xfrm>
                      <a:off x="0" y="0"/>
                      <a:ext cx="5400040" cy="4319905"/>
                    </a:xfrm>
                    <a:prstGeom prst="rect">
                      <a:avLst/>
                    </a:prstGeom>
                  </pic:spPr>
                </pic:pic>
              </a:graphicData>
            </a:graphic>
          </wp:inline>
        </w:drawing>
      </w:r>
    </w:p>
    <w:p w14:paraId="0C7EED17" w14:textId="62454924" w:rsidR="009C1B1F" w:rsidRPr="00D022DD" w:rsidRDefault="009C1B1F" w:rsidP="009C1B1F">
      <w:pPr>
        <w:pStyle w:val="MDPI62BackMatter"/>
        <w:ind w:left="360"/>
        <w:jc w:val="center"/>
        <w:rPr>
          <w:bCs/>
          <w:sz w:val="22"/>
          <w:szCs w:val="24"/>
        </w:rPr>
      </w:pPr>
      <w:bookmarkStart w:id="5" w:name="_Hlk143745323"/>
      <w:r w:rsidRPr="00D022DD">
        <w:rPr>
          <w:b/>
          <w:sz w:val="22"/>
          <w:szCs w:val="24"/>
        </w:rPr>
        <w:t>Figure S1</w:t>
      </w:r>
      <w:r w:rsidR="00D352D7">
        <w:rPr>
          <w:b/>
          <w:sz w:val="22"/>
          <w:szCs w:val="24"/>
        </w:rPr>
        <w:t>3</w:t>
      </w:r>
      <w:r w:rsidRPr="00D022DD">
        <w:rPr>
          <w:b/>
          <w:sz w:val="22"/>
          <w:szCs w:val="24"/>
        </w:rPr>
        <w:t>.</w:t>
      </w:r>
      <w:r w:rsidRPr="00D022DD">
        <w:rPr>
          <w:bCs/>
          <w:sz w:val="22"/>
          <w:szCs w:val="24"/>
        </w:rPr>
        <w:t xml:space="preserve"> </w:t>
      </w:r>
      <w:r w:rsidR="00BE2C6A" w:rsidRPr="00D022DD">
        <w:rPr>
          <w:bCs/>
          <w:sz w:val="22"/>
          <w:szCs w:val="24"/>
        </w:rPr>
        <w:t>Graphical representation of the prevalence of information sources in social networks about monkeypox virus among study participants.</w:t>
      </w:r>
    </w:p>
    <w:bookmarkEnd w:id="5"/>
    <w:p w14:paraId="1A568C14" w14:textId="77777777" w:rsidR="009C1B1F" w:rsidRPr="00D022DD" w:rsidRDefault="009C1B1F" w:rsidP="000550A9">
      <w:pPr>
        <w:pStyle w:val="MDPI31text"/>
        <w:ind w:left="0" w:firstLine="0"/>
        <w:rPr>
          <w:rFonts w:ascii="Times New Roman" w:hAnsi="Times New Roman"/>
          <w:sz w:val="24"/>
          <w:szCs w:val="28"/>
        </w:rPr>
      </w:pPr>
    </w:p>
    <w:p w14:paraId="1107A37D" w14:textId="679D2349" w:rsidR="009C1B1F" w:rsidRPr="00D022DD" w:rsidRDefault="00FD7F7A" w:rsidP="000550A9">
      <w:pPr>
        <w:pStyle w:val="MDPI31text"/>
        <w:ind w:left="0" w:firstLine="0"/>
        <w:rPr>
          <w:rFonts w:ascii="Times New Roman" w:hAnsi="Times New Roman"/>
          <w:noProof/>
          <w:snapToGrid/>
          <w:sz w:val="24"/>
          <w:szCs w:val="28"/>
        </w:rPr>
      </w:pPr>
      <w:r w:rsidRPr="00D022DD">
        <w:rPr>
          <w:rFonts w:ascii="Times New Roman" w:hAnsi="Times New Roman"/>
          <w:noProof/>
          <w:snapToGrid/>
          <w:sz w:val="24"/>
          <w:szCs w:val="28"/>
        </w:rPr>
        <w:drawing>
          <wp:inline distT="0" distB="0" distL="0" distR="0" wp14:anchorId="125FA3E7" wp14:editId="2E5B1006">
            <wp:extent cx="5400040" cy="3126740"/>
            <wp:effectExtent l="0" t="0" r="0" b="0"/>
            <wp:docPr id="371681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81195" name="Imagen 371681195"/>
                    <pic:cNvPicPr/>
                  </pic:nvPicPr>
                  <pic:blipFill>
                    <a:blip r:embed="rId33"/>
                    <a:stretch>
                      <a:fillRect/>
                    </a:stretch>
                  </pic:blipFill>
                  <pic:spPr>
                    <a:xfrm>
                      <a:off x="0" y="0"/>
                      <a:ext cx="5400040" cy="3126740"/>
                    </a:xfrm>
                    <a:prstGeom prst="rect">
                      <a:avLst/>
                    </a:prstGeom>
                  </pic:spPr>
                </pic:pic>
              </a:graphicData>
            </a:graphic>
          </wp:inline>
        </w:drawing>
      </w:r>
    </w:p>
    <w:p w14:paraId="5849548C" w14:textId="77777777" w:rsidR="00FD7F7A" w:rsidRPr="00D022DD" w:rsidRDefault="00FD7F7A" w:rsidP="000550A9">
      <w:pPr>
        <w:pStyle w:val="MDPI31text"/>
        <w:ind w:left="0" w:firstLine="0"/>
        <w:rPr>
          <w:rFonts w:ascii="Times New Roman" w:hAnsi="Times New Roman"/>
          <w:sz w:val="24"/>
          <w:szCs w:val="28"/>
        </w:rPr>
      </w:pPr>
    </w:p>
    <w:p w14:paraId="66F0CAA6" w14:textId="6EB87443" w:rsidR="005B59FA" w:rsidRPr="00D022DD" w:rsidRDefault="005B59FA" w:rsidP="005B59FA">
      <w:pPr>
        <w:pStyle w:val="MDPI62BackMatter"/>
        <w:ind w:left="360"/>
        <w:jc w:val="center"/>
        <w:rPr>
          <w:bCs/>
          <w:sz w:val="22"/>
          <w:szCs w:val="24"/>
        </w:rPr>
      </w:pPr>
      <w:r w:rsidRPr="00D022DD">
        <w:rPr>
          <w:b/>
          <w:sz w:val="22"/>
          <w:szCs w:val="24"/>
        </w:rPr>
        <w:t>Figure S1</w:t>
      </w:r>
      <w:r w:rsidR="00D352D7">
        <w:rPr>
          <w:b/>
          <w:sz w:val="22"/>
          <w:szCs w:val="24"/>
        </w:rPr>
        <w:t>4</w:t>
      </w:r>
      <w:r w:rsidRPr="00D022DD">
        <w:rPr>
          <w:b/>
          <w:sz w:val="22"/>
          <w:szCs w:val="24"/>
        </w:rPr>
        <w:t>.</w:t>
      </w:r>
      <w:r w:rsidRPr="00D022DD">
        <w:rPr>
          <w:bCs/>
          <w:sz w:val="22"/>
          <w:szCs w:val="24"/>
        </w:rPr>
        <w:t xml:space="preserve"> Graphical representation of the prevalence of information sources in television about monkeypox virus among study participants.</w:t>
      </w:r>
    </w:p>
    <w:p w14:paraId="41E748BF" w14:textId="73C64DCD" w:rsidR="009C1B1F" w:rsidRPr="00D022DD" w:rsidRDefault="00EF73EA" w:rsidP="000550A9">
      <w:pPr>
        <w:pStyle w:val="MDPI31text"/>
        <w:ind w:left="0" w:firstLine="0"/>
        <w:rPr>
          <w:rFonts w:ascii="Times New Roman" w:hAnsi="Times New Roman"/>
          <w:sz w:val="24"/>
          <w:szCs w:val="28"/>
        </w:rPr>
      </w:pPr>
      <w:r w:rsidRPr="00D022DD">
        <w:rPr>
          <w:rFonts w:ascii="Times New Roman" w:hAnsi="Times New Roman"/>
          <w:noProof/>
          <w:snapToGrid/>
          <w:sz w:val="24"/>
          <w:szCs w:val="28"/>
        </w:rPr>
        <w:lastRenderedPageBreak/>
        <w:drawing>
          <wp:inline distT="0" distB="0" distL="0" distR="0" wp14:anchorId="19A3ADEE" wp14:editId="10249BBC">
            <wp:extent cx="5400040" cy="2614295"/>
            <wp:effectExtent l="0" t="0" r="0" b="0"/>
            <wp:docPr id="7634047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04771" name="Imagen 763404771"/>
                    <pic:cNvPicPr/>
                  </pic:nvPicPr>
                  <pic:blipFill>
                    <a:blip r:embed="rId34"/>
                    <a:stretch>
                      <a:fillRect/>
                    </a:stretch>
                  </pic:blipFill>
                  <pic:spPr>
                    <a:xfrm>
                      <a:off x="0" y="0"/>
                      <a:ext cx="5400040" cy="2614295"/>
                    </a:xfrm>
                    <a:prstGeom prst="rect">
                      <a:avLst/>
                    </a:prstGeom>
                  </pic:spPr>
                </pic:pic>
              </a:graphicData>
            </a:graphic>
          </wp:inline>
        </w:drawing>
      </w:r>
    </w:p>
    <w:p w14:paraId="5666508E" w14:textId="77777777" w:rsidR="009C1B1F" w:rsidRPr="00D022DD" w:rsidRDefault="009C1B1F" w:rsidP="000550A9">
      <w:pPr>
        <w:pStyle w:val="MDPI31text"/>
        <w:ind w:left="0" w:firstLine="0"/>
        <w:rPr>
          <w:rFonts w:ascii="Times New Roman" w:hAnsi="Times New Roman"/>
          <w:sz w:val="24"/>
          <w:szCs w:val="28"/>
        </w:rPr>
      </w:pPr>
    </w:p>
    <w:p w14:paraId="2E0F4F01" w14:textId="059EA5D1" w:rsidR="009D1FED" w:rsidRPr="00D022DD" w:rsidRDefault="009D1FED" w:rsidP="009D1FED">
      <w:pPr>
        <w:pStyle w:val="MDPI62BackMatter"/>
        <w:ind w:left="360"/>
        <w:jc w:val="center"/>
        <w:rPr>
          <w:bCs/>
          <w:sz w:val="22"/>
          <w:szCs w:val="24"/>
        </w:rPr>
      </w:pPr>
      <w:r w:rsidRPr="00D022DD">
        <w:rPr>
          <w:b/>
          <w:sz w:val="22"/>
          <w:szCs w:val="24"/>
        </w:rPr>
        <w:t>Figure S1</w:t>
      </w:r>
      <w:r w:rsidR="00D352D7">
        <w:rPr>
          <w:b/>
          <w:sz w:val="22"/>
          <w:szCs w:val="24"/>
        </w:rPr>
        <w:t>5</w:t>
      </w:r>
      <w:r w:rsidRPr="00D022DD">
        <w:rPr>
          <w:b/>
          <w:sz w:val="22"/>
          <w:szCs w:val="24"/>
        </w:rPr>
        <w:t>.</w:t>
      </w:r>
      <w:r w:rsidRPr="00D022DD">
        <w:rPr>
          <w:bCs/>
          <w:sz w:val="22"/>
          <w:szCs w:val="24"/>
        </w:rPr>
        <w:t xml:space="preserve"> Graphical representation of the prevalence of information sources in newspapers about monkeypox virus among study participants.</w:t>
      </w:r>
    </w:p>
    <w:p w14:paraId="1688F760" w14:textId="77777777" w:rsidR="009C1B1F" w:rsidRPr="00D022DD" w:rsidRDefault="009C1B1F" w:rsidP="000550A9">
      <w:pPr>
        <w:pStyle w:val="MDPI31text"/>
        <w:ind w:left="0" w:firstLine="0"/>
        <w:rPr>
          <w:rFonts w:ascii="Times New Roman" w:hAnsi="Times New Roman"/>
          <w:sz w:val="24"/>
          <w:szCs w:val="28"/>
        </w:rPr>
      </w:pPr>
    </w:p>
    <w:p w14:paraId="155BD5DE" w14:textId="77777777" w:rsidR="009C1B1F" w:rsidRPr="00D022DD" w:rsidRDefault="009C1B1F" w:rsidP="000550A9">
      <w:pPr>
        <w:pStyle w:val="MDPI31text"/>
        <w:ind w:left="0" w:firstLine="0"/>
        <w:rPr>
          <w:rFonts w:ascii="Times New Roman" w:hAnsi="Times New Roman"/>
          <w:sz w:val="24"/>
          <w:szCs w:val="28"/>
        </w:rPr>
      </w:pPr>
    </w:p>
    <w:p w14:paraId="48FE7D29" w14:textId="23EF5B46" w:rsidR="009C1B1F" w:rsidRPr="00D022DD" w:rsidRDefault="001C49C9" w:rsidP="000550A9">
      <w:pPr>
        <w:pStyle w:val="MDPI31text"/>
        <w:ind w:left="0" w:firstLine="0"/>
        <w:rPr>
          <w:rFonts w:ascii="Times New Roman" w:hAnsi="Times New Roman"/>
          <w:sz w:val="24"/>
          <w:szCs w:val="28"/>
        </w:rPr>
      </w:pPr>
      <w:r w:rsidRPr="00D022DD">
        <w:rPr>
          <w:rFonts w:ascii="Times New Roman" w:hAnsi="Times New Roman"/>
          <w:noProof/>
          <w:snapToGrid/>
          <w:sz w:val="24"/>
          <w:szCs w:val="28"/>
        </w:rPr>
        <w:drawing>
          <wp:inline distT="0" distB="0" distL="0" distR="0" wp14:anchorId="308D4C6B" wp14:editId="1C4851BB">
            <wp:extent cx="5400040" cy="4319905"/>
            <wp:effectExtent l="0" t="0" r="0" b="4445"/>
            <wp:docPr id="54581510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15100" name="Imagen 545815100"/>
                    <pic:cNvPicPr/>
                  </pic:nvPicPr>
                  <pic:blipFill>
                    <a:blip r:embed="rId35"/>
                    <a:stretch>
                      <a:fillRect/>
                    </a:stretch>
                  </pic:blipFill>
                  <pic:spPr>
                    <a:xfrm>
                      <a:off x="0" y="0"/>
                      <a:ext cx="5400040" cy="4319905"/>
                    </a:xfrm>
                    <a:prstGeom prst="rect">
                      <a:avLst/>
                    </a:prstGeom>
                  </pic:spPr>
                </pic:pic>
              </a:graphicData>
            </a:graphic>
          </wp:inline>
        </w:drawing>
      </w:r>
    </w:p>
    <w:p w14:paraId="419E0283" w14:textId="27E7F734" w:rsidR="00E25BAB" w:rsidRPr="00D022DD" w:rsidRDefault="00E25BAB" w:rsidP="00E25BAB">
      <w:pPr>
        <w:pStyle w:val="MDPI62BackMatter"/>
        <w:ind w:left="360"/>
        <w:jc w:val="center"/>
        <w:rPr>
          <w:bCs/>
          <w:sz w:val="22"/>
          <w:szCs w:val="24"/>
        </w:rPr>
      </w:pPr>
      <w:r w:rsidRPr="00D022DD">
        <w:rPr>
          <w:b/>
          <w:sz w:val="22"/>
          <w:szCs w:val="24"/>
        </w:rPr>
        <w:t>Figure S1</w:t>
      </w:r>
      <w:r w:rsidR="00D352D7">
        <w:rPr>
          <w:b/>
          <w:sz w:val="22"/>
          <w:szCs w:val="24"/>
        </w:rPr>
        <w:t>6</w:t>
      </w:r>
      <w:r w:rsidRPr="00D022DD">
        <w:rPr>
          <w:b/>
          <w:sz w:val="22"/>
          <w:szCs w:val="24"/>
        </w:rPr>
        <w:t>.</w:t>
      </w:r>
      <w:r w:rsidRPr="00D022DD">
        <w:rPr>
          <w:bCs/>
          <w:sz w:val="22"/>
          <w:szCs w:val="24"/>
        </w:rPr>
        <w:t xml:space="preserve"> Graphical representation of the prevalence of information sources in Friends/Family about monkeypox virus among study participants.</w:t>
      </w:r>
    </w:p>
    <w:p w14:paraId="6D3A8098" w14:textId="66815218" w:rsidR="00E25BAB" w:rsidRPr="00D022DD" w:rsidRDefault="00E25BAB" w:rsidP="000550A9">
      <w:pPr>
        <w:pStyle w:val="MDPI31text"/>
        <w:ind w:left="0" w:firstLine="0"/>
        <w:rPr>
          <w:rFonts w:ascii="Times New Roman" w:hAnsi="Times New Roman"/>
          <w:noProof/>
          <w:snapToGrid/>
          <w:sz w:val="24"/>
          <w:szCs w:val="28"/>
        </w:rPr>
      </w:pPr>
    </w:p>
    <w:p w14:paraId="08C9B5B2" w14:textId="77777777" w:rsidR="00984694" w:rsidRPr="00D022DD" w:rsidRDefault="00984694" w:rsidP="000550A9">
      <w:pPr>
        <w:pStyle w:val="MDPI31text"/>
        <w:ind w:left="0" w:firstLine="0"/>
        <w:rPr>
          <w:rFonts w:ascii="Times New Roman" w:hAnsi="Times New Roman"/>
          <w:noProof/>
          <w:snapToGrid/>
          <w:sz w:val="24"/>
          <w:szCs w:val="28"/>
        </w:rPr>
      </w:pPr>
    </w:p>
    <w:p w14:paraId="7384229E" w14:textId="77777777" w:rsidR="00984694" w:rsidRPr="00D022DD" w:rsidRDefault="00984694" w:rsidP="000550A9">
      <w:pPr>
        <w:pStyle w:val="MDPI31text"/>
        <w:ind w:left="0" w:firstLine="0"/>
        <w:rPr>
          <w:rFonts w:ascii="Times New Roman" w:hAnsi="Times New Roman"/>
          <w:noProof/>
          <w:snapToGrid/>
          <w:sz w:val="24"/>
          <w:szCs w:val="28"/>
        </w:rPr>
      </w:pPr>
    </w:p>
    <w:p w14:paraId="03E9D422" w14:textId="77777777" w:rsidR="00984694" w:rsidRPr="00D022DD" w:rsidRDefault="00984694" w:rsidP="000550A9">
      <w:pPr>
        <w:pStyle w:val="MDPI31text"/>
        <w:ind w:left="0" w:firstLine="0"/>
        <w:rPr>
          <w:rFonts w:ascii="Times New Roman" w:hAnsi="Times New Roman"/>
          <w:noProof/>
          <w:snapToGrid/>
          <w:sz w:val="24"/>
          <w:szCs w:val="28"/>
        </w:rPr>
      </w:pPr>
    </w:p>
    <w:p w14:paraId="729943F0" w14:textId="7F78D197" w:rsidR="00984694" w:rsidRPr="00D022DD" w:rsidRDefault="001C49C9" w:rsidP="000550A9">
      <w:pPr>
        <w:pStyle w:val="MDPI31text"/>
        <w:ind w:left="0" w:firstLine="0"/>
        <w:rPr>
          <w:rFonts w:ascii="Times New Roman" w:hAnsi="Times New Roman"/>
          <w:sz w:val="24"/>
          <w:szCs w:val="28"/>
        </w:rPr>
      </w:pPr>
      <w:r w:rsidRPr="00D022DD">
        <w:rPr>
          <w:rFonts w:ascii="Times New Roman" w:hAnsi="Times New Roman"/>
          <w:noProof/>
          <w:snapToGrid/>
          <w:sz w:val="24"/>
          <w:szCs w:val="28"/>
        </w:rPr>
        <w:drawing>
          <wp:inline distT="0" distB="0" distL="0" distR="0" wp14:anchorId="590D9D91" wp14:editId="7C0B67CB">
            <wp:extent cx="5400040" cy="3507740"/>
            <wp:effectExtent l="0" t="0" r="0" b="0"/>
            <wp:docPr id="12487097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09720" name="Imagen 1248709720"/>
                    <pic:cNvPicPr/>
                  </pic:nvPicPr>
                  <pic:blipFill>
                    <a:blip r:embed="rId36"/>
                    <a:stretch>
                      <a:fillRect/>
                    </a:stretch>
                  </pic:blipFill>
                  <pic:spPr>
                    <a:xfrm>
                      <a:off x="0" y="0"/>
                      <a:ext cx="5400040" cy="3507740"/>
                    </a:xfrm>
                    <a:prstGeom prst="rect">
                      <a:avLst/>
                    </a:prstGeom>
                  </pic:spPr>
                </pic:pic>
              </a:graphicData>
            </a:graphic>
          </wp:inline>
        </w:drawing>
      </w:r>
    </w:p>
    <w:p w14:paraId="14EC1932" w14:textId="77777777" w:rsidR="001C49C9" w:rsidRPr="00D022DD" w:rsidRDefault="001C49C9" w:rsidP="000550A9">
      <w:pPr>
        <w:pStyle w:val="MDPI31text"/>
        <w:ind w:left="0" w:firstLine="0"/>
        <w:rPr>
          <w:rFonts w:ascii="Times New Roman" w:hAnsi="Times New Roman"/>
          <w:sz w:val="24"/>
          <w:szCs w:val="28"/>
        </w:rPr>
      </w:pPr>
    </w:p>
    <w:p w14:paraId="2F8CF712" w14:textId="5E3D9FFB" w:rsidR="009E7F83" w:rsidRPr="00D022DD" w:rsidRDefault="009E7F83" w:rsidP="009E7F83">
      <w:pPr>
        <w:pStyle w:val="MDPI62BackMatter"/>
        <w:ind w:left="360"/>
        <w:jc w:val="center"/>
        <w:rPr>
          <w:bCs/>
          <w:sz w:val="22"/>
          <w:szCs w:val="24"/>
        </w:rPr>
      </w:pPr>
      <w:r w:rsidRPr="00D022DD">
        <w:rPr>
          <w:b/>
          <w:sz w:val="22"/>
          <w:szCs w:val="24"/>
        </w:rPr>
        <w:t>Figure S1</w:t>
      </w:r>
      <w:r w:rsidR="00D352D7">
        <w:rPr>
          <w:b/>
          <w:sz w:val="22"/>
          <w:szCs w:val="24"/>
        </w:rPr>
        <w:t>7</w:t>
      </w:r>
      <w:r w:rsidRPr="00D022DD">
        <w:rPr>
          <w:b/>
          <w:sz w:val="22"/>
          <w:szCs w:val="24"/>
        </w:rPr>
        <w:t>.</w:t>
      </w:r>
      <w:r w:rsidRPr="00D022DD">
        <w:rPr>
          <w:bCs/>
          <w:sz w:val="22"/>
          <w:szCs w:val="24"/>
        </w:rPr>
        <w:t xml:space="preserve"> Graphical representation of the prevalence of information sources in Research articles/ Scientific journals about monkeypox virus among study participants.</w:t>
      </w:r>
    </w:p>
    <w:p w14:paraId="37F367EF" w14:textId="77777777" w:rsidR="009C1B1F" w:rsidRPr="00D022DD" w:rsidRDefault="009C1B1F" w:rsidP="000550A9">
      <w:pPr>
        <w:pStyle w:val="MDPI31text"/>
        <w:ind w:left="0" w:firstLine="0"/>
        <w:rPr>
          <w:rFonts w:ascii="Times New Roman" w:hAnsi="Times New Roman"/>
          <w:sz w:val="24"/>
          <w:szCs w:val="28"/>
        </w:rPr>
      </w:pPr>
    </w:p>
    <w:p w14:paraId="2FF4A3E5" w14:textId="79F17DBA" w:rsidR="009C1B1F" w:rsidRPr="00D022DD" w:rsidRDefault="00E737F9" w:rsidP="00E737F9">
      <w:pPr>
        <w:pStyle w:val="MDPI31text"/>
        <w:tabs>
          <w:tab w:val="left" w:pos="5231"/>
        </w:tabs>
        <w:ind w:left="0" w:firstLine="0"/>
        <w:rPr>
          <w:rFonts w:ascii="Times New Roman" w:hAnsi="Times New Roman"/>
          <w:sz w:val="24"/>
          <w:szCs w:val="28"/>
        </w:rPr>
      </w:pPr>
      <w:r w:rsidRPr="00D022DD">
        <w:rPr>
          <w:rFonts w:ascii="Times New Roman" w:hAnsi="Times New Roman"/>
          <w:sz w:val="24"/>
          <w:szCs w:val="28"/>
        </w:rPr>
        <w:tab/>
      </w:r>
    </w:p>
    <w:p w14:paraId="5B68254D" w14:textId="77777777" w:rsidR="009C1B1F" w:rsidRPr="00D022DD" w:rsidRDefault="009C1B1F" w:rsidP="000550A9">
      <w:pPr>
        <w:pStyle w:val="MDPI31text"/>
        <w:ind w:left="0" w:firstLine="0"/>
        <w:rPr>
          <w:rFonts w:ascii="Times New Roman" w:hAnsi="Times New Roman"/>
          <w:sz w:val="24"/>
          <w:szCs w:val="28"/>
        </w:rPr>
      </w:pPr>
    </w:p>
    <w:p w14:paraId="581D1B36" w14:textId="77777777" w:rsidR="009C1B1F" w:rsidRPr="00D022DD" w:rsidRDefault="009C1B1F" w:rsidP="000550A9">
      <w:pPr>
        <w:pStyle w:val="MDPI31text"/>
        <w:ind w:left="0" w:firstLine="0"/>
        <w:rPr>
          <w:rFonts w:ascii="Times New Roman" w:hAnsi="Times New Roman"/>
          <w:sz w:val="24"/>
          <w:szCs w:val="28"/>
        </w:rPr>
      </w:pPr>
    </w:p>
    <w:p w14:paraId="53448003" w14:textId="77777777" w:rsidR="00994880" w:rsidRPr="00D022DD" w:rsidRDefault="00994880" w:rsidP="00994880">
      <w:pPr>
        <w:pStyle w:val="MDPI21heading1"/>
        <w:spacing w:line="240" w:lineRule="auto"/>
        <w:ind w:left="0"/>
        <w:jc w:val="both"/>
        <w:rPr>
          <w:rFonts w:ascii="Times New Roman" w:hAnsi="Times New Roman"/>
          <w:sz w:val="24"/>
          <w:szCs w:val="24"/>
        </w:rPr>
      </w:pPr>
      <w:r w:rsidRPr="00D022DD">
        <w:rPr>
          <w:rFonts w:ascii="Times New Roman" w:hAnsi="Times New Roman"/>
          <w:sz w:val="24"/>
          <w:szCs w:val="24"/>
        </w:rPr>
        <w:t>References</w:t>
      </w:r>
    </w:p>
    <w:p w14:paraId="1426823D" w14:textId="77777777" w:rsidR="00205CD7" w:rsidRPr="00D022DD" w:rsidRDefault="00994880" w:rsidP="00205CD7">
      <w:pPr>
        <w:pStyle w:val="Bibliografa"/>
      </w:pPr>
      <w:r w:rsidRPr="00D022DD">
        <w:fldChar w:fldCharType="begin"/>
      </w:r>
      <w:r w:rsidR="00205CD7" w:rsidRPr="00D022DD">
        <w:instrText xml:space="preserve"> ADDIN ZOTERO_BIBL {"uncited":[],"omitted":[],"custom":[]} CSL_BIBLIOGRAPHY </w:instrText>
      </w:r>
      <w:r w:rsidRPr="00D022DD">
        <w:fldChar w:fldCharType="separate"/>
      </w:r>
      <w:r w:rsidR="00205CD7" w:rsidRPr="00D022DD">
        <w:t>1.</w:t>
      </w:r>
      <w:r w:rsidR="00205CD7" w:rsidRPr="00D022DD">
        <w:tab/>
        <w:t xml:space="preserve">Abd ElHafeez S, Gebreal A, Khalil MA, Youssef N, Sallam M, Elshabrawy A, et al. Assessing disparities in medical students’ knowledge and attitude about monkeypox: a cross-sectional study of 27 countries across three continents. Front Public Health. 2023;11:1192542. </w:t>
      </w:r>
    </w:p>
    <w:p w14:paraId="245F27F7" w14:textId="77777777" w:rsidR="00205CD7" w:rsidRPr="00D022DD" w:rsidRDefault="00205CD7" w:rsidP="00205CD7">
      <w:pPr>
        <w:pStyle w:val="Bibliografa"/>
      </w:pPr>
      <w:r w:rsidRPr="00D022DD">
        <w:t>2.</w:t>
      </w:r>
      <w:r w:rsidRPr="00D022DD">
        <w:tab/>
        <w:t xml:space="preserve">Berdida DJE. Population-based survey of human monkeypox disease knowledge in the Philippines: An online cross-sectional study. J Adv Nurs. julio de 2023;79(7):2684-94. </w:t>
      </w:r>
    </w:p>
    <w:p w14:paraId="718D0558" w14:textId="77777777" w:rsidR="00205CD7" w:rsidRPr="00D022DD" w:rsidRDefault="00205CD7" w:rsidP="00205CD7">
      <w:pPr>
        <w:pStyle w:val="Bibliografa"/>
        <w:rPr>
          <w:lang w:val="es-PE"/>
        </w:rPr>
      </w:pPr>
      <w:r w:rsidRPr="00D022DD">
        <w:t>3.</w:t>
      </w:r>
      <w:r w:rsidRPr="00D022DD">
        <w:tab/>
        <w:t xml:space="preserve">Awoyomi OJ, Njoga EO, Jaja IF, Oyeleye FA, Awoyomi PO, Ibrahim MA, et al. Mpox in Nigeria: Perceptions and knowledge of the disease among critical stakeholders-Global public health consequences. </w:t>
      </w:r>
      <w:r w:rsidRPr="00D022DD">
        <w:rPr>
          <w:lang w:val="es-PE"/>
        </w:rPr>
        <w:t xml:space="preserve">PloS One. 2023;18(3):e0283571. </w:t>
      </w:r>
    </w:p>
    <w:p w14:paraId="4A130046" w14:textId="77777777" w:rsidR="00205CD7" w:rsidRPr="00D022DD" w:rsidRDefault="00205CD7" w:rsidP="00205CD7">
      <w:pPr>
        <w:pStyle w:val="Bibliografa"/>
      </w:pPr>
      <w:r w:rsidRPr="00D022DD">
        <w:rPr>
          <w:lang w:val="es-PE"/>
        </w:rPr>
        <w:t>4.</w:t>
      </w:r>
      <w:r w:rsidRPr="00D022DD">
        <w:rPr>
          <w:lang w:val="es-PE"/>
        </w:rPr>
        <w:tab/>
        <w:t xml:space="preserve">Gonzales-Zamora JA, Soriano-Moreno DR, Soriano-Moreno AN, Ponce-Rosas L, Sangster-Carrasco L, De-Los-Rios-Pinto A, et al. </w:t>
      </w:r>
      <w:r w:rsidRPr="00D022DD">
        <w:t xml:space="preserve">Level of Knowledge Regarding Mpox among Peruvian Physicians during the 2022 Outbreak: A Cross-Sectional Study. Vaccines. 12 de enero de 2023;11(1):167. </w:t>
      </w:r>
    </w:p>
    <w:p w14:paraId="55FE4848" w14:textId="77777777" w:rsidR="00205CD7" w:rsidRPr="00D022DD" w:rsidRDefault="00205CD7" w:rsidP="00205CD7">
      <w:pPr>
        <w:pStyle w:val="Bibliografa"/>
        <w:rPr>
          <w:lang w:val="es-PE"/>
        </w:rPr>
      </w:pPr>
      <w:r w:rsidRPr="00D022DD">
        <w:t>5.</w:t>
      </w:r>
      <w:r w:rsidRPr="00D022DD">
        <w:tab/>
        <w:t xml:space="preserve">Abu-Farha RK, Alzoubi KH, Mukattash TL, Alkhawaldeh R, Barakat M, Thiab S. Public Knowledge and Perceptions about the Emerging Human Mpox in Jordan: A Cross-Sectional Study. </w:t>
      </w:r>
      <w:r w:rsidRPr="00D022DD">
        <w:rPr>
          <w:lang w:val="es-PE"/>
        </w:rPr>
        <w:t xml:space="preserve">Trop Med Infect Dis. 5 de enero de 2023;8(1):41. </w:t>
      </w:r>
    </w:p>
    <w:p w14:paraId="1727DD9B" w14:textId="77777777" w:rsidR="00205CD7" w:rsidRPr="00D022DD" w:rsidRDefault="00205CD7" w:rsidP="00205CD7">
      <w:pPr>
        <w:pStyle w:val="Bibliografa"/>
        <w:rPr>
          <w:lang w:val="es-PE"/>
        </w:rPr>
      </w:pPr>
      <w:r w:rsidRPr="00D022DD">
        <w:rPr>
          <w:lang w:val="es-PE"/>
        </w:rPr>
        <w:lastRenderedPageBreak/>
        <w:t>6.</w:t>
      </w:r>
      <w:r w:rsidRPr="00D022DD">
        <w:rPr>
          <w:lang w:val="es-PE"/>
        </w:rPr>
        <w:tab/>
        <w:t xml:space="preserve">Araoz-Salinas JM, Ortiz-Saavedra B, Ponce-Rosas L, Soriano-Moreno DR, Soriano-Moreno AN, Alave J, et al. </w:t>
      </w:r>
      <w:r w:rsidRPr="00D022DD">
        <w:t xml:space="preserve">Perceptions and Intention to Get Vaccinated against Mpox among the LGBTIQ+ Community during the 2022 Outbreak: A Cross-Sectional Study in Peru. </w:t>
      </w:r>
      <w:r w:rsidRPr="00D022DD">
        <w:rPr>
          <w:lang w:val="es-PE"/>
        </w:rPr>
        <w:t xml:space="preserve">Vaccines. 21 de mayo de 2023;11(5):1008. </w:t>
      </w:r>
    </w:p>
    <w:p w14:paraId="6F6D48EA" w14:textId="77777777" w:rsidR="00205CD7" w:rsidRPr="00D022DD" w:rsidRDefault="00205CD7" w:rsidP="00205CD7">
      <w:pPr>
        <w:pStyle w:val="Bibliografa"/>
        <w:rPr>
          <w:lang w:val="es-PE"/>
        </w:rPr>
      </w:pPr>
      <w:r w:rsidRPr="00D022DD">
        <w:rPr>
          <w:lang w:val="es-PE"/>
        </w:rPr>
        <w:t>7.</w:t>
      </w:r>
      <w:r w:rsidRPr="00D022DD">
        <w:rPr>
          <w:lang w:val="es-PE"/>
        </w:rPr>
        <w:tab/>
        <w:t xml:space="preserve">Sobaikhi NH, Alshahrani NZ, Hazazi RS, Al-Musawa HI, Jarram RE, Alabah AE, et al. </w:t>
      </w:r>
      <w:r w:rsidRPr="00D022DD">
        <w:t xml:space="preserve">Health Workers’ Knowledge and Attitude towards Monkeypox in Southwestern Saudi Arabia: A Cross-Sectional Study. </w:t>
      </w:r>
      <w:r w:rsidRPr="00D022DD">
        <w:rPr>
          <w:lang w:val="es-PE"/>
        </w:rPr>
        <w:t xml:space="preserve">Diseases. junio de 2023;11(2):81. </w:t>
      </w:r>
    </w:p>
    <w:p w14:paraId="4E932F65" w14:textId="77777777" w:rsidR="00205CD7" w:rsidRPr="00D022DD" w:rsidRDefault="00205CD7" w:rsidP="00205CD7">
      <w:pPr>
        <w:pStyle w:val="Bibliografa"/>
      </w:pPr>
      <w:r w:rsidRPr="00D022DD">
        <w:rPr>
          <w:lang w:val="es-PE"/>
        </w:rPr>
        <w:t>8.</w:t>
      </w:r>
      <w:r w:rsidRPr="00D022DD">
        <w:rPr>
          <w:lang w:val="es-PE"/>
        </w:rPr>
        <w:tab/>
        <w:t xml:space="preserve">Alhasan K, Sallam M, Aljamaan F, Ali T, Al-Jedai A, Nazmi A, et al. </w:t>
      </w:r>
      <w:r w:rsidRPr="00D022DD">
        <w:t xml:space="preserve">Mpox Perceptions and Vaccine Advocacy among the Healthcare Workers of Solid Organ Transplant Centers: A Multicenter, Cross-Sectional Survey in Saudi Arabia. Healthc Basel Switz. 17 de febrero de 2023;11(4):603. </w:t>
      </w:r>
    </w:p>
    <w:p w14:paraId="7F8E0F3A" w14:textId="77777777" w:rsidR="00205CD7" w:rsidRPr="00D022DD" w:rsidRDefault="00205CD7" w:rsidP="00205CD7">
      <w:pPr>
        <w:pStyle w:val="Bibliografa"/>
      </w:pPr>
      <w:r w:rsidRPr="00D022DD">
        <w:t>9.</w:t>
      </w:r>
      <w:r w:rsidRPr="00D022DD">
        <w:tab/>
        <w:t xml:space="preserve">Torres TS, Silva MST, Coutinho C, Hoagland B, Jalil EM, Cardoso SW, et al. Evaluation of Mpox Knowledge, Stigma, and Willingness to Vaccinate for Mpox: Cross-Sectional Web-Based Survey Among Sexual and Gender Minorities. JMIR Public Health Surveill. 17 de julio de 2023;9:e46489. </w:t>
      </w:r>
    </w:p>
    <w:p w14:paraId="07EB2699" w14:textId="77777777" w:rsidR="00205CD7" w:rsidRPr="00D022DD" w:rsidRDefault="00205CD7" w:rsidP="00205CD7">
      <w:pPr>
        <w:pStyle w:val="Bibliografa"/>
        <w:rPr>
          <w:lang w:val="es-PE"/>
        </w:rPr>
      </w:pPr>
      <w:r w:rsidRPr="00D022DD">
        <w:t>10.</w:t>
      </w:r>
      <w:r w:rsidRPr="00D022DD">
        <w:tab/>
        <w:t xml:space="preserve">Shafei AM, Al-Mosaa KM, Alshahrani NZ, ALAmmari MHM, Almuhlafi MOO, Draim NHAA, et al. Resident Physicians’ Knowledge and Preparedness Regarding Human Monkeypox: A Cross-Sectional Study from Saudi Arabia. </w:t>
      </w:r>
      <w:r w:rsidRPr="00D022DD">
        <w:rPr>
          <w:lang w:val="es-PE"/>
        </w:rPr>
        <w:t xml:space="preserve">Pathog Basel Switz. 26 de junio de 2023;12(7):872. </w:t>
      </w:r>
    </w:p>
    <w:p w14:paraId="63347F3E" w14:textId="77777777" w:rsidR="00205CD7" w:rsidRPr="00D022DD" w:rsidRDefault="00205CD7" w:rsidP="00205CD7">
      <w:pPr>
        <w:pStyle w:val="Bibliografa"/>
      </w:pPr>
      <w:r w:rsidRPr="00D022DD">
        <w:rPr>
          <w:lang w:val="es-PE"/>
        </w:rPr>
        <w:t>11.</w:t>
      </w:r>
      <w:r w:rsidRPr="00D022DD">
        <w:rPr>
          <w:lang w:val="es-PE"/>
        </w:rPr>
        <w:tab/>
        <w:t xml:space="preserve">Al-Mustapha AI, Ogundijo OA, Sikiru NA, Kolawole B, Oyewo M, El-Nadi H, et al. </w:t>
      </w:r>
      <w:r w:rsidRPr="00D022DD">
        <w:t xml:space="preserve">A cross-sectional survey of public knowledge of the monkeypox disease in Nigeria. BMC Public Health. 29 de marzo de 2023;23(1):591. </w:t>
      </w:r>
    </w:p>
    <w:p w14:paraId="7002482F" w14:textId="77777777" w:rsidR="00205CD7" w:rsidRPr="00D022DD" w:rsidRDefault="00205CD7" w:rsidP="00205CD7">
      <w:pPr>
        <w:pStyle w:val="Bibliografa"/>
        <w:rPr>
          <w:lang w:val="es-PE"/>
        </w:rPr>
      </w:pPr>
      <w:r w:rsidRPr="00D022DD">
        <w:t>12.</w:t>
      </w:r>
      <w:r w:rsidRPr="00D022DD">
        <w:tab/>
        <w:t xml:space="preserve">Ibrahim AM, Zaghamir DEF. Knowledge and attitudes towards mpox and effect of intervention among College of Applied Medical Sciences students. </w:t>
      </w:r>
      <w:r w:rsidRPr="00D022DD">
        <w:rPr>
          <w:lang w:val="es-PE"/>
        </w:rPr>
        <w:t xml:space="preserve">Libyan J Med. diciembre de 2023;18(1):2222448. </w:t>
      </w:r>
    </w:p>
    <w:p w14:paraId="22982B09" w14:textId="77777777" w:rsidR="00205CD7" w:rsidRPr="00D022DD" w:rsidRDefault="00205CD7" w:rsidP="00205CD7">
      <w:pPr>
        <w:pStyle w:val="Bibliografa"/>
        <w:rPr>
          <w:lang w:val="es-PE"/>
        </w:rPr>
      </w:pPr>
      <w:r w:rsidRPr="00D022DD">
        <w:rPr>
          <w:lang w:val="es-PE"/>
        </w:rPr>
        <w:t>13.</w:t>
      </w:r>
      <w:r w:rsidRPr="00D022DD">
        <w:rPr>
          <w:lang w:val="es-PE"/>
        </w:rPr>
        <w:tab/>
        <w:t xml:space="preserve">Fu L, Sun Y, Li Y, Wang B, Yang L, Tian T, et al. </w:t>
      </w:r>
      <w:r w:rsidRPr="00D022DD">
        <w:t xml:space="preserve">Perception of and Vaccine Readiness towards Mpox among Men Who Have Sex with Men Living with HIV in China: A Cross-Sectional Study. </w:t>
      </w:r>
      <w:r w:rsidRPr="00D022DD">
        <w:rPr>
          <w:lang w:val="es-PE"/>
        </w:rPr>
        <w:t xml:space="preserve">Vaccines. 23 de febrero de 2023;11(3):528. </w:t>
      </w:r>
    </w:p>
    <w:p w14:paraId="42B7CAC4" w14:textId="77777777" w:rsidR="00205CD7" w:rsidRPr="00D022DD" w:rsidRDefault="00205CD7" w:rsidP="00205CD7">
      <w:pPr>
        <w:pStyle w:val="Bibliografa"/>
      </w:pPr>
      <w:r w:rsidRPr="00D022DD">
        <w:rPr>
          <w:lang w:val="es-PE"/>
        </w:rPr>
        <w:t>14.</w:t>
      </w:r>
      <w:r w:rsidRPr="00D022DD">
        <w:rPr>
          <w:lang w:val="es-PE"/>
        </w:rPr>
        <w:tab/>
        <w:t xml:space="preserve">Jamaleddine Y, El Ezz AA, Mahmoud M, Ismail O, Saifan A, Mayta Z, et al. </w:t>
      </w:r>
      <w:r w:rsidRPr="00D022DD">
        <w:t xml:space="preserve">Knowledge and attitude towards monkeypox among the Lebanese population and their attitude towards vaccination. J Prev Med Hyg. marzo de 2023;64(1):E13-26. </w:t>
      </w:r>
    </w:p>
    <w:p w14:paraId="1FEA9A85" w14:textId="77777777" w:rsidR="00205CD7" w:rsidRPr="00D022DD" w:rsidRDefault="00205CD7" w:rsidP="00205CD7">
      <w:pPr>
        <w:pStyle w:val="Bibliografa"/>
      </w:pPr>
      <w:r w:rsidRPr="00D022DD">
        <w:t>15.</w:t>
      </w:r>
      <w:r w:rsidRPr="00D022DD">
        <w:tab/>
        <w:t xml:space="preserve">Ahmed SK, Abdulqadir SO, Omar RM, Abdullah AJ, Rahman HA, Hussein SH, et al. Knowledge, Attitude and Worry in the Kurdistan Region of Iraq during the Mpox (Monkeypox) Outbreak in 2022: An Online Cross-Sectional Study. Vaccines. 8 de marzo de 2023;11(3):610. </w:t>
      </w:r>
    </w:p>
    <w:p w14:paraId="0636A794" w14:textId="77777777" w:rsidR="00205CD7" w:rsidRPr="00D022DD" w:rsidRDefault="00205CD7" w:rsidP="00205CD7">
      <w:pPr>
        <w:pStyle w:val="Bibliografa"/>
      </w:pPr>
      <w:r w:rsidRPr="00D022DD">
        <w:t>16.</w:t>
      </w:r>
      <w:r w:rsidRPr="00D022DD">
        <w:tab/>
        <w:t xml:space="preserve">Swed S, Bohsas H, Patwary MM, Alibrahim H, Rakab A, Nashwan AJ, et al. Knowledge of mpox and its determinants among the healthcare personnel in Arabic regions: A multi-country cross-sectional study. New Microbes New Infect. 1 de septiembre de 2023;54:101146. </w:t>
      </w:r>
    </w:p>
    <w:p w14:paraId="79C78246" w14:textId="77777777" w:rsidR="00205CD7" w:rsidRPr="00D022DD" w:rsidRDefault="00205CD7" w:rsidP="00205CD7">
      <w:pPr>
        <w:pStyle w:val="Bibliografa"/>
      </w:pPr>
      <w:r w:rsidRPr="00D022DD">
        <w:t>17.</w:t>
      </w:r>
      <w:r w:rsidRPr="00D022DD">
        <w:tab/>
        <w:t xml:space="preserve">Elkhwesky Z, Derhab N, Elkhwesky FFY, Abuelhassan AE, Hassan H. Hotel employees’ knowledge of monkeypox’s source, symptoms, transmission, prevention, and treatment in Egypt. Travel Med Infect Dis. 2023;53:102574. </w:t>
      </w:r>
    </w:p>
    <w:p w14:paraId="75DDA965" w14:textId="77777777" w:rsidR="00205CD7" w:rsidRPr="00D022DD" w:rsidRDefault="00205CD7" w:rsidP="00205CD7">
      <w:pPr>
        <w:pStyle w:val="Bibliografa"/>
      </w:pPr>
      <w:r w:rsidRPr="00D022DD">
        <w:lastRenderedPageBreak/>
        <w:t>18.</w:t>
      </w:r>
      <w:r w:rsidRPr="00D022DD">
        <w:tab/>
        <w:t xml:space="preserve">Youssef D, Abboud E, Kawtharani M, Zheim Z, Abou Arrage N, Youssef J. When a neglected tropical zoonotic disease emerges in non-endemic countries: need to proactively fill the unveiled knowledge gaps towards human monkeypox among the Lebanese population. J Pharm Policy Pract. 7 de marzo de 2023;16(1):39. </w:t>
      </w:r>
    </w:p>
    <w:p w14:paraId="53B86C2B" w14:textId="77777777" w:rsidR="00205CD7" w:rsidRPr="00D022DD" w:rsidRDefault="00205CD7" w:rsidP="00205CD7">
      <w:pPr>
        <w:pStyle w:val="Bibliografa"/>
        <w:rPr>
          <w:lang w:val="es-PE"/>
        </w:rPr>
      </w:pPr>
      <w:r w:rsidRPr="00D022DD">
        <w:t>19.</w:t>
      </w:r>
      <w:r w:rsidRPr="00D022DD">
        <w:tab/>
        <w:t xml:space="preserve">Sahin TK, Erul E, Aksun MS, Sonmezer MC, Unal S, Akova M. Knowledge and Attitudes of Turkish Physicians towards Human Monkeypox Disease and Related Vaccination: A Cross-Sectional Study. </w:t>
      </w:r>
      <w:r w:rsidRPr="00D022DD">
        <w:rPr>
          <w:lang w:val="es-PE"/>
        </w:rPr>
        <w:t xml:space="preserve">Vaccines. 21 de diciembre de 2022;11(1):19. </w:t>
      </w:r>
    </w:p>
    <w:p w14:paraId="651A9DC9" w14:textId="77777777" w:rsidR="00205CD7" w:rsidRPr="00D022DD" w:rsidRDefault="00205CD7" w:rsidP="00205CD7">
      <w:pPr>
        <w:pStyle w:val="Bibliografa"/>
      </w:pPr>
      <w:r w:rsidRPr="00D022DD">
        <w:rPr>
          <w:lang w:val="es-PE"/>
        </w:rPr>
        <w:t>20.</w:t>
      </w:r>
      <w:r w:rsidRPr="00D022DD">
        <w:rPr>
          <w:lang w:val="es-PE"/>
        </w:rPr>
        <w:tab/>
        <w:t xml:space="preserve">Alshahrani NZ, Mitra S, Alkuwaiti AA, Alhumam MN, Altmimi SMB, Alamri MHM, et al. </w:t>
      </w:r>
      <w:r w:rsidRPr="00D022DD">
        <w:t xml:space="preserve">Medical Students’ Perception Regarding the Re-emerging Monkeypox Virus: An Institution-Based Cross-Sectional Study From Saudi Arabia. Cureus. agosto de 2022;14(8):e28060. </w:t>
      </w:r>
    </w:p>
    <w:p w14:paraId="49242500" w14:textId="77777777" w:rsidR="00205CD7" w:rsidRPr="00D022DD" w:rsidRDefault="00205CD7" w:rsidP="00205CD7">
      <w:pPr>
        <w:pStyle w:val="Bibliografa"/>
        <w:rPr>
          <w:lang w:val="es-PE"/>
        </w:rPr>
      </w:pPr>
      <w:r w:rsidRPr="00D022DD">
        <w:t>21.</w:t>
      </w:r>
      <w:r w:rsidRPr="00D022DD">
        <w:tab/>
        <w:t xml:space="preserve">Alshahrani NZ, Alzahrani F, Alarifi AM, Algethami MR, Alhumam MN, Ayied HAM, et al. Assessment of Knowledge of Monkeypox Viral Infection among the General Population in Saudi Arabia. </w:t>
      </w:r>
      <w:r w:rsidRPr="00D022DD">
        <w:rPr>
          <w:lang w:val="es-PE"/>
        </w:rPr>
        <w:t xml:space="preserve">Pathog Basel Switz. 11 de agosto de 2022;11(8):904. </w:t>
      </w:r>
    </w:p>
    <w:p w14:paraId="0AAC49F2" w14:textId="77777777" w:rsidR="00205CD7" w:rsidRPr="00D022DD" w:rsidRDefault="00205CD7" w:rsidP="00205CD7">
      <w:pPr>
        <w:pStyle w:val="Bibliografa"/>
        <w:rPr>
          <w:lang w:val="es-PE"/>
        </w:rPr>
      </w:pPr>
      <w:r w:rsidRPr="00D022DD">
        <w:rPr>
          <w:lang w:val="es-PE"/>
        </w:rPr>
        <w:t>22.</w:t>
      </w:r>
      <w:r w:rsidRPr="00D022DD">
        <w:rPr>
          <w:lang w:val="es-PE"/>
        </w:rPr>
        <w:tab/>
        <w:t xml:space="preserve">Riad A, Drobov A, Rozmarinová J, Drapáčová P, Klugarová J, Dušek L, et al. </w:t>
      </w:r>
      <w:r w:rsidRPr="00D022DD">
        <w:t xml:space="preserve">Monkeypox Knowledge and Vaccine Hesitancy of Czech Healthcare Workers: A Health Belief Model (HBM)-Based Study. </w:t>
      </w:r>
      <w:r w:rsidRPr="00D022DD">
        <w:rPr>
          <w:lang w:val="es-PE"/>
        </w:rPr>
        <w:t xml:space="preserve">Vaccines. 26 de noviembre de 2022;10(12):2022. </w:t>
      </w:r>
    </w:p>
    <w:p w14:paraId="0E9D6D55" w14:textId="77777777" w:rsidR="00205CD7" w:rsidRPr="00D022DD" w:rsidRDefault="00205CD7" w:rsidP="00205CD7">
      <w:pPr>
        <w:pStyle w:val="Bibliografa"/>
      </w:pPr>
      <w:r w:rsidRPr="00D022DD">
        <w:rPr>
          <w:lang w:val="es-PE"/>
        </w:rPr>
        <w:t>23.</w:t>
      </w:r>
      <w:r w:rsidRPr="00D022DD">
        <w:rPr>
          <w:lang w:val="es-PE"/>
        </w:rPr>
        <w:tab/>
        <w:t xml:space="preserve">Kaur A, Goel R, Singh R, Bhardwaj A, Kumari R, Gambhir RS. </w:t>
      </w:r>
      <w:r w:rsidRPr="00D022DD">
        <w:t xml:space="preserve">Identifying monkeypox: do dental professionals have adequate knowledge and awareness? Rocz Panstw Zakl Hig. 2022;73(3):365-71. </w:t>
      </w:r>
    </w:p>
    <w:p w14:paraId="237F043D" w14:textId="2AF2D0DD" w:rsidR="00994880" w:rsidRPr="00994880" w:rsidRDefault="00205CD7" w:rsidP="00EB38E1">
      <w:pPr>
        <w:pStyle w:val="Bibliografa"/>
        <w:rPr>
          <w:rFonts w:ascii="Times New Roman" w:hAnsi="Times New Roman"/>
          <w:sz w:val="24"/>
          <w:szCs w:val="24"/>
        </w:rPr>
      </w:pPr>
      <w:r w:rsidRPr="00D022DD">
        <w:t>24.</w:t>
      </w:r>
      <w:r w:rsidRPr="00D022DD">
        <w:tab/>
        <w:t xml:space="preserve">Harapan H, Setiawan AM, Yufika A, Anwar S, Wahyuni S, Asrizal FW, et al. Knowledge of human monkeypox viral infection among general practitioners: a cross-sectional study in Indonesia. Pathog Glob Health. marzo de 2020;114(2):68-75. </w:t>
      </w:r>
      <w:r w:rsidR="00994880" w:rsidRPr="00D022DD">
        <w:rPr>
          <w:rFonts w:ascii="Times New Roman" w:hAnsi="Times New Roman"/>
          <w:sz w:val="24"/>
          <w:szCs w:val="24"/>
        </w:rPr>
        <w:fldChar w:fldCharType="end"/>
      </w:r>
    </w:p>
    <w:sectPr w:rsidR="00994880" w:rsidRPr="00994880" w:rsidSect="00613085">
      <w:pgSz w:w="11906" w:h="16838" w:code="9"/>
      <w:pgMar w:top="1417" w:right="1701" w:bottom="1418" w:left="1701" w:header="1020" w:footer="340" w:gutter="0"/>
      <w:pgNumType w:start="1"/>
      <w:cols w:space="425"/>
      <w:titlePg/>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CAA0A" w14:textId="77777777" w:rsidR="00513097" w:rsidRDefault="00513097">
      <w:pPr>
        <w:spacing w:line="240" w:lineRule="auto"/>
      </w:pPr>
      <w:r>
        <w:separator/>
      </w:r>
    </w:p>
  </w:endnote>
  <w:endnote w:type="continuationSeparator" w:id="0">
    <w:p w14:paraId="1541E2D1" w14:textId="77777777" w:rsidR="00513097" w:rsidRDefault="005130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6F20" w14:textId="77777777" w:rsidR="00E90986" w:rsidRPr="00590BF9" w:rsidRDefault="00E90986" w:rsidP="00E90986">
    <w:pPr>
      <w:pStyle w:val="Piedep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161" w14:textId="59D6F50B" w:rsidR="00E90986" w:rsidRPr="008B308E" w:rsidRDefault="00E90986" w:rsidP="00B200C8">
    <w:pPr>
      <w:pStyle w:val="MDPIfooterfirstpage"/>
      <w:tabs>
        <w:tab w:val="clear" w:pos="8845"/>
        <w:tab w:val="right" w:pos="10466"/>
      </w:tabs>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F4D7F" w14:textId="77777777" w:rsidR="00513097" w:rsidRDefault="00513097">
      <w:pPr>
        <w:spacing w:line="240" w:lineRule="auto"/>
      </w:pPr>
      <w:r>
        <w:separator/>
      </w:r>
    </w:p>
  </w:footnote>
  <w:footnote w:type="continuationSeparator" w:id="0">
    <w:p w14:paraId="601D170E" w14:textId="77777777" w:rsidR="00513097" w:rsidRDefault="005130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3BBC" w14:textId="77777777" w:rsidR="00E90986" w:rsidRDefault="00E90986" w:rsidP="00E90986">
    <w:pPr>
      <w:pStyle w:val="Encabezado"/>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12E6D"/>
    <w:multiLevelType w:val="hybridMultilevel"/>
    <w:tmpl w:val="89DE7AB4"/>
    <w:lvl w:ilvl="0" w:tplc="F270330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E4EA68C0"/>
    <w:lvl w:ilvl="0" w:tplc="7634241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0E3EF6"/>
    <w:multiLevelType w:val="hybridMultilevel"/>
    <w:tmpl w:val="3F5AB4C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1EB46A9"/>
    <w:multiLevelType w:val="hybridMultilevel"/>
    <w:tmpl w:val="0F36FAF2"/>
    <w:lvl w:ilvl="0" w:tplc="278A602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C440C7"/>
    <w:multiLevelType w:val="hybridMultilevel"/>
    <w:tmpl w:val="77241A6A"/>
    <w:lvl w:ilvl="0" w:tplc="D92C029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89478C6"/>
    <w:multiLevelType w:val="hybridMultilevel"/>
    <w:tmpl w:val="77DE21FC"/>
    <w:lvl w:ilvl="0" w:tplc="036EFC60">
      <w:numFmt w:val="bullet"/>
      <w:lvlText w:val="-"/>
      <w:lvlJc w:val="left"/>
      <w:pPr>
        <w:ind w:left="644" w:hanging="360"/>
      </w:pPr>
      <w:rPr>
        <w:rFonts w:ascii="Arial" w:eastAsiaTheme="minorHAnsi"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AD6B26"/>
    <w:multiLevelType w:val="hybridMultilevel"/>
    <w:tmpl w:val="CA128E84"/>
    <w:lvl w:ilvl="0" w:tplc="369C5648">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83120896">
    <w:abstractNumId w:val="4"/>
  </w:num>
  <w:num w:numId="2" w16cid:durableId="613487806">
    <w:abstractNumId w:val="8"/>
  </w:num>
  <w:num w:numId="3" w16cid:durableId="717976663">
    <w:abstractNumId w:val="3"/>
  </w:num>
  <w:num w:numId="4" w16cid:durableId="1188060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2228884">
    <w:abstractNumId w:val="5"/>
  </w:num>
  <w:num w:numId="6" w16cid:durableId="1269005301">
    <w:abstractNumId w:val="11"/>
  </w:num>
  <w:num w:numId="7" w16cid:durableId="2044624447">
    <w:abstractNumId w:val="2"/>
  </w:num>
  <w:num w:numId="8" w16cid:durableId="1990329370">
    <w:abstractNumId w:val="11"/>
  </w:num>
  <w:num w:numId="9" w16cid:durableId="1819879645">
    <w:abstractNumId w:val="2"/>
  </w:num>
  <w:num w:numId="10" w16cid:durableId="1526478403">
    <w:abstractNumId w:val="11"/>
  </w:num>
  <w:num w:numId="11" w16cid:durableId="1114012711">
    <w:abstractNumId w:val="2"/>
  </w:num>
  <w:num w:numId="12" w16cid:durableId="464003878">
    <w:abstractNumId w:val="13"/>
  </w:num>
  <w:num w:numId="13" w16cid:durableId="438068372">
    <w:abstractNumId w:val="11"/>
  </w:num>
  <w:num w:numId="14" w16cid:durableId="256520048">
    <w:abstractNumId w:val="2"/>
  </w:num>
  <w:num w:numId="15" w16cid:durableId="462769856">
    <w:abstractNumId w:val="1"/>
  </w:num>
  <w:num w:numId="16" w16cid:durableId="33505890">
    <w:abstractNumId w:val="9"/>
  </w:num>
  <w:num w:numId="17" w16cid:durableId="951323575">
    <w:abstractNumId w:val="0"/>
  </w:num>
  <w:num w:numId="18" w16cid:durableId="2008945808">
    <w:abstractNumId w:val="11"/>
  </w:num>
  <w:num w:numId="19" w16cid:durableId="538785186">
    <w:abstractNumId w:val="2"/>
  </w:num>
  <w:num w:numId="20" w16cid:durableId="1500541001">
    <w:abstractNumId w:val="1"/>
  </w:num>
  <w:num w:numId="21" w16cid:durableId="385958424">
    <w:abstractNumId w:val="10"/>
  </w:num>
  <w:num w:numId="22" w16cid:durableId="1853564132">
    <w:abstractNumId w:val="7"/>
  </w:num>
  <w:num w:numId="23" w16cid:durableId="1902789581">
    <w:abstractNumId w:val="0"/>
  </w:num>
  <w:num w:numId="24" w16cid:durableId="1999848145">
    <w:abstractNumId w:val="12"/>
  </w:num>
  <w:num w:numId="25" w16cid:durableId="842621787">
    <w:abstractNumId w:val="14"/>
  </w:num>
  <w:num w:numId="26" w16cid:durableId="565528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3A"/>
    <w:rsid w:val="00002064"/>
    <w:rsid w:val="0000266A"/>
    <w:rsid w:val="00002B37"/>
    <w:rsid w:val="00002C5A"/>
    <w:rsid w:val="00004D98"/>
    <w:rsid w:val="0000780C"/>
    <w:rsid w:val="000104A3"/>
    <w:rsid w:val="000106C4"/>
    <w:rsid w:val="00012BED"/>
    <w:rsid w:val="00022923"/>
    <w:rsid w:val="0002554A"/>
    <w:rsid w:val="00025861"/>
    <w:rsid w:val="0003183D"/>
    <w:rsid w:val="00033CAE"/>
    <w:rsid w:val="0003567E"/>
    <w:rsid w:val="00037BEA"/>
    <w:rsid w:val="00041937"/>
    <w:rsid w:val="00042049"/>
    <w:rsid w:val="00042C6B"/>
    <w:rsid w:val="0004433D"/>
    <w:rsid w:val="0004465B"/>
    <w:rsid w:val="00045919"/>
    <w:rsid w:val="000467AF"/>
    <w:rsid w:val="000469FC"/>
    <w:rsid w:val="00047C14"/>
    <w:rsid w:val="00050735"/>
    <w:rsid w:val="00051059"/>
    <w:rsid w:val="00052072"/>
    <w:rsid w:val="00053A67"/>
    <w:rsid w:val="000550A9"/>
    <w:rsid w:val="000559BA"/>
    <w:rsid w:val="00056D61"/>
    <w:rsid w:val="0006068F"/>
    <w:rsid w:val="00062925"/>
    <w:rsid w:val="00062D64"/>
    <w:rsid w:val="00062E50"/>
    <w:rsid w:val="000631FF"/>
    <w:rsid w:val="00063BA4"/>
    <w:rsid w:val="0006442A"/>
    <w:rsid w:val="000650EA"/>
    <w:rsid w:val="00070BC3"/>
    <w:rsid w:val="00070F32"/>
    <w:rsid w:val="0007286E"/>
    <w:rsid w:val="000729C1"/>
    <w:rsid w:val="00072F70"/>
    <w:rsid w:val="0007477F"/>
    <w:rsid w:val="0007489C"/>
    <w:rsid w:val="00075264"/>
    <w:rsid w:val="0007532C"/>
    <w:rsid w:val="0007580C"/>
    <w:rsid w:val="00075E0A"/>
    <w:rsid w:val="00076648"/>
    <w:rsid w:val="00077506"/>
    <w:rsid w:val="000778F0"/>
    <w:rsid w:val="0008021B"/>
    <w:rsid w:val="00080693"/>
    <w:rsid w:val="00080A20"/>
    <w:rsid w:val="00084141"/>
    <w:rsid w:val="0008561D"/>
    <w:rsid w:val="0008598A"/>
    <w:rsid w:val="00085AA7"/>
    <w:rsid w:val="00086C21"/>
    <w:rsid w:val="0009193E"/>
    <w:rsid w:val="000930DF"/>
    <w:rsid w:val="000946E3"/>
    <w:rsid w:val="000953F3"/>
    <w:rsid w:val="000A0093"/>
    <w:rsid w:val="000A02B5"/>
    <w:rsid w:val="000A04F4"/>
    <w:rsid w:val="000A4071"/>
    <w:rsid w:val="000A5B3A"/>
    <w:rsid w:val="000A689E"/>
    <w:rsid w:val="000B1218"/>
    <w:rsid w:val="000B6369"/>
    <w:rsid w:val="000C0606"/>
    <w:rsid w:val="000C1E3C"/>
    <w:rsid w:val="000C34D0"/>
    <w:rsid w:val="000C3B7B"/>
    <w:rsid w:val="000C3D95"/>
    <w:rsid w:val="000C46A4"/>
    <w:rsid w:val="000C54B9"/>
    <w:rsid w:val="000C5F11"/>
    <w:rsid w:val="000C66A4"/>
    <w:rsid w:val="000C77E0"/>
    <w:rsid w:val="000C79F4"/>
    <w:rsid w:val="000D2039"/>
    <w:rsid w:val="000D3E83"/>
    <w:rsid w:val="000D45A8"/>
    <w:rsid w:val="000D4CAC"/>
    <w:rsid w:val="000D6422"/>
    <w:rsid w:val="000D7682"/>
    <w:rsid w:val="000F291B"/>
    <w:rsid w:val="00102164"/>
    <w:rsid w:val="001031FF"/>
    <w:rsid w:val="001035B5"/>
    <w:rsid w:val="001059AA"/>
    <w:rsid w:val="00113504"/>
    <w:rsid w:val="00113A18"/>
    <w:rsid w:val="00114006"/>
    <w:rsid w:val="00114401"/>
    <w:rsid w:val="0011698A"/>
    <w:rsid w:val="00116FBA"/>
    <w:rsid w:val="0012068C"/>
    <w:rsid w:val="00121956"/>
    <w:rsid w:val="001228BC"/>
    <w:rsid w:val="00123558"/>
    <w:rsid w:val="00125279"/>
    <w:rsid w:val="00125C4B"/>
    <w:rsid w:val="00125D79"/>
    <w:rsid w:val="00127ED1"/>
    <w:rsid w:val="00131BF1"/>
    <w:rsid w:val="00132D07"/>
    <w:rsid w:val="001338EF"/>
    <w:rsid w:val="00133F29"/>
    <w:rsid w:val="00136E7B"/>
    <w:rsid w:val="00137C46"/>
    <w:rsid w:val="001402BF"/>
    <w:rsid w:val="001420D3"/>
    <w:rsid w:val="001437B6"/>
    <w:rsid w:val="001442D5"/>
    <w:rsid w:val="00144932"/>
    <w:rsid w:val="00144A8E"/>
    <w:rsid w:val="00146DDF"/>
    <w:rsid w:val="00150A75"/>
    <w:rsid w:val="00150C92"/>
    <w:rsid w:val="00151613"/>
    <w:rsid w:val="0015187A"/>
    <w:rsid w:val="00155875"/>
    <w:rsid w:val="00156D03"/>
    <w:rsid w:val="00162008"/>
    <w:rsid w:val="00163A94"/>
    <w:rsid w:val="00165611"/>
    <w:rsid w:val="00165C48"/>
    <w:rsid w:val="0016616A"/>
    <w:rsid w:val="00167787"/>
    <w:rsid w:val="00171658"/>
    <w:rsid w:val="0017165E"/>
    <w:rsid w:val="00171AA9"/>
    <w:rsid w:val="00173016"/>
    <w:rsid w:val="00175AD9"/>
    <w:rsid w:val="001765F2"/>
    <w:rsid w:val="00176F1B"/>
    <w:rsid w:val="00177995"/>
    <w:rsid w:val="00182526"/>
    <w:rsid w:val="00182BAA"/>
    <w:rsid w:val="00183AB8"/>
    <w:rsid w:val="00184D45"/>
    <w:rsid w:val="00185AD8"/>
    <w:rsid w:val="00186C1A"/>
    <w:rsid w:val="0018725E"/>
    <w:rsid w:val="00187A46"/>
    <w:rsid w:val="001904C4"/>
    <w:rsid w:val="00190CBE"/>
    <w:rsid w:val="001933CC"/>
    <w:rsid w:val="00194C32"/>
    <w:rsid w:val="001957FA"/>
    <w:rsid w:val="00197B95"/>
    <w:rsid w:val="001A16B7"/>
    <w:rsid w:val="001A24D2"/>
    <w:rsid w:val="001A465A"/>
    <w:rsid w:val="001A5520"/>
    <w:rsid w:val="001A5766"/>
    <w:rsid w:val="001A5A7B"/>
    <w:rsid w:val="001A5EDD"/>
    <w:rsid w:val="001A7CF7"/>
    <w:rsid w:val="001B0864"/>
    <w:rsid w:val="001B1B94"/>
    <w:rsid w:val="001B4743"/>
    <w:rsid w:val="001B50BA"/>
    <w:rsid w:val="001B63AB"/>
    <w:rsid w:val="001C14E5"/>
    <w:rsid w:val="001C3A2B"/>
    <w:rsid w:val="001C49C9"/>
    <w:rsid w:val="001C56D4"/>
    <w:rsid w:val="001C578C"/>
    <w:rsid w:val="001C6A9B"/>
    <w:rsid w:val="001D0686"/>
    <w:rsid w:val="001D19AC"/>
    <w:rsid w:val="001D297D"/>
    <w:rsid w:val="001D2D33"/>
    <w:rsid w:val="001D41F9"/>
    <w:rsid w:val="001D4670"/>
    <w:rsid w:val="001D4D27"/>
    <w:rsid w:val="001D54BC"/>
    <w:rsid w:val="001D67CF"/>
    <w:rsid w:val="001E0C33"/>
    <w:rsid w:val="001E14DE"/>
    <w:rsid w:val="001E188B"/>
    <w:rsid w:val="001E297A"/>
    <w:rsid w:val="001E2AEB"/>
    <w:rsid w:val="001E3E10"/>
    <w:rsid w:val="001E4109"/>
    <w:rsid w:val="001E50EA"/>
    <w:rsid w:val="001E518A"/>
    <w:rsid w:val="001E5538"/>
    <w:rsid w:val="001E5609"/>
    <w:rsid w:val="001E6CB1"/>
    <w:rsid w:val="001F0C32"/>
    <w:rsid w:val="001F1266"/>
    <w:rsid w:val="001F3A12"/>
    <w:rsid w:val="001F4302"/>
    <w:rsid w:val="001F48C4"/>
    <w:rsid w:val="001F53CA"/>
    <w:rsid w:val="001F6C94"/>
    <w:rsid w:val="001F6D18"/>
    <w:rsid w:val="001F7EED"/>
    <w:rsid w:val="002019E5"/>
    <w:rsid w:val="0020526E"/>
    <w:rsid w:val="0020566A"/>
    <w:rsid w:val="00205AC7"/>
    <w:rsid w:val="00205CD7"/>
    <w:rsid w:val="0020625A"/>
    <w:rsid w:val="00207800"/>
    <w:rsid w:val="00207818"/>
    <w:rsid w:val="00212424"/>
    <w:rsid w:val="00213BE7"/>
    <w:rsid w:val="00214A6A"/>
    <w:rsid w:val="00214BBE"/>
    <w:rsid w:val="00215214"/>
    <w:rsid w:val="00215B17"/>
    <w:rsid w:val="00216219"/>
    <w:rsid w:val="0022099E"/>
    <w:rsid w:val="00220D17"/>
    <w:rsid w:val="00221AB5"/>
    <w:rsid w:val="00223336"/>
    <w:rsid w:val="0022347D"/>
    <w:rsid w:val="002235A6"/>
    <w:rsid w:val="00223C61"/>
    <w:rsid w:val="002351C5"/>
    <w:rsid w:val="00235497"/>
    <w:rsid w:val="00236323"/>
    <w:rsid w:val="0023763D"/>
    <w:rsid w:val="0024193B"/>
    <w:rsid w:val="00242B94"/>
    <w:rsid w:val="002439F9"/>
    <w:rsid w:val="002451AA"/>
    <w:rsid w:val="00247566"/>
    <w:rsid w:val="00247739"/>
    <w:rsid w:val="00247DAA"/>
    <w:rsid w:val="002507CF"/>
    <w:rsid w:val="00251401"/>
    <w:rsid w:val="0025253A"/>
    <w:rsid w:val="00253DE5"/>
    <w:rsid w:val="0025453B"/>
    <w:rsid w:val="002546AB"/>
    <w:rsid w:val="0025599D"/>
    <w:rsid w:val="00257BA9"/>
    <w:rsid w:val="002600FF"/>
    <w:rsid w:val="00262314"/>
    <w:rsid w:val="00263F02"/>
    <w:rsid w:val="002674D2"/>
    <w:rsid w:val="00271140"/>
    <w:rsid w:val="00271E45"/>
    <w:rsid w:val="00274107"/>
    <w:rsid w:val="00274D90"/>
    <w:rsid w:val="0027519E"/>
    <w:rsid w:val="002778A3"/>
    <w:rsid w:val="002802AC"/>
    <w:rsid w:val="0028197B"/>
    <w:rsid w:val="00284406"/>
    <w:rsid w:val="00284BEB"/>
    <w:rsid w:val="0028607E"/>
    <w:rsid w:val="00287176"/>
    <w:rsid w:val="0028726C"/>
    <w:rsid w:val="00287526"/>
    <w:rsid w:val="002904EA"/>
    <w:rsid w:val="002925D7"/>
    <w:rsid w:val="00292E33"/>
    <w:rsid w:val="00294656"/>
    <w:rsid w:val="0029599F"/>
    <w:rsid w:val="002A0736"/>
    <w:rsid w:val="002A2528"/>
    <w:rsid w:val="002A53BD"/>
    <w:rsid w:val="002B05EE"/>
    <w:rsid w:val="002B0E78"/>
    <w:rsid w:val="002B276E"/>
    <w:rsid w:val="002B3A89"/>
    <w:rsid w:val="002B69DF"/>
    <w:rsid w:val="002B7D7D"/>
    <w:rsid w:val="002C018D"/>
    <w:rsid w:val="002C6D1E"/>
    <w:rsid w:val="002C7A7B"/>
    <w:rsid w:val="002D1293"/>
    <w:rsid w:val="002D18CB"/>
    <w:rsid w:val="002D19AD"/>
    <w:rsid w:val="002D2319"/>
    <w:rsid w:val="002D2B5C"/>
    <w:rsid w:val="002D57A5"/>
    <w:rsid w:val="002D5CEB"/>
    <w:rsid w:val="002E16D3"/>
    <w:rsid w:val="002E3019"/>
    <w:rsid w:val="002E3319"/>
    <w:rsid w:val="002E576D"/>
    <w:rsid w:val="002E590F"/>
    <w:rsid w:val="002E5CEA"/>
    <w:rsid w:val="002F2D5C"/>
    <w:rsid w:val="002F3D49"/>
    <w:rsid w:val="002F44A8"/>
    <w:rsid w:val="002F50C4"/>
    <w:rsid w:val="002F55ED"/>
    <w:rsid w:val="003003CF"/>
    <w:rsid w:val="0030059B"/>
    <w:rsid w:val="00300BFD"/>
    <w:rsid w:val="0030280D"/>
    <w:rsid w:val="00302C67"/>
    <w:rsid w:val="00303D70"/>
    <w:rsid w:val="0030491A"/>
    <w:rsid w:val="00304D43"/>
    <w:rsid w:val="00304DBC"/>
    <w:rsid w:val="0030550C"/>
    <w:rsid w:val="00306807"/>
    <w:rsid w:val="0031064A"/>
    <w:rsid w:val="003108DA"/>
    <w:rsid w:val="0031138B"/>
    <w:rsid w:val="00312AB1"/>
    <w:rsid w:val="00313F35"/>
    <w:rsid w:val="0031462C"/>
    <w:rsid w:val="00315047"/>
    <w:rsid w:val="003151EC"/>
    <w:rsid w:val="00316574"/>
    <w:rsid w:val="00322BD2"/>
    <w:rsid w:val="00324302"/>
    <w:rsid w:val="00325FCF"/>
    <w:rsid w:val="00326141"/>
    <w:rsid w:val="00327685"/>
    <w:rsid w:val="00330048"/>
    <w:rsid w:val="00333601"/>
    <w:rsid w:val="00336092"/>
    <w:rsid w:val="0034438A"/>
    <w:rsid w:val="00347693"/>
    <w:rsid w:val="00350BD8"/>
    <w:rsid w:val="00350C9E"/>
    <w:rsid w:val="00354E7C"/>
    <w:rsid w:val="003557AC"/>
    <w:rsid w:val="0035597A"/>
    <w:rsid w:val="00360AF1"/>
    <w:rsid w:val="00360EB2"/>
    <w:rsid w:val="0036349C"/>
    <w:rsid w:val="00364DC6"/>
    <w:rsid w:val="003659A5"/>
    <w:rsid w:val="003663D4"/>
    <w:rsid w:val="00366EF1"/>
    <w:rsid w:val="0037013F"/>
    <w:rsid w:val="00370327"/>
    <w:rsid w:val="003735A1"/>
    <w:rsid w:val="00373748"/>
    <w:rsid w:val="00375C4D"/>
    <w:rsid w:val="003774F7"/>
    <w:rsid w:val="00380D58"/>
    <w:rsid w:val="003828AE"/>
    <w:rsid w:val="0038292E"/>
    <w:rsid w:val="0038322E"/>
    <w:rsid w:val="003838C3"/>
    <w:rsid w:val="00383B27"/>
    <w:rsid w:val="00384915"/>
    <w:rsid w:val="003875A6"/>
    <w:rsid w:val="0039002C"/>
    <w:rsid w:val="00391FB8"/>
    <w:rsid w:val="003922B3"/>
    <w:rsid w:val="00392D86"/>
    <w:rsid w:val="003938DA"/>
    <w:rsid w:val="00395977"/>
    <w:rsid w:val="00395B0C"/>
    <w:rsid w:val="003A3105"/>
    <w:rsid w:val="003A4A06"/>
    <w:rsid w:val="003A5706"/>
    <w:rsid w:val="003A591D"/>
    <w:rsid w:val="003A7E59"/>
    <w:rsid w:val="003B4962"/>
    <w:rsid w:val="003B546C"/>
    <w:rsid w:val="003B6082"/>
    <w:rsid w:val="003C025B"/>
    <w:rsid w:val="003C2915"/>
    <w:rsid w:val="003C3E25"/>
    <w:rsid w:val="003C4267"/>
    <w:rsid w:val="003C4AB0"/>
    <w:rsid w:val="003C6223"/>
    <w:rsid w:val="003C7C9E"/>
    <w:rsid w:val="003D0A5A"/>
    <w:rsid w:val="003D145E"/>
    <w:rsid w:val="003D1561"/>
    <w:rsid w:val="003D3CAD"/>
    <w:rsid w:val="003D4935"/>
    <w:rsid w:val="003D5A5B"/>
    <w:rsid w:val="003D686C"/>
    <w:rsid w:val="003D7E10"/>
    <w:rsid w:val="003E0D31"/>
    <w:rsid w:val="003E15DE"/>
    <w:rsid w:val="003E3E34"/>
    <w:rsid w:val="003E4B50"/>
    <w:rsid w:val="003E57C7"/>
    <w:rsid w:val="003E59BD"/>
    <w:rsid w:val="003F4697"/>
    <w:rsid w:val="003F5EDD"/>
    <w:rsid w:val="003F6348"/>
    <w:rsid w:val="003F7BB1"/>
    <w:rsid w:val="00400594"/>
    <w:rsid w:val="00401B3A"/>
    <w:rsid w:val="00401D30"/>
    <w:rsid w:val="00402AD1"/>
    <w:rsid w:val="00404FC7"/>
    <w:rsid w:val="004074A8"/>
    <w:rsid w:val="00407587"/>
    <w:rsid w:val="004078FF"/>
    <w:rsid w:val="00407BBF"/>
    <w:rsid w:val="00411CD3"/>
    <w:rsid w:val="00414DE1"/>
    <w:rsid w:val="00415366"/>
    <w:rsid w:val="004176D1"/>
    <w:rsid w:val="00417958"/>
    <w:rsid w:val="00421077"/>
    <w:rsid w:val="004212A0"/>
    <w:rsid w:val="0042369D"/>
    <w:rsid w:val="004260C3"/>
    <w:rsid w:val="0042738E"/>
    <w:rsid w:val="00432918"/>
    <w:rsid w:val="0043390B"/>
    <w:rsid w:val="00433F84"/>
    <w:rsid w:val="004344A5"/>
    <w:rsid w:val="00434632"/>
    <w:rsid w:val="0044136B"/>
    <w:rsid w:val="00442FE5"/>
    <w:rsid w:val="00444223"/>
    <w:rsid w:val="00451B7F"/>
    <w:rsid w:val="00453422"/>
    <w:rsid w:val="00453CC6"/>
    <w:rsid w:val="004541C5"/>
    <w:rsid w:val="0045771B"/>
    <w:rsid w:val="00464219"/>
    <w:rsid w:val="004649FA"/>
    <w:rsid w:val="00464F94"/>
    <w:rsid w:val="0046589A"/>
    <w:rsid w:val="0046726B"/>
    <w:rsid w:val="004710D9"/>
    <w:rsid w:val="004748FD"/>
    <w:rsid w:val="00475BCF"/>
    <w:rsid w:val="004761D1"/>
    <w:rsid w:val="004805C0"/>
    <w:rsid w:val="004821B3"/>
    <w:rsid w:val="00483912"/>
    <w:rsid w:val="00484C66"/>
    <w:rsid w:val="00485468"/>
    <w:rsid w:val="0048738A"/>
    <w:rsid w:val="00487EB2"/>
    <w:rsid w:val="00491DEB"/>
    <w:rsid w:val="00495421"/>
    <w:rsid w:val="00497F1B"/>
    <w:rsid w:val="004A14D9"/>
    <w:rsid w:val="004A2A69"/>
    <w:rsid w:val="004A2E4E"/>
    <w:rsid w:val="004A6282"/>
    <w:rsid w:val="004A6E57"/>
    <w:rsid w:val="004A751A"/>
    <w:rsid w:val="004B1F1E"/>
    <w:rsid w:val="004B5280"/>
    <w:rsid w:val="004B7CC2"/>
    <w:rsid w:val="004C30B0"/>
    <w:rsid w:val="004C5E02"/>
    <w:rsid w:val="004C69AF"/>
    <w:rsid w:val="004C6A41"/>
    <w:rsid w:val="004C6E57"/>
    <w:rsid w:val="004D0D3D"/>
    <w:rsid w:val="004D18ED"/>
    <w:rsid w:val="004D4712"/>
    <w:rsid w:val="004D5A80"/>
    <w:rsid w:val="004D6B8D"/>
    <w:rsid w:val="004E29E4"/>
    <w:rsid w:val="004E3A6C"/>
    <w:rsid w:val="004E3A8A"/>
    <w:rsid w:val="004E55F9"/>
    <w:rsid w:val="004E5A7B"/>
    <w:rsid w:val="004F090C"/>
    <w:rsid w:val="004F13B6"/>
    <w:rsid w:val="004F3DFE"/>
    <w:rsid w:val="004F4281"/>
    <w:rsid w:val="004F4C7E"/>
    <w:rsid w:val="004F5DE1"/>
    <w:rsid w:val="00500C90"/>
    <w:rsid w:val="00500EAB"/>
    <w:rsid w:val="00502707"/>
    <w:rsid w:val="00502A9A"/>
    <w:rsid w:val="0050407C"/>
    <w:rsid w:val="005048D5"/>
    <w:rsid w:val="00504A49"/>
    <w:rsid w:val="00504DE5"/>
    <w:rsid w:val="00506F09"/>
    <w:rsid w:val="00510707"/>
    <w:rsid w:val="00513097"/>
    <w:rsid w:val="00513F82"/>
    <w:rsid w:val="00514646"/>
    <w:rsid w:val="00514980"/>
    <w:rsid w:val="005151B2"/>
    <w:rsid w:val="00515EC4"/>
    <w:rsid w:val="00517594"/>
    <w:rsid w:val="005218FF"/>
    <w:rsid w:val="00521CD6"/>
    <w:rsid w:val="00522304"/>
    <w:rsid w:val="00523F9F"/>
    <w:rsid w:val="0052573D"/>
    <w:rsid w:val="00527484"/>
    <w:rsid w:val="00527501"/>
    <w:rsid w:val="005326E4"/>
    <w:rsid w:val="00535468"/>
    <w:rsid w:val="00536F35"/>
    <w:rsid w:val="0053783E"/>
    <w:rsid w:val="00541B12"/>
    <w:rsid w:val="00544136"/>
    <w:rsid w:val="005454DE"/>
    <w:rsid w:val="00545C53"/>
    <w:rsid w:val="005473D8"/>
    <w:rsid w:val="00547C19"/>
    <w:rsid w:val="005523B6"/>
    <w:rsid w:val="0055446B"/>
    <w:rsid w:val="00555296"/>
    <w:rsid w:val="00555C3A"/>
    <w:rsid w:val="00560B00"/>
    <w:rsid w:val="0056180A"/>
    <w:rsid w:val="00565537"/>
    <w:rsid w:val="00570BF1"/>
    <w:rsid w:val="005725B0"/>
    <w:rsid w:val="00572883"/>
    <w:rsid w:val="005729E4"/>
    <w:rsid w:val="00576272"/>
    <w:rsid w:val="005817BC"/>
    <w:rsid w:val="0058617A"/>
    <w:rsid w:val="005906B6"/>
    <w:rsid w:val="00592831"/>
    <w:rsid w:val="005940DE"/>
    <w:rsid w:val="0059676A"/>
    <w:rsid w:val="00596A19"/>
    <w:rsid w:val="005A0CDC"/>
    <w:rsid w:val="005A1004"/>
    <w:rsid w:val="005A3684"/>
    <w:rsid w:val="005A376B"/>
    <w:rsid w:val="005B0E8A"/>
    <w:rsid w:val="005B101A"/>
    <w:rsid w:val="005B2B9B"/>
    <w:rsid w:val="005B348A"/>
    <w:rsid w:val="005B3A86"/>
    <w:rsid w:val="005B59FA"/>
    <w:rsid w:val="005B6C3D"/>
    <w:rsid w:val="005B7C8D"/>
    <w:rsid w:val="005C09EE"/>
    <w:rsid w:val="005C1D13"/>
    <w:rsid w:val="005C2B5E"/>
    <w:rsid w:val="005C2D9B"/>
    <w:rsid w:val="005C45B3"/>
    <w:rsid w:val="005C5931"/>
    <w:rsid w:val="005C60D8"/>
    <w:rsid w:val="005C73E2"/>
    <w:rsid w:val="005C7937"/>
    <w:rsid w:val="005D022E"/>
    <w:rsid w:val="005D1E6B"/>
    <w:rsid w:val="005D3951"/>
    <w:rsid w:val="005D3D76"/>
    <w:rsid w:val="005D4697"/>
    <w:rsid w:val="005D71B5"/>
    <w:rsid w:val="005E04FC"/>
    <w:rsid w:val="005E1896"/>
    <w:rsid w:val="005E213E"/>
    <w:rsid w:val="005E24D3"/>
    <w:rsid w:val="005E58AF"/>
    <w:rsid w:val="005F0241"/>
    <w:rsid w:val="005F2DE3"/>
    <w:rsid w:val="00601E28"/>
    <w:rsid w:val="00604C8D"/>
    <w:rsid w:val="006072C9"/>
    <w:rsid w:val="00611196"/>
    <w:rsid w:val="00613085"/>
    <w:rsid w:val="00615FFE"/>
    <w:rsid w:val="0061655B"/>
    <w:rsid w:val="0061757B"/>
    <w:rsid w:val="006207BE"/>
    <w:rsid w:val="006211DD"/>
    <w:rsid w:val="0062255A"/>
    <w:rsid w:val="006238FE"/>
    <w:rsid w:val="006241AC"/>
    <w:rsid w:val="00627C39"/>
    <w:rsid w:val="006331AD"/>
    <w:rsid w:val="0063457F"/>
    <w:rsid w:val="006357AE"/>
    <w:rsid w:val="00635D56"/>
    <w:rsid w:val="0063714C"/>
    <w:rsid w:val="006373AC"/>
    <w:rsid w:val="00637E7E"/>
    <w:rsid w:val="006412FF"/>
    <w:rsid w:val="00641FCC"/>
    <w:rsid w:val="00650547"/>
    <w:rsid w:val="00653DC0"/>
    <w:rsid w:val="00653E20"/>
    <w:rsid w:val="00653EEE"/>
    <w:rsid w:val="006554EC"/>
    <w:rsid w:val="00656CB9"/>
    <w:rsid w:val="00657C27"/>
    <w:rsid w:val="006600C4"/>
    <w:rsid w:val="00662E41"/>
    <w:rsid w:val="006630EE"/>
    <w:rsid w:val="0066346E"/>
    <w:rsid w:val="0066490F"/>
    <w:rsid w:val="00666B03"/>
    <w:rsid w:val="0066790B"/>
    <w:rsid w:val="00667DB4"/>
    <w:rsid w:val="00670AFB"/>
    <w:rsid w:val="00671C3E"/>
    <w:rsid w:val="00672D9B"/>
    <w:rsid w:val="0067324C"/>
    <w:rsid w:val="0067395C"/>
    <w:rsid w:val="00674BCB"/>
    <w:rsid w:val="00680989"/>
    <w:rsid w:val="006818C9"/>
    <w:rsid w:val="00681E76"/>
    <w:rsid w:val="006822FA"/>
    <w:rsid w:val="00682CA3"/>
    <w:rsid w:val="0068485B"/>
    <w:rsid w:val="00684BCD"/>
    <w:rsid w:val="0068539E"/>
    <w:rsid w:val="00686327"/>
    <w:rsid w:val="00686F79"/>
    <w:rsid w:val="00692393"/>
    <w:rsid w:val="00693A52"/>
    <w:rsid w:val="00696253"/>
    <w:rsid w:val="006A0578"/>
    <w:rsid w:val="006A493E"/>
    <w:rsid w:val="006A4EF7"/>
    <w:rsid w:val="006A5BDF"/>
    <w:rsid w:val="006A5CCF"/>
    <w:rsid w:val="006A677D"/>
    <w:rsid w:val="006A67B3"/>
    <w:rsid w:val="006A71CA"/>
    <w:rsid w:val="006B1C54"/>
    <w:rsid w:val="006B59E7"/>
    <w:rsid w:val="006B63F3"/>
    <w:rsid w:val="006C0188"/>
    <w:rsid w:val="006C10D8"/>
    <w:rsid w:val="006C1477"/>
    <w:rsid w:val="006C401B"/>
    <w:rsid w:val="006C4CD4"/>
    <w:rsid w:val="006C5D80"/>
    <w:rsid w:val="006C5FDB"/>
    <w:rsid w:val="006C61EE"/>
    <w:rsid w:val="006D1792"/>
    <w:rsid w:val="006D3B3D"/>
    <w:rsid w:val="006D61A3"/>
    <w:rsid w:val="006D6470"/>
    <w:rsid w:val="006D6B3C"/>
    <w:rsid w:val="006D7B22"/>
    <w:rsid w:val="006D7D22"/>
    <w:rsid w:val="006E17CC"/>
    <w:rsid w:val="006E2738"/>
    <w:rsid w:val="006E37AE"/>
    <w:rsid w:val="006E4959"/>
    <w:rsid w:val="006E6779"/>
    <w:rsid w:val="006F1164"/>
    <w:rsid w:val="006F31D1"/>
    <w:rsid w:val="006F5BA6"/>
    <w:rsid w:val="006F60BB"/>
    <w:rsid w:val="006F6799"/>
    <w:rsid w:val="0070083B"/>
    <w:rsid w:val="007010A3"/>
    <w:rsid w:val="007053E4"/>
    <w:rsid w:val="007105BA"/>
    <w:rsid w:val="00711C0C"/>
    <w:rsid w:val="00713758"/>
    <w:rsid w:val="00713E05"/>
    <w:rsid w:val="00715471"/>
    <w:rsid w:val="00716BB1"/>
    <w:rsid w:val="0072181D"/>
    <w:rsid w:val="00722AA9"/>
    <w:rsid w:val="00723609"/>
    <w:rsid w:val="00723D34"/>
    <w:rsid w:val="00724BAC"/>
    <w:rsid w:val="007265F3"/>
    <w:rsid w:val="007267FB"/>
    <w:rsid w:val="00726C42"/>
    <w:rsid w:val="00733AF9"/>
    <w:rsid w:val="007370D5"/>
    <w:rsid w:val="007376E6"/>
    <w:rsid w:val="00737963"/>
    <w:rsid w:val="00740F23"/>
    <w:rsid w:val="007430A6"/>
    <w:rsid w:val="00744E46"/>
    <w:rsid w:val="007459E6"/>
    <w:rsid w:val="007462CF"/>
    <w:rsid w:val="00747E68"/>
    <w:rsid w:val="00752A20"/>
    <w:rsid w:val="00753D8C"/>
    <w:rsid w:val="00754D95"/>
    <w:rsid w:val="00757C44"/>
    <w:rsid w:val="00763FD1"/>
    <w:rsid w:val="00766841"/>
    <w:rsid w:val="00766B6F"/>
    <w:rsid w:val="00766E36"/>
    <w:rsid w:val="007712AD"/>
    <w:rsid w:val="00774B3A"/>
    <w:rsid w:val="007813CB"/>
    <w:rsid w:val="00781421"/>
    <w:rsid w:val="007815BB"/>
    <w:rsid w:val="00782BB7"/>
    <w:rsid w:val="00785B83"/>
    <w:rsid w:val="00786270"/>
    <w:rsid w:val="00787F74"/>
    <w:rsid w:val="00790202"/>
    <w:rsid w:val="007910D1"/>
    <w:rsid w:val="00793187"/>
    <w:rsid w:val="00793BE7"/>
    <w:rsid w:val="007968F2"/>
    <w:rsid w:val="00797449"/>
    <w:rsid w:val="007A0755"/>
    <w:rsid w:val="007A1553"/>
    <w:rsid w:val="007A628B"/>
    <w:rsid w:val="007B3996"/>
    <w:rsid w:val="007B3E14"/>
    <w:rsid w:val="007B562F"/>
    <w:rsid w:val="007B6877"/>
    <w:rsid w:val="007C437A"/>
    <w:rsid w:val="007C609B"/>
    <w:rsid w:val="007D1435"/>
    <w:rsid w:val="007D345C"/>
    <w:rsid w:val="007D3C93"/>
    <w:rsid w:val="007D5442"/>
    <w:rsid w:val="007D7F62"/>
    <w:rsid w:val="007E0EC8"/>
    <w:rsid w:val="007E15D8"/>
    <w:rsid w:val="007E2269"/>
    <w:rsid w:val="007E36AF"/>
    <w:rsid w:val="007E3A16"/>
    <w:rsid w:val="007E3D10"/>
    <w:rsid w:val="007E5491"/>
    <w:rsid w:val="007E5A5B"/>
    <w:rsid w:val="007F08A8"/>
    <w:rsid w:val="007F10A8"/>
    <w:rsid w:val="007F1B92"/>
    <w:rsid w:val="007F2C86"/>
    <w:rsid w:val="007F33A5"/>
    <w:rsid w:val="007F4BAF"/>
    <w:rsid w:val="0080454F"/>
    <w:rsid w:val="008056F1"/>
    <w:rsid w:val="00805BD9"/>
    <w:rsid w:val="00806161"/>
    <w:rsid w:val="00807730"/>
    <w:rsid w:val="00814E03"/>
    <w:rsid w:val="008155B7"/>
    <w:rsid w:val="00816672"/>
    <w:rsid w:val="00817D61"/>
    <w:rsid w:val="0082046B"/>
    <w:rsid w:val="00820B75"/>
    <w:rsid w:val="00823E2F"/>
    <w:rsid w:val="00826149"/>
    <w:rsid w:val="00834E57"/>
    <w:rsid w:val="008352BA"/>
    <w:rsid w:val="008369FA"/>
    <w:rsid w:val="008370FF"/>
    <w:rsid w:val="008443FB"/>
    <w:rsid w:val="00844613"/>
    <w:rsid w:val="00847CF0"/>
    <w:rsid w:val="0085086D"/>
    <w:rsid w:val="00852165"/>
    <w:rsid w:val="00852810"/>
    <w:rsid w:val="008535D2"/>
    <w:rsid w:val="008552C0"/>
    <w:rsid w:val="008557B7"/>
    <w:rsid w:val="008558E7"/>
    <w:rsid w:val="0085768D"/>
    <w:rsid w:val="0086023B"/>
    <w:rsid w:val="00860434"/>
    <w:rsid w:val="00861A54"/>
    <w:rsid w:val="00864C80"/>
    <w:rsid w:val="00867BE7"/>
    <w:rsid w:val="008706BA"/>
    <w:rsid w:val="00871E07"/>
    <w:rsid w:val="00877F8E"/>
    <w:rsid w:val="00880D1F"/>
    <w:rsid w:val="008817FB"/>
    <w:rsid w:val="00882B5F"/>
    <w:rsid w:val="0088318A"/>
    <w:rsid w:val="00885855"/>
    <w:rsid w:val="008907BE"/>
    <w:rsid w:val="00893859"/>
    <w:rsid w:val="00893FB9"/>
    <w:rsid w:val="008A0DCA"/>
    <w:rsid w:val="008A1B00"/>
    <w:rsid w:val="008A2117"/>
    <w:rsid w:val="008A30FB"/>
    <w:rsid w:val="008A4529"/>
    <w:rsid w:val="008A7044"/>
    <w:rsid w:val="008A7407"/>
    <w:rsid w:val="008B20C0"/>
    <w:rsid w:val="008B44F6"/>
    <w:rsid w:val="008B4E46"/>
    <w:rsid w:val="008B5ADF"/>
    <w:rsid w:val="008C1293"/>
    <w:rsid w:val="008C1EDC"/>
    <w:rsid w:val="008C47BA"/>
    <w:rsid w:val="008C5B30"/>
    <w:rsid w:val="008C5B6C"/>
    <w:rsid w:val="008C5CBF"/>
    <w:rsid w:val="008C631E"/>
    <w:rsid w:val="008D08E7"/>
    <w:rsid w:val="008D3E70"/>
    <w:rsid w:val="008D6BD5"/>
    <w:rsid w:val="008E00B4"/>
    <w:rsid w:val="008E1E91"/>
    <w:rsid w:val="008E3315"/>
    <w:rsid w:val="008E3B03"/>
    <w:rsid w:val="008E3B5E"/>
    <w:rsid w:val="008F2129"/>
    <w:rsid w:val="008F2D6A"/>
    <w:rsid w:val="008F3780"/>
    <w:rsid w:val="008F73A4"/>
    <w:rsid w:val="009000E1"/>
    <w:rsid w:val="00900259"/>
    <w:rsid w:val="00904094"/>
    <w:rsid w:val="009040B2"/>
    <w:rsid w:val="0090719E"/>
    <w:rsid w:val="00907805"/>
    <w:rsid w:val="00911758"/>
    <w:rsid w:val="00913A27"/>
    <w:rsid w:val="009142E0"/>
    <w:rsid w:val="00917FC0"/>
    <w:rsid w:val="00920801"/>
    <w:rsid w:val="00924D18"/>
    <w:rsid w:val="00926020"/>
    <w:rsid w:val="009272B1"/>
    <w:rsid w:val="009313EF"/>
    <w:rsid w:val="00932EED"/>
    <w:rsid w:val="00934344"/>
    <w:rsid w:val="00937A70"/>
    <w:rsid w:val="00940247"/>
    <w:rsid w:val="009421A7"/>
    <w:rsid w:val="00946BCD"/>
    <w:rsid w:val="00950618"/>
    <w:rsid w:val="00951EC1"/>
    <w:rsid w:val="00952DEA"/>
    <w:rsid w:val="00953C94"/>
    <w:rsid w:val="00954BF5"/>
    <w:rsid w:val="009579C4"/>
    <w:rsid w:val="0096115C"/>
    <w:rsid w:val="009619B4"/>
    <w:rsid w:val="00962BF6"/>
    <w:rsid w:val="00962C1C"/>
    <w:rsid w:val="00970D57"/>
    <w:rsid w:val="009714D5"/>
    <w:rsid w:val="00974B0C"/>
    <w:rsid w:val="00975614"/>
    <w:rsid w:val="00975C1F"/>
    <w:rsid w:val="00977AAA"/>
    <w:rsid w:val="009816E3"/>
    <w:rsid w:val="00982AD2"/>
    <w:rsid w:val="00982C90"/>
    <w:rsid w:val="0098370A"/>
    <w:rsid w:val="009839A0"/>
    <w:rsid w:val="00983EE3"/>
    <w:rsid w:val="00984694"/>
    <w:rsid w:val="00985746"/>
    <w:rsid w:val="009879ED"/>
    <w:rsid w:val="0099265F"/>
    <w:rsid w:val="00994880"/>
    <w:rsid w:val="0099576E"/>
    <w:rsid w:val="00997B86"/>
    <w:rsid w:val="009A0B6F"/>
    <w:rsid w:val="009A2C3A"/>
    <w:rsid w:val="009A3804"/>
    <w:rsid w:val="009A52C8"/>
    <w:rsid w:val="009A57C4"/>
    <w:rsid w:val="009A6120"/>
    <w:rsid w:val="009B03B9"/>
    <w:rsid w:val="009B152D"/>
    <w:rsid w:val="009B2028"/>
    <w:rsid w:val="009B3290"/>
    <w:rsid w:val="009B433A"/>
    <w:rsid w:val="009B7643"/>
    <w:rsid w:val="009B7E10"/>
    <w:rsid w:val="009C095B"/>
    <w:rsid w:val="009C1B1F"/>
    <w:rsid w:val="009C38CB"/>
    <w:rsid w:val="009C41A8"/>
    <w:rsid w:val="009C519B"/>
    <w:rsid w:val="009C5D0A"/>
    <w:rsid w:val="009C6976"/>
    <w:rsid w:val="009C6E03"/>
    <w:rsid w:val="009D0FC0"/>
    <w:rsid w:val="009D1CB7"/>
    <w:rsid w:val="009D1FED"/>
    <w:rsid w:val="009D2FDA"/>
    <w:rsid w:val="009D7A73"/>
    <w:rsid w:val="009E0103"/>
    <w:rsid w:val="009E184E"/>
    <w:rsid w:val="009E2C86"/>
    <w:rsid w:val="009E6020"/>
    <w:rsid w:val="009E665B"/>
    <w:rsid w:val="009E67EE"/>
    <w:rsid w:val="009E7F83"/>
    <w:rsid w:val="009F10AB"/>
    <w:rsid w:val="009F274E"/>
    <w:rsid w:val="009F4E6E"/>
    <w:rsid w:val="009F5380"/>
    <w:rsid w:val="009F5672"/>
    <w:rsid w:val="009F70E6"/>
    <w:rsid w:val="00A0136F"/>
    <w:rsid w:val="00A02301"/>
    <w:rsid w:val="00A05016"/>
    <w:rsid w:val="00A1256B"/>
    <w:rsid w:val="00A1303F"/>
    <w:rsid w:val="00A146C0"/>
    <w:rsid w:val="00A168AE"/>
    <w:rsid w:val="00A241A6"/>
    <w:rsid w:val="00A26BB4"/>
    <w:rsid w:val="00A26CF1"/>
    <w:rsid w:val="00A30841"/>
    <w:rsid w:val="00A310E7"/>
    <w:rsid w:val="00A353E7"/>
    <w:rsid w:val="00A355EB"/>
    <w:rsid w:val="00A36690"/>
    <w:rsid w:val="00A379F0"/>
    <w:rsid w:val="00A400A1"/>
    <w:rsid w:val="00A41E23"/>
    <w:rsid w:val="00A41EC8"/>
    <w:rsid w:val="00A42042"/>
    <w:rsid w:val="00A427EB"/>
    <w:rsid w:val="00A448F6"/>
    <w:rsid w:val="00A476F5"/>
    <w:rsid w:val="00A50928"/>
    <w:rsid w:val="00A50A8C"/>
    <w:rsid w:val="00A53083"/>
    <w:rsid w:val="00A564C2"/>
    <w:rsid w:val="00A609CF"/>
    <w:rsid w:val="00A63E20"/>
    <w:rsid w:val="00A64950"/>
    <w:rsid w:val="00A71CC2"/>
    <w:rsid w:val="00A73111"/>
    <w:rsid w:val="00A73542"/>
    <w:rsid w:val="00A744A2"/>
    <w:rsid w:val="00A74930"/>
    <w:rsid w:val="00A75CBD"/>
    <w:rsid w:val="00A816C1"/>
    <w:rsid w:val="00A85763"/>
    <w:rsid w:val="00A87305"/>
    <w:rsid w:val="00A90C11"/>
    <w:rsid w:val="00A958EC"/>
    <w:rsid w:val="00AA0CB9"/>
    <w:rsid w:val="00AA1B0B"/>
    <w:rsid w:val="00AA2427"/>
    <w:rsid w:val="00AA26D1"/>
    <w:rsid w:val="00AA2C01"/>
    <w:rsid w:val="00AA3F08"/>
    <w:rsid w:val="00AA45B7"/>
    <w:rsid w:val="00AA4EA9"/>
    <w:rsid w:val="00AA6380"/>
    <w:rsid w:val="00AA6FBD"/>
    <w:rsid w:val="00AB32D3"/>
    <w:rsid w:val="00AB4D5F"/>
    <w:rsid w:val="00AB75F7"/>
    <w:rsid w:val="00AB7CEC"/>
    <w:rsid w:val="00AC0EEA"/>
    <w:rsid w:val="00AC1042"/>
    <w:rsid w:val="00AC3293"/>
    <w:rsid w:val="00AC61B4"/>
    <w:rsid w:val="00AD04F7"/>
    <w:rsid w:val="00AD1E8D"/>
    <w:rsid w:val="00AD2C6C"/>
    <w:rsid w:val="00AD2D7B"/>
    <w:rsid w:val="00AD3A0F"/>
    <w:rsid w:val="00AD4971"/>
    <w:rsid w:val="00AD65FA"/>
    <w:rsid w:val="00AE09CE"/>
    <w:rsid w:val="00AE0E14"/>
    <w:rsid w:val="00AE155D"/>
    <w:rsid w:val="00AE348C"/>
    <w:rsid w:val="00AF1A41"/>
    <w:rsid w:val="00AF44C1"/>
    <w:rsid w:val="00B00E09"/>
    <w:rsid w:val="00B029B4"/>
    <w:rsid w:val="00B037B0"/>
    <w:rsid w:val="00B06823"/>
    <w:rsid w:val="00B069D5"/>
    <w:rsid w:val="00B10690"/>
    <w:rsid w:val="00B10EC2"/>
    <w:rsid w:val="00B12B50"/>
    <w:rsid w:val="00B1320F"/>
    <w:rsid w:val="00B1325E"/>
    <w:rsid w:val="00B143A6"/>
    <w:rsid w:val="00B1487C"/>
    <w:rsid w:val="00B15E53"/>
    <w:rsid w:val="00B169B6"/>
    <w:rsid w:val="00B17A58"/>
    <w:rsid w:val="00B200C8"/>
    <w:rsid w:val="00B20C9E"/>
    <w:rsid w:val="00B21D99"/>
    <w:rsid w:val="00B230E1"/>
    <w:rsid w:val="00B24064"/>
    <w:rsid w:val="00B264D4"/>
    <w:rsid w:val="00B2656E"/>
    <w:rsid w:val="00B30FCD"/>
    <w:rsid w:val="00B3120F"/>
    <w:rsid w:val="00B31C38"/>
    <w:rsid w:val="00B33943"/>
    <w:rsid w:val="00B33AC7"/>
    <w:rsid w:val="00B34E43"/>
    <w:rsid w:val="00B351BE"/>
    <w:rsid w:val="00B359B7"/>
    <w:rsid w:val="00B37B71"/>
    <w:rsid w:val="00B4058D"/>
    <w:rsid w:val="00B405AC"/>
    <w:rsid w:val="00B411AA"/>
    <w:rsid w:val="00B4135D"/>
    <w:rsid w:val="00B432DE"/>
    <w:rsid w:val="00B465D4"/>
    <w:rsid w:val="00B47F49"/>
    <w:rsid w:val="00B5081F"/>
    <w:rsid w:val="00B52ACF"/>
    <w:rsid w:val="00B54400"/>
    <w:rsid w:val="00B56026"/>
    <w:rsid w:val="00B564EB"/>
    <w:rsid w:val="00B605DC"/>
    <w:rsid w:val="00B6226E"/>
    <w:rsid w:val="00B62462"/>
    <w:rsid w:val="00B624CA"/>
    <w:rsid w:val="00B65085"/>
    <w:rsid w:val="00B66E71"/>
    <w:rsid w:val="00B670B5"/>
    <w:rsid w:val="00B67D27"/>
    <w:rsid w:val="00B76012"/>
    <w:rsid w:val="00B76227"/>
    <w:rsid w:val="00B76A9A"/>
    <w:rsid w:val="00B812D4"/>
    <w:rsid w:val="00B820D6"/>
    <w:rsid w:val="00B91113"/>
    <w:rsid w:val="00B92D81"/>
    <w:rsid w:val="00B94FEA"/>
    <w:rsid w:val="00B962F0"/>
    <w:rsid w:val="00BA0BFD"/>
    <w:rsid w:val="00BA3778"/>
    <w:rsid w:val="00BA654F"/>
    <w:rsid w:val="00BB0CB1"/>
    <w:rsid w:val="00BB24B1"/>
    <w:rsid w:val="00BB2DCA"/>
    <w:rsid w:val="00BB322A"/>
    <w:rsid w:val="00BB35DD"/>
    <w:rsid w:val="00BB45DB"/>
    <w:rsid w:val="00BB7795"/>
    <w:rsid w:val="00BC03E4"/>
    <w:rsid w:val="00BC26DB"/>
    <w:rsid w:val="00BC3D1D"/>
    <w:rsid w:val="00BC5ADA"/>
    <w:rsid w:val="00BC5DBA"/>
    <w:rsid w:val="00BD0F90"/>
    <w:rsid w:val="00BD33A0"/>
    <w:rsid w:val="00BD7CD4"/>
    <w:rsid w:val="00BE0EA7"/>
    <w:rsid w:val="00BE107C"/>
    <w:rsid w:val="00BE110D"/>
    <w:rsid w:val="00BE17D7"/>
    <w:rsid w:val="00BE2C6A"/>
    <w:rsid w:val="00BE2ED3"/>
    <w:rsid w:val="00BE4480"/>
    <w:rsid w:val="00BE6750"/>
    <w:rsid w:val="00BE6B73"/>
    <w:rsid w:val="00BE6BB5"/>
    <w:rsid w:val="00BE7378"/>
    <w:rsid w:val="00BE73D4"/>
    <w:rsid w:val="00BF2AF7"/>
    <w:rsid w:val="00BF437C"/>
    <w:rsid w:val="00BF49B2"/>
    <w:rsid w:val="00BF5AF4"/>
    <w:rsid w:val="00C00FE8"/>
    <w:rsid w:val="00C03227"/>
    <w:rsid w:val="00C0630C"/>
    <w:rsid w:val="00C07484"/>
    <w:rsid w:val="00C13470"/>
    <w:rsid w:val="00C14FD3"/>
    <w:rsid w:val="00C152C3"/>
    <w:rsid w:val="00C15820"/>
    <w:rsid w:val="00C17CE4"/>
    <w:rsid w:val="00C21964"/>
    <w:rsid w:val="00C22823"/>
    <w:rsid w:val="00C24242"/>
    <w:rsid w:val="00C243C9"/>
    <w:rsid w:val="00C251FC"/>
    <w:rsid w:val="00C25539"/>
    <w:rsid w:val="00C311FD"/>
    <w:rsid w:val="00C346EA"/>
    <w:rsid w:val="00C34D88"/>
    <w:rsid w:val="00C36BE7"/>
    <w:rsid w:val="00C37F4D"/>
    <w:rsid w:val="00C41318"/>
    <w:rsid w:val="00C45D84"/>
    <w:rsid w:val="00C4623E"/>
    <w:rsid w:val="00C471AF"/>
    <w:rsid w:val="00C525C0"/>
    <w:rsid w:val="00C5288C"/>
    <w:rsid w:val="00C52FA4"/>
    <w:rsid w:val="00C531CB"/>
    <w:rsid w:val="00C538A7"/>
    <w:rsid w:val="00C5584E"/>
    <w:rsid w:val="00C5587E"/>
    <w:rsid w:val="00C56286"/>
    <w:rsid w:val="00C6141B"/>
    <w:rsid w:val="00C616AA"/>
    <w:rsid w:val="00C618E4"/>
    <w:rsid w:val="00C61D0B"/>
    <w:rsid w:val="00C639EA"/>
    <w:rsid w:val="00C64FC9"/>
    <w:rsid w:val="00C65B0B"/>
    <w:rsid w:val="00C66FCD"/>
    <w:rsid w:val="00C73E99"/>
    <w:rsid w:val="00C76FDE"/>
    <w:rsid w:val="00C77DFC"/>
    <w:rsid w:val="00C80AEE"/>
    <w:rsid w:val="00C82596"/>
    <w:rsid w:val="00C82DA3"/>
    <w:rsid w:val="00C83C6E"/>
    <w:rsid w:val="00C83F68"/>
    <w:rsid w:val="00C85B91"/>
    <w:rsid w:val="00C85C75"/>
    <w:rsid w:val="00C8636D"/>
    <w:rsid w:val="00C869B2"/>
    <w:rsid w:val="00C903BF"/>
    <w:rsid w:val="00C92004"/>
    <w:rsid w:val="00C93F39"/>
    <w:rsid w:val="00C957D8"/>
    <w:rsid w:val="00C95C12"/>
    <w:rsid w:val="00CA42F2"/>
    <w:rsid w:val="00CA515F"/>
    <w:rsid w:val="00CA7505"/>
    <w:rsid w:val="00CA7EAE"/>
    <w:rsid w:val="00CB4076"/>
    <w:rsid w:val="00CB440B"/>
    <w:rsid w:val="00CB597B"/>
    <w:rsid w:val="00CB73B1"/>
    <w:rsid w:val="00CB7D5E"/>
    <w:rsid w:val="00CC3BD2"/>
    <w:rsid w:val="00CC57CC"/>
    <w:rsid w:val="00CC5A8F"/>
    <w:rsid w:val="00CD235A"/>
    <w:rsid w:val="00CD2F15"/>
    <w:rsid w:val="00CD6D84"/>
    <w:rsid w:val="00CE34BA"/>
    <w:rsid w:val="00CE3E55"/>
    <w:rsid w:val="00CE66B8"/>
    <w:rsid w:val="00CE670E"/>
    <w:rsid w:val="00CF1CA5"/>
    <w:rsid w:val="00CF45DC"/>
    <w:rsid w:val="00D0098E"/>
    <w:rsid w:val="00D022CE"/>
    <w:rsid w:val="00D022DD"/>
    <w:rsid w:val="00D033C0"/>
    <w:rsid w:val="00D034D5"/>
    <w:rsid w:val="00D12AE8"/>
    <w:rsid w:val="00D1351A"/>
    <w:rsid w:val="00D14975"/>
    <w:rsid w:val="00D21EB5"/>
    <w:rsid w:val="00D22542"/>
    <w:rsid w:val="00D24D97"/>
    <w:rsid w:val="00D352D7"/>
    <w:rsid w:val="00D35747"/>
    <w:rsid w:val="00D36BF7"/>
    <w:rsid w:val="00D36F04"/>
    <w:rsid w:val="00D412C1"/>
    <w:rsid w:val="00D43713"/>
    <w:rsid w:val="00D451BA"/>
    <w:rsid w:val="00D514C3"/>
    <w:rsid w:val="00D51DDF"/>
    <w:rsid w:val="00D524EA"/>
    <w:rsid w:val="00D54C64"/>
    <w:rsid w:val="00D6321E"/>
    <w:rsid w:val="00D63FD2"/>
    <w:rsid w:val="00D712EC"/>
    <w:rsid w:val="00D7482C"/>
    <w:rsid w:val="00D75394"/>
    <w:rsid w:val="00D80C12"/>
    <w:rsid w:val="00D81521"/>
    <w:rsid w:val="00D81DF8"/>
    <w:rsid w:val="00D8203E"/>
    <w:rsid w:val="00D838C1"/>
    <w:rsid w:val="00D847E5"/>
    <w:rsid w:val="00D84E70"/>
    <w:rsid w:val="00D87E53"/>
    <w:rsid w:val="00D94DFB"/>
    <w:rsid w:val="00D94E18"/>
    <w:rsid w:val="00D959DC"/>
    <w:rsid w:val="00D95E9A"/>
    <w:rsid w:val="00D96023"/>
    <w:rsid w:val="00D962BB"/>
    <w:rsid w:val="00DA5E83"/>
    <w:rsid w:val="00DB1EA8"/>
    <w:rsid w:val="00DB23D1"/>
    <w:rsid w:val="00DB3721"/>
    <w:rsid w:val="00DB6550"/>
    <w:rsid w:val="00DB6B36"/>
    <w:rsid w:val="00DC14B6"/>
    <w:rsid w:val="00DC2CB6"/>
    <w:rsid w:val="00DC3AD3"/>
    <w:rsid w:val="00DC5131"/>
    <w:rsid w:val="00DC52D9"/>
    <w:rsid w:val="00DC538D"/>
    <w:rsid w:val="00DC679D"/>
    <w:rsid w:val="00DC7F54"/>
    <w:rsid w:val="00DD0417"/>
    <w:rsid w:val="00DD05DD"/>
    <w:rsid w:val="00DD0F30"/>
    <w:rsid w:val="00DD456D"/>
    <w:rsid w:val="00DD467A"/>
    <w:rsid w:val="00DD49E9"/>
    <w:rsid w:val="00DD5900"/>
    <w:rsid w:val="00DD697A"/>
    <w:rsid w:val="00DE0CA2"/>
    <w:rsid w:val="00DE2A45"/>
    <w:rsid w:val="00DE3974"/>
    <w:rsid w:val="00DE58F0"/>
    <w:rsid w:val="00DE6059"/>
    <w:rsid w:val="00DE7A53"/>
    <w:rsid w:val="00DE7FC9"/>
    <w:rsid w:val="00DF14ED"/>
    <w:rsid w:val="00DF43BD"/>
    <w:rsid w:val="00DF54BC"/>
    <w:rsid w:val="00DF72BA"/>
    <w:rsid w:val="00E02AF4"/>
    <w:rsid w:val="00E04E7D"/>
    <w:rsid w:val="00E055C0"/>
    <w:rsid w:val="00E0628F"/>
    <w:rsid w:val="00E07069"/>
    <w:rsid w:val="00E109A2"/>
    <w:rsid w:val="00E12FB5"/>
    <w:rsid w:val="00E1351E"/>
    <w:rsid w:val="00E135F0"/>
    <w:rsid w:val="00E16EF4"/>
    <w:rsid w:val="00E20A78"/>
    <w:rsid w:val="00E211D8"/>
    <w:rsid w:val="00E21232"/>
    <w:rsid w:val="00E2210E"/>
    <w:rsid w:val="00E242A4"/>
    <w:rsid w:val="00E24E52"/>
    <w:rsid w:val="00E25BAB"/>
    <w:rsid w:val="00E2746A"/>
    <w:rsid w:val="00E32E08"/>
    <w:rsid w:val="00E3565E"/>
    <w:rsid w:val="00E36F1B"/>
    <w:rsid w:val="00E4261A"/>
    <w:rsid w:val="00E43116"/>
    <w:rsid w:val="00E43D79"/>
    <w:rsid w:val="00E4528C"/>
    <w:rsid w:val="00E4567B"/>
    <w:rsid w:val="00E47D3C"/>
    <w:rsid w:val="00E50045"/>
    <w:rsid w:val="00E5007E"/>
    <w:rsid w:val="00E5236F"/>
    <w:rsid w:val="00E52C94"/>
    <w:rsid w:val="00E530CA"/>
    <w:rsid w:val="00E543A9"/>
    <w:rsid w:val="00E554E2"/>
    <w:rsid w:val="00E65C56"/>
    <w:rsid w:val="00E66088"/>
    <w:rsid w:val="00E67339"/>
    <w:rsid w:val="00E70273"/>
    <w:rsid w:val="00E706A1"/>
    <w:rsid w:val="00E737F9"/>
    <w:rsid w:val="00E74CA0"/>
    <w:rsid w:val="00E755FF"/>
    <w:rsid w:val="00E82100"/>
    <w:rsid w:val="00E86F47"/>
    <w:rsid w:val="00E90986"/>
    <w:rsid w:val="00E909E2"/>
    <w:rsid w:val="00E9194C"/>
    <w:rsid w:val="00E9368C"/>
    <w:rsid w:val="00E93AB9"/>
    <w:rsid w:val="00E95151"/>
    <w:rsid w:val="00E96FC2"/>
    <w:rsid w:val="00E97079"/>
    <w:rsid w:val="00E979FD"/>
    <w:rsid w:val="00EA11E1"/>
    <w:rsid w:val="00EA55A6"/>
    <w:rsid w:val="00EA635F"/>
    <w:rsid w:val="00EB23FA"/>
    <w:rsid w:val="00EB29CC"/>
    <w:rsid w:val="00EB2CF5"/>
    <w:rsid w:val="00EB38E1"/>
    <w:rsid w:val="00EB4C8F"/>
    <w:rsid w:val="00EB5758"/>
    <w:rsid w:val="00EB6688"/>
    <w:rsid w:val="00EC3308"/>
    <w:rsid w:val="00EC5615"/>
    <w:rsid w:val="00EC60E0"/>
    <w:rsid w:val="00ED005E"/>
    <w:rsid w:val="00ED0C90"/>
    <w:rsid w:val="00ED1BAB"/>
    <w:rsid w:val="00ED376C"/>
    <w:rsid w:val="00ED4346"/>
    <w:rsid w:val="00ED43BA"/>
    <w:rsid w:val="00ED483B"/>
    <w:rsid w:val="00ED53F0"/>
    <w:rsid w:val="00EE109C"/>
    <w:rsid w:val="00EE1116"/>
    <w:rsid w:val="00EE1F01"/>
    <w:rsid w:val="00EE3BC8"/>
    <w:rsid w:val="00EE3EBF"/>
    <w:rsid w:val="00EE4E2F"/>
    <w:rsid w:val="00EE74C7"/>
    <w:rsid w:val="00EF0190"/>
    <w:rsid w:val="00EF062E"/>
    <w:rsid w:val="00EF0867"/>
    <w:rsid w:val="00EF3D31"/>
    <w:rsid w:val="00EF55C5"/>
    <w:rsid w:val="00EF73EA"/>
    <w:rsid w:val="00F005AA"/>
    <w:rsid w:val="00F01EEE"/>
    <w:rsid w:val="00F072AD"/>
    <w:rsid w:val="00F1036D"/>
    <w:rsid w:val="00F10C65"/>
    <w:rsid w:val="00F1478F"/>
    <w:rsid w:val="00F22F3D"/>
    <w:rsid w:val="00F24902"/>
    <w:rsid w:val="00F26F6C"/>
    <w:rsid w:val="00F27848"/>
    <w:rsid w:val="00F31042"/>
    <w:rsid w:val="00F31A69"/>
    <w:rsid w:val="00F32587"/>
    <w:rsid w:val="00F32F04"/>
    <w:rsid w:val="00F35C92"/>
    <w:rsid w:val="00F47AA6"/>
    <w:rsid w:val="00F549B2"/>
    <w:rsid w:val="00F56779"/>
    <w:rsid w:val="00F60482"/>
    <w:rsid w:val="00F6066B"/>
    <w:rsid w:val="00F60BDC"/>
    <w:rsid w:val="00F61429"/>
    <w:rsid w:val="00F62C5C"/>
    <w:rsid w:val="00F630A4"/>
    <w:rsid w:val="00F63E37"/>
    <w:rsid w:val="00F66182"/>
    <w:rsid w:val="00F67787"/>
    <w:rsid w:val="00F71322"/>
    <w:rsid w:val="00F71EC5"/>
    <w:rsid w:val="00F735ED"/>
    <w:rsid w:val="00F73E9B"/>
    <w:rsid w:val="00F74A7D"/>
    <w:rsid w:val="00F7778A"/>
    <w:rsid w:val="00F81C84"/>
    <w:rsid w:val="00F842D0"/>
    <w:rsid w:val="00F85164"/>
    <w:rsid w:val="00F86499"/>
    <w:rsid w:val="00F87A82"/>
    <w:rsid w:val="00F90BB8"/>
    <w:rsid w:val="00F92F8E"/>
    <w:rsid w:val="00F97FE3"/>
    <w:rsid w:val="00FA20F9"/>
    <w:rsid w:val="00FA6084"/>
    <w:rsid w:val="00FA61A1"/>
    <w:rsid w:val="00FA72CF"/>
    <w:rsid w:val="00FA7BC9"/>
    <w:rsid w:val="00FA7E10"/>
    <w:rsid w:val="00FB02DE"/>
    <w:rsid w:val="00FB0D48"/>
    <w:rsid w:val="00FB34D2"/>
    <w:rsid w:val="00FB3863"/>
    <w:rsid w:val="00FB4F3D"/>
    <w:rsid w:val="00FB70EB"/>
    <w:rsid w:val="00FC16CD"/>
    <w:rsid w:val="00FC2C2C"/>
    <w:rsid w:val="00FC6C38"/>
    <w:rsid w:val="00FD0E5B"/>
    <w:rsid w:val="00FD1A73"/>
    <w:rsid w:val="00FD5DA1"/>
    <w:rsid w:val="00FD7F7A"/>
    <w:rsid w:val="00FE2204"/>
    <w:rsid w:val="00FE59C4"/>
    <w:rsid w:val="00FE5C2D"/>
    <w:rsid w:val="00FE6577"/>
    <w:rsid w:val="00FF1726"/>
    <w:rsid w:val="00FF1FFE"/>
    <w:rsid w:val="00FF25A8"/>
    <w:rsid w:val="00FF39C7"/>
    <w:rsid w:val="00FF701E"/>
    <w:rsid w:val="00FF77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70961B"/>
  <w15:chartTrackingRefBased/>
  <w15:docId w15:val="{F04277D0-7F7E-4D56-BF56-00601A34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963"/>
    <w:pPr>
      <w:spacing w:line="260" w:lineRule="atLeast"/>
      <w:jc w:val="both"/>
    </w:pPr>
    <w:rPr>
      <w:rFonts w:ascii="Palatino Linotype" w:hAnsi="Palatino Linotype"/>
      <w:noProof/>
      <w:color w:val="000000"/>
    </w:rPr>
  </w:style>
  <w:style w:type="paragraph" w:styleId="Ttulo1">
    <w:name w:val="heading 1"/>
    <w:basedOn w:val="Normal"/>
    <w:next w:val="Textoindependiente"/>
    <w:link w:val="Ttulo1Car"/>
    <w:uiPriority w:val="9"/>
    <w:qFormat/>
    <w:rsid w:val="002F50C4"/>
    <w:pPr>
      <w:keepNext/>
      <w:keepLines/>
      <w:spacing w:before="240" w:after="240" w:line="240" w:lineRule="auto"/>
      <w:jc w:val="left"/>
      <w:outlineLvl w:val="0"/>
    </w:pPr>
    <w:rPr>
      <w:rFonts w:asciiTheme="majorHAnsi" w:eastAsiaTheme="majorEastAsia" w:hAnsiTheme="majorHAnsi" w:cstheme="majorBidi"/>
      <w:b/>
      <w:bCs/>
      <w:noProof w:val="0"/>
      <w:color w:val="auto"/>
      <w:sz w:val="32"/>
      <w:szCs w:val="32"/>
      <w:lang w:eastAsia="en-US"/>
    </w:rPr>
  </w:style>
  <w:style w:type="paragraph" w:styleId="Ttulo4">
    <w:name w:val="heading 4"/>
    <w:basedOn w:val="Normal"/>
    <w:next w:val="Normal"/>
    <w:link w:val="Ttulo4Car"/>
    <w:uiPriority w:val="9"/>
    <w:semiHidden/>
    <w:unhideWhenUsed/>
    <w:qFormat/>
    <w:rsid w:val="002F50C4"/>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Ttulo4"/>
    <w:next w:val="Textoindependiente"/>
    <w:link w:val="Ttulo5Car"/>
    <w:uiPriority w:val="9"/>
    <w:unhideWhenUsed/>
    <w:qFormat/>
    <w:rsid w:val="002F50C4"/>
    <w:pPr>
      <w:pageBreakBefore/>
      <w:spacing w:before="0" w:line="20" w:lineRule="exact"/>
      <w:jc w:val="left"/>
      <w:outlineLvl w:val="4"/>
    </w:pPr>
    <w:rPr>
      <w:b/>
      <w:bCs/>
      <w:i w:val="0"/>
      <w:iCs w:val="0"/>
      <w:noProof w:val="0"/>
      <w:color w:val="FFFFFF" w:themeColor="background1"/>
      <w:sz w:val="16"/>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52230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22304"/>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522304"/>
    <w:rPr>
      <w:rFonts w:ascii="Palatino Linotype" w:hAnsi="Palatino Linotype"/>
      <w:noProof/>
      <w:color w:val="000000"/>
      <w:szCs w:val="18"/>
    </w:rPr>
  </w:style>
  <w:style w:type="paragraph" w:styleId="Encabezado">
    <w:name w:val="header"/>
    <w:basedOn w:val="Normal"/>
    <w:link w:val="EncabezadoC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1070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1070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2230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187A46"/>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522304"/>
    <w:rPr>
      <w:rFonts w:cs="Tahoma"/>
      <w:szCs w:val="18"/>
    </w:rPr>
  </w:style>
  <w:style w:type="character" w:customStyle="1" w:styleId="TextodegloboCar">
    <w:name w:val="Texto de globo Car"/>
    <w:link w:val="Textodeglobo"/>
    <w:uiPriority w:val="99"/>
    <w:rsid w:val="00522304"/>
    <w:rPr>
      <w:rFonts w:ascii="Palatino Linotype" w:hAnsi="Palatino Linotype" w:cs="Tahoma"/>
      <w:noProof/>
      <w:color w:val="000000"/>
      <w:szCs w:val="18"/>
    </w:rPr>
  </w:style>
  <w:style w:type="character" w:styleId="Nmerodelnea">
    <w:name w:val="line number"/>
    <w:uiPriority w:val="99"/>
    <w:rsid w:val="00284BEB"/>
    <w:rPr>
      <w:rFonts w:ascii="Palatino Linotype" w:hAnsi="Palatino Linotype"/>
      <w:sz w:val="16"/>
    </w:rPr>
  </w:style>
  <w:style w:type="table" w:customStyle="1" w:styleId="MDPI41threelinetable">
    <w:name w:val="MDPI_4.1_three_line_table"/>
    <w:basedOn w:val="Tabla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522304"/>
    <w:rPr>
      <w:color w:val="0000FF"/>
      <w:u w:val="single"/>
    </w:rPr>
  </w:style>
  <w:style w:type="character" w:styleId="Mencinsinresolver">
    <w:name w:val="Unresolved Mention"/>
    <w:uiPriority w:val="99"/>
    <w:semiHidden/>
    <w:unhideWhenUsed/>
    <w:rsid w:val="00C243C9"/>
    <w:rPr>
      <w:color w:val="605E5C"/>
      <w:shd w:val="clear" w:color="auto" w:fill="E1DFDD"/>
    </w:rPr>
  </w:style>
  <w:style w:type="table" w:styleId="Tablanormal4">
    <w:name w:val="Plain Table 4"/>
    <w:basedOn w:val="Tabla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06442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2872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fa">
    <w:name w:val="Bibliography"/>
    <w:basedOn w:val="Normal"/>
    <w:next w:val="Normal"/>
    <w:uiPriority w:val="37"/>
    <w:unhideWhenUsed/>
    <w:rsid w:val="00522304"/>
    <w:pPr>
      <w:tabs>
        <w:tab w:val="left" w:pos="384"/>
      </w:tabs>
      <w:spacing w:after="240" w:line="240" w:lineRule="atLeast"/>
      <w:ind w:left="384" w:hanging="384"/>
    </w:pPr>
  </w:style>
  <w:style w:type="paragraph" w:styleId="Textoindependiente">
    <w:name w:val="Body Text"/>
    <w:link w:val="TextoindependienteCar"/>
    <w:rsid w:val="00522304"/>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522304"/>
    <w:rPr>
      <w:rFonts w:ascii="Palatino Linotype" w:hAnsi="Palatino Linotype"/>
      <w:color w:val="000000"/>
      <w:sz w:val="24"/>
      <w:lang w:eastAsia="de-DE"/>
    </w:rPr>
  </w:style>
  <w:style w:type="character" w:styleId="Refdecomentario">
    <w:name w:val="annotation reference"/>
    <w:rsid w:val="00522304"/>
    <w:rPr>
      <w:sz w:val="21"/>
      <w:szCs w:val="21"/>
    </w:rPr>
  </w:style>
  <w:style w:type="paragraph" w:styleId="Textocomentario">
    <w:name w:val="annotation text"/>
    <w:basedOn w:val="Normal"/>
    <w:link w:val="TextocomentarioCar"/>
    <w:rsid w:val="00522304"/>
  </w:style>
  <w:style w:type="character" w:customStyle="1" w:styleId="TextocomentarioCar">
    <w:name w:val="Texto comentario Car"/>
    <w:link w:val="Textocomentario"/>
    <w:rsid w:val="00522304"/>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522304"/>
    <w:rPr>
      <w:b/>
      <w:bCs/>
    </w:rPr>
  </w:style>
  <w:style w:type="character" w:customStyle="1" w:styleId="AsuntodelcomentarioCar">
    <w:name w:val="Asunto del comentario Car"/>
    <w:link w:val="Asuntodelcomentario"/>
    <w:rsid w:val="00522304"/>
    <w:rPr>
      <w:rFonts w:ascii="Palatino Linotype" w:hAnsi="Palatino Linotype"/>
      <w:b/>
      <w:bCs/>
      <w:noProof/>
      <w:color w:val="000000"/>
    </w:rPr>
  </w:style>
  <w:style w:type="character" w:styleId="Refdenotaalfinal">
    <w:name w:val="endnote reference"/>
    <w:rsid w:val="00522304"/>
    <w:rPr>
      <w:vertAlign w:val="superscript"/>
    </w:rPr>
  </w:style>
  <w:style w:type="paragraph" w:styleId="Textonotaalfinal">
    <w:name w:val="endnote text"/>
    <w:basedOn w:val="Normal"/>
    <w:link w:val="TextonotaalfinalCar"/>
    <w:semiHidden/>
    <w:unhideWhenUsed/>
    <w:rsid w:val="00522304"/>
    <w:pPr>
      <w:spacing w:line="240" w:lineRule="auto"/>
    </w:pPr>
  </w:style>
  <w:style w:type="character" w:customStyle="1" w:styleId="TextonotaalfinalCar">
    <w:name w:val="Texto nota al final Car"/>
    <w:link w:val="Textonotaalfinal"/>
    <w:semiHidden/>
    <w:rsid w:val="00522304"/>
    <w:rPr>
      <w:rFonts w:ascii="Palatino Linotype" w:hAnsi="Palatino Linotype"/>
      <w:noProof/>
      <w:color w:val="000000"/>
    </w:rPr>
  </w:style>
  <w:style w:type="character" w:styleId="Hipervnculovisitado">
    <w:name w:val="FollowedHyperlink"/>
    <w:rsid w:val="00522304"/>
    <w:rPr>
      <w:color w:val="954F72"/>
      <w:u w:val="single"/>
    </w:rPr>
  </w:style>
  <w:style w:type="paragraph" w:styleId="Textonotapie">
    <w:name w:val="footnote text"/>
    <w:basedOn w:val="Normal"/>
    <w:link w:val="TextonotapieCar"/>
    <w:semiHidden/>
    <w:unhideWhenUsed/>
    <w:rsid w:val="00522304"/>
    <w:pPr>
      <w:spacing w:line="240" w:lineRule="auto"/>
    </w:pPr>
  </w:style>
  <w:style w:type="character" w:customStyle="1" w:styleId="TextonotapieCar">
    <w:name w:val="Texto nota pie Car"/>
    <w:link w:val="Textonotapie"/>
    <w:semiHidden/>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Nmerodepgina">
    <w:name w:val="page number"/>
    <w:rsid w:val="00522304"/>
  </w:style>
  <w:style w:type="character" w:styleId="Textodelmarcadordeposicin">
    <w:name w:val="Placeholder Text"/>
    <w:uiPriority w:val="99"/>
    <w:semiHidden/>
    <w:rsid w:val="00522304"/>
    <w:rPr>
      <w:color w:val="808080"/>
    </w:rPr>
  </w:style>
  <w:style w:type="paragraph" w:customStyle="1" w:styleId="MDPI71FootNotes">
    <w:name w:val="MDPI_7.1_FootNotes"/>
    <w:qFormat/>
    <w:rsid w:val="00262314"/>
    <w:pPr>
      <w:numPr>
        <w:numId w:val="21"/>
      </w:numPr>
      <w:adjustRightInd w:val="0"/>
      <w:snapToGrid w:val="0"/>
      <w:spacing w:line="228" w:lineRule="auto"/>
    </w:pPr>
    <w:rPr>
      <w:rFonts w:ascii="Palatino Linotype" w:eastAsiaTheme="minorEastAsia" w:hAnsi="Palatino Linotype"/>
      <w:noProof/>
      <w:color w:val="000000"/>
      <w:sz w:val="18"/>
    </w:rPr>
  </w:style>
  <w:style w:type="table" w:styleId="Tablanormal2">
    <w:name w:val="Plain Table 2"/>
    <w:basedOn w:val="Tablanormal"/>
    <w:uiPriority w:val="42"/>
    <w:rsid w:val="00FD1A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314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8B44F6"/>
    <w:pPr>
      <w:spacing w:after="160" w:line="259" w:lineRule="auto"/>
      <w:ind w:left="720"/>
      <w:contextualSpacing/>
      <w:jc w:val="left"/>
    </w:pPr>
    <w:rPr>
      <w:rFonts w:asciiTheme="minorHAnsi" w:eastAsiaTheme="minorHAnsi" w:hAnsiTheme="minorHAnsi" w:cstheme="minorBidi"/>
      <w:noProof w:val="0"/>
      <w:color w:val="auto"/>
      <w:sz w:val="22"/>
      <w:szCs w:val="22"/>
      <w:lang w:val="en-AU" w:eastAsia="en-US"/>
    </w:rPr>
  </w:style>
  <w:style w:type="character" w:customStyle="1" w:styleId="Ttulo1Car">
    <w:name w:val="Título 1 Car"/>
    <w:basedOn w:val="Fuentedeprrafopredeter"/>
    <w:link w:val="Ttulo1"/>
    <w:uiPriority w:val="9"/>
    <w:rsid w:val="002F50C4"/>
    <w:rPr>
      <w:rFonts w:asciiTheme="majorHAnsi" w:eastAsiaTheme="majorEastAsia" w:hAnsiTheme="majorHAnsi" w:cstheme="majorBidi"/>
      <w:b/>
      <w:bCs/>
      <w:sz w:val="32"/>
      <w:szCs w:val="32"/>
      <w:lang w:eastAsia="en-US"/>
    </w:rPr>
  </w:style>
  <w:style w:type="character" w:customStyle="1" w:styleId="Ttulo5Car">
    <w:name w:val="Título 5 Car"/>
    <w:basedOn w:val="Fuentedeprrafopredeter"/>
    <w:link w:val="Ttulo5"/>
    <w:uiPriority w:val="9"/>
    <w:rsid w:val="002F50C4"/>
    <w:rPr>
      <w:rFonts w:asciiTheme="majorHAnsi" w:eastAsiaTheme="majorEastAsia" w:hAnsiTheme="majorHAnsi" w:cstheme="majorBidi"/>
      <w:b/>
      <w:bCs/>
      <w:color w:val="FFFFFF" w:themeColor="background1"/>
      <w:sz w:val="16"/>
      <w:szCs w:val="24"/>
      <w:lang w:eastAsia="en-US"/>
    </w:rPr>
  </w:style>
  <w:style w:type="paragraph" w:customStyle="1" w:styleId="FirstParagraph">
    <w:name w:val="First Paragraph"/>
    <w:basedOn w:val="Textoindependiente"/>
    <w:next w:val="Textoindependiente"/>
    <w:qFormat/>
    <w:rsid w:val="002F50C4"/>
    <w:pPr>
      <w:spacing w:before="120" w:line="240" w:lineRule="auto"/>
      <w:jc w:val="left"/>
    </w:pPr>
    <w:rPr>
      <w:rFonts w:asciiTheme="minorHAnsi" w:eastAsiaTheme="minorHAnsi" w:hAnsiTheme="minorHAnsi" w:cstheme="minorBidi"/>
      <w:color w:val="auto"/>
      <w:szCs w:val="24"/>
      <w:lang w:eastAsia="en-US"/>
    </w:rPr>
  </w:style>
  <w:style w:type="character" w:customStyle="1" w:styleId="Ttulo4Car">
    <w:name w:val="Título 4 Car"/>
    <w:basedOn w:val="Fuentedeprrafopredeter"/>
    <w:link w:val="Ttulo4"/>
    <w:uiPriority w:val="9"/>
    <w:semiHidden/>
    <w:rsid w:val="002F50C4"/>
    <w:rPr>
      <w:rFonts w:asciiTheme="majorHAnsi" w:eastAsiaTheme="majorEastAsia" w:hAnsiTheme="majorHAnsi" w:cstheme="majorBidi"/>
      <w:i/>
      <w:iCs/>
      <w:noProof/>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327243">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win_leon@usmp.pe" TargetMode="External"/><Relationship Id="rId13" Type="http://schemas.openxmlformats.org/officeDocument/2006/relationships/header" Target="header1.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www.prisma-statement.org" TargetMode="External"/><Relationship Id="rId17" Type="http://schemas.openxmlformats.org/officeDocument/2006/relationships/hyperlink" Target="https://jbi-global-wiki.refined.site/space/MANUAL"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ynthesismanual.jbi.global/"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alladares@continental.edu.pe"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mailto:mvalladares@continental.edu.pe"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mailto:jbarbozameca@gmail.com"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win%20Anthony%20Le&#243;n\Downloads\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8F7FD-D75B-4DBF-94CF-5D603C5B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ijerph-template</Template>
  <TotalTime>69</TotalTime>
  <Pages>22</Pages>
  <Words>16214</Words>
  <Characters>89177</Characters>
  <Application>Microsoft Office Word</Application>
  <DocSecurity>0</DocSecurity>
  <Lines>743</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105181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Darwin Anthony León</dc:creator>
  <cp:keywords/>
  <dc:description/>
  <cp:lastModifiedBy>Darwin A. León-Figueroa</cp:lastModifiedBy>
  <cp:revision>26</cp:revision>
  <cp:lastPrinted>2023-06-27T03:08:00Z</cp:lastPrinted>
  <dcterms:created xsi:type="dcterms:W3CDTF">2023-12-30T21:22:00Z</dcterms:created>
  <dcterms:modified xsi:type="dcterms:W3CDTF">2023-12-31T03:52:00Z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id="JHd8CGN9"/&gt;&lt;style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