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39AF8" w14:textId="77777777" w:rsidR="00364756" w:rsidRPr="00E20FBC" w:rsidRDefault="00364756" w:rsidP="00364756">
      <w:pPr>
        <w:spacing w:before="240" w:after="240" w:line="480" w:lineRule="auto"/>
        <w:rPr>
          <w:rFonts w:ascii="Times New Roman" w:eastAsia="Times New Roman" w:hAnsi="Times New Roman" w:cs="Times New Roman"/>
          <w:b/>
          <w:sz w:val="20"/>
          <w:szCs w:val="20"/>
          <w:lang w:val="en-GB"/>
        </w:rPr>
      </w:pPr>
      <w:r w:rsidRPr="00E20FBC">
        <w:rPr>
          <w:rFonts w:ascii="Times New Roman" w:eastAsia="Times New Roman" w:hAnsi="Times New Roman" w:cs="Times New Roman"/>
          <w:b/>
          <w:sz w:val="20"/>
          <w:szCs w:val="20"/>
          <w:lang w:val="en-GB"/>
        </w:rPr>
        <w:t>Supplementary File 2 - Haemoglobin proportion analysis</w:t>
      </w:r>
    </w:p>
    <w:p w14:paraId="086CE1DB" w14:textId="77777777" w:rsidR="00364756" w:rsidRPr="00B67E36" w:rsidRDefault="00364756" w:rsidP="00364756">
      <w:pPr>
        <w:spacing w:before="240" w:after="240" w:line="480" w:lineRule="auto"/>
        <w:jc w:val="both"/>
        <w:rPr>
          <w:rFonts w:ascii="Times New Roman" w:eastAsia="Times New Roman" w:hAnsi="Times New Roman" w:cs="Times New Roman"/>
          <w:sz w:val="20"/>
          <w:szCs w:val="20"/>
          <w:lang w:val="en-GB"/>
        </w:rPr>
      </w:pPr>
      <w:r w:rsidRPr="00B67E36">
        <w:rPr>
          <w:rFonts w:ascii="Times New Roman" w:eastAsia="Times New Roman" w:hAnsi="Times New Roman" w:cs="Times New Roman"/>
          <w:sz w:val="20"/>
          <w:szCs w:val="20"/>
          <w:lang w:val="en-GB"/>
        </w:rPr>
        <w:t>Figure 1 depicts the distribution of the Hb variants in the sample studied with electrophoresis. This analysis excludes SCD cases (HbSS and HbSC) as the equipment was not able to give Hb proportion in the absence of HbA. Participants with SCT presented HbS proportions between 21.8% and 33.8%, with a mean of 29.0%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3.0). </w:t>
      </w:r>
      <w:proofErr w:type="spellStart"/>
      <w:r w:rsidRPr="00B67E36">
        <w:rPr>
          <w:rFonts w:ascii="Times New Roman" w:eastAsia="Times New Roman" w:hAnsi="Times New Roman" w:cs="Times New Roman"/>
          <w:sz w:val="20"/>
          <w:szCs w:val="20"/>
          <w:lang w:val="en-GB"/>
        </w:rPr>
        <w:t>HbC</w:t>
      </w:r>
      <w:proofErr w:type="spellEnd"/>
      <w:r w:rsidRPr="00B67E36">
        <w:rPr>
          <w:rFonts w:ascii="Times New Roman" w:eastAsia="Times New Roman" w:hAnsi="Times New Roman" w:cs="Times New Roman"/>
          <w:sz w:val="20"/>
          <w:szCs w:val="20"/>
          <w:lang w:val="en-GB"/>
        </w:rPr>
        <w:t xml:space="preserve"> carriers presented similar values for </w:t>
      </w:r>
      <w:proofErr w:type="spellStart"/>
      <w:r w:rsidRPr="00B67E36">
        <w:rPr>
          <w:rFonts w:ascii="Times New Roman" w:eastAsia="Times New Roman" w:hAnsi="Times New Roman" w:cs="Times New Roman"/>
          <w:sz w:val="20"/>
          <w:szCs w:val="20"/>
          <w:lang w:val="en-GB"/>
        </w:rPr>
        <w:t>HbC</w:t>
      </w:r>
      <w:proofErr w:type="spellEnd"/>
      <w:r w:rsidRPr="00B67E36">
        <w:rPr>
          <w:rFonts w:ascii="Times New Roman" w:eastAsia="Times New Roman" w:hAnsi="Times New Roman" w:cs="Times New Roman"/>
          <w:sz w:val="20"/>
          <w:szCs w:val="20"/>
          <w:lang w:val="en-GB"/>
        </w:rPr>
        <w:t>, with proportions between 27.0% and 34.8%, with a mean value of 32.0%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2.84). In both SCT and </w:t>
      </w:r>
      <w:proofErr w:type="spellStart"/>
      <w:r w:rsidRPr="00B67E36">
        <w:rPr>
          <w:rFonts w:ascii="Times New Roman" w:eastAsia="Times New Roman" w:hAnsi="Times New Roman" w:cs="Times New Roman"/>
          <w:sz w:val="20"/>
          <w:szCs w:val="20"/>
          <w:lang w:val="en-GB"/>
        </w:rPr>
        <w:t>HbC</w:t>
      </w:r>
      <w:proofErr w:type="spellEnd"/>
      <w:r w:rsidRPr="00B67E36">
        <w:rPr>
          <w:rFonts w:ascii="Times New Roman" w:eastAsia="Times New Roman" w:hAnsi="Times New Roman" w:cs="Times New Roman"/>
          <w:sz w:val="20"/>
          <w:szCs w:val="20"/>
          <w:lang w:val="en-GB"/>
        </w:rPr>
        <w:t xml:space="preserve"> carriers, there was an overlapping of HbA proportion, with mean values of </w:t>
      </w:r>
      <w:proofErr w:type="gramStart"/>
      <w:r w:rsidRPr="00B67E36">
        <w:rPr>
          <w:rFonts w:ascii="Times New Roman" w:eastAsia="Times New Roman" w:hAnsi="Times New Roman" w:cs="Times New Roman"/>
          <w:sz w:val="20"/>
          <w:szCs w:val="20"/>
          <w:lang w:val="en-GB"/>
        </w:rPr>
        <w:t>58..</w:t>
      </w:r>
      <w:proofErr w:type="gramEnd"/>
      <w:r w:rsidRPr="00B67E36">
        <w:rPr>
          <w:rFonts w:ascii="Times New Roman" w:eastAsia="Times New Roman" w:hAnsi="Times New Roman" w:cs="Times New Roman"/>
          <w:sz w:val="20"/>
          <w:szCs w:val="20"/>
          <w:lang w:val="en-GB"/>
        </w:rPr>
        <w:t>4%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2.6) and 58.0%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2.3) respectively. On its side, </w:t>
      </w:r>
      <w:proofErr w:type="spellStart"/>
      <w:r w:rsidRPr="00B67E36">
        <w:rPr>
          <w:rFonts w:ascii="Times New Roman" w:eastAsia="Times New Roman" w:hAnsi="Times New Roman" w:cs="Times New Roman"/>
          <w:sz w:val="20"/>
          <w:szCs w:val="20"/>
          <w:lang w:val="en-GB"/>
        </w:rPr>
        <w:t>HbF</w:t>
      </w:r>
      <w:proofErr w:type="spellEnd"/>
      <w:r w:rsidRPr="00B67E36">
        <w:rPr>
          <w:rFonts w:ascii="Times New Roman" w:eastAsia="Times New Roman" w:hAnsi="Times New Roman" w:cs="Times New Roman"/>
          <w:sz w:val="20"/>
          <w:szCs w:val="20"/>
          <w:lang w:val="en-GB"/>
        </w:rPr>
        <w:t xml:space="preserve"> registered similar distributions between the three groups, with SCT cases registering slightly higher values - a mean value of 1.14%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0.81) against 0.79%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0.50) for </w:t>
      </w:r>
      <w:proofErr w:type="spellStart"/>
      <w:r w:rsidRPr="00B67E36">
        <w:rPr>
          <w:rFonts w:ascii="Times New Roman" w:eastAsia="Times New Roman" w:hAnsi="Times New Roman" w:cs="Times New Roman"/>
          <w:sz w:val="20"/>
          <w:szCs w:val="20"/>
          <w:lang w:val="en-GB"/>
        </w:rPr>
        <w:t>HbC</w:t>
      </w:r>
      <w:proofErr w:type="spellEnd"/>
      <w:r w:rsidRPr="00B67E36">
        <w:rPr>
          <w:rFonts w:ascii="Times New Roman" w:eastAsia="Times New Roman" w:hAnsi="Times New Roman" w:cs="Times New Roman"/>
          <w:sz w:val="20"/>
          <w:szCs w:val="20"/>
          <w:lang w:val="en-GB"/>
        </w:rPr>
        <w:t xml:space="preserve"> carriers and 0.99% (</w:t>
      </w:r>
      <w:proofErr w:type="spellStart"/>
      <w:r w:rsidRPr="00B67E36">
        <w:rPr>
          <w:rFonts w:ascii="Times New Roman" w:eastAsia="Times New Roman" w:hAnsi="Times New Roman" w:cs="Times New Roman"/>
          <w:sz w:val="20"/>
          <w:szCs w:val="20"/>
          <w:lang w:val="en-GB"/>
        </w:rPr>
        <w:t>sd</w:t>
      </w:r>
      <w:proofErr w:type="spellEnd"/>
      <w:r w:rsidRPr="00B67E36">
        <w:rPr>
          <w:rFonts w:ascii="Times New Roman" w:eastAsia="Times New Roman" w:hAnsi="Times New Roman" w:cs="Times New Roman"/>
          <w:sz w:val="20"/>
          <w:szCs w:val="20"/>
          <w:lang w:val="en-GB"/>
        </w:rPr>
        <w:t xml:space="preserve"> 1.34) for participants with no variant. Levels of </w:t>
      </w:r>
      <w:proofErr w:type="spellStart"/>
      <w:r w:rsidRPr="00B67E36">
        <w:rPr>
          <w:rFonts w:ascii="Times New Roman" w:eastAsia="Times New Roman" w:hAnsi="Times New Roman" w:cs="Times New Roman"/>
          <w:sz w:val="20"/>
          <w:szCs w:val="20"/>
          <w:lang w:val="en-GB"/>
        </w:rPr>
        <w:t>HbF</w:t>
      </w:r>
      <w:proofErr w:type="spellEnd"/>
      <w:r w:rsidRPr="00B67E36">
        <w:rPr>
          <w:rFonts w:ascii="Times New Roman" w:eastAsia="Times New Roman" w:hAnsi="Times New Roman" w:cs="Times New Roman"/>
          <w:sz w:val="20"/>
          <w:szCs w:val="20"/>
          <w:lang w:val="en-GB"/>
        </w:rPr>
        <w:t xml:space="preserve"> above 2.0% were observed in 15 participants, three with SCT and 12 without HbS or </w:t>
      </w:r>
      <w:proofErr w:type="spellStart"/>
      <w:r w:rsidRPr="00B67E36">
        <w:rPr>
          <w:rFonts w:ascii="Times New Roman" w:eastAsia="Times New Roman" w:hAnsi="Times New Roman" w:cs="Times New Roman"/>
          <w:sz w:val="20"/>
          <w:szCs w:val="20"/>
          <w:lang w:val="en-GB"/>
        </w:rPr>
        <w:t>HbC</w:t>
      </w:r>
      <w:proofErr w:type="spellEnd"/>
      <w:r w:rsidRPr="00B67E36">
        <w:rPr>
          <w:rFonts w:ascii="Times New Roman" w:eastAsia="Times New Roman" w:hAnsi="Times New Roman" w:cs="Times New Roman"/>
          <w:sz w:val="20"/>
          <w:szCs w:val="20"/>
          <w:lang w:val="en-GB"/>
        </w:rPr>
        <w:t xml:space="preserve">, one of them (no SCT) with 12.8%. </w:t>
      </w:r>
    </w:p>
    <w:p w14:paraId="54214628" w14:textId="77777777" w:rsidR="00364756" w:rsidRPr="00B67E36" w:rsidRDefault="00364756" w:rsidP="00364756">
      <w:pPr>
        <w:spacing w:before="240" w:after="240" w:line="480" w:lineRule="auto"/>
        <w:jc w:val="both"/>
        <w:rPr>
          <w:rFonts w:ascii="Times New Roman" w:eastAsia="Times New Roman" w:hAnsi="Times New Roman" w:cs="Times New Roman"/>
          <w:b/>
          <w:sz w:val="20"/>
          <w:szCs w:val="20"/>
          <w:lang w:val="en-GB"/>
        </w:rPr>
      </w:pPr>
      <w:r w:rsidRPr="00B67E36">
        <w:rPr>
          <w:rFonts w:ascii="Times New Roman" w:eastAsia="Times New Roman" w:hAnsi="Times New Roman" w:cs="Times New Roman"/>
          <w:b/>
          <w:sz w:val="20"/>
          <w:szCs w:val="20"/>
          <w:lang w:val="en-GB"/>
        </w:rPr>
        <w:t xml:space="preserve">Figure 1: Hb variants proportion according to </w:t>
      </w:r>
      <w:r>
        <w:rPr>
          <w:rFonts w:ascii="Times New Roman" w:eastAsia="Times New Roman" w:hAnsi="Times New Roman" w:cs="Times New Roman"/>
          <w:b/>
          <w:sz w:val="20"/>
          <w:szCs w:val="20"/>
          <w:lang w:val="en-GB"/>
        </w:rPr>
        <w:t xml:space="preserve">sickle cell </w:t>
      </w:r>
      <w:proofErr w:type="gramStart"/>
      <w:r>
        <w:rPr>
          <w:rFonts w:ascii="Times New Roman" w:eastAsia="Times New Roman" w:hAnsi="Times New Roman" w:cs="Times New Roman"/>
          <w:b/>
          <w:sz w:val="20"/>
          <w:szCs w:val="20"/>
          <w:lang w:val="en-GB"/>
        </w:rPr>
        <w:t>status</w:t>
      </w:r>
      <w:proofErr w:type="gramEnd"/>
    </w:p>
    <w:p w14:paraId="1B8D3DD5" w14:textId="77777777" w:rsidR="00364756" w:rsidRDefault="00364756" w:rsidP="00364756">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5BB1330" wp14:editId="54DC139E">
            <wp:extent cx="5399730" cy="3327400"/>
            <wp:effectExtent l="0" t="0" r="0" b="0"/>
            <wp:docPr id="2" name="image2.png" descr="Uma imagem com texto, captura de ecrã, diagrama, file&#10;&#10;Descrição gerada automaticamente"/>
            <wp:cNvGraphicFramePr/>
            <a:graphic xmlns:a="http://schemas.openxmlformats.org/drawingml/2006/main">
              <a:graphicData uri="http://schemas.openxmlformats.org/drawingml/2006/picture">
                <pic:pic xmlns:pic="http://schemas.openxmlformats.org/drawingml/2006/picture">
                  <pic:nvPicPr>
                    <pic:cNvPr id="2" name="image2.png" descr="Uma imagem com texto, captura de ecrã, diagrama, file&#10;&#10;Descrição gerada automaticamente"/>
                    <pic:cNvPicPr preferRelativeResize="0"/>
                  </pic:nvPicPr>
                  <pic:blipFill>
                    <a:blip r:embed="rId7"/>
                    <a:srcRect/>
                    <a:stretch>
                      <a:fillRect/>
                    </a:stretch>
                  </pic:blipFill>
                  <pic:spPr>
                    <a:xfrm>
                      <a:off x="0" y="0"/>
                      <a:ext cx="5399730" cy="3327400"/>
                    </a:xfrm>
                    <a:prstGeom prst="rect">
                      <a:avLst/>
                    </a:prstGeom>
                    <a:ln/>
                  </pic:spPr>
                </pic:pic>
              </a:graphicData>
            </a:graphic>
          </wp:inline>
        </w:drawing>
      </w:r>
    </w:p>
    <w:p w14:paraId="1489CAEE" w14:textId="77777777" w:rsidR="00364756" w:rsidRPr="00B67E36" w:rsidRDefault="00364756" w:rsidP="00364756">
      <w:pPr>
        <w:spacing w:before="240" w:after="240" w:line="480" w:lineRule="auto"/>
        <w:rPr>
          <w:rFonts w:ascii="Times New Roman" w:eastAsia="Times New Roman" w:hAnsi="Times New Roman" w:cs="Times New Roman"/>
          <w:b/>
          <w:sz w:val="20"/>
          <w:szCs w:val="20"/>
          <w:lang w:val="en-GB"/>
        </w:rPr>
      </w:pPr>
      <w:r w:rsidRPr="00B67E36">
        <w:rPr>
          <w:rFonts w:ascii="Times New Roman" w:eastAsia="Times New Roman" w:hAnsi="Times New Roman" w:cs="Times New Roman"/>
          <w:b/>
          <w:sz w:val="20"/>
          <w:szCs w:val="20"/>
          <w:lang w:val="en-GB"/>
        </w:rPr>
        <w:t xml:space="preserve">Interpretation </w:t>
      </w:r>
    </w:p>
    <w:p w14:paraId="053AC8EF" w14:textId="77777777" w:rsidR="00364756" w:rsidRPr="00B67E36" w:rsidRDefault="00364756" w:rsidP="00364756">
      <w:pPr>
        <w:spacing w:before="240" w:after="240" w:line="480" w:lineRule="auto"/>
        <w:jc w:val="both"/>
        <w:rPr>
          <w:rFonts w:ascii="Times New Roman" w:eastAsia="Times New Roman" w:hAnsi="Times New Roman" w:cs="Times New Roman"/>
          <w:sz w:val="20"/>
          <w:szCs w:val="20"/>
          <w:lang w:val="en-GB"/>
        </w:rPr>
      </w:pPr>
      <w:r w:rsidRPr="00B67E36">
        <w:rPr>
          <w:rFonts w:ascii="Times New Roman" w:eastAsia="Times New Roman" w:hAnsi="Times New Roman" w:cs="Times New Roman"/>
          <w:sz w:val="20"/>
          <w:szCs w:val="20"/>
          <w:lang w:val="en-GB"/>
        </w:rPr>
        <w:t xml:space="preserve">The proportion of HbS in SCT is affected by the association with alpha thalassemia. HbS levels can be lower in the case of concomitant heterozygous alpha thalassemia, and much lower in the homozygous state. </w:t>
      </w:r>
      <w:r w:rsidRPr="00B67E36">
        <w:rPr>
          <w:rFonts w:ascii="Times New Roman" w:eastAsia="Times New Roman" w:hAnsi="Times New Roman" w:cs="Times New Roman"/>
          <w:sz w:val="20"/>
          <w:szCs w:val="20"/>
          <w:lang w:val="en-GB"/>
        </w:rPr>
        <w:lastRenderedPageBreak/>
        <w:t xml:space="preserve">As the -alpha 3.7 deletion is a benign condition frequent in African countries, the lower values of HbS registered may be caused by double heterozygosity with the -alpha 3.7 deletion. </w:t>
      </w:r>
    </w:p>
    <w:p w14:paraId="3B3B1C57" w14:textId="47233E1E" w:rsidR="00364756" w:rsidRPr="00B67E36" w:rsidRDefault="00364756" w:rsidP="00364756">
      <w:pPr>
        <w:spacing w:before="240" w:after="240" w:line="480" w:lineRule="auto"/>
        <w:jc w:val="both"/>
        <w:rPr>
          <w:rFonts w:ascii="Times New Roman" w:eastAsia="Times New Roman" w:hAnsi="Times New Roman" w:cs="Times New Roman"/>
          <w:sz w:val="24"/>
          <w:szCs w:val="24"/>
          <w:lang w:val="en-GB"/>
        </w:rPr>
      </w:pPr>
      <w:r w:rsidRPr="00B67E36">
        <w:rPr>
          <w:rFonts w:ascii="Times New Roman" w:eastAsia="Times New Roman" w:hAnsi="Times New Roman" w:cs="Times New Roman"/>
          <w:sz w:val="20"/>
          <w:szCs w:val="20"/>
          <w:lang w:val="en-GB"/>
        </w:rPr>
        <w:t xml:space="preserve">The high levels of </w:t>
      </w:r>
      <w:proofErr w:type="spellStart"/>
      <w:r w:rsidRPr="00B67E36">
        <w:rPr>
          <w:rFonts w:ascii="Times New Roman" w:eastAsia="Times New Roman" w:hAnsi="Times New Roman" w:cs="Times New Roman"/>
          <w:sz w:val="20"/>
          <w:szCs w:val="20"/>
          <w:lang w:val="en-GB"/>
        </w:rPr>
        <w:t>HbF</w:t>
      </w:r>
      <w:proofErr w:type="spellEnd"/>
      <w:r w:rsidRPr="00B67E36">
        <w:rPr>
          <w:rFonts w:ascii="Times New Roman" w:eastAsia="Times New Roman" w:hAnsi="Times New Roman" w:cs="Times New Roman"/>
          <w:sz w:val="20"/>
          <w:szCs w:val="20"/>
          <w:lang w:val="en-GB"/>
        </w:rPr>
        <w:t xml:space="preserve"> (&gt; 2.0%) registered in some of the samples are not relevant, except for the </w:t>
      </w:r>
      <w:r w:rsidR="00085C52">
        <w:rPr>
          <w:rFonts w:ascii="Times New Roman" w:eastAsia="Times New Roman" w:hAnsi="Times New Roman" w:cs="Times New Roman"/>
          <w:sz w:val="20"/>
          <w:szCs w:val="20"/>
          <w:lang w:val="en-GB"/>
        </w:rPr>
        <w:t>two samples</w:t>
      </w:r>
      <w:r w:rsidRPr="00B67E36">
        <w:rPr>
          <w:rFonts w:ascii="Times New Roman" w:eastAsia="Times New Roman" w:hAnsi="Times New Roman" w:cs="Times New Roman"/>
          <w:sz w:val="20"/>
          <w:szCs w:val="20"/>
          <w:lang w:val="en-GB"/>
        </w:rPr>
        <w:t xml:space="preserve"> with </w:t>
      </w:r>
      <w:r w:rsidR="00085C52">
        <w:rPr>
          <w:rFonts w:ascii="Times New Roman" w:eastAsia="Times New Roman" w:hAnsi="Times New Roman" w:cs="Times New Roman"/>
          <w:sz w:val="20"/>
          <w:szCs w:val="20"/>
          <w:lang w:val="en-GB"/>
        </w:rPr>
        <w:t xml:space="preserve">more than </w:t>
      </w:r>
      <w:r w:rsidRPr="00B67E36">
        <w:rPr>
          <w:rFonts w:ascii="Times New Roman" w:eastAsia="Times New Roman" w:hAnsi="Times New Roman" w:cs="Times New Roman"/>
          <w:sz w:val="20"/>
          <w:szCs w:val="20"/>
          <w:lang w:val="en-GB"/>
        </w:rPr>
        <w:t>12.</w:t>
      </w:r>
      <w:r w:rsidR="00085C52">
        <w:rPr>
          <w:rFonts w:ascii="Times New Roman" w:eastAsia="Times New Roman" w:hAnsi="Times New Roman" w:cs="Times New Roman"/>
          <w:sz w:val="20"/>
          <w:szCs w:val="20"/>
          <w:lang w:val="en-GB"/>
        </w:rPr>
        <w:t>0</w:t>
      </w:r>
      <w:r w:rsidRPr="00B67E36">
        <w:rPr>
          <w:rFonts w:ascii="Times New Roman" w:eastAsia="Times New Roman" w:hAnsi="Times New Roman" w:cs="Times New Roman"/>
          <w:sz w:val="20"/>
          <w:szCs w:val="20"/>
          <w:lang w:val="en-GB"/>
        </w:rPr>
        <w:t>%</w:t>
      </w:r>
      <w:r w:rsidR="00085C52">
        <w:rPr>
          <w:rFonts w:ascii="Times New Roman" w:eastAsia="Times New Roman" w:hAnsi="Times New Roman" w:cs="Times New Roman"/>
          <w:sz w:val="20"/>
          <w:szCs w:val="20"/>
          <w:lang w:val="en-GB"/>
        </w:rPr>
        <w:t xml:space="preserve">. </w:t>
      </w:r>
      <w:r w:rsidR="00085C52" w:rsidRPr="007747B3">
        <w:rPr>
          <w:color w:val="000000"/>
          <w:sz w:val="20"/>
          <w:szCs w:val="20"/>
          <w:lang w:val="en-GB"/>
        </w:rPr>
        <w:t xml:space="preserve">One had a heterozygous mutation known as Cape Verdean </w:t>
      </w:r>
      <w:proofErr w:type="spellStart"/>
      <w:r w:rsidR="00085C52" w:rsidRPr="007747B3">
        <w:rPr>
          <w:color w:val="000000"/>
          <w:sz w:val="20"/>
          <w:szCs w:val="20"/>
          <w:lang w:val="en-GB"/>
        </w:rPr>
        <w:t>deltabeta</w:t>
      </w:r>
      <w:proofErr w:type="spellEnd"/>
      <w:r w:rsidR="00085C52" w:rsidRPr="007747B3">
        <w:rPr>
          <w:color w:val="000000"/>
          <w:sz w:val="20"/>
          <w:szCs w:val="20"/>
          <w:lang w:val="en-GB"/>
        </w:rPr>
        <w:t xml:space="preserve"> deletion, and the other had a frameshift (</w:t>
      </w:r>
      <w:proofErr w:type="gramStart"/>
      <w:r w:rsidR="00085C52" w:rsidRPr="007747B3">
        <w:rPr>
          <w:color w:val="000000"/>
          <w:sz w:val="20"/>
          <w:szCs w:val="20"/>
          <w:lang w:val="en-GB"/>
        </w:rPr>
        <w:t>HBB:c.</w:t>
      </w:r>
      <w:proofErr w:type="gramEnd"/>
      <w:r w:rsidR="00085C52" w:rsidRPr="007747B3">
        <w:rPr>
          <w:color w:val="000000"/>
          <w:sz w:val="20"/>
          <w:szCs w:val="20"/>
          <w:lang w:val="en-GB"/>
        </w:rPr>
        <w:t>126-129delCTTT</w:t>
      </w:r>
      <w:r w:rsidR="00085C52">
        <w:rPr>
          <w:color w:val="000000"/>
          <w:sz w:val="20"/>
          <w:szCs w:val="20"/>
          <w:lang w:val="en-GB"/>
        </w:rPr>
        <w:t>).</w:t>
      </w:r>
      <w:r w:rsidRPr="00B67E36">
        <w:rPr>
          <w:rFonts w:ascii="Times New Roman" w:eastAsia="Times New Roman" w:hAnsi="Times New Roman" w:cs="Times New Roman"/>
          <w:sz w:val="20"/>
          <w:szCs w:val="20"/>
          <w:lang w:val="en-GB"/>
        </w:rPr>
        <w:t xml:space="preserve"> </w:t>
      </w:r>
    </w:p>
    <w:p w14:paraId="2E050FF1" w14:textId="77777777" w:rsidR="007465C0" w:rsidRPr="00364756" w:rsidRDefault="007465C0">
      <w:pPr>
        <w:rPr>
          <w:lang w:val="en-GB"/>
        </w:rPr>
      </w:pPr>
    </w:p>
    <w:sectPr w:rsidR="007465C0" w:rsidRPr="00364756" w:rsidSect="00C14350">
      <w:footerReference w:type="default" r:id="rId8"/>
      <w:pgSz w:w="11906" w:h="16838"/>
      <w:pgMar w:top="1417" w:right="1701" w:bottom="1417" w:left="1701"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C774B" w14:textId="77777777" w:rsidR="00B01E68" w:rsidRDefault="00B01E68" w:rsidP="00F43E51">
      <w:pPr>
        <w:spacing w:after="0" w:line="240" w:lineRule="auto"/>
      </w:pPr>
      <w:r>
        <w:separator/>
      </w:r>
    </w:p>
  </w:endnote>
  <w:endnote w:type="continuationSeparator" w:id="0">
    <w:p w14:paraId="68A692C5" w14:textId="77777777" w:rsidR="00B01E68" w:rsidRDefault="00B01E68" w:rsidP="00F4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226774"/>
      <w:docPartObj>
        <w:docPartGallery w:val="Page Numbers (Bottom of Page)"/>
        <w:docPartUnique/>
      </w:docPartObj>
    </w:sdtPr>
    <w:sdtContent>
      <w:p w14:paraId="78A5A446" w14:textId="50461B0C" w:rsidR="00C14350" w:rsidRDefault="00C14350">
        <w:pPr>
          <w:pStyle w:val="Rodap"/>
          <w:jc w:val="right"/>
        </w:pPr>
        <w:r>
          <w:fldChar w:fldCharType="begin"/>
        </w:r>
        <w:r>
          <w:instrText>PAGE   \* MERGEFORMAT</w:instrText>
        </w:r>
        <w:r>
          <w:fldChar w:fldCharType="separate"/>
        </w:r>
        <w:r>
          <w:t>2</w:t>
        </w:r>
        <w:r>
          <w:fldChar w:fldCharType="end"/>
        </w:r>
      </w:p>
    </w:sdtContent>
  </w:sdt>
  <w:p w14:paraId="5423A118" w14:textId="77777777" w:rsidR="00C14350" w:rsidRDefault="00C143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E9568" w14:textId="77777777" w:rsidR="00B01E68" w:rsidRDefault="00B01E68" w:rsidP="00F43E51">
      <w:pPr>
        <w:spacing w:after="0" w:line="240" w:lineRule="auto"/>
      </w:pPr>
      <w:r>
        <w:separator/>
      </w:r>
    </w:p>
  </w:footnote>
  <w:footnote w:type="continuationSeparator" w:id="0">
    <w:p w14:paraId="74C02820" w14:textId="77777777" w:rsidR="00B01E68" w:rsidRDefault="00B01E68" w:rsidP="00F43E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48"/>
    <w:rsid w:val="00085C52"/>
    <w:rsid w:val="00364756"/>
    <w:rsid w:val="00410948"/>
    <w:rsid w:val="00567331"/>
    <w:rsid w:val="007465C0"/>
    <w:rsid w:val="007747B3"/>
    <w:rsid w:val="0093642C"/>
    <w:rsid w:val="009A09E9"/>
    <w:rsid w:val="00A428AE"/>
    <w:rsid w:val="00B01E68"/>
    <w:rsid w:val="00C14350"/>
    <w:rsid w:val="00C94495"/>
    <w:rsid w:val="00F43E5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067DA"/>
  <w15:chartTrackingRefBased/>
  <w15:docId w15:val="{5C94A051-B732-4A85-9832-8AC9774C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948"/>
    <w:pPr>
      <w:spacing w:after="200" w:line="276" w:lineRule="auto"/>
    </w:pPr>
    <w:rPr>
      <w:rFonts w:ascii="Calibri" w:eastAsia="Calibri" w:hAnsi="Calibri" w:cs="Calibri"/>
      <w:kern w:val="0"/>
      <w:lang w:eastAsia="pt-PT"/>
      <w14:ligatures w14:val="none"/>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410948"/>
    <w:pPr>
      <w:spacing w:after="0" w:line="240" w:lineRule="auto"/>
    </w:pPr>
    <w:rPr>
      <w:rFonts w:ascii="Calibri" w:eastAsia="Calibri" w:hAnsi="Calibri" w:cs="Calibri"/>
      <w:kern w:val="0"/>
      <w:lang w:eastAsia="pt-P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Tipodeletrapredefinidodopargrafo"/>
    <w:uiPriority w:val="99"/>
    <w:semiHidden/>
    <w:unhideWhenUsed/>
    <w:rsid w:val="00F43E51"/>
  </w:style>
  <w:style w:type="paragraph" w:styleId="Cabealho">
    <w:name w:val="header"/>
    <w:basedOn w:val="Normal"/>
    <w:link w:val="CabealhoCarter"/>
    <w:uiPriority w:val="99"/>
    <w:unhideWhenUsed/>
    <w:rsid w:val="00F43E5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43E51"/>
    <w:rPr>
      <w:rFonts w:ascii="Calibri" w:eastAsia="Calibri" w:hAnsi="Calibri" w:cs="Calibri"/>
      <w:kern w:val="0"/>
      <w:lang w:eastAsia="pt-PT"/>
      <w14:ligatures w14:val="none"/>
    </w:rPr>
  </w:style>
  <w:style w:type="paragraph" w:styleId="Rodap">
    <w:name w:val="footer"/>
    <w:basedOn w:val="Normal"/>
    <w:link w:val="RodapCarter"/>
    <w:uiPriority w:val="99"/>
    <w:unhideWhenUsed/>
    <w:rsid w:val="00F43E5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43E51"/>
    <w:rPr>
      <w:rFonts w:ascii="Calibri" w:eastAsia="Calibri" w:hAnsi="Calibri" w:cs="Calibri"/>
      <w:kern w:val="0"/>
      <w:lang w:eastAsia="pt-PT"/>
      <w14:ligatures w14:val="none"/>
    </w:rPr>
  </w:style>
  <w:style w:type="paragraph" w:styleId="Reviso">
    <w:name w:val="Revision"/>
    <w:hidden/>
    <w:uiPriority w:val="99"/>
    <w:semiHidden/>
    <w:rsid w:val="00085C52"/>
    <w:pPr>
      <w:spacing w:after="0" w:line="240" w:lineRule="auto"/>
    </w:pPr>
    <w:rPr>
      <w:rFonts w:ascii="Calibri" w:eastAsia="Calibri" w:hAnsi="Calibri" w:cs="Calibri"/>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E49AA-FD11-4B26-B51E-0DFE62060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277</Words>
  <Characters>1502</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Bento Lago de Queiroz</dc:creator>
  <cp:keywords/>
  <dc:description/>
  <cp:lastModifiedBy>Guilherme Bento Lago de Queiroz</cp:lastModifiedBy>
  <cp:revision>4</cp:revision>
  <dcterms:created xsi:type="dcterms:W3CDTF">2023-08-04T12:05:00Z</dcterms:created>
  <dcterms:modified xsi:type="dcterms:W3CDTF">2023-12-11T12:30:00Z</dcterms:modified>
</cp:coreProperties>
</file>