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ind w:firstLine="420" w:firstLineChars="200"/>
        <w:rPr>
          <w:rFonts w:ascii="Times New Roman" w:hAnsi="Times New Roman" w:cs="Times New Roman"/>
          <w:color w:val="8497B0" w:themeColor="text2" w:themeTint="99"/>
          <w14:textFill>
            <w14:solidFill>
              <w14:schemeClr w14:val="tx2">
                <w14:lumMod w14:val="60000"/>
                <w14:lumOff w14:val="40000"/>
              </w14:schemeClr>
            </w14:solidFill>
          </w14:textFill>
        </w:rPr>
      </w:pPr>
      <w:r>
        <w:rPr>
          <w:rFonts w:ascii="Times New Roman" w:hAnsi="Times New Roman" w:cs="Times New Roman"/>
        </w:rPr>
        <w:t>We further separately investigated the four themes of allergic rhinitis: “disease", “etiology", “symptoms/complications” and “disease treatment/management", and explored their seasonal fluctuations, as well as the remaining trend components after removing the seasonal variation (Fig. 2</w:t>
      </w:r>
      <w:r>
        <w:rPr>
          <w:rFonts w:hint="eastAsia" w:ascii="Times New Roman" w:hAnsi="Times New Roman" w:cs="Times New Roman"/>
        </w:rPr>
        <w:t>b</w:t>
      </w:r>
      <w:r>
        <w:rPr>
          <w:rFonts w:ascii="Times New Roman" w:hAnsi="Times New Roman" w:cs="Times New Roman"/>
        </w:rPr>
        <w:t>). For all of the four themes, the seasonal components constantly showed two peaks in every March and August, the difference is that the largest search volume for “disease” and “disease treatment/management” themes occurred in August of each year while the highest BSI for the “etiology” theme occurred in March and “symptoms/complications” has two similar peaks. In terms of the trend curve, the BSI for the “disease", “etiology” and “disease treatment/management” themes showed a significant decline from January to June of 2020, while the BSI for the “symptoms/Complications” theme gradually increased and reached a peak in August 2020. After this period, the search trend for the “disease” theme gradually plateaued, and the “etiology” theme quickly climbed to its second peak in April 2021, while the BSI for the “symptoms/complications” theme gradually declined from June 2020 to March 2021 and gradually increased after May 2021, showing the opposite trend to the “etiology” theme. Meanwhile, the “disease treatment/management” theme consistently followed an identical pattern as the total BSI trend curve.</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EyMjkzMGM1MWE0NDgwZDFlZWM5Mjg1ZmFjM2ZjNDQifQ=="/>
  </w:docVars>
  <w:rsids>
    <w:rsidRoot w:val="77CD7920"/>
    <w:rsid w:val="77CD79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2024-01-23T03:03:00Z</dcterms:created>
  <dc:creator>yui</dc:creator>
  <cp:lastModifiedBy>yui</cp:lastModifiedBy>
  <dcterms:modified xsi:type="dcterms:W3CDTF">2024-01-23T03:06:13Z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B7F5627D87194552AD24D637A2A12374_11</vt:lpwstr>
  </property>
</Properties>
</file>