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To further explore the association between allergic rhinitis search index and AQI, we also conducted the correlation analysis separately under four variant epidemic periods during the COVID-19 pandemic. The results (Fig. 3) showed that AQI was significantly negatively correlated with all allergic rhinitis themes in the Original-variant period (total: r = -0.195, p &lt; 0.05), and was partially (not significantly) negatively a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>ssociated with allergic rhinitis in the Alpha and Delta-variant periods. In the Omicron period, a higher level of AQI was associated with increased search interest of allergic rhinitis, showing a significant positive correlation (total: r = 0.377, p &lt; 0.05). That is, as air quality deteriorated, Beijing citizens had more concerns about allergic rhinitis in the Omicron period. This indicated that, in both the Original-variant and Omicron-</w:t>
      </w:r>
      <w:r>
        <w:rPr>
          <w:rFonts w:hint="eastAsia" w:ascii="Times New Roman" w:hAnsi="Times New Roman" w:cs="Times New Roman"/>
          <w:szCs w:val="21"/>
        </w:rPr>
        <w:t>variant</w:t>
      </w:r>
      <w:r>
        <w:rPr>
          <w:rFonts w:ascii="Times New Roman" w:hAnsi="Times New Roman" w:cs="Times New Roman"/>
          <w:szCs w:val="21"/>
        </w:rPr>
        <w:t xml:space="preserve"> periods, the AQI had a significant effect on the daily BSI of allergic rhinitis in Beijing (p &lt; 0.05), but in opposite directions. Furthermore, during the Original-variant period, the coefficient of negative correlation attained its largest absolute value in the “disease” theme of allergic rhinitis (r = -0.236, p &lt; 0.05), while during the Omicron-</w:t>
      </w:r>
      <w:r>
        <w:rPr>
          <w:rFonts w:hint="eastAsia" w:ascii="Times New Roman" w:hAnsi="Times New Roman" w:cs="Times New Roman"/>
          <w:szCs w:val="21"/>
        </w:rPr>
        <w:t>variant</w:t>
      </w:r>
      <w:r>
        <w:rPr>
          <w:rFonts w:ascii="Times New Roman" w:hAnsi="Times New Roman" w:cs="Times New Roman"/>
          <w:szCs w:val="21"/>
        </w:rPr>
        <w:t xml:space="preserve"> period, the positive correlation reached its maximum at the “disease treatment/management” theme (r = 0.395, p &lt; 0.05).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jkzMGM1MWE0NDgwZDFlZWM5Mjg1ZmFjM2ZjNDQifQ=="/>
  </w:docVars>
  <w:rsids>
    <w:rsidRoot w:val="7B4113EC"/>
    <w:rsid w:val="7B41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2024-01-23T03:48:00Z</dcterms:created>
  <dc:creator>yui</dc:creator>
  <cp:lastModifiedBy>yui</cp:lastModifiedBy>
  <dcterms:modified xsi:type="dcterms:W3CDTF">2024-01-23T03:48:47Z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93567739018C41F3B458480BB9124C39_11</vt:lpwstr>
  </property>
</Properties>
</file>