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234" w:rsidRPr="004A62E1" w:rsidRDefault="00317234" w:rsidP="001E2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The results of the LPA for determining the number of latent clusters according to the weekend leisure time classification of KTUS in 1999 are as shown in [S2-1], and as a result of the comprehensive analysis, a model with 3 latent groups was identified as the optimal choice.</w:t>
      </w:r>
    </w:p>
    <w:p w:rsidR="00317234" w:rsidRPr="004A62E1" w:rsidRDefault="00317234" w:rsidP="001E25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25A5" w:rsidRPr="004A62E1" w:rsidRDefault="00D966A6" w:rsidP="001E2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S2-1</w:t>
      </w:r>
      <w:r w:rsidR="001E25A5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418A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Results of the LPA for determining the number of latent clusters (1999)      (N=23,470)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896"/>
        <w:gridCol w:w="1191"/>
        <w:gridCol w:w="1193"/>
        <w:gridCol w:w="982"/>
        <w:gridCol w:w="982"/>
        <w:gridCol w:w="630"/>
        <w:gridCol w:w="630"/>
        <w:gridCol w:w="632"/>
        <w:gridCol w:w="630"/>
        <w:gridCol w:w="630"/>
        <w:gridCol w:w="630"/>
      </w:tblGrid>
      <w:tr w:rsidR="004A62E1" w:rsidRPr="004A62E1" w:rsidTr="001F4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Classes</w:t>
            </w:r>
          </w:p>
        </w:tc>
        <w:tc>
          <w:tcPr>
            <w:tcW w:w="660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AIC</w:t>
            </w:r>
          </w:p>
        </w:tc>
        <w:tc>
          <w:tcPr>
            <w:tcW w:w="661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BIC</w:t>
            </w:r>
          </w:p>
        </w:tc>
        <w:tc>
          <w:tcPr>
            <w:tcW w:w="544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Entropy</w:t>
            </w:r>
          </w:p>
        </w:tc>
        <w:tc>
          <w:tcPr>
            <w:tcW w:w="544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 xml:space="preserve">BLRT </w:t>
            </w:r>
            <w:r w:rsidRPr="004A62E1">
              <w:rPr>
                <w:rFonts w:ascii="Times New Roman" w:hAnsi="Times New Roman" w:cs="Times New Roman"/>
                <w:color w:val="000000" w:themeColor="text1"/>
              </w:rPr>
              <w:br/>
              <w:t>p-value</w:t>
            </w:r>
          </w:p>
        </w:tc>
        <w:tc>
          <w:tcPr>
            <w:tcW w:w="2095" w:type="pct"/>
            <w:gridSpan w:val="6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  <w:szCs w:val="20"/>
              </w:rPr>
              <w:t>Latent Class distribution rate (%)</w:t>
            </w:r>
          </w:p>
        </w:tc>
      </w:tr>
      <w:tr w:rsidR="004A62E1" w:rsidRPr="004A62E1" w:rsidTr="001F4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/>
            <w:tcBorders>
              <w:top w:val="nil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0" w:type="pct"/>
            <w:vMerge/>
            <w:tcBorders>
              <w:top w:val="nil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1" w:type="pct"/>
            <w:vMerge/>
            <w:tcBorders>
              <w:top w:val="nil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nil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nil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</w:tr>
      <w:tr w:rsidR="004A62E1" w:rsidRPr="004A62E1" w:rsidTr="001F418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852,151.22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852,304.42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0.21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0.07</m:t>
                </m:r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1F4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823,386.52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823,596.17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12.7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4.9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82.5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1F418A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837,032.90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837,299.00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8.4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14.3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1F4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827,086.68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827,409.22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0.35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94.9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0.1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1F418A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812,553.08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812,932.07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14.5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73.8</w:t>
            </w:r>
          </w:p>
        </w:tc>
      </w:tr>
    </w:tbl>
    <w:p w:rsidR="00961A2B" w:rsidRPr="004A62E1" w:rsidRDefault="001E25A5" w:rsidP="00961A2B">
      <w:pPr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p&lt;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0.05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  <m:r>
          <w:rPr>
            <w:rFonts w:ascii="Cambria Math" w:hAnsi="Cambria Math"/>
            <w:color w:val="000000" w:themeColor="text1"/>
          </w:rPr>
          <m:t xml:space="preserve"> </m:t>
        </m:r>
      </m:oMath>
      <w:r w:rsidR="00961A2B" w:rsidRPr="004A62E1">
        <w:rPr>
          <w:rFonts w:ascii="Times New Roman" w:eastAsia="한컴바탕" w:hAnsi="Times New Roman" w:cs="Times New Roman"/>
          <w:color w:val="000000" w:themeColor="text1"/>
        </w:rPr>
        <w:t>The optimal model choice from the latent clusters model is highlighted in the row.</w:t>
      </w:r>
    </w:p>
    <w:p w:rsidR="001E25A5" w:rsidRPr="004A62E1" w:rsidRDefault="001E25A5">
      <w:pPr>
        <w:rPr>
          <w:color w:val="000000" w:themeColor="text1"/>
        </w:rPr>
      </w:pPr>
    </w:p>
    <w:p w:rsidR="00961A2B" w:rsidRPr="004A62E1" w:rsidRDefault="00961A2B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1E25A5" w:rsidRPr="004A62E1" w:rsidRDefault="00961A2B" w:rsidP="001E25A5">
      <w:pPr>
        <w:rPr>
          <w:color w:val="000000" w:themeColor="text1"/>
          <w:sz w:val="10"/>
          <w:szCs w:val="10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The results of the LPA for determining the number of latent clusters according to the weekend leisure time classification of KTUS in 2004 are as shown in [S2-2], and as a result of the comprehensive analysis, a model with 3 latent groups was identified as the optimal choice.</w:t>
      </w:r>
    </w:p>
    <w:p w:rsidR="00961A2B" w:rsidRPr="004A62E1" w:rsidRDefault="00961A2B" w:rsidP="001E25A5">
      <w:pPr>
        <w:rPr>
          <w:color w:val="000000" w:themeColor="text1"/>
          <w:sz w:val="10"/>
          <w:szCs w:val="10"/>
        </w:rPr>
      </w:pPr>
    </w:p>
    <w:p w:rsidR="001E25A5" w:rsidRPr="004A62E1" w:rsidRDefault="00D966A6" w:rsidP="001E25A5">
      <w:pPr>
        <w:rPr>
          <w:rFonts w:ascii="Times New Roman" w:hAnsi="Times New Roman" w:cs="Times New Roman"/>
          <w:color w:val="000000" w:themeColor="text1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S2-2</w:t>
      </w:r>
      <w:r w:rsidR="001F418A" w:rsidRPr="004A62E1">
        <w:rPr>
          <w:rFonts w:ascii="Times New Roman" w:hAnsi="Times New Roman" w:cs="Times New Roman"/>
          <w:color w:val="000000" w:themeColor="text1"/>
        </w:rPr>
        <w:t xml:space="preserve"> </w:t>
      </w:r>
      <w:r w:rsidR="001F418A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of the LPA for determining the number of latent clusters (2004)    </w:t>
      </w:r>
      <w:r w:rsidR="001E25A5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(N=18,476)</w:t>
      </w:r>
    </w:p>
    <w:tbl>
      <w:tblPr>
        <w:tblStyle w:val="2"/>
        <w:tblW w:w="5000" w:type="pct"/>
        <w:tblBorders>
          <w:top w:val="single" w:sz="12" w:space="0" w:color="AEAAAA" w:themeColor="background2" w:themeShade="BF"/>
          <w:bottom w:val="single" w:sz="12" w:space="0" w:color="AEAAAA" w:themeColor="background2" w:themeShade="BF"/>
          <w:insideH w:val="single" w:sz="12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878"/>
        <w:gridCol w:w="1266"/>
        <w:gridCol w:w="1266"/>
        <w:gridCol w:w="965"/>
        <w:gridCol w:w="965"/>
        <w:gridCol w:w="614"/>
        <w:gridCol w:w="614"/>
        <w:gridCol w:w="616"/>
        <w:gridCol w:w="614"/>
        <w:gridCol w:w="614"/>
        <w:gridCol w:w="614"/>
      </w:tblGrid>
      <w:tr w:rsidR="004A62E1" w:rsidRPr="004A62E1" w:rsidTr="009073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Classes</w:t>
            </w:r>
          </w:p>
        </w:tc>
        <w:tc>
          <w:tcPr>
            <w:tcW w:w="660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AIC</w:t>
            </w:r>
          </w:p>
        </w:tc>
        <w:tc>
          <w:tcPr>
            <w:tcW w:w="661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BIC</w:t>
            </w:r>
          </w:p>
        </w:tc>
        <w:tc>
          <w:tcPr>
            <w:tcW w:w="544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Entropy</w:t>
            </w:r>
          </w:p>
        </w:tc>
        <w:tc>
          <w:tcPr>
            <w:tcW w:w="544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 xml:space="preserve">BLRT </w:t>
            </w:r>
            <w:r w:rsidRPr="004A62E1">
              <w:rPr>
                <w:rFonts w:ascii="Times New Roman" w:hAnsi="Times New Roman" w:cs="Times New Roman"/>
                <w:color w:val="000000" w:themeColor="text1"/>
              </w:rPr>
              <w:br/>
              <w:t>p-value</w:t>
            </w:r>
          </w:p>
        </w:tc>
        <w:tc>
          <w:tcPr>
            <w:tcW w:w="2095" w:type="pct"/>
            <w:gridSpan w:val="6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  <w:szCs w:val="20"/>
              </w:rPr>
              <w:t>Latent Class distribution rate (%)</w:t>
            </w:r>
          </w:p>
        </w:tc>
      </w:tr>
      <w:tr w:rsidR="004A62E1" w:rsidRPr="004A62E1" w:rsidTr="00907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/>
            <w:vAlign w:val="center"/>
          </w:tcPr>
          <w:p w:rsidR="001E25A5" w:rsidRPr="004A62E1" w:rsidRDefault="001E25A5" w:rsidP="0099107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0" w:type="pct"/>
            <w:vMerge/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1" w:type="pct"/>
            <w:vMerge/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</w:tr>
      <w:tr w:rsidR="004A62E1" w:rsidRPr="004A62E1" w:rsidTr="009073F1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1,173,822.82</w:t>
            </w:r>
          </w:p>
        </w:tc>
        <w:tc>
          <w:tcPr>
            <w:tcW w:w="661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1,173,971.48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0.77</w:t>
            </w:r>
          </w:p>
        </w:tc>
        <w:tc>
          <w:tcPr>
            <w:tcW w:w="544" w:type="pct"/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15.9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84.1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907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1,146,395.04</w:t>
            </w:r>
          </w:p>
        </w:tc>
        <w:tc>
          <w:tcPr>
            <w:tcW w:w="661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1,146,598.47</w:t>
            </w:r>
          </w:p>
        </w:tc>
        <w:tc>
          <w:tcPr>
            <w:tcW w:w="544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544" w:type="pct"/>
            <w:shd w:val="clear" w:color="auto" w:fill="EDEDED" w:themeFill="accent3" w:themeFillTint="33"/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87.9</w:t>
            </w: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7.4</w:t>
            </w:r>
          </w:p>
        </w:tc>
        <w:tc>
          <w:tcPr>
            <w:tcW w:w="350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4.7</w:t>
            </w: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9073F1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1,144,272.35</w:t>
            </w:r>
          </w:p>
        </w:tc>
        <w:tc>
          <w:tcPr>
            <w:tcW w:w="661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1,144,530.55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0.88</w:t>
            </w:r>
          </w:p>
        </w:tc>
        <w:tc>
          <w:tcPr>
            <w:tcW w:w="544" w:type="pct"/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6.7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76.4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12.2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4.7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9073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60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1,141,030.74</w:t>
            </w:r>
          </w:p>
        </w:tc>
        <w:tc>
          <w:tcPr>
            <w:tcW w:w="661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1,141,343.71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544" w:type="pct"/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13.7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76.4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4.7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9073F1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6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1,116,786.57</w:t>
            </w:r>
          </w:p>
        </w:tc>
        <w:tc>
          <w:tcPr>
            <w:tcW w:w="661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1,117,154.31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1.00</m:t>
                </m:r>
              </m:oMath>
            </m:oMathPara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75.4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3.5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11.8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4.9</w:t>
            </w:r>
          </w:p>
        </w:tc>
      </w:tr>
    </w:tbl>
    <w:p w:rsidR="001E25A5" w:rsidRPr="004A62E1" w:rsidRDefault="001E25A5" w:rsidP="001E25A5">
      <w:pPr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p&lt;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0.05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</m:oMath>
      <w:r w:rsidR="00961A2B" w:rsidRPr="004A62E1">
        <w:rPr>
          <w:rFonts w:ascii="Times New Roman" w:eastAsia="한컴바탕" w:hAnsi="Times New Roman" w:cs="Times New Roman"/>
          <w:color w:val="000000" w:themeColor="text1"/>
        </w:rPr>
        <w:t xml:space="preserve"> The optimal model choice from the latent clusters model is highlighted in the row.</w:t>
      </w:r>
    </w:p>
    <w:p w:rsidR="001E25A5" w:rsidRPr="004A62E1" w:rsidRDefault="001E25A5" w:rsidP="001E25A5">
      <w:pPr>
        <w:tabs>
          <w:tab w:val="left" w:pos="3324"/>
        </w:tabs>
        <w:rPr>
          <w:color w:val="000000" w:themeColor="text1"/>
          <w:sz w:val="10"/>
          <w:szCs w:val="10"/>
        </w:rPr>
      </w:pPr>
    </w:p>
    <w:p w:rsidR="003040F4" w:rsidRPr="004A62E1" w:rsidRDefault="003040F4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961A2B" w:rsidRPr="004A62E1" w:rsidRDefault="00961A2B" w:rsidP="001E25A5">
      <w:pPr>
        <w:tabs>
          <w:tab w:val="left" w:pos="3324"/>
        </w:tabs>
        <w:rPr>
          <w:color w:val="000000" w:themeColor="text1"/>
          <w:sz w:val="10"/>
          <w:szCs w:val="10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The results of the LPA for determining the number of latent clusters according to the weekend leisure time classification of KTUS in 2009 are as shown in [S2-3], and as a result of the comprehensive analysis, a model with 2 latent groups was identified as the optimal choice.</w:t>
      </w:r>
    </w:p>
    <w:p w:rsidR="00961A2B" w:rsidRPr="004A62E1" w:rsidRDefault="00961A2B" w:rsidP="001E25A5">
      <w:pPr>
        <w:tabs>
          <w:tab w:val="left" w:pos="3324"/>
        </w:tabs>
        <w:rPr>
          <w:color w:val="000000" w:themeColor="text1"/>
          <w:sz w:val="10"/>
          <w:szCs w:val="10"/>
        </w:rPr>
      </w:pPr>
    </w:p>
    <w:p w:rsidR="001E25A5" w:rsidRPr="004A62E1" w:rsidRDefault="00D966A6" w:rsidP="001E2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S2-3</w:t>
      </w:r>
      <w:r w:rsidR="001F418A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Results of the LPA for determining the number of latent clusters (2009)     </w:t>
      </w:r>
      <w:r w:rsidR="001E25A5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(N=12,215)</w:t>
      </w:r>
    </w:p>
    <w:tbl>
      <w:tblPr>
        <w:tblStyle w:val="2"/>
        <w:tblW w:w="5000" w:type="pct"/>
        <w:tblBorders>
          <w:top w:val="single" w:sz="12" w:space="0" w:color="AEAAAA" w:themeColor="background2" w:themeShade="BF"/>
          <w:bottom w:val="single" w:sz="12" w:space="0" w:color="AEAAAA" w:themeColor="background2" w:themeShade="BF"/>
          <w:insideH w:val="single" w:sz="12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896"/>
        <w:gridCol w:w="1191"/>
        <w:gridCol w:w="1193"/>
        <w:gridCol w:w="982"/>
        <w:gridCol w:w="982"/>
        <w:gridCol w:w="630"/>
        <w:gridCol w:w="630"/>
        <w:gridCol w:w="632"/>
        <w:gridCol w:w="630"/>
        <w:gridCol w:w="630"/>
        <w:gridCol w:w="630"/>
      </w:tblGrid>
      <w:tr w:rsidR="004A62E1" w:rsidRPr="004A62E1" w:rsidTr="00860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Classes</w:t>
            </w:r>
          </w:p>
        </w:tc>
        <w:tc>
          <w:tcPr>
            <w:tcW w:w="660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AIC</w:t>
            </w:r>
          </w:p>
        </w:tc>
        <w:tc>
          <w:tcPr>
            <w:tcW w:w="661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BIC</w:t>
            </w:r>
          </w:p>
        </w:tc>
        <w:tc>
          <w:tcPr>
            <w:tcW w:w="544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Entropy</w:t>
            </w:r>
          </w:p>
        </w:tc>
        <w:tc>
          <w:tcPr>
            <w:tcW w:w="544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 xml:space="preserve">BLRT </w:t>
            </w:r>
            <w:r w:rsidRPr="004A62E1">
              <w:rPr>
                <w:rFonts w:ascii="Times New Roman" w:hAnsi="Times New Roman" w:cs="Times New Roman"/>
                <w:color w:val="000000" w:themeColor="text1"/>
              </w:rPr>
              <w:br/>
              <w:t>p-value</w:t>
            </w:r>
          </w:p>
        </w:tc>
        <w:tc>
          <w:tcPr>
            <w:tcW w:w="2095" w:type="pct"/>
            <w:gridSpan w:val="6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  <w:szCs w:val="20"/>
              </w:rPr>
              <w:t>Latent Class distribution rate (%)</w:t>
            </w:r>
          </w:p>
        </w:tc>
      </w:tr>
      <w:tr w:rsidR="004A62E1" w:rsidRPr="004A62E1" w:rsidTr="00860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0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1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</w:tr>
      <w:tr w:rsidR="004A62E1" w:rsidRPr="004A62E1" w:rsidTr="00860DCE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742,272.94</w:t>
            </w:r>
          </w:p>
        </w:tc>
        <w:tc>
          <w:tcPr>
            <w:tcW w:w="661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742,413.73</w:t>
            </w:r>
          </w:p>
        </w:tc>
        <w:tc>
          <w:tcPr>
            <w:tcW w:w="544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544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1.00</m:t>
                </m:r>
              </m:oMath>
            </m:oMathPara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95.9</w:t>
            </w:r>
          </w:p>
        </w:tc>
        <w:tc>
          <w:tcPr>
            <w:tcW w:w="350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742,294.62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742,487.29</w:t>
            </w:r>
          </w:p>
        </w:tc>
        <w:tc>
          <w:tcPr>
            <w:tcW w:w="544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0.59</w:t>
            </w:r>
          </w:p>
        </w:tc>
        <w:tc>
          <w:tcPr>
            <w:tcW w:w="544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1.00</m:t>
                </m:r>
              </m:oMath>
            </m:oMathPara>
          </w:p>
        </w:tc>
        <w:tc>
          <w:tcPr>
            <w:tcW w:w="349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95.8</w:t>
            </w:r>
          </w:p>
        </w:tc>
        <w:tc>
          <w:tcPr>
            <w:tcW w:w="349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50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349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742,300.63</w:t>
            </w:r>
          </w:p>
        </w:tc>
        <w:tc>
          <w:tcPr>
            <w:tcW w:w="661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742,545.18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544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0.36</m:t>
                </m:r>
              </m:oMath>
            </m:oMathPara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95.7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4.3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60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741,057.35</w:t>
            </w:r>
          </w:p>
        </w:tc>
        <w:tc>
          <w:tcPr>
            <w:tcW w:w="661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741,353.76</w:t>
            </w:r>
          </w:p>
        </w:tc>
        <w:tc>
          <w:tcPr>
            <w:tcW w:w="544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544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50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80.2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15.7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60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741,061.61</w:t>
            </w:r>
          </w:p>
        </w:tc>
        <w:tc>
          <w:tcPr>
            <w:tcW w:w="661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741,409.90</w:t>
            </w:r>
          </w:p>
        </w:tc>
        <w:tc>
          <w:tcPr>
            <w:tcW w:w="544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0.45</w:t>
            </w:r>
          </w:p>
        </w:tc>
        <w:tc>
          <w:tcPr>
            <w:tcW w:w="544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1.00</m:t>
                </m:r>
              </m:oMath>
            </m:oMathPara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350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78.7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14.9</w:t>
            </w:r>
          </w:p>
        </w:tc>
        <w:tc>
          <w:tcPr>
            <w:tcW w:w="349" w:type="pct"/>
            <w:tcBorders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</w:tr>
    </w:tbl>
    <w:p w:rsidR="001E25A5" w:rsidRPr="004A62E1" w:rsidRDefault="001E25A5" w:rsidP="001E25A5">
      <w:pPr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p&lt;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0.05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</m:oMath>
      <w:r w:rsidR="003040F4" w:rsidRPr="004A62E1">
        <w:rPr>
          <w:rFonts w:hint="eastAsia"/>
          <w:color w:val="000000" w:themeColor="text1"/>
        </w:rPr>
        <w:t xml:space="preserve"> </w:t>
      </w:r>
      <w:r w:rsidR="003040F4" w:rsidRPr="004A62E1">
        <w:rPr>
          <w:rFonts w:ascii="Times New Roman" w:eastAsia="한컴바탕" w:hAnsi="Times New Roman" w:cs="Times New Roman"/>
          <w:color w:val="000000" w:themeColor="text1"/>
        </w:rPr>
        <w:t>The optimal model choice from the latent clusters model is highlighted in the row.</w:t>
      </w:r>
    </w:p>
    <w:p w:rsidR="001F418A" w:rsidRPr="004A62E1" w:rsidRDefault="001F418A" w:rsidP="001E25A5">
      <w:pPr>
        <w:rPr>
          <w:color w:val="000000" w:themeColor="text1"/>
        </w:rPr>
      </w:pPr>
    </w:p>
    <w:p w:rsidR="003040F4" w:rsidRPr="004A62E1" w:rsidRDefault="003040F4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3040F4" w:rsidRPr="004A62E1" w:rsidRDefault="003040F4" w:rsidP="001E2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The results of the LPA for determining the number of latent clusters according to the weekend leisure time classification of KTUS in 2014 are as shown in [S2-4], and as a result of the comprehensive analysis, a model with 3 latent groups was identified as the optimal choice.</w:t>
      </w:r>
    </w:p>
    <w:p w:rsidR="003040F4" w:rsidRPr="004A62E1" w:rsidRDefault="003040F4" w:rsidP="001E25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25A5" w:rsidRPr="004A62E1" w:rsidRDefault="00D966A6" w:rsidP="001E2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S2-4</w:t>
      </w:r>
      <w:r w:rsidR="001F418A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Results of the LPA for determining the number of latent clusters (2014)    </w:t>
      </w:r>
      <w:r w:rsidR="001E25A5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(N=17,130)</w:t>
      </w:r>
    </w:p>
    <w:tbl>
      <w:tblPr>
        <w:tblStyle w:val="2"/>
        <w:tblW w:w="5000" w:type="pct"/>
        <w:tblBorders>
          <w:top w:val="single" w:sz="12" w:space="0" w:color="AEAAAA" w:themeColor="background2" w:themeShade="BF"/>
          <w:bottom w:val="single" w:sz="12" w:space="0" w:color="AEAAAA" w:themeColor="background2" w:themeShade="BF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8"/>
        <w:gridCol w:w="1266"/>
        <w:gridCol w:w="1266"/>
        <w:gridCol w:w="965"/>
        <w:gridCol w:w="965"/>
        <w:gridCol w:w="614"/>
        <w:gridCol w:w="614"/>
        <w:gridCol w:w="616"/>
        <w:gridCol w:w="614"/>
        <w:gridCol w:w="614"/>
        <w:gridCol w:w="614"/>
      </w:tblGrid>
      <w:tr w:rsidR="004A62E1" w:rsidRPr="004A62E1" w:rsidTr="00860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Classes</w:t>
            </w:r>
          </w:p>
        </w:tc>
        <w:tc>
          <w:tcPr>
            <w:tcW w:w="660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AIC</w:t>
            </w:r>
          </w:p>
        </w:tc>
        <w:tc>
          <w:tcPr>
            <w:tcW w:w="661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BIC</w:t>
            </w:r>
          </w:p>
        </w:tc>
        <w:tc>
          <w:tcPr>
            <w:tcW w:w="544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Entropy</w:t>
            </w:r>
          </w:p>
        </w:tc>
        <w:tc>
          <w:tcPr>
            <w:tcW w:w="544" w:type="pct"/>
            <w:vMerge w:val="restart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 xml:space="preserve">BLRT </w:t>
            </w:r>
            <w:r w:rsidRPr="004A62E1">
              <w:rPr>
                <w:rFonts w:ascii="Times New Roman" w:hAnsi="Times New Roman" w:cs="Times New Roman"/>
                <w:color w:val="000000" w:themeColor="text1"/>
              </w:rPr>
              <w:br/>
              <w:t>p-value</w:t>
            </w:r>
          </w:p>
        </w:tc>
        <w:tc>
          <w:tcPr>
            <w:tcW w:w="2095" w:type="pct"/>
            <w:gridSpan w:val="6"/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  <w:szCs w:val="20"/>
              </w:rPr>
              <w:t>Latent Class distribution rate (%)</w:t>
            </w:r>
          </w:p>
        </w:tc>
      </w:tr>
      <w:tr w:rsidR="004A62E1" w:rsidRPr="004A62E1" w:rsidTr="00860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0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1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350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349" w:type="pct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</w:tr>
      <w:tr w:rsidR="004A62E1" w:rsidRPr="004A62E1" w:rsidTr="00860DCE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1,079,559.26</w:t>
            </w:r>
          </w:p>
        </w:tc>
        <w:tc>
          <w:tcPr>
            <w:tcW w:w="661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1,079,706.48</w:t>
            </w:r>
          </w:p>
        </w:tc>
        <w:tc>
          <w:tcPr>
            <w:tcW w:w="544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0.83</w:t>
            </w:r>
          </w:p>
        </w:tc>
        <w:tc>
          <w:tcPr>
            <w:tcW w:w="544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84.6</w:t>
            </w:r>
          </w:p>
        </w:tc>
        <w:tc>
          <w:tcPr>
            <w:tcW w:w="349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15.4</w:t>
            </w:r>
          </w:p>
        </w:tc>
        <w:tc>
          <w:tcPr>
            <w:tcW w:w="350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4" w:space="0" w:color="7F7F7F" w:themeColor="text1" w:themeTint="80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1,038,296.06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1,038,497.52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91.5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5.7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2.8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1,046,227.50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1,046,483.20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78.1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5.9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13.2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2.8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1,027,576.56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1,027,886.50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0.74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1.00</m:t>
                </m:r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86.1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5.7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2.8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860DCE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1,035,293.02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1,035,657.20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1.00</m:t>
                </m:r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78.0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13.5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2.8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5.7</w:t>
            </w:r>
          </w:p>
        </w:tc>
      </w:tr>
    </w:tbl>
    <w:p w:rsidR="001E25A5" w:rsidRPr="004A62E1" w:rsidRDefault="001E25A5" w:rsidP="001E25A5">
      <w:pPr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p&lt;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0.05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</m:oMath>
      <w:r w:rsidR="003040F4" w:rsidRPr="004A62E1">
        <w:rPr>
          <w:rFonts w:hint="eastAsia"/>
          <w:color w:val="000000" w:themeColor="text1"/>
        </w:rPr>
        <w:t xml:space="preserve"> </w:t>
      </w:r>
      <w:r w:rsidR="003040F4" w:rsidRPr="004A62E1">
        <w:rPr>
          <w:rFonts w:ascii="Times New Roman" w:eastAsia="한컴바탕" w:hAnsi="Times New Roman" w:cs="Times New Roman"/>
          <w:color w:val="000000" w:themeColor="text1"/>
        </w:rPr>
        <w:t>The optimal model choice from the latent clusters model is highlighted in the row.</w:t>
      </w:r>
    </w:p>
    <w:p w:rsidR="001E25A5" w:rsidRPr="004A62E1" w:rsidRDefault="001E25A5">
      <w:pPr>
        <w:rPr>
          <w:color w:val="000000" w:themeColor="text1"/>
        </w:rPr>
      </w:pPr>
    </w:p>
    <w:p w:rsidR="003040F4" w:rsidRPr="004A62E1" w:rsidRDefault="003040F4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3040F4" w:rsidRPr="004A62E1" w:rsidRDefault="003040F4" w:rsidP="001E25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The results of the LPA for determining the number of latent clusters according to the weekend leisure time classification of KTUS in 2019 are as shown in [S2-5], and as a result of the comprehensive analysis, a model with 4 latent groups was identified as the optimal choice.</w:t>
      </w:r>
    </w:p>
    <w:p w:rsidR="003040F4" w:rsidRPr="004A62E1" w:rsidRDefault="003040F4" w:rsidP="001E25A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25A5" w:rsidRPr="004A62E1" w:rsidRDefault="00D966A6" w:rsidP="001E25A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S2-5</w:t>
      </w:r>
      <w:r w:rsidR="001F418A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Results of the LPA for determining the number of latent clusters (2019)    </w:t>
      </w:r>
      <w:r w:rsidR="001E25A5" w:rsidRPr="004A62E1">
        <w:rPr>
          <w:rFonts w:ascii="Times New Roman" w:hAnsi="Times New Roman" w:cs="Times New Roman"/>
          <w:color w:val="000000" w:themeColor="text1"/>
          <w:sz w:val="24"/>
          <w:szCs w:val="24"/>
        </w:rPr>
        <w:t>(N=17,228)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878"/>
        <w:gridCol w:w="1266"/>
        <w:gridCol w:w="1266"/>
        <w:gridCol w:w="965"/>
        <w:gridCol w:w="965"/>
        <w:gridCol w:w="614"/>
        <w:gridCol w:w="614"/>
        <w:gridCol w:w="616"/>
        <w:gridCol w:w="614"/>
        <w:gridCol w:w="614"/>
        <w:gridCol w:w="614"/>
      </w:tblGrid>
      <w:tr w:rsidR="004A62E1" w:rsidRPr="004A62E1" w:rsidTr="000E18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Classes</w:t>
            </w:r>
          </w:p>
        </w:tc>
        <w:tc>
          <w:tcPr>
            <w:tcW w:w="660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AIC</w:t>
            </w:r>
          </w:p>
        </w:tc>
        <w:tc>
          <w:tcPr>
            <w:tcW w:w="661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BIC</w:t>
            </w:r>
          </w:p>
        </w:tc>
        <w:tc>
          <w:tcPr>
            <w:tcW w:w="544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Entropy</w:t>
            </w:r>
          </w:p>
        </w:tc>
        <w:tc>
          <w:tcPr>
            <w:tcW w:w="544" w:type="pct"/>
            <w:vMerge w:val="restar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 xml:space="preserve">BLRT </w:t>
            </w:r>
            <w:r w:rsidRPr="004A62E1">
              <w:rPr>
                <w:rFonts w:ascii="Times New Roman" w:hAnsi="Times New Roman" w:cs="Times New Roman"/>
                <w:color w:val="000000" w:themeColor="text1"/>
              </w:rPr>
              <w:br/>
              <w:t>p-value</w:t>
            </w:r>
          </w:p>
        </w:tc>
        <w:tc>
          <w:tcPr>
            <w:tcW w:w="2095" w:type="pct"/>
            <w:gridSpan w:val="6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  <w:szCs w:val="20"/>
              </w:rPr>
              <w:t>Latent Class distribution rate (%)</w:t>
            </w:r>
          </w:p>
        </w:tc>
      </w:tr>
      <w:tr w:rsidR="004A62E1" w:rsidRPr="004A62E1" w:rsidTr="000E1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vMerge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0" w:type="pct"/>
            <w:vMerge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1" w:type="pct"/>
            <w:vMerge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4" w:type="pct"/>
            <w:vMerge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</w:tr>
      <w:tr w:rsidR="004A62E1" w:rsidRPr="004A62E1" w:rsidTr="000E18D2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1,115,181.63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1,115,328.96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0.24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auto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0E1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1,083,756.90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1,083,958.51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3.7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89.3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FFFFFF" w:themeFill="background1"/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0E18D2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1,072,028.95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1,072,284.84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84.4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6.7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5.6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shd w:val="clear" w:color="auto" w:fill="EDEDED" w:themeFill="accent3" w:themeFillTint="33"/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0E1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1,088,371.56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1,088,681.73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5.9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14.0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72.8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7.3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A62E1" w:rsidRPr="004A62E1" w:rsidTr="000E18D2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6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1,087,418.35</w:t>
            </w:r>
          </w:p>
        </w:tc>
        <w:tc>
          <w:tcPr>
            <w:tcW w:w="661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1,087,782.80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0.65</w:t>
            </w:r>
          </w:p>
        </w:tc>
        <w:tc>
          <w:tcPr>
            <w:tcW w:w="544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4A62E1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0.01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0.0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69.6</w:t>
            </w:r>
          </w:p>
        </w:tc>
        <w:tc>
          <w:tcPr>
            <w:tcW w:w="350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5.7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4.6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7.8</w:t>
            </w:r>
          </w:p>
        </w:tc>
        <w:tc>
          <w:tcPr>
            <w:tcW w:w="349" w:type="pct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1E25A5" w:rsidRPr="004A62E1" w:rsidRDefault="001E25A5" w:rsidP="00991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4A62E1">
              <w:rPr>
                <w:rFonts w:ascii="Times New Roman" w:hAnsi="Times New Roman" w:cs="Times New Roman"/>
                <w:color w:val="000000" w:themeColor="text1"/>
              </w:rPr>
              <w:t>12.2</w:t>
            </w:r>
          </w:p>
        </w:tc>
      </w:tr>
    </w:tbl>
    <w:p w:rsidR="001E25A5" w:rsidRPr="004A62E1" w:rsidRDefault="001E25A5" w:rsidP="001E25A5">
      <w:pPr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>p&lt;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0.05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</m:oMath>
      <w:r w:rsidR="003040F4" w:rsidRPr="004A62E1">
        <w:rPr>
          <w:rFonts w:hint="eastAsia"/>
          <w:color w:val="000000" w:themeColor="text1"/>
        </w:rPr>
        <w:t xml:space="preserve"> </w:t>
      </w:r>
      <w:r w:rsidR="003040F4" w:rsidRPr="004A62E1">
        <w:rPr>
          <w:rFonts w:ascii="Times New Roman" w:eastAsia="한컴바탕" w:hAnsi="Times New Roman" w:cs="Times New Roman"/>
          <w:color w:val="000000" w:themeColor="text1"/>
        </w:rPr>
        <w:t>The optimal model choice from the latent clusters model is highlighted in the row.</w:t>
      </w:r>
    </w:p>
    <w:p w:rsidR="001E25A5" w:rsidRPr="004A62E1" w:rsidRDefault="001E25A5">
      <w:pPr>
        <w:rPr>
          <w:color w:val="000000" w:themeColor="text1"/>
        </w:rPr>
      </w:pPr>
    </w:p>
    <w:p w:rsidR="001E25A5" w:rsidRPr="004A62E1" w:rsidRDefault="001E25A5">
      <w:pPr>
        <w:rPr>
          <w:color w:val="000000" w:themeColor="text1"/>
        </w:rPr>
      </w:pPr>
      <w:bookmarkStart w:id="0" w:name="_GoBack"/>
      <w:bookmarkEnd w:id="0"/>
    </w:p>
    <w:sectPr w:rsidR="001E25A5" w:rsidRPr="004A62E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18A" w:rsidRDefault="001F418A" w:rsidP="001F418A">
      <w:pPr>
        <w:spacing w:after="0" w:line="240" w:lineRule="auto"/>
      </w:pPr>
      <w:r>
        <w:separator/>
      </w:r>
    </w:p>
  </w:endnote>
  <w:endnote w:type="continuationSeparator" w:id="0">
    <w:p w:rsidR="001F418A" w:rsidRDefault="001F418A" w:rsidP="001F4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18A" w:rsidRDefault="001F418A" w:rsidP="001F418A">
      <w:pPr>
        <w:spacing w:after="0" w:line="240" w:lineRule="auto"/>
      </w:pPr>
      <w:r>
        <w:separator/>
      </w:r>
    </w:p>
  </w:footnote>
  <w:footnote w:type="continuationSeparator" w:id="0">
    <w:p w:rsidR="001F418A" w:rsidRDefault="001F418A" w:rsidP="001F4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60D"/>
    <w:rsid w:val="000E18D2"/>
    <w:rsid w:val="001E25A5"/>
    <w:rsid w:val="001F418A"/>
    <w:rsid w:val="00274E50"/>
    <w:rsid w:val="003040F4"/>
    <w:rsid w:val="00317234"/>
    <w:rsid w:val="004A62E1"/>
    <w:rsid w:val="007C7998"/>
    <w:rsid w:val="00860DCE"/>
    <w:rsid w:val="009073F1"/>
    <w:rsid w:val="00946AA0"/>
    <w:rsid w:val="00961A2B"/>
    <w:rsid w:val="00C031F8"/>
    <w:rsid w:val="00D966A6"/>
    <w:rsid w:val="00DA6AC1"/>
    <w:rsid w:val="00FE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B1789650-DB71-46C9-B403-99200CDA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1E25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Char"/>
    <w:uiPriority w:val="99"/>
    <w:unhideWhenUsed/>
    <w:rsid w:val="001F418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F418A"/>
  </w:style>
  <w:style w:type="paragraph" w:styleId="a4">
    <w:name w:val="footer"/>
    <w:basedOn w:val="a"/>
    <w:link w:val="Char0"/>
    <w:uiPriority w:val="99"/>
    <w:unhideWhenUsed/>
    <w:rsid w:val="001F418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F418A"/>
  </w:style>
  <w:style w:type="paragraph" w:customStyle="1" w:styleId="a5">
    <w:name w:val="바탕글"/>
    <w:basedOn w:val="a"/>
    <w:rsid w:val="00961A2B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4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Yujin Cha</dc:creator>
  <cp:keywords/>
  <dc:description/>
  <cp:lastModifiedBy>Yujin Cha</cp:lastModifiedBy>
  <cp:revision>2</cp:revision>
  <dcterms:created xsi:type="dcterms:W3CDTF">2023-11-21T02:29:00Z</dcterms:created>
  <dcterms:modified xsi:type="dcterms:W3CDTF">2023-11-21T02:29:00Z</dcterms:modified>
</cp:coreProperties>
</file>