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8"/>
        <w:rPr>
          <w:b w:val="0"/>
        </w:rPr>
      </w:pPr>
      <w:r>
        <w:t>Supplementary Material</w:t>
      </w:r>
    </w:p>
    <w:p>
      <w:pPr>
        <w:pStyle w:val="2"/>
        <w:numPr>
          <w:ilvl w:val="0"/>
          <w:numId w:val="0"/>
        </w:numPr>
      </w:pPr>
      <w:r>
        <w:t>Supplementary Tables</w:t>
      </w:r>
    </w:p>
    <w:p>
      <w:pPr>
        <w:pStyle w:val="3"/>
        <w:numPr>
          <w:ilvl w:val="0"/>
          <w:numId w:val="3"/>
        </w:numPr>
      </w:pPr>
      <w:r>
        <w:t xml:space="preserve">Table S1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Characteristics of the participants stratified by functional status</w:t>
      </w:r>
      <w:r>
        <w:t>.</w:t>
      </w:r>
    </w:p>
    <w:p/>
    <w:tbl>
      <w:tblPr>
        <w:tblStyle w:val="10"/>
        <w:tblW w:w="9923" w:type="dxa"/>
        <w:jc w:val="center"/>
        <w:tblBorders>
          <w:top w:val="single" w:color="EBEBEB" w:sz="6" w:space="0"/>
          <w:left w:val="none" w:color="auto" w:sz="0" w:space="0"/>
          <w:bottom w:val="single" w:color="EBEBEB" w:sz="6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687"/>
        <w:gridCol w:w="1558"/>
        <w:gridCol w:w="1702"/>
        <w:gridCol w:w="1842"/>
        <w:gridCol w:w="1134"/>
      </w:tblGrid>
      <w:tr>
        <w:trPr>
          <w:tblHeader/>
          <w:jc w:val="center"/>
        </w:trPr>
        <w:tc>
          <w:tcPr>
            <w:tcW w:w="9923" w:type="dxa"/>
            <w:gridSpan w:val="5"/>
            <w:tcBorders>
              <w:top w:val="nil"/>
              <w:bottom w:val="single" w:color="auto" w:sz="4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ind w:right="36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Table S1. Characteristics of the participants stratified by functional status.</w:t>
            </w:r>
          </w:p>
        </w:tc>
      </w:tr>
      <w:tr>
        <w:trPr>
          <w:trHeight w:val="249" w:hRule="atLeast"/>
          <w:tblHeader/>
          <w:jc w:val="center"/>
        </w:trPr>
        <w:tc>
          <w:tcPr>
            <w:tcW w:w="3687" w:type="dxa"/>
            <w:tcBorders>
              <w:top w:val="single" w:color="auto" w:sz="4" w:space="0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Characteristic</w:t>
            </w:r>
          </w:p>
        </w:tc>
        <w:tc>
          <w:tcPr>
            <w:tcW w:w="1558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Total</w:t>
            </w:r>
          </w:p>
        </w:tc>
        <w:tc>
          <w:tcPr>
            <w:tcW w:w="1702" w:type="dxa"/>
            <w:tcBorders>
              <w:top w:val="single" w:color="auto" w:sz="4" w:space="0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IADL </w:t>
            </w:r>
          </w:p>
          <w:p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normal</w:t>
            </w:r>
          </w:p>
        </w:tc>
        <w:tc>
          <w:tcPr>
            <w:tcW w:w="1842" w:type="dxa"/>
            <w:tcBorders>
              <w:top w:val="single" w:color="auto" w:sz="4" w:space="0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IADL limitations</w:t>
            </w:r>
          </w:p>
        </w:tc>
        <w:tc>
          <w:tcPr>
            <w:tcW w:w="1134" w:type="dxa"/>
            <w:tcBorders>
              <w:top w:val="single" w:color="auto" w:sz="4" w:space="0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-value</w:t>
            </w:r>
          </w:p>
        </w:tc>
      </w:tr>
      <w:tr>
        <w:trPr>
          <w:trHeight w:val="284" w:hRule="atLeast"/>
          <w:tblHeader/>
          <w:jc w:val="center"/>
        </w:trPr>
        <w:tc>
          <w:tcPr>
            <w:tcW w:w="3687" w:type="dxa"/>
            <w:tcBorders>
              <w:top w:val="nil"/>
              <w:bottom w:val="single" w:color="auto" w:sz="4" w:space="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8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(n=7629)</w:t>
            </w:r>
          </w:p>
        </w:tc>
        <w:tc>
          <w:tcPr>
            <w:tcW w:w="1702" w:type="dxa"/>
            <w:tcBorders>
              <w:top w:val="nil"/>
              <w:bottom w:val="single" w:color="auto" w:sz="4" w:space="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(n=3257)</w:t>
            </w:r>
          </w:p>
        </w:tc>
        <w:tc>
          <w:tcPr>
            <w:tcW w:w="1842" w:type="dxa"/>
            <w:tcBorders>
              <w:top w:val="nil"/>
              <w:bottom w:val="single" w:color="auto" w:sz="4" w:space="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(n=4372)</w:t>
            </w:r>
          </w:p>
        </w:tc>
        <w:tc>
          <w:tcPr>
            <w:tcW w:w="1134" w:type="dxa"/>
            <w:tcBorders>
              <w:top w:val="nil"/>
              <w:bottom w:val="single" w:color="auto" w:sz="4" w:space="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284" w:hRule="atLeast"/>
          <w:jc w:val="center"/>
        </w:trPr>
        <w:tc>
          <w:tcPr>
            <w:tcW w:w="3687" w:type="dxa"/>
            <w:tcBorders>
              <w:top w:val="single" w:color="auto" w:sz="4" w:space="0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Age (mean ± SD)</w:t>
            </w:r>
          </w:p>
        </w:tc>
        <w:tc>
          <w:tcPr>
            <w:tcW w:w="1558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82.30 ± 11.08 </w:t>
            </w:r>
          </w:p>
        </w:tc>
        <w:tc>
          <w:tcPr>
            <w:tcW w:w="1702" w:type="dxa"/>
            <w:tcBorders>
              <w:top w:val="single" w:color="auto" w:sz="4" w:space="0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75.24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± </w:t>
            </w: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7.91 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842" w:type="dxa"/>
            <w:tcBorders>
              <w:top w:val="single" w:color="auto" w:sz="4" w:space="0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87.56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± </w:t>
            </w: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10.13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134" w:type="dxa"/>
            <w:tcBorders>
              <w:top w:val="single" w:color="auto" w:sz="4" w:space="0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>
        <w:trPr>
          <w:trHeight w:val="284" w:hRule="atLeast"/>
          <w:jc w:val="center"/>
        </w:trPr>
        <w:tc>
          <w:tcPr>
            <w:tcW w:w="3687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Sex (%)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>
        <w:trPr>
          <w:trHeight w:val="284" w:hRule="atLeast"/>
          <w:jc w:val="center"/>
        </w:trPr>
        <w:tc>
          <w:tcPr>
            <w:tcW w:w="3687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ind w:firstLine="240" w:firstLineChars="100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Male 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3641(47.7)</w:t>
            </w:r>
          </w:p>
        </w:tc>
        <w:tc>
          <w:tcPr>
            <w:tcW w:w="170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1873(57.5)</w:t>
            </w:r>
          </w:p>
        </w:tc>
        <w:tc>
          <w:tcPr>
            <w:tcW w:w="184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1768(40.4)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284" w:hRule="atLeast"/>
          <w:jc w:val="center"/>
        </w:trPr>
        <w:tc>
          <w:tcPr>
            <w:tcW w:w="3687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ind w:firstLine="240" w:firstLineChars="100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Female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3988(52.3)</w:t>
            </w:r>
          </w:p>
        </w:tc>
        <w:tc>
          <w:tcPr>
            <w:tcW w:w="170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1384(42.5)</w:t>
            </w:r>
          </w:p>
        </w:tc>
        <w:tc>
          <w:tcPr>
            <w:tcW w:w="184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2604(59.6)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284" w:hRule="atLeast"/>
          <w:jc w:val="center"/>
        </w:trPr>
        <w:tc>
          <w:tcPr>
            <w:tcW w:w="3687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BMI (mean ± SD)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22.79 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± </w:t>
            </w: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4.35</w:t>
            </w:r>
          </w:p>
        </w:tc>
        <w:tc>
          <w:tcPr>
            <w:tcW w:w="170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39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± </w:t>
            </w: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07</w:t>
            </w:r>
          </w:p>
        </w:tc>
        <w:tc>
          <w:tcPr>
            <w:tcW w:w="184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22.</w:t>
            </w: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34</w:t>
            </w: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± </w:t>
            </w: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>
        <w:trPr>
          <w:trHeight w:val="284" w:hRule="atLeast"/>
          <w:jc w:val="center"/>
        </w:trPr>
        <w:tc>
          <w:tcPr>
            <w:tcW w:w="3687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Education level (%)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>
        <w:trPr>
          <w:trHeight w:val="284" w:hRule="atLeast"/>
          <w:jc w:val="center"/>
        </w:trPr>
        <w:tc>
          <w:tcPr>
            <w:tcW w:w="3687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ind w:firstLine="240" w:firstLineChars="100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&lt; 1 year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3054(40.0)</w:t>
            </w:r>
          </w:p>
        </w:tc>
        <w:tc>
          <w:tcPr>
            <w:tcW w:w="170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741(22.8)</w:t>
            </w:r>
          </w:p>
        </w:tc>
        <w:tc>
          <w:tcPr>
            <w:tcW w:w="184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2313(52.9)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284" w:hRule="atLeast"/>
          <w:jc w:val="center"/>
        </w:trPr>
        <w:tc>
          <w:tcPr>
            <w:tcW w:w="3687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ind w:firstLine="240" w:firstLineChars="100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≥ 1 year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4575(60.0) </w:t>
            </w:r>
          </w:p>
        </w:tc>
        <w:tc>
          <w:tcPr>
            <w:tcW w:w="170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2516(77.2)</w:t>
            </w:r>
          </w:p>
        </w:tc>
        <w:tc>
          <w:tcPr>
            <w:tcW w:w="184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2059(47.1)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284" w:hRule="atLeast"/>
          <w:jc w:val="center"/>
        </w:trPr>
        <w:tc>
          <w:tcPr>
            <w:tcW w:w="3687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Marital status (%)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>
        <w:trPr>
          <w:trHeight w:val="284" w:hRule="atLeast"/>
          <w:jc w:val="center"/>
        </w:trPr>
        <w:tc>
          <w:tcPr>
            <w:tcW w:w="3687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ind w:firstLine="120" w:firstLineChars="50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Married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3813(50.0)</w:t>
            </w:r>
          </w:p>
        </w:tc>
        <w:tc>
          <w:tcPr>
            <w:tcW w:w="170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2282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70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.1)</w:t>
            </w:r>
          </w:p>
        </w:tc>
        <w:tc>
          <w:tcPr>
            <w:tcW w:w="184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1531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284" w:hRule="atLeast"/>
          <w:jc w:val="center"/>
        </w:trPr>
        <w:tc>
          <w:tcPr>
            <w:tcW w:w="3687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ind w:firstLine="120" w:firstLineChars="50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Widowed/separated/single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3816(50.0) </w:t>
            </w:r>
          </w:p>
        </w:tc>
        <w:tc>
          <w:tcPr>
            <w:tcW w:w="170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975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29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.9)</w:t>
            </w:r>
          </w:p>
        </w:tc>
        <w:tc>
          <w:tcPr>
            <w:tcW w:w="184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2841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65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284" w:hRule="atLeast"/>
          <w:jc w:val="center"/>
        </w:trPr>
        <w:tc>
          <w:tcPr>
            <w:tcW w:w="3687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Self-reported financial status (%)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>
        <w:trPr>
          <w:trHeight w:val="284" w:hRule="atLeast"/>
          <w:jc w:val="center"/>
        </w:trPr>
        <w:tc>
          <w:tcPr>
            <w:tcW w:w="3687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ind w:firstLine="120" w:firstLineChars="50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Poverty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671(8.8) </w:t>
            </w:r>
          </w:p>
        </w:tc>
        <w:tc>
          <w:tcPr>
            <w:tcW w:w="170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247(7.6)</w:t>
            </w:r>
          </w:p>
        </w:tc>
        <w:tc>
          <w:tcPr>
            <w:tcW w:w="184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424(9.7)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284" w:hRule="atLeast"/>
          <w:jc w:val="center"/>
        </w:trPr>
        <w:tc>
          <w:tcPr>
            <w:tcW w:w="3687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ind w:firstLine="120" w:firstLineChars="50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Ordinary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5356(70.2)</w:t>
            </w:r>
          </w:p>
        </w:tc>
        <w:tc>
          <w:tcPr>
            <w:tcW w:w="170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2274(69.8)</w:t>
            </w:r>
          </w:p>
        </w:tc>
        <w:tc>
          <w:tcPr>
            <w:tcW w:w="184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3082(70.5)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284" w:hRule="atLeast"/>
          <w:jc w:val="center"/>
        </w:trPr>
        <w:tc>
          <w:tcPr>
            <w:tcW w:w="3687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ind w:firstLine="120" w:firstLineChars="50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Wealthy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1602(21.0)</w:t>
            </w:r>
          </w:p>
        </w:tc>
        <w:tc>
          <w:tcPr>
            <w:tcW w:w="170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736(22.6)</w:t>
            </w:r>
          </w:p>
        </w:tc>
        <w:tc>
          <w:tcPr>
            <w:tcW w:w="184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866(19.8)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284" w:hRule="atLeast"/>
          <w:jc w:val="center"/>
        </w:trPr>
        <w:tc>
          <w:tcPr>
            <w:tcW w:w="3687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Working condition (%)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>
        <w:trPr>
          <w:trHeight w:val="284" w:hRule="atLeast"/>
          <w:jc w:val="center"/>
        </w:trPr>
        <w:tc>
          <w:tcPr>
            <w:tcW w:w="3687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ind w:firstLine="120" w:firstLineChars="50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Non-professional work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6571(86.1) </w:t>
            </w:r>
          </w:p>
        </w:tc>
        <w:tc>
          <w:tcPr>
            <w:tcW w:w="170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2697(82.8)</w:t>
            </w:r>
          </w:p>
        </w:tc>
        <w:tc>
          <w:tcPr>
            <w:tcW w:w="184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3874(88.6)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284" w:hRule="atLeast"/>
          <w:jc w:val="center"/>
        </w:trPr>
        <w:tc>
          <w:tcPr>
            <w:tcW w:w="3687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ind w:firstLine="120" w:firstLineChars="50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Professional work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1058(13.9)</w:t>
            </w:r>
          </w:p>
        </w:tc>
        <w:tc>
          <w:tcPr>
            <w:tcW w:w="170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560(17.2)</w:t>
            </w:r>
          </w:p>
        </w:tc>
        <w:tc>
          <w:tcPr>
            <w:tcW w:w="184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498(11.4)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284" w:hRule="atLeast"/>
          <w:jc w:val="center"/>
        </w:trPr>
        <w:tc>
          <w:tcPr>
            <w:tcW w:w="3687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Residence (%)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0.533</w:t>
            </w:r>
          </w:p>
        </w:tc>
      </w:tr>
      <w:tr>
        <w:trPr>
          <w:trHeight w:val="284" w:hRule="atLeast"/>
          <w:jc w:val="center"/>
        </w:trPr>
        <w:tc>
          <w:tcPr>
            <w:tcW w:w="3687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line="276" w:lineRule="auto"/>
              <w:ind w:firstLine="240" w:firstLineChars="100"/>
              <w:jc w:val="both"/>
              <w:rPr>
                <w:rFonts w:ascii="Times New Roman" w:hAnsi="Times New Roman" w:cs="Times New Roman"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Urban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2087(27.4) </w:t>
            </w:r>
          </w:p>
        </w:tc>
        <w:tc>
          <w:tcPr>
            <w:tcW w:w="170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903(27.7)</w:t>
            </w:r>
          </w:p>
        </w:tc>
        <w:tc>
          <w:tcPr>
            <w:tcW w:w="184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1184(27.1)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284" w:hRule="atLeast"/>
          <w:jc w:val="center"/>
        </w:trPr>
        <w:tc>
          <w:tcPr>
            <w:tcW w:w="3687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line="276" w:lineRule="auto"/>
              <w:ind w:firstLine="240" w:firstLineChars="100"/>
              <w:jc w:val="both"/>
              <w:rPr>
                <w:rFonts w:ascii="Times New Roman" w:hAnsi="Times New Roman" w:cs="Times New Roman"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Town/Rural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5542(72.6)</w:t>
            </w:r>
          </w:p>
        </w:tc>
        <w:tc>
          <w:tcPr>
            <w:tcW w:w="170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2354(72.3)</w:t>
            </w:r>
          </w:p>
        </w:tc>
        <w:tc>
          <w:tcPr>
            <w:tcW w:w="184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3188(72.9)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284" w:hRule="atLeast"/>
          <w:jc w:val="center"/>
        </w:trPr>
        <w:tc>
          <w:tcPr>
            <w:tcW w:w="3687" w:type="dxa"/>
            <w:tcBorders>
              <w:top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Smoking (%)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1276(16.7)</w:t>
            </w:r>
          </w:p>
        </w:tc>
        <w:tc>
          <w:tcPr>
            <w:tcW w:w="1702" w:type="dxa"/>
            <w:tcBorders>
              <w:top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736(22.6)</w:t>
            </w:r>
          </w:p>
        </w:tc>
        <w:tc>
          <w:tcPr>
            <w:tcW w:w="1842" w:type="dxa"/>
            <w:tcBorders>
              <w:top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540(12.4)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>
        <w:trPr>
          <w:trHeight w:val="284" w:hRule="atLeast"/>
          <w:jc w:val="center"/>
        </w:trPr>
        <w:tc>
          <w:tcPr>
            <w:tcW w:w="3687" w:type="dxa"/>
            <w:tcBorders>
              <w:top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Drinking (%)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1239(16.2)</w:t>
            </w:r>
          </w:p>
        </w:tc>
        <w:tc>
          <w:tcPr>
            <w:tcW w:w="1702" w:type="dxa"/>
            <w:tcBorders>
              <w:top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726(22.3)</w:t>
            </w:r>
          </w:p>
        </w:tc>
        <w:tc>
          <w:tcPr>
            <w:tcW w:w="1842" w:type="dxa"/>
            <w:tcBorders>
              <w:top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513(11.7)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>
        <w:trPr>
          <w:trHeight w:val="284" w:hRule="atLeast"/>
          <w:jc w:val="center"/>
        </w:trPr>
        <w:tc>
          <w:tcPr>
            <w:tcW w:w="3687" w:type="dxa"/>
            <w:tcBorders>
              <w:top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Exercise (%)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2902(38.0)</w:t>
            </w:r>
          </w:p>
        </w:tc>
        <w:tc>
          <w:tcPr>
            <w:tcW w:w="1702" w:type="dxa"/>
            <w:tcBorders>
              <w:top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1619(49.7)</w:t>
            </w:r>
          </w:p>
        </w:tc>
        <w:tc>
          <w:tcPr>
            <w:tcW w:w="1842" w:type="dxa"/>
            <w:tcBorders>
              <w:top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1283(29.3)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>
        <w:trPr>
          <w:trHeight w:val="284" w:hRule="atLeast"/>
          <w:jc w:val="center"/>
        </w:trPr>
        <w:tc>
          <w:tcPr>
            <w:tcW w:w="3687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ADL (mean ± SD)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0.35 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± 1.04</w:t>
            </w:r>
          </w:p>
        </w:tc>
        <w:tc>
          <w:tcPr>
            <w:tcW w:w="170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0.02 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± </w:t>
            </w: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0.21</w:t>
            </w:r>
          </w:p>
        </w:tc>
        <w:tc>
          <w:tcPr>
            <w:tcW w:w="184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0.60 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± </w:t>
            </w: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1.31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>
        <w:trPr>
          <w:trHeight w:val="284" w:hRule="atLeast"/>
          <w:jc w:val="center"/>
        </w:trPr>
        <w:tc>
          <w:tcPr>
            <w:tcW w:w="3687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Number of chronic diseases (mean ± SD)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0.97 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± </w:t>
            </w: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1.02</w:t>
            </w:r>
          </w:p>
        </w:tc>
        <w:tc>
          <w:tcPr>
            <w:tcW w:w="170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0.89 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± </w:t>
            </w: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0.96</w:t>
            </w:r>
          </w:p>
        </w:tc>
        <w:tc>
          <w:tcPr>
            <w:tcW w:w="184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1.02 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± </w:t>
            </w: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1.06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>
        <w:trPr>
          <w:trHeight w:val="284" w:hRule="atLeast"/>
          <w:jc w:val="center"/>
        </w:trPr>
        <w:tc>
          <w:tcPr>
            <w:tcW w:w="3687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Number of natural teeth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(mean ± SD)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11.24 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± </w:t>
            </w: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10.75</w:t>
            </w:r>
          </w:p>
        </w:tc>
        <w:tc>
          <w:tcPr>
            <w:tcW w:w="170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15.35 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± </w:t>
            </w: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10.93</w:t>
            </w:r>
          </w:p>
        </w:tc>
        <w:tc>
          <w:tcPr>
            <w:tcW w:w="184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8.17 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± </w:t>
            </w: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9.52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>
        <w:trPr>
          <w:trHeight w:val="284" w:hRule="atLeast"/>
          <w:jc w:val="center"/>
        </w:trPr>
        <w:tc>
          <w:tcPr>
            <w:tcW w:w="3687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Subjective well-being (mean ± SD)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36.93 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± </w:t>
            </w: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4.95</w:t>
            </w:r>
          </w:p>
        </w:tc>
        <w:tc>
          <w:tcPr>
            <w:tcW w:w="170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38.11 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± </w:t>
            </w: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4.57</w:t>
            </w:r>
          </w:p>
        </w:tc>
        <w:tc>
          <w:tcPr>
            <w:tcW w:w="184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36.05 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± </w:t>
            </w: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5.04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>
        <w:trPr>
          <w:trHeight w:val="284" w:hRule="atLeast"/>
          <w:jc w:val="center"/>
        </w:trPr>
        <w:tc>
          <w:tcPr>
            <w:tcW w:w="3687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Social participation (mean ± SD)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0.54 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± </w:t>
            </w: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0.79</w:t>
            </w:r>
          </w:p>
        </w:tc>
        <w:tc>
          <w:tcPr>
            <w:tcW w:w="170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0.81 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± </w:t>
            </w: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0.90</w:t>
            </w:r>
          </w:p>
        </w:tc>
        <w:tc>
          <w:tcPr>
            <w:tcW w:w="184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0.33 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± </w:t>
            </w: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0.63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>
        <w:trPr>
          <w:trHeight w:val="284" w:hRule="atLeast"/>
          <w:jc w:val="center"/>
        </w:trPr>
        <w:tc>
          <w:tcPr>
            <w:tcW w:w="3687" w:type="dxa"/>
            <w:tcBorders>
              <w:bottom w:val="single" w:color="auto" w:sz="4" w:space="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Cognitive function (mean ± SD)</w:t>
            </w:r>
          </w:p>
        </w:tc>
        <w:tc>
          <w:tcPr>
            <w:tcW w:w="1558" w:type="dxa"/>
            <w:tcBorders>
              <w:bottom w:val="single" w:color="auto" w:sz="4" w:space="0"/>
            </w:tcBorders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26.08 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± </w:t>
            </w: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5.34</w:t>
            </w:r>
          </w:p>
        </w:tc>
        <w:tc>
          <w:tcPr>
            <w:tcW w:w="1702" w:type="dxa"/>
            <w:tcBorders>
              <w:bottom w:val="single" w:color="auto" w:sz="4" w:space="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28.46 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± </w:t>
            </w: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2.22</w:t>
            </w:r>
          </w:p>
        </w:tc>
        <w:tc>
          <w:tcPr>
            <w:tcW w:w="1842" w:type="dxa"/>
            <w:tcBorders>
              <w:bottom w:val="single" w:color="auto" w:sz="4" w:space="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24.31 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± </w:t>
            </w:r>
            <w:r>
              <w:rPr>
                <w:rFonts w:ascii="Times New Roman" w:hAnsi="Times New Roman" w:eastAsia="MingLiU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6.22</w:t>
            </w:r>
          </w:p>
        </w:tc>
        <w:tc>
          <w:tcPr>
            <w:tcW w:w="1134" w:type="dxa"/>
            <w:tcBorders>
              <w:bottom w:val="single" w:color="auto" w:sz="4" w:space="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>
        <w:trPr>
          <w:trHeight w:val="598" w:hRule="atLeast"/>
          <w:jc w:val="center"/>
        </w:trPr>
        <w:tc>
          <w:tcPr>
            <w:tcW w:w="9923" w:type="dxa"/>
            <w:gridSpan w:val="5"/>
            <w:tcBorders>
              <w:top w:val="single" w:color="auto" w:sz="4" w:space="0"/>
              <w:bottom w:val="nil"/>
              <w:right w:val="nil"/>
            </w:tcBorders>
            <w:vAlign w:val="center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Notes: SD, standard deviation; BMI, body mass index; IADL, </w:t>
            </w:r>
            <w:r>
              <w:rPr>
                <w:rFonts w:ascii="Times New Roman" w:hAnsi="Times New Roman" w:cs="Times New Roman"/>
              </w:rPr>
              <w:t xml:space="preserve">instrumental 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activities of daily living; </w:t>
            </w:r>
          </w:p>
        </w:tc>
      </w:tr>
    </w:tbl>
    <w:p/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decorative"/>
    <w:pitch w:val="default"/>
    <w:sig w:usb0="00000000" w:usb1="00000000" w:usb2="00000000" w:usb3="00000000" w:csb0="8000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MingLiU">
    <w:altName w:val="宋体-繁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12"/>
      </w:rPr>
      <w:id w:val="1031151848"/>
      <w:docPartObj>
        <w:docPartGallery w:val="autotext"/>
      </w:docPartObj>
    </w:sdtPr>
    <w:sdtEndPr>
      <w:rPr>
        <w:rStyle w:val="12"/>
      </w:rPr>
    </w:sdtEndPr>
    <w:sdtContent>
      <w:p>
        <w:pPr>
          <w:pStyle w:val="8"/>
          <w:framePr w:wrap="auto" w:vAnchor="text" w:hAnchor="margin" w:xAlign="center" w:y="1"/>
          <w:rPr>
            <w:rStyle w:val="12"/>
          </w:rPr>
        </w:pPr>
        <w:r>
          <w:rPr>
            <w:rStyle w:val="12"/>
          </w:rPr>
          <w:fldChar w:fldCharType="begin"/>
        </w:r>
        <w:r>
          <w:rPr>
            <w:rStyle w:val="12"/>
          </w:rPr>
          <w:instrText xml:space="preserve"> PAGE </w:instrText>
        </w:r>
        <w:r>
          <w:rPr>
            <w:rStyle w:val="12"/>
          </w:rPr>
          <w:fldChar w:fldCharType="separate"/>
        </w:r>
        <w:r>
          <w:rPr>
            <w:rStyle w:val="12"/>
          </w:rPr>
          <w:t>1</w:t>
        </w:r>
        <w:r>
          <w:rPr>
            <w:rStyle w:val="12"/>
          </w:rPr>
          <w:fldChar w:fldCharType="end"/>
        </w:r>
      </w:p>
    </w:sdtContent>
  </w:sdt>
  <w:p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12"/>
      </w:rPr>
      <w:id w:val="1049893009"/>
      <w:docPartObj>
        <w:docPartGallery w:val="autotext"/>
      </w:docPartObj>
    </w:sdtPr>
    <w:sdtEndPr>
      <w:rPr>
        <w:rStyle w:val="12"/>
      </w:rPr>
    </w:sdtEndPr>
    <w:sdtContent>
      <w:p>
        <w:pPr>
          <w:pStyle w:val="8"/>
          <w:framePr w:wrap="auto" w:vAnchor="text" w:hAnchor="margin" w:xAlign="center" w:y="1"/>
          <w:rPr>
            <w:rStyle w:val="12"/>
          </w:rPr>
        </w:pPr>
        <w:r>
          <w:rPr>
            <w:rStyle w:val="12"/>
          </w:rPr>
          <w:fldChar w:fldCharType="begin"/>
        </w:r>
        <w:r>
          <w:rPr>
            <w:rStyle w:val="12"/>
          </w:rPr>
          <w:instrText xml:space="preserve"> PAGE </w:instrText>
        </w:r>
        <w:r>
          <w:rPr>
            <w:rStyle w:val="12"/>
          </w:rPr>
          <w:fldChar w:fldCharType="end"/>
        </w:r>
      </w:p>
    </w:sdtContent>
  </w:sdt>
  <w:p>
    <w:pPr>
      <w:pStyle w:val="8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0601A"/>
    <w:multiLevelType w:val="multilevel"/>
    <w:tmpl w:val="1EC0601A"/>
    <w:lvl w:ilvl="0" w:tentative="0">
      <w:start w:val="1"/>
      <w:numFmt w:val="decimal"/>
      <w:pStyle w:val="2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pStyle w:val="4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pStyle w:val="5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pStyle w:val="6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pStyle w:val="7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">
    <w:nsid w:val="2F4113C0"/>
    <w:multiLevelType w:val="multilevel"/>
    <w:tmpl w:val="2F4113C0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7F7"/>
    <w:rsid w:val="002667C4"/>
    <w:rsid w:val="00333963"/>
    <w:rsid w:val="00595F55"/>
    <w:rsid w:val="00657ADB"/>
    <w:rsid w:val="007742F6"/>
    <w:rsid w:val="00BD0AE4"/>
    <w:rsid w:val="00ED4B58"/>
    <w:rsid w:val="00EE3A44"/>
    <w:rsid w:val="00EF47F7"/>
    <w:rsid w:val="FB5F3847"/>
    <w:rsid w:val="FDFFB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nhideWhenUsed="0" w:uiPriority="2" w:semiHidden="0" w:name="heading 4"/>
    <w:lsdException w:qFormat="1" w:unhideWhenUsed="0" w:uiPriority="2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3"/>
    <w:next w:val="1"/>
    <w:link w:val="13"/>
    <w:qFormat/>
    <w:uiPriority w:val="2"/>
    <w:pPr>
      <w:numPr>
        <w:ilvl w:val="0"/>
        <w:numId w:val="1"/>
      </w:numPr>
      <w:spacing w:before="240"/>
      <w:contextualSpacing w:val="0"/>
      <w:outlineLvl w:val="0"/>
    </w:pPr>
    <w:rPr>
      <w:b/>
    </w:rPr>
  </w:style>
  <w:style w:type="paragraph" w:styleId="4">
    <w:name w:val="heading 2"/>
    <w:basedOn w:val="2"/>
    <w:next w:val="1"/>
    <w:link w:val="14"/>
    <w:qFormat/>
    <w:uiPriority w:val="2"/>
    <w:pPr>
      <w:numPr>
        <w:ilvl w:val="1"/>
      </w:numPr>
      <w:spacing w:after="200"/>
      <w:outlineLvl w:val="1"/>
    </w:pPr>
  </w:style>
  <w:style w:type="paragraph" w:styleId="5">
    <w:name w:val="heading 3"/>
    <w:basedOn w:val="1"/>
    <w:next w:val="1"/>
    <w:link w:val="15"/>
    <w:qFormat/>
    <w:uiPriority w:val="2"/>
    <w:pPr>
      <w:keepNext/>
      <w:keepLines/>
      <w:numPr>
        <w:ilvl w:val="2"/>
        <w:numId w:val="1"/>
      </w:numPr>
      <w:spacing w:before="40" w:after="120"/>
      <w:outlineLvl w:val="2"/>
    </w:pPr>
    <w:rPr>
      <w:rFonts w:ascii="Times New Roman" w:hAnsi="Times New Roman" w:eastAsiaTheme="majorEastAsia" w:cstheme="majorBidi"/>
      <w:b/>
      <w:lang w:eastAsia="en-US"/>
    </w:rPr>
  </w:style>
  <w:style w:type="paragraph" w:styleId="6">
    <w:name w:val="heading 4"/>
    <w:basedOn w:val="5"/>
    <w:next w:val="1"/>
    <w:link w:val="16"/>
    <w:qFormat/>
    <w:uiPriority w:val="2"/>
    <w:pPr>
      <w:numPr>
        <w:ilvl w:val="3"/>
      </w:numPr>
      <w:outlineLvl w:val="3"/>
    </w:pPr>
    <w:rPr>
      <w:iCs/>
    </w:rPr>
  </w:style>
  <w:style w:type="paragraph" w:styleId="7">
    <w:name w:val="heading 5"/>
    <w:basedOn w:val="6"/>
    <w:next w:val="1"/>
    <w:link w:val="17"/>
    <w:qFormat/>
    <w:uiPriority w:val="2"/>
    <w:pPr>
      <w:numPr>
        <w:ilvl w:val="4"/>
      </w:numPr>
      <w:outlineLvl w:val="4"/>
    </w:p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"/>
    <w:pPr>
      <w:numPr>
        <w:ilvl w:val="0"/>
        <w:numId w:val="2"/>
      </w:numPr>
      <w:spacing w:before="120" w:after="240"/>
      <w:contextualSpacing/>
    </w:pPr>
    <w:rPr>
      <w:rFonts w:ascii="Times New Roman" w:hAnsi="Times New Roman" w:eastAsia="Cambria" w:cs="Times New Roman"/>
      <w:lang w:eastAsia="en-US"/>
    </w:rPr>
  </w:style>
  <w:style w:type="paragraph" w:styleId="8">
    <w:name w:val="footer"/>
    <w:basedOn w:val="1"/>
    <w:link w:val="20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9">
    <w:name w:val="Title"/>
    <w:basedOn w:val="1"/>
    <w:next w:val="1"/>
    <w:link w:val="19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12">
    <w:name w:val="page number"/>
    <w:basedOn w:val="11"/>
    <w:semiHidden/>
    <w:unhideWhenUsed/>
    <w:uiPriority w:val="99"/>
  </w:style>
  <w:style w:type="character" w:customStyle="1" w:styleId="13">
    <w:name w:val="标题 1 字符"/>
    <w:basedOn w:val="11"/>
    <w:link w:val="2"/>
    <w:uiPriority w:val="2"/>
    <w:rPr>
      <w:rFonts w:ascii="Times New Roman" w:hAnsi="Times New Roman" w:eastAsia="Cambria" w:cs="Times New Roman"/>
      <w:b/>
      <w:kern w:val="0"/>
      <w:sz w:val="24"/>
      <w:lang w:eastAsia="en-US"/>
    </w:rPr>
  </w:style>
  <w:style w:type="character" w:customStyle="1" w:styleId="14">
    <w:name w:val="标题 2 字符"/>
    <w:basedOn w:val="11"/>
    <w:link w:val="4"/>
    <w:uiPriority w:val="2"/>
    <w:rPr>
      <w:rFonts w:ascii="Times New Roman" w:hAnsi="Times New Roman" w:eastAsia="Cambria" w:cs="Times New Roman"/>
      <w:b/>
      <w:kern w:val="0"/>
      <w:sz w:val="24"/>
      <w:lang w:eastAsia="en-US"/>
    </w:rPr>
  </w:style>
  <w:style w:type="character" w:customStyle="1" w:styleId="15">
    <w:name w:val="标题 3 字符"/>
    <w:basedOn w:val="11"/>
    <w:link w:val="5"/>
    <w:uiPriority w:val="2"/>
    <w:rPr>
      <w:rFonts w:ascii="Times New Roman" w:hAnsi="Times New Roman" w:eastAsiaTheme="majorEastAsia" w:cstheme="majorBidi"/>
      <w:b/>
      <w:kern w:val="0"/>
      <w:sz w:val="24"/>
      <w:lang w:eastAsia="en-US"/>
    </w:rPr>
  </w:style>
  <w:style w:type="character" w:customStyle="1" w:styleId="16">
    <w:name w:val="标题 4 字符"/>
    <w:basedOn w:val="11"/>
    <w:link w:val="6"/>
    <w:uiPriority w:val="2"/>
    <w:rPr>
      <w:rFonts w:ascii="Times New Roman" w:hAnsi="Times New Roman" w:eastAsiaTheme="majorEastAsia" w:cstheme="majorBidi"/>
      <w:b/>
      <w:iCs/>
      <w:kern w:val="0"/>
      <w:sz w:val="24"/>
      <w:lang w:eastAsia="en-US"/>
    </w:rPr>
  </w:style>
  <w:style w:type="character" w:customStyle="1" w:styleId="17">
    <w:name w:val="标题 5 字符"/>
    <w:basedOn w:val="11"/>
    <w:link w:val="7"/>
    <w:uiPriority w:val="2"/>
    <w:rPr>
      <w:rFonts w:ascii="Times New Roman" w:hAnsi="Times New Roman" w:eastAsiaTheme="majorEastAsia" w:cstheme="majorBidi"/>
      <w:b/>
      <w:iCs/>
      <w:kern w:val="0"/>
      <w:sz w:val="24"/>
      <w:lang w:eastAsia="en-US"/>
    </w:rPr>
  </w:style>
  <w:style w:type="paragraph" w:customStyle="1" w:styleId="18">
    <w:name w:val="Supplementary Material"/>
    <w:basedOn w:val="9"/>
    <w:next w:val="9"/>
    <w:qFormat/>
    <w:uiPriority w:val="0"/>
    <w:pPr>
      <w:suppressLineNumbers/>
      <w:spacing w:after="120"/>
      <w:outlineLvl w:val="9"/>
    </w:pPr>
    <w:rPr>
      <w:rFonts w:ascii="Times New Roman" w:hAnsi="Times New Roman" w:cs="Times New Roman" w:eastAsiaTheme="minorEastAsia"/>
      <w:bCs w:val="0"/>
      <w:i/>
      <w:lang w:eastAsia="en-US"/>
    </w:rPr>
  </w:style>
  <w:style w:type="character" w:customStyle="1" w:styleId="19">
    <w:name w:val="标题 字符"/>
    <w:basedOn w:val="11"/>
    <w:link w:val="9"/>
    <w:uiPriority w:val="10"/>
    <w:rPr>
      <w:rFonts w:asciiTheme="majorHAnsi" w:hAnsiTheme="majorHAnsi" w:eastAsiaTheme="majorEastAsia" w:cstheme="majorBidi"/>
      <w:b/>
      <w:bCs/>
      <w:kern w:val="0"/>
      <w:sz w:val="32"/>
      <w:szCs w:val="32"/>
    </w:rPr>
  </w:style>
  <w:style w:type="character" w:customStyle="1" w:styleId="20">
    <w:name w:val="页脚 字符"/>
    <w:basedOn w:val="11"/>
    <w:link w:val="8"/>
    <w:uiPriority w:val="99"/>
    <w:rPr>
      <w:rFonts w:ascii="宋体" w:hAnsi="宋体" w:eastAsia="宋体" w:cs="宋体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285</Words>
  <Characters>1626</Characters>
  <Lines>13</Lines>
  <Paragraphs>3</Paragraphs>
  <TotalTime>0</TotalTime>
  <ScaleCrop>false</ScaleCrop>
  <LinksUpToDate>false</LinksUpToDate>
  <CharactersWithSpaces>1908</CharactersWithSpaces>
  <Application>WPS Office_6.4.0.8550_F1E327BC-269C-435d-A152-05C5408002CA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2023-09-08T23:58:00Z</dcterms:created>
  <dc:creator>14793</dc:creator>
  <cp:lastModifiedBy>青茫</cp:lastModifiedBy>
  <dcterms:modified xsi:type="dcterms:W3CDTF">2024-01-26T20:26:59Z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EE38CF141263CDD3CDA2B36546CA45BB_42</vt:lpwstr>
  </property>
</Properties>
</file>