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168E9" w14:textId="168914A3" w:rsidR="00361845" w:rsidRDefault="006C5CDA" w:rsidP="00361845">
      <w:pPr>
        <w:pStyle w:val="BodySciensano"/>
        <w:framePr w:w="10264" w:h="1045" w:hRule="exact" w:hSpace="180" w:wrap="around" w:vAnchor="page" w:hAnchor="page" w:x="1081" w:y="337"/>
        <w:spacing w:line="240" w:lineRule="auto"/>
        <w:jc w:val="left"/>
        <w:rPr>
          <w:szCs w:val="20"/>
          <w:lang w:val="en-US"/>
        </w:rPr>
      </w:pPr>
      <w:bookmarkStart w:id="0" w:name="_GoBack"/>
      <w:bookmarkEnd w:id="0"/>
      <w:r>
        <w:rPr>
          <w:b/>
          <w:color w:val="58595B" w:themeColor="text1"/>
          <w:szCs w:val="20"/>
          <w:lang w:val="en-US"/>
        </w:rPr>
        <w:t xml:space="preserve">Additional table </w:t>
      </w:r>
      <w:r w:rsidR="00AF4128" w:rsidRPr="00361845">
        <w:rPr>
          <w:b/>
          <w:color w:val="58595B" w:themeColor="text1"/>
          <w:szCs w:val="20"/>
          <w:lang w:val="en-US"/>
        </w:rPr>
        <w:t>5</w:t>
      </w:r>
      <w:r w:rsidR="00F549CD">
        <w:rPr>
          <w:b/>
          <w:color w:val="58595B" w:themeColor="text1"/>
          <w:szCs w:val="20"/>
          <w:lang w:val="en-US"/>
        </w:rPr>
        <w:t>.</w:t>
      </w:r>
      <w:r w:rsidR="007B3CF6" w:rsidRPr="00361845">
        <w:rPr>
          <w:b/>
          <w:color w:val="58595B" w:themeColor="text1"/>
          <w:szCs w:val="20"/>
          <w:lang w:val="en-US"/>
        </w:rPr>
        <w:t xml:space="preserve"> </w:t>
      </w:r>
      <w:r w:rsidR="007B3CF6" w:rsidRPr="001C1B28">
        <w:rPr>
          <w:b/>
          <w:szCs w:val="20"/>
          <w:lang w:val="en-US"/>
        </w:rPr>
        <w:t>Overview of the evidence supporting the extracted interventions from the literature</w:t>
      </w:r>
      <w:r w:rsidR="007B3CF6" w:rsidRPr="00361845">
        <w:rPr>
          <w:szCs w:val="20"/>
          <w:lang w:val="en-US"/>
        </w:rPr>
        <w:t xml:space="preserve"> </w:t>
      </w:r>
    </w:p>
    <w:p w14:paraId="5FA298D8" w14:textId="77777777" w:rsidR="00361845" w:rsidRDefault="007B3CF6" w:rsidP="00361845">
      <w:pPr>
        <w:pStyle w:val="BodySciensano"/>
        <w:framePr w:w="10264" w:h="1045" w:hRule="exact" w:hSpace="180" w:wrap="around" w:vAnchor="page" w:hAnchor="page" w:x="1081" w:y="337"/>
        <w:spacing w:line="240" w:lineRule="auto"/>
        <w:jc w:val="left"/>
        <w:rPr>
          <w:szCs w:val="20"/>
          <w:lang w:val="en-US"/>
        </w:rPr>
      </w:pPr>
      <w:r w:rsidRPr="00361845">
        <w:rPr>
          <w:szCs w:val="20"/>
          <w:lang w:val="en-US"/>
        </w:rPr>
        <w:t>The certainty of the evidence suppor</w:t>
      </w:r>
      <w:r w:rsidR="00417BA6" w:rsidRPr="00361845">
        <w:rPr>
          <w:szCs w:val="20"/>
          <w:lang w:val="en-US"/>
        </w:rPr>
        <w:t>ting the association between an</w:t>
      </w:r>
      <w:r w:rsidRPr="00361845">
        <w:rPr>
          <w:szCs w:val="20"/>
          <w:lang w:val="en-US"/>
        </w:rPr>
        <w:t xml:space="preserve"> intervention and </w:t>
      </w:r>
      <w:r w:rsidR="00417BA6" w:rsidRPr="00361845">
        <w:rPr>
          <w:szCs w:val="20"/>
          <w:lang w:val="en-US"/>
        </w:rPr>
        <w:t>an</w:t>
      </w:r>
      <w:r w:rsidRPr="00361845">
        <w:rPr>
          <w:szCs w:val="20"/>
          <w:lang w:val="en-US"/>
        </w:rPr>
        <w:t xml:space="preserve"> outcome is indicated.</w:t>
      </w:r>
      <w:r w:rsidR="00417BA6" w:rsidRPr="00361845">
        <w:rPr>
          <w:szCs w:val="20"/>
          <w:lang w:val="en-US"/>
        </w:rPr>
        <w:t xml:space="preserve"> </w:t>
      </w:r>
    </w:p>
    <w:p w14:paraId="7BCE8D60" w14:textId="77777777" w:rsidR="00361845" w:rsidRDefault="00417BA6" w:rsidP="00361845">
      <w:pPr>
        <w:pStyle w:val="BodySciensano"/>
        <w:framePr w:w="10264" w:h="1045" w:hRule="exact" w:hSpace="180" w:wrap="around" w:vAnchor="page" w:hAnchor="page" w:x="1081" w:y="337"/>
        <w:spacing w:line="240" w:lineRule="auto"/>
        <w:jc w:val="left"/>
        <w:rPr>
          <w:szCs w:val="20"/>
          <w:lang w:val="en-US"/>
        </w:rPr>
      </w:pPr>
      <w:r w:rsidRPr="00361845">
        <w:rPr>
          <w:szCs w:val="20"/>
          <w:lang w:val="en-US"/>
        </w:rPr>
        <w:t xml:space="preserve">The </w:t>
      </w:r>
      <w:r w:rsidR="00361845" w:rsidRPr="00361845">
        <w:rPr>
          <w:szCs w:val="20"/>
          <w:lang w:val="en-US"/>
        </w:rPr>
        <w:t xml:space="preserve">studies reporting a </w:t>
      </w:r>
      <w:r w:rsidRPr="00361845">
        <w:rPr>
          <w:szCs w:val="20"/>
          <w:lang w:val="en-US"/>
        </w:rPr>
        <w:t xml:space="preserve">significant beneficial </w:t>
      </w:r>
      <w:r w:rsidR="00361845" w:rsidRPr="00361845">
        <w:rPr>
          <w:szCs w:val="20"/>
          <w:lang w:val="en-US"/>
        </w:rPr>
        <w:t>effect on outcome are</w:t>
      </w:r>
      <w:r w:rsidRPr="00361845">
        <w:rPr>
          <w:szCs w:val="20"/>
          <w:lang w:val="en-US"/>
        </w:rPr>
        <w:t xml:space="preserve"> in black, while the</w:t>
      </w:r>
      <w:r w:rsidR="00361845" w:rsidRPr="00361845">
        <w:rPr>
          <w:szCs w:val="20"/>
          <w:lang w:val="en-US"/>
        </w:rPr>
        <w:t xml:space="preserve"> studies reporting </w:t>
      </w:r>
    </w:p>
    <w:p w14:paraId="3E12A631" w14:textId="77777777" w:rsidR="007B3CF6" w:rsidRPr="00361845" w:rsidRDefault="00361845" w:rsidP="00361845">
      <w:pPr>
        <w:pStyle w:val="BodySciensano"/>
        <w:framePr w:w="10264" w:h="1045" w:hRule="exact" w:hSpace="180" w:wrap="around" w:vAnchor="page" w:hAnchor="page" w:x="1081" w:y="337"/>
        <w:spacing w:line="240" w:lineRule="auto"/>
        <w:jc w:val="left"/>
        <w:rPr>
          <w:szCs w:val="20"/>
          <w:lang w:val="en-US"/>
        </w:rPr>
      </w:pPr>
      <w:r w:rsidRPr="00361845">
        <w:rPr>
          <w:szCs w:val="20"/>
          <w:lang w:val="en-US"/>
        </w:rPr>
        <w:t>a</w:t>
      </w:r>
      <w:r w:rsidR="00417BA6" w:rsidRPr="00361845">
        <w:rPr>
          <w:szCs w:val="20"/>
          <w:lang w:val="en-US"/>
        </w:rPr>
        <w:t xml:space="preserve"> detrimental </w:t>
      </w:r>
      <w:r w:rsidRPr="00361845">
        <w:rPr>
          <w:szCs w:val="20"/>
          <w:lang w:val="en-US"/>
        </w:rPr>
        <w:t xml:space="preserve">or </w:t>
      </w:r>
      <w:r w:rsidR="00417BA6" w:rsidRPr="00361845">
        <w:rPr>
          <w:szCs w:val="20"/>
          <w:lang w:val="en-US"/>
        </w:rPr>
        <w:t xml:space="preserve">no significant </w:t>
      </w:r>
      <w:r w:rsidR="007B3CF6" w:rsidRPr="00361845">
        <w:rPr>
          <w:szCs w:val="20"/>
          <w:lang w:val="en-US"/>
        </w:rPr>
        <w:t>effect</w:t>
      </w:r>
      <w:r w:rsidR="00417BA6" w:rsidRPr="00361845">
        <w:rPr>
          <w:szCs w:val="20"/>
          <w:lang w:val="en-US"/>
        </w:rPr>
        <w:t xml:space="preserve"> are in grey</w:t>
      </w:r>
      <w:r w:rsidR="00761797">
        <w:rPr>
          <w:szCs w:val="20"/>
          <w:lang w:val="en-US"/>
        </w:rPr>
        <w:t>.</w:t>
      </w:r>
    </w:p>
    <w:p w14:paraId="6C7E8BA0" w14:textId="77777777" w:rsidR="00AF4128" w:rsidRPr="00361845" w:rsidRDefault="007B3CF6" w:rsidP="00361845">
      <w:pPr>
        <w:pStyle w:val="BodySciensano"/>
        <w:framePr w:w="10264" w:h="1045" w:hRule="exact" w:hSpace="180" w:wrap="around" w:vAnchor="page" w:hAnchor="page" w:x="1081" w:y="337"/>
        <w:spacing w:line="240" w:lineRule="auto"/>
        <w:jc w:val="center"/>
        <w:rPr>
          <w:b/>
          <w:color w:val="58595B" w:themeColor="text1"/>
          <w:szCs w:val="20"/>
          <w:lang w:val="en-US"/>
        </w:rPr>
      </w:pPr>
      <w:r w:rsidRPr="00361845">
        <w:rPr>
          <w:szCs w:val="20"/>
          <w:lang w:val="en-US"/>
        </w:rPr>
        <w:t xml:space="preserve"> </w:t>
      </w:r>
      <w:r w:rsidR="00AF4128" w:rsidRPr="00361845">
        <w:rPr>
          <w:b/>
          <w:color w:val="58595B" w:themeColor="text1"/>
          <w:szCs w:val="20"/>
          <w:lang w:val="en-US"/>
        </w:rPr>
        <w:t xml:space="preserve">   </w:t>
      </w:r>
    </w:p>
    <w:p w14:paraId="4DBF738F" w14:textId="77777777" w:rsidR="00AF4128" w:rsidRPr="007B3CF6" w:rsidRDefault="00AF4128" w:rsidP="00AF4128">
      <w:pPr>
        <w:pStyle w:val="Caption"/>
        <w:keepNext/>
        <w:rPr>
          <w:lang w:val="en-US"/>
        </w:rPr>
      </w:pPr>
    </w:p>
    <w:tbl>
      <w:tblPr>
        <w:tblStyle w:val="TableGridLight1"/>
        <w:tblpPr w:leftFromText="180" w:rightFromText="180" w:vertAnchor="page" w:horzAnchor="margin" w:tblpXSpec="center" w:tblpY="1393"/>
        <w:tblW w:w="9923" w:type="dxa"/>
        <w:tblLook w:val="04A0" w:firstRow="1" w:lastRow="0" w:firstColumn="1" w:lastColumn="0" w:noHBand="0" w:noVBand="1"/>
      </w:tblPr>
      <w:tblGrid>
        <w:gridCol w:w="3256"/>
        <w:gridCol w:w="1887"/>
        <w:gridCol w:w="2932"/>
        <w:gridCol w:w="1848"/>
      </w:tblGrid>
      <w:tr w:rsidR="008B4EFF" w:rsidRPr="002C0151" w14:paraId="7E372DAA" w14:textId="77777777" w:rsidTr="00361845">
        <w:trPr>
          <w:trHeight w:val="274"/>
        </w:trPr>
        <w:tc>
          <w:tcPr>
            <w:tcW w:w="3256" w:type="dxa"/>
            <w:shd w:val="clear" w:color="auto" w:fill="C9C9C9" w:themeFill="background1" w:themeFillTint="99"/>
            <w:vAlign w:val="center"/>
          </w:tcPr>
          <w:p w14:paraId="44C1074C" w14:textId="77777777" w:rsidR="008B4EFF" w:rsidRPr="007C396E" w:rsidRDefault="008B4EFF" w:rsidP="00361845">
            <w:pPr>
              <w:pStyle w:val="BodySciensano"/>
              <w:jc w:val="center"/>
              <w:rPr>
                <w:b/>
                <w:lang w:val="en-US"/>
              </w:rPr>
            </w:pPr>
            <w:r>
              <w:rPr>
                <w:b/>
                <w:lang w:val="en-US"/>
              </w:rPr>
              <w:t>Supporting studies</w:t>
            </w:r>
          </w:p>
        </w:tc>
        <w:tc>
          <w:tcPr>
            <w:tcW w:w="1887" w:type="dxa"/>
            <w:shd w:val="clear" w:color="auto" w:fill="C9C9C9" w:themeFill="background1" w:themeFillTint="99"/>
            <w:vAlign w:val="center"/>
          </w:tcPr>
          <w:p w14:paraId="3C41B9FD" w14:textId="77777777" w:rsidR="008B4EFF" w:rsidRDefault="008B4EFF" w:rsidP="00361845">
            <w:pPr>
              <w:pStyle w:val="BodySciensano"/>
              <w:jc w:val="center"/>
              <w:rPr>
                <w:b/>
                <w:lang w:val="en-US"/>
              </w:rPr>
            </w:pPr>
            <w:r w:rsidRPr="007C396E">
              <w:rPr>
                <w:b/>
                <w:lang w:val="en-US"/>
              </w:rPr>
              <w:t>Mean</w:t>
            </w:r>
          </w:p>
          <w:p w14:paraId="4088EE69" w14:textId="77777777" w:rsidR="008B4EFF" w:rsidRPr="007C396E" w:rsidRDefault="008B4EFF" w:rsidP="00361845">
            <w:pPr>
              <w:pStyle w:val="BodySciensano"/>
              <w:jc w:val="center"/>
              <w:rPr>
                <w:b/>
                <w:lang w:val="en-US"/>
              </w:rPr>
            </w:pPr>
            <w:r w:rsidRPr="007C396E">
              <w:rPr>
                <w:b/>
                <w:lang w:val="en-US"/>
              </w:rPr>
              <w:t>evidence score</w:t>
            </w:r>
          </w:p>
        </w:tc>
        <w:tc>
          <w:tcPr>
            <w:tcW w:w="2932" w:type="dxa"/>
            <w:shd w:val="clear" w:color="auto" w:fill="C9C9C9" w:themeFill="background1" w:themeFillTint="99"/>
            <w:vAlign w:val="center"/>
          </w:tcPr>
          <w:p w14:paraId="602F0144" w14:textId="77777777" w:rsidR="008B4EFF" w:rsidRDefault="008B4EFF" w:rsidP="00361845">
            <w:pPr>
              <w:pStyle w:val="BodySciensano"/>
              <w:jc w:val="center"/>
              <w:rPr>
                <w:b/>
                <w:lang w:val="en-US"/>
              </w:rPr>
            </w:pPr>
            <w:r w:rsidRPr="007C396E">
              <w:rPr>
                <w:b/>
                <w:lang w:val="en-US"/>
              </w:rPr>
              <w:t xml:space="preserve">Certainty of </w:t>
            </w:r>
          </w:p>
          <w:p w14:paraId="065086B7" w14:textId="77777777" w:rsidR="00067602" w:rsidRDefault="008B4EFF" w:rsidP="00361845">
            <w:pPr>
              <w:pStyle w:val="BodySciensano"/>
              <w:jc w:val="center"/>
              <w:rPr>
                <w:b/>
                <w:lang w:val="en-US"/>
              </w:rPr>
            </w:pPr>
            <w:r w:rsidRPr="007C396E">
              <w:rPr>
                <w:b/>
                <w:lang w:val="en-US"/>
              </w:rPr>
              <w:t>evidence</w:t>
            </w:r>
            <w:r>
              <w:rPr>
                <w:b/>
                <w:lang w:val="en-US"/>
              </w:rPr>
              <w:t xml:space="preserve">-based </w:t>
            </w:r>
          </w:p>
          <w:p w14:paraId="5A4CDB5E" w14:textId="77777777" w:rsidR="008B4EFF" w:rsidRPr="007C396E" w:rsidRDefault="008B4EFF" w:rsidP="00361845">
            <w:pPr>
              <w:pStyle w:val="BodySciensano"/>
              <w:jc w:val="center"/>
              <w:rPr>
                <w:b/>
                <w:lang w:val="en-US"/>
              </w:rPr>
            </w:pPr>
            <w:r>
              <w:rPr>
                <w:b/>
                <w:lang w:val="en-US"/>
              </w:rPr>
              <w:t xml:space="preserve">statements </w:t>
            </w:r>
          </w:p>
        </w:tc>
        <w:tc>
          <w:tcPr>
            <w:tcW w:w="1848" w:type="dxa"/>
            <w:shd w:val="clear" w:color="auto" w:fill="C9C9C9" w:themeFill="background1" w:themeFillTint="99"/>
            <w:vAlign w:val="center"/>
          </w:tcPr>
          <w:p w14:paraId="51888A87" w14:textId="77777777" w:rsidR="008B4EFF" w:rsidRPr="007C396E" w:rsidRDefault="008B4EFF" w:rsidP="00361845">
            <w:pPr>
              <w:pStyle w:val="BodySciensano"/>
              <w:jc w:val="center"/>
              <w:rPr>
                <w:b/>
                <w:lang w:val="en-US"/>
              </w:rPr>
            </w:pPr>
            <w:r>
              <w:rPr>
                <w:b/>
                <w:lang w:val="en-US"/>
              </w:rPr>
              <w:t>References</w:t>
            </w:r>
          </w:p>
        </w:tc>
      </w:tr>
      <w:tr w:rsidR="00605AE8" w:rsidRPr="002C0151" w14:paraId="137C9DD8" w14:textId="77777777" w:rsidTr="00361845">
        <w:tc>
          <w:tcPr>
            <w:tcW w:w="9923" w:type="dxa"/>
            <w:gridSpan w:val="4"/>
            <w:shd w:val="clear" w:color="auto" w:fill="7FD67B" w:themeFill="background2" w:themeFillTint="99"/>
            <w:vAlign w:val="center"/>
          </w:tcPr>
          <w:p w14:paraId="25DFBDAF" w14:textId="77777777" w:rsidR="00605AE8" w:rsidRDefault="00605AE8" w:rsidP="00361845">
            <w:pPr>
              <w:pStyle w:val="BodySciensano"/>
              <w:jc w:val="center"/>
              <w:rPr>
                <w:b/>
                <w:lang w:val="en-US"/>
              </w:rPr>
            </w:pPr>
            <w:r>
              <w:rPr>
                <w:b/>
                <w:lang w:val="en-US"/>
              </w:rPr>
              <w:t>ORGANIZATION OF CARE DOMAIN</w:t>
            </w:r>
          </w:p>
        </w:tc>
      </w:tr>
      <w:tr w:rsidR="00605AE8" w:rsidRPr="00166EC2" w14:paraId="1EBBFAB6" w14:textId="77777777" w:rsidTr="00361845">
        <w:tc>
          <w:tcPr>
            <w:tcW w:w="9923" w:type="dxa"/>
            <w:gridSpan w:val="4"/>
            <w:shd w:val="clear" w:color="auto" w:fill="D4F1D3" w:themeFill="background2" w:themeFillTint="33"/>
            <w:vAlign w:val="center"/>
          </w:tcPr>
          <w:p w14:paraId="2EC034F2" w14:textId="77777777" w:rsidR="00605AE8" w:rsidRPr="00C12CBA" w:rsidRDefault="00605AE8" w:rsidP="00361845">
            <w:pPr>
              <w:pStyle w:val="BodySciensano"/>
              <w:jc w:val="center"/>
              <w:rPr>
                <w:b/>
                <w:bCs/>
                <w:color w:val="56575A"/>
                <w:szCs w:val="20"/>
                <w:lang w:val="en-US"/>
              </w:rPr>
            </w:pPr>
            <w:r w:rsidRPr="00C12CBA">
              <w:rPr>
                <w:b/>
                <w:bCs/>
                <w:color w:val="56575A"/>
                <w:szCs w:val="20"/>
                <w:lang w:val="en-US"/>
              </w:rPr>
              <w:t>Introduction of multidisciplinary foot care</w:t>
            </w:r>
          </w:p>
        </w:tc>
      </w:tr>
      <w:tr w:rsidR="0071519A" w:rsidRPr="002C0151" w14:paraId="5AE188AF" w14:textId="77777777" w:rsidTr="00361845">
        <w:tc>
          <w:tcPr>
            <w:tcW w:w="9923" w:type="dxa"/>
            <w:gridSpan w:val="4"/>
            <w:vAlign w:val="center"/>
          </w:tcPr>
          <w:p w14:paraId="2C8DE6F1" w14:textId="77777777" w:rsidR="0071519A" w:rsidRPr="00CA32B9" w:rsidRDefault="0071519A" w:rsidP="00361845">
            <w:pPr>
              <w:pStyle w:val="BodySciensano"/>
              <w:jc w:val="left"/>
              <w:rPr>
                <w:rFonts w:asciiTheme="minorHAnsi" w:hAnsiTheme="minorHAnsi" w:cstheme="minorHAnsi"/>
                <w:b/>
                <w:szCs w:val="20"/>
                <w:lang w:val="en-US"/>
              </w:rPr>
            </w:pPr>
            <w:r w:rsidRPr="00CA32B9">
              <w:rPr>
                <w:rFonts w:asciiTheme="minorHAnsi" w:hAnsiTheme="minorHAnsi" w:cstheme="minorHAnsi"/>
                <w:b/>
                <w:szCs w:val="20"/>
                <w:lang w:val="en-US"/>
              </w:rPr>
              <w:t xml:space="preserve">Ulcer healing </w:t>
            </w:r>
          </w:p>
        </w:tc>
      </w:tr>
      <w:tr w:rsidR="008B4EFF" w:rsidRPr="002C0151" w14:paraId="1DA5628B" w14:textId="77777777" w:rsidTr="00361845">
        <w:tc>
          <w:tcPr>
            <w:tcW w:w="3256" w:type="dxa"/>
            <w:vAlign w:val="center"/>
          </w:tcPr>
          <w:p w14:paraId="19459950"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eastAsia="Times New Roman" w:hAnsiTheme="minorHAnsi" w:cstheme="minorHAnsi"/>
                <w:szCs w:val="20"/>
                <w:lang w:val="en-US"/>
              </w:rPr>
              <w:t>1 study (III)</w:t>
            </w:r>
          </w:p>
        </w:tc>
        <w:tc>
          <w:tcPr>
            <w:tcW w:w="1887" w:type="dxa"/>
          </w:tcPr>
          <w:p w14:paraId="1E174F95"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vMerge w:val="restart"/>
            <w:vAlign w:val="center"/>
          </w:tcPr>
          <w:p w14:paraId="7F54BF79"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71427592" w14:textId="5D8FF0D6" w:rsidR="008B4EFF" w:rsidRPr="00CA32B9" w:rsidRDefault="00220533"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rPr>
              <w:fldChar w:fldCharType="begin"/>
            </w:r>
            <w:r w:rsidR="006A470F">
              <w:rPr>
                <w:rFonts w:asciiTheme="minorHAnsi" w:hAnsiTheme="minorHAnsi" w:cstheme="minorHAnsi"/>
                <w:szCs w:val="20"/>
              </w:rPr>
              <w:instrText xml:space="preserve"> ADDIN ZOTERO_ITEM CSL_CITATION {"citationID":"uLwP7rME","properties":{"formattedCitation":"(1)","plainCitation":"(1)","noteIndex":0},"citationItems":[{"id":44953,"uris":["http://zotero.org/users/5328021/items/DPLPNAGQ"],"uri":["http://zotero.org/users/5328021/items/DPLPNAGQ"],"itemData":{"id":44953,"type":"article-journal","abstract":"To compare the outcomes of diabetic foot ulcers (DFU) in terms of healing and lower extremity amputation (LEA) rate before and after training of multidisciplinary foot care team (MDFCT). Subjects were categorised into two groups; Group-A cases seen between 1997 and 2006 (before upgrading of training and services of MDFCT) and Group-B cases seen between 2007 and 2016 (after upgrading of training and services of MDFCT). Baseline demographic characteristics, biochemical results, and outcomes of DFU in terms of healing or amputation were analysed by using statistical package social science (SPSS) version 20. Total 7994 DFU cases seen, 888 in group A and 7106 in group B. Mean age of patients was 53.80 ± 10.40 years and mean haemoglobin (HbA1c) was 10.12 ± 2.44. Overall, decreasing trends of amputations were observed from baseline 27.5% to 3.92% during the period of 20 years. In group A, 479 (78.8%) subjects healed completely compared with 3806 (89.1%) in group B. Significant reduction in toe amputations ([13.81%] vs [8.11%]) and below knee amputations [(5.26%) vs (1.82%)] were seen. Similarly, rates of above knee amputation ([1.80%] vs [0.35%] P-value 0.008) in two groups was also significant. Significant improvement was observed in outcomes of DFU in terms of amputation through multidisciplinary team approach.","container-title":"International Wound Journal","issue":"3","journalAbbreviation":"Int Wound J","language":"eng","note":"PMID: 30767384","page":"768-772","title":"Impact of multidisciplinary foot care team on outcome of diabetic foot ulcer in term of lower extremity amputation at a tertiary care unit in Karachi, Pakistan","volume":"16","author":[{"family":"Riaz","given":"Musarrat"},{"family":"Miyan","given":"Zahid"},{"family":"Waris","given":"Nazish"},{"family":"Zaidi","given":"Syed I. H."},{"family":"Tahir","given":"Bilal"},{"family":"Fawwad","given":"Asher"},{"family":"Basit","given":"Abdul"}],"issued":{"date-parts":[["2019",6]]}}}],"schema":"https://github.com/citation-style-language/schema/raw/master/csl-citation.json"} </w:instrText>
            </w:r>
            <w:r w:rsidRPr="00CA32B9">
              <w:rPr>
                <w:rFonts w:asciiTheme="minorHAnsi" w:hAnsiTheme="minorHAnsi" w:cstheme="minorHAnsi"/>
                <w:szCs w:val="20"/>
              </w:rPr>
              <w:fldChar w:fldCharType="separate"/>
            </w:r>
            <w:r w:rsidRPr="00CA32B9">
              <w:rPr>
                <w:rFonts w:asciiTheme="minorHAnsi" w:hAnsiTheme="minorHAnsi" w:cstheme="minorHAnsi"/>
                <w:szCs w:val="20"/>
              </w:rPr>
              <w:t>(1)</w:t>
            </w:r>
            <w:r w:rsidRPr="00CA32B9">
              <w:rPr>
                <w:rFonts w:asciiTheme="minorHAnsi" w:hAnsiTheme="minorHAnsi" w:cstheme="minorHAnsi"/>
                <w:szCs w:val="20"/>
              </w:rPr>
              <w:fldChar w:fldCharType="end"/>
            </w:r>
            <w:r w:rsidRPr="00CA32B9">
              <w:rPr>
                <w:rFonts w:asciiTheme="minorHAnsi" w:hAnsiTheme="minorHAnsi" w:cstheme="minorHAnsi"/>
                <w:szCs w:val="20"/>
              </w:rPr>
              <w:t xml:space="preserve"> </w:t>
            </w:r>
          </w:p>
        </w:tc>
      </w:tr>
      <w:tr w:rsidR="008B4EFF" w:rsidRPr="002C0151" w14:paraId="4C8B0720" w14:textId="77777777" w:rsidTr="00361845">
        <w:tc>
          <w:tcPr>
            <w:tcW w:w="3256" w:type="dxa"/>
            <w:vAlign w:val="center"/>
          </w:tcPr>
          <w:p w14:paraId="6CC235C0"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1 study (III)</w:t>
            </w:r>
          </w:p>
        </w:tc>
        <w:tc>
          <w:tcPr>
            <w:tcW w:w="1887" w:type="dxa"/>
          </w:tcPr>
          <w:p w14:paraId="7194FCFC"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3</w:t>
            </w:r>
          </w:p>
        </w:tc>
        <w:tc>
          <w:tcPr>
            <w:tcW w:w="2932" w:type="dxa"/>
            <w:vMerge/>
          </w:tcPr>
          <w:p w14:paraId="7BBA41A9" w14:textId="77777777" w:rsidR="008B4EFF" w:rsidRPr="00CA32B9" w:rsidRDefault="008B4EFF" w:rsidP="00361845">
            <w:pPr>
              <w:pStyle w:val="BodySciensano"/>
              <w:jc w:val="center"/>
              <w:rPr>
                <w:rFonts w:asciiTheme="minorHAnsi" w:hAnsiTheme="minorHAnsi" w:cstheme="minorHAnsi"/>
                <w:szCs w:val="20"/>
                <w:lang w:val="en-US"/>
              </w:rPr>
            </w:pPr>
          </w:p>
        </w:tc>
        <w:tc>
          <w:tcPr>
            <w:tcW w:w="1848" w:type="dxa"/>
          </w:tcPr>
          <w:p w14:paraId="3375E2D0" w14:textId="10CA5260" w:rsidR="008B4EFF" w:rsidRPr="00CA32B9" w:rsidRDefault="00220533"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FdhVp2iY","properties":{"formattedCitation":"(2)","plainCitation":"(2)","noteIndex":0},"citationItems":[{"id":10834,"uris":["http://zotero.org/users/5328021/items/KHV5KYBG"],"uri":["http://zotero.org/users/5328021/items/KHV5KYBG"],"itemData":{"id":10834,"type":"article-journal","abstract":"Aim: Management of diabetic foot infection (DFI) is challenging; a multidisciplinary approach has been shown to reduce amputation rates. There is limited information on the effect of having an interdisciplinary diabetic foot team (IDT) on patient load and outcomes at infectious disease departments. We aim to investigate the effect of the IDT approach on patient characteristics, the length of hospitalization, and amputation rates in patients hospitalized for DFI at the department of infectious disease. Material and Method: We retrospectively reviewed the files of patients who were hospitalized in the infectious disease department for DFI between January 2005 and October 2014. Patients hospitalized before the establishment of IDT (October 8, 2013) formed Group-1 and those hospitalized after the establishment of IDT formed Group-2. The members of IDT evaluated and treated all of the patients in Group-2. The groups were compared for patient characteristics, clinical findings, length of hospitalization, laboratory results, and outcome. Results: There were 53 patients in Group-1 and 39 patients in Group-2. The patient hospitalization rate increased after IDT (0.5 patients per month vs. 3.25 patients per month). Patients hospitalized after IDT had more advanced stage (Wagner grade 4-5) wounds (26.4% vs. 51.3%; p=0.013). However, the length of hospitalization did not change after IDT (23.4±11.0 vs. 21.0±14.5; p=0.478). Foot ulcers healed without surgical intervention in 13 (24.5%) and 11 (28.2%) patients in Group-1 and Group-2, respectively (p=0.691). Minor and major amputation rates were 30.2% and 9.4% in Group-1 and 30.8% and 7.7% in Group-2 (p=0.786). Discussion: Despite the fact that patients admitted after the establishment of IDT had more severe wounds, neither the length of hospitalization nor the amputation rate increased. Further studies are needed to evaluate the effectiveness of IDT in the management of DFI.","archive":"Embase","container-title":"Journal of Clinical and Analytical Medicine","issue":"4","journalAbbreviation":"J. Clin. Anal. Med.","language":"English","page":"529-532","title":"The influence of an interdisciplinary diabetic foot team on the outcome of patients with diabetic foot","volume":"7","author":[{"literal":"Coşkun Ö."},{"literal":"Uzun G."},{"literal":"Karakaş A."},{"literal":"Tok D."},{"literal":"Çebi G."},{"literal":"Çekli Y."},{"literal":"Yıldız Ş."},{"literal":"Beşirbellioğlu B.A."}],"issued":{"date-parts":[["2016"]]}}}],"schema":"https://github.com/citation-style-language/schema/raw/master/csl-citation.json"}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(2)</w:t>
            </w:r>
            <w:r w:rsidRPr="00CA32B9">
              <w:rPr>
                <w:rFonts w:asciiTheme="minorHAnsi" w:hAnsiTheme="minorHAnsi" w:cstheme="minorHAnsi"/>
                <w:szCs w:val="20"/>
                <w:lang w:val="en-US"/>
              </w:rPr>
              <w:fldChar w:fldCharType="end"/>
            </w:r>
          </w:p>
        </w:tc>
      </w:tr>
      <w:tr w:rsidR="0071519A" w:rsidRPr="002C0151" w14:paraId="04FA3B2D" w14:textId="77777777" w:rsidTr="00361845">
        <w:tc>
          <w:tcPr>
            <w:tcW w:w="9923" w:type="dxa"/>
            <w:gridSpan w:val="4"/>
            <w:vAlign w:val="center"/>
          </w:tcPr>
          <w:p w14:paraId="0C9D2DFF" w14:textId="77777777" w:rsidR="0071519A" w:rsidRPr="00CA32B9" w:rsidRDefault="0071519A" w:rsidP="00361845">
            <w:pPr>
              <w:pStyle w:val="BodySciensano"/>
              <w:jc w:val="left"/>
              <w:rPr>
                <w:rFonts w:asciiTheme="minorHAnsi" w:hAnsiTheme="minorHAnsi" w:cstheme="minorHAnsi"/>
                <w:b/>
                <w:szCs w:val="20"/>
                <w:lang w:val="en-US"/>
              </w:rPr>
            </w:pPr>
            <w:r w:rsidRPr="00CA32B9">
              <w:rPr>
                <w:rFonts w:asciiTheme="minorHAnsi" w:hAnsiTheme="minorHAnsi" w:cstheme="minorHAnsi"/>
                <w:b/>
                <w:szCs w:val="20"/>
                <w:lang w:val="en-US"/>
              </w:rPr>
              <w:t>Major amputation events</w:t>
            </w:r>
          </w:p>
        </w:tc>
      </w:tr>
      <w:tr w:rsidR="008B4EFF" w:rsidRPr="0048149F" w14:paraId="42B96E83" w14:textId="77777777" w:rsidTr="00361845">
        <w:tc>
          <w:tcPr>
            <w:tcW w:w="3256" w:type="dxa"/>
            <w:vAlign w:val="center"/>
          </w:tcPr>
          <w:p w14:paraId="0EBCCEEB" w14:textId="3CC6DC28"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eastAsia="Times New Roman" w:hAnsiTheme="minorHAnsi" w:cstheme="minorHAnsi"/>
                <w:szCs w:val="20"/>
                <w:lang w:val="en-US"/>
              </w:rPr>
              <w:t>2 studies (II</w:t>
            </w:r>
            <w:r w:rsidRPr="00CA32B9">
              <w:rPr>
                <w:rFonts w:asciiTheme="minorHAnsi" w:hAnsiTheme="minorHAnsi" w:cstheme="minorHAnsi"/>
                <w:szCs w:val="20"/>
                <w:lang w:val="en-US"/>
              </w:rPr>
              <w:t xml:space="preserve">) - </w:t>
            </w:r>
            <w:r w:rsidRPr="00CA32B9">
              <w:rPr>
                <w:rFonts w:asciiTheme="minorHAnsi" w:eastAsia="Times New Roman" w:hAnsiTheme="minorHAnsi" w:cstheme="minorHAnsi"/>
                <w:szCs w:val="20"/>
                <w:lang w:val="en-US"/>
              </w:rPr>
              <w:t>9 studies (III)</w:t>
            </w:r>
          </w:p>
        </w:tc>
        <w:tc>
          <w:tcPr>
            <w:tcW w:w="1887" w:type="dxa"/>
          </w:tcPr>
          <w:p w14:paraId="7C5ACF3B"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vMerge w:val="restart"/>
            <w:vAlign w:val="center"/>
          </w:tcPr>
          <w:p w14:paraId="42CCFDAC"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4D2C9769" w14:textId="23E96AFD" w:rsidR="008B4EFF" w:rsidRPr="00CA32B9" w:rsidRDefault="00220533"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fbakNqRR","properties":{"formattedCitation":"(1,3\\uc0\\u8211{}12)","plainCitation":"(1,3–12)","dontUpdate":true,"noteIndex":0},"citationItems":[{"id":44953,"uris":["http://zotero.org/users/5328021/items/DPLPNAGQ"],"uri":["http://zotero.org/users/5328021/items/DPLPNAGQ"],"itemData":{"id":44953,"type":"article-journal","abstract":"To compare the outcomes of diabetic foot ulcers (DFU) in terms of healing and lower extremity amputation (LEA) rate before and after training of multidisciplinary foot care team (MDFCT). Subjects were categorised into two groups; Group-A cases seen between 1997 and 2006 (before upgrading of training and services of MDFCT) and Group-B cases seen between 2007 and 2016 (after upgrading of training and services of MDFCT). Baseline demographic characteristics, biochemical results, and outcomes of DFU in terms of healing or amputation were analysed by using statistical package social science (SPSS) version 20. Total 7994 DFU cases seen, 888 in group A and 7106 in group B. Mean age of patients was 53.80 ± 10.40 years and mean haemoglobin (HbA1c) was 10.12 ± 2.44. Overall, decreasing trends of amputations were observed from baseline 27.5% to 3.92% during the period of 20 years. In group A, 479 (78.8%) subjects healed completely compared with 3806 (89.1%) in group B. Significant reduction in toe amputations ([13.81%] vs [8.11%]) and below knee amputations [(5.26%) vs (1.82%)] were seen. Similarly, rates of above knee amputation ([1.80%] vs [0.35%] P-value 0.008) in two groups was also significant. Significant improvement was observed in outcomes of DFU in terms of amputation through multidisciplinary team approach.","container-title":"International Wound Journal","issue":"3","journalAbbreviation":"Int Wound J","language":"eng","note":"PMID: 30767384","page":"768-772","title":"Impact of multidisciplinary foot care team on outcome of diabetic foot ulcer in term of lower extremity amputation at a tertiary care unit in Karachi, Pakistan","volume":"16","author":[{"family":"Riaz","given":"Musarrat"},{"family":"Miyan","given":"Zahid"},{"family":"Waris","given":"Nazish"},{"family":"Zaidi","given":"Syed I. H."},{"family":"Tahir","given":"Bilal"},{"family":"Fawwad","given":"Asher"},{"family":"Basit","given":"Abdul"}],"issued":{"date-parts":[["2019",6]]}}},{"id":73580,"uris":["http://zotero.org/users/5328021/items/RQBJ8FHK"],"uri":["http://zotero.org/users/5328021/items/RQBJ8FHK"],"itemData":{"id":73580,"type":"article-journal","abstract":"AIMS: To determine the pooled effectiveness of multidiscipinary care teams (MCTs) in reducing major amputation rates in adults with diabetes. METHODS: A systematic review and meta-analysis was performed, searching databases MEDLINE, EMBASE, Google Scholar, Cochrane Library, and Clinicaltrials.gov thru October 2018. We included only before-after studies comparing amputation rates before and after the implementation of a MCT for the prevention of major amputation in adults with diabetes. Our primary outcome was relative risk of major amputation. Risk ratios  and 95% confidence intervals were calculated using a fixed effects model. RESULTS: Twenty studies met the inclusion criteria. Nine studies were included in the meta-analysis, and eleven were included in a qualitative analysis. Exposure to a MCT resulted in a protective effect ranging from a RR of 0.44 [p-value &lt; 0.00001 (95% CI 0.38, 0.51) I(2) = 67%] to a RR of 0.61 [p-value &lt; 0.0001, (95% CI 0.50, 0.75) I(2) = 0%] after sensitivity analysis, and remained robust in qualitative analysis. CONCLUSIONS: Healthcare systems can expect a 39-56% amputation rate reduction after implementing an MCT amputation prevention program. These findings may justify the use of additional resources needed for program implementation by helping healthcare systems predict the anticipated benefit these teams have on \"possible limbs saved\". FUNDING: None.","container-title":"Diabetes research and clinical practice","journalAbbreviation":"Diabetes Res Clin Pract","language":"eng","note":"PMID: 31935416","page":"107996","title":"Effectiveness of multidisciplinary care teams in reducing major amputation rate in adults with diabetes: A systematic review &amp; meta-analysis.","volume":"161","author":[{"family":"Albright","given":"Rachel H."},{"family":"Manohar","given":"Nivethitha B."},{"family":"Murillo","given":"Jennifer F."},{"family":"Kengne","given":"Linda Anael M."},{"family":"Delgado-Hurtado","given":"Juan J."},{"family":"Diamond","given":"Matthew L."},{"family":"Acciani","given":"Alyse L."},{"family":"Fleischer","given":"Adam E."}],"issued":{"date-parts":[["2020",1,11]]}}},{"id":74060,"uris":["http://zotero.org/users/5328021/items/J6F49RW4"],"uri":["http://zotero.org/users/5328021/items/J6F49RW4"],"itemData":{"id":74060,"type":"article-journal","abstract":"BACKGROUND: Lower limb amputations (LLAs) are a major debilitating complication of diabetes. The toe and flow model (TFM) describes the framework for multidisciplinary centers aiming to reduce this complication. In this study, we investigate the efficacy of the TFM to reduce diabetes-related major LLAs in comparison with the standard of care (SOC) in the Canadian health care system. METHODS: We retrospectively reviewed the anonymized diabetes-related LLA reports  in two similar metropolitan health zones in Alberta, Canada from 2007 to 2017. Although both zones have the same provincial health care system and similar demographics, Calgary, our first zone operates on the basis of the TFM while the  Edmonton zone operates in accordance with the provincial SOC. LLAs were divided into minor and major amputation cohorts. We used the chi-square test, linear regression, and Pearson correlation for analysis. The lower proportion of major LLAs was denoted as a positive sign for the efficacy of the TFM. RESULTS: Although the number of LLAs remained relatively comparable (Calgary zone: 2238 and Edmonton zone: 2410), the Calgary zone had both significantly lower major (45%) and higher minor (42%) amputation incidence rates compared to the Edmonton  zone. The increasing trend in minor LLAs and decreasing trend in major LLAs in the Calgary zone were negatively and significantly correlated (r = -0.730, p = 0.011). No significant correlation was found in the Edmonton zone. CONCLUSIONS: A significant reduction in the incidence rate, decreasing trend of diabetes-related major LLAs and the significant negative correlation of minor and major LLAs rates in the Calgary zone (TFM) compared to its sister zone Edmonton (SOC), provides supporting evidence for the impact of the TFM. This investigation provides support for a modernization of the diabetes-related limb preservation practice in Canada through the implementation of TFMs across the country to combat major LLAs.","container-title":"Journal of the American Podiatric Medical Association","journalAbbreviation":"J Am Podiatr Med Assoc","language":"eng","note":"PMID: 31674800","title":"Reduction in Diabetes-Related Major Amputation Rates After Implementation of a Multidisciplinary Model: An Evaluation in Alberta, Canada.","author":[{"family":"Basiri","given":"Reza"},{"family":"Haverstock","given":"Brent D."},{"family":"Petrasek","given":"Paul F."},{"family":"Manji","given":"Karim"}],"issued":{"date-parts":[["2019",11,1]]}}},{"id":74194,"uris":["http://zotero.org/users/5328021/items/HL7MA3NS"],"uri":["http://zotero.org/users/5328021/items/HL7MA3NS"],"itemData":{"id":74194,"type":"article-journal","abstract":"OBJECTIVE: Multiple single-center studies have reported significant reductions in major amputations among patients with diabetic foot ulcers after initiation of multidisciplinary teams. The purpose of this study was to assess the association  between multidisciplinary teams (ie, two or more types of clinicians working together) and the risk of major amputation and to compile descriptions of these diverse teams. METHODS: We searched PubMed, Scopus, Cumulative Index to Nursing and Allied Health, and Cochrane Central Register of Controlled Trials from inception through May 24, 2019 for studies reporting the association between multidisciplinary teams and major amputation rates for patients with diabetic foot ulcers. We included original studies if &gt;/=50% of the patients seen by the multidisciplinary team had diabetes, they included a control group, and they reported the effect of a multidisciplinary team on major amputation rates. Studies were excluded if they were non-English language, abstracts only, or unpublished. We used the five-domain Systems Engineering Initiative for Patient Safety Model to describe team composition and function and summarized changes in  major amputation rates associated with multidisciplinary team care. A meta-analysis was not performed because of heterogeneity across studies, their observational designs, and the potential for uncontrolled confounding (PROSPERO No. 2017: CRD42017067915). RESULTS: We included 33 studies, none of which were randomized trials. Multidisciplinary team composition and functions were highly diverse. However, four elements were common across teams: teams were composed of  medical and surgical disciplines; larger teams benefitted from having a \"captain\" and a nuclear and ancillary team member structure; clear referral pathways and care algorithms supported timely, comprehensive care; and multidisciplinary teams addressed four key tasks: glycemic control, local wound management, vascular disease, and infection. Ninety-four percent (31/33) of studies reported a reduction in major amputations after institution of a multidisciplinary team. CONCLUSIONS: Multidisciplinary team composition was variable but reduced major amputations in 94% of studies. Teams consistently addressed glycemic control, local wound management, vascular disease, and infection in a timely and coordinated manner to reduce major amputation for patients with diabetic foot ulcerations. Care algorithms and referral pathways were key tools to their success.","container-title":"Journal of vascular surgery","journalAbbreviation":"J Vasc Surg","language":"eng","note":"PMID: 31676181","title":"A systematic review of multidisciplinary teams to reduce major amputations for patients with diabetic foot ulcers.","author":[{"family":"Musuuza","given":"Jackson"},{"family":"Sutherland","given":"Bryn L."},{"family":"Kurter","given":"Suleyman"},{"family":"Balasubramanian","given":"Prakash"},{"family":"Bartels","given":"Christie M."},{"family":"Brennan","given":"Meghan B."}],"issued":{"date-parts":[["2019",10,29]]}}},{"id":47135,"uris":["http://zotero.org/users/5328021/items/IU3KIW94"],"uri":["http://zotero.org/users/5328021/items/IU3KIW94"],"itemData":{"id":47135,"type":"article-journal","abstract":"AIMS: To investigate the relationship between high diabetes-related lower limb amputation incidence and foot care services in the South-West region of England.\nMETHODS: The introduction of 10 key elements of foot care service provision in one area of the South-West resulted in stabilization of foot ulcer incidence and sustained reduction in amputation incidence from 2007. Services introduced included administrative support, standardized general practice foot screening, improved community podiatry staffing, hospital multidisciplinary foot clinics, effective care pathways, availability of an orthotist and audit. Peer reviews of the region's diabetes foot care services were undertaken to assess delivery of these service provisions and compare this with major amputation incidence in other regions with data provided by Yorkshire and Humber Public Health Observatory Hospital Episode Statistics. Recommendations were made to improve service provision. In 2015 changes in service provision and amputation incidence were reviewed.\nRESULTS: Initial reviews in 2013 showed that the 3-year diabetes-related major amputation incidence correlated inversely with adequate delivery of diabetes foot care services (P=0.0024, adjusted R2 =0.51). Repeat reviews in 2015 found that two or more foot care service improvements were reported by six diabetes foot care providers, with improvement in outcomes. The negative relationship between major amputation incidence and service provision remained strong both in the period 2012-2015 and in the year 2015 only (P ≤0.0012, adjusted R2 =0.56, and P= 0.0005, R2 =0.62, respectively).\nCONCLUSIONS: Major diabetes-related lower limb amputation incidence is significantly inversely correlated with foot care services provision. Introduction of more effective service provision resulted in significant reductions in major amputation incidence within 2 years. Failure to improve unsatisfactory service provision resulted in continued high amputation incidence.","container-title":"Diabetic Medicine: A Journal of the British Diabetic Association","issue":"1","journalAbbreviation":"Diabet. Med.","language":"eng","note":"PMID: 29023974\nPMCID: PMC5765400","page":"53-62","title":"Diabetes-related major lower limb amputation incidence is strongly related to diabetic foot service provision and improves with enhancement of services: peer review of the South-West of England","volume":"35","author":[{"family":"Paisey","given":"R. B."},{"family":"Abbott","given":"A."},{"family":"Levenson","given":"R."},{"family":"Harrington","given":"A."},{"family":"Browne","given":"D."},{"family":"Moore","given":"J."},{"family":"Bamford","given":"M."},{"family":"Roe","given":"M."},{"literal":"South-West Cardiovascular Strategic Clinical Network peer diabetic foot service review team"}],"issued":{"date-parts":[["2018"]]}}},{"id":47540,"uris":["http://zotero.org/users/5328021/items/T5BRHEJI"],"uri":["http://zotero.org/users/5328021/items/T5BRHEJI"],"itemData":{"id":47540,"type":"article-journal","abstract":"BACKGROUNDS AND OBJECTIVE: Incidence of lower extremity amputations (LEA) in the population with and without diabetes mellitus (DM) was assessed after implementation of a Multidisciplinary Diabetic Foot Unit (MDFU) during 2008.\nMATERIAL AND METHODS: Non-traumatic LEA were analyzed, and those performed before (2001-2007) and after (2008-2014) introduction of the MDFU were compared. LEA were grouped by age and sex. Their incidence was expressed as a rate per 100,000 population per year, adjusted to the standard European population.\nRESULTS: A total of 664 LEA were performed during the 2001-2014 period, 486 (73%) of them in patients with DM. Total LEA incidence was 11.2/105 population in DM versus 3.9/105 in the population without DM. Incidence of major LEA in patients with DM significantly decreased from 6.1/105 population in the 2001-2007 period to 4.5/105 in the 2008-2014 period (p=.03). Joinpoint regression analysis also showed a reduction in the trend of incidence of major LEA in patients with DM, with an annual percentage change of -3.3% [95% CI, -6.2-0.3] (p=.025). No significant differences were found for all other incidences and trends in the diabetic and non-diabetic populations.\nCONCLUSIONS: Implementation of a MDFU has been shown to be associated with a significant reduction in major amputation rate in the diabetic population, although the results are not optimal yet. Both results and work at the MDFU should be improved.","container-title":"Endocrinologia, Diabetes Y Nutricion","issue":"4","journalAbbreviation":"Endocrinol Diabetes Nutr","language":"eng, spa","note":"PMID: 28417873","page":"188-197","title":"Trends in the incidence of lower limb amputation after implementation of a Multidisciplinary Diabetic Foot Unit","volume":"64","author":[{"family":"Jiménez","given":"Sara"},{"family":"Rubio","given":"José Antonio"},{"family":"Álvarez","given":"Julia"},{"family":"Ruiz-Grande","given":"Fernando"},{"family":"Medina","given":"Carlos"}],"issued":{"date-parts":[["2017",4]]}}},{"id":49875,"uris":["http://zotero.org/users/5328021/items/3FRCSCUJ"],"uri":["http://zotero.org/users/5328021/items/3FRCSCUJ"],"itemData":{"id":49875,"type":"article-journal","abstract":"Diabetes foot ulceration (DFU) has a negative impact on the quality of life and leads to disabling morbidity, such as lower extremity amputation (LEA). This study aimed to evaluate the LEA trend before and after the establishment of the diabetes foot team, an on-time debridement, on-site screening, and multidisciplinary integration with standardizing care, in Chang Gung Memorial Hospital, Chia Yi, Taiwan, starting in 2010. The study retrospectively investigated the non-traumatic LEA rate in diabetes foot (identified by using ICD-9-Clinical Modification (CM) codes, 250.70-250.83) and whole patients with diabetes (ICD-9 250.XX) yearly from 2004 to 2013. Patients were enrolled from hospitalization, emergency room (ER), or outpatient departments, respectively. Despite the overall incidence of diabetes foot in patients with diabetes remaining constant, from 3.47% in 2004 to 3.58% in 2013, the incidence of hospitalized diabetes foot from diabetes reduced, from 2.83% in 2004 to 1.51% in 2013. Introduction of integrated wound care also led to a reduction of the average LEA rate in hospitalized patients, from 15.27% (2004-2009) to 6.08% (2010-2013) (P&lt;0.001). A similar decline of the LEA rate was observed for patients from hospitalization, ER and outpatient departments together with an average LEA rate from 7.99% (2004-2009) down to 3.02% (2010-2013) (P&lt;0.001). In trend analysis, the curve estimation revealed a quadratic trend in the relationship between LEA rate and time (R-square=0.869, P=0.001) for hospitalized patients as well as a linear (R-square=0.819, P&lt;0.001) and quadratic (R-square=0.845, P=0.001) trend in the relationship between LEA rate and time for hospitalization, ER, and outpatient departments together. The LEA rate for DM patients declined from 372.72/100,000 in 2004 to 61.74/100,000 in 2013. With establishment of an organizing, standardized wound care protocol and integrated multidisciplinary team, we demonstrated a significant decline in the LEA rate both in diabetes foot patients and all patients with diabetes. These improvements can be attributed to introducing an efficient pathway with on-time debridement and early intervention of diabetes foot ulcers.","container-title":"Diabetes Research and Clinical Practice","issue":"1","journalAbbreviation":"Diabetes Res. Clin. Pract.","language":"eng","note":"PMID: 26021976","page":"77-84","title":"Organization of wound healing services: The impact on lowering the diabetes foot amputation rate in a ten-year review and the importance of early debridement","volume":"109","author":[{"family":"Hsu","given":"Cherng-Ru"},{"family":"Chang","given":"Chang-Cheng"},{"family":"Chen","given":"Yu-Tsung"},{"family":"Lin","given":"Wei-Nung"},{"family":"Chen","given":"Mei-Yen"}],"issued":{"date-parts":[["2015",7]]}}},{"id":49818,"uris":["http://zotero.org/users/5328021/items/NSCRZZ8B"],"uri":["http://zotero.org/users/5328021/items/NSCRZZ8B"],"itemData":{"id":49818,"type":"article-journal","abstract":"OBJECTIVE: To determine trends in the incidence of foot-related hospitalisation and amputation amongst persons with diabetes in Queensland (Australia) between 2005 and 2010 that coincided with changes in state-wide ambulatory diabetic foot-related complication management.\nMETHODS: All data from cases admitted for the principal reason of diabetes foot-related hospitalisation or amputation in Queensland from 2005-2010 were obtained from the Queensland Hospital Admitted Patient Data Collection dataset. Incidence rates for foot-related hospitalisation (admissions, bed days used) and amputation (total, minor, major) cases amongst persons with diabetes were calculated per 1,000 person-years with diabetes (diabetes population) and per 100,000 person-years (general population). Age-sex standardised incidence and age-sex adjusted Poisson regression models were also calculated for the general population.\nRESULTS: There were 4,443 amputations, 24,917 hospital admissions and 260,085 bed days used for diabetes foot-related complications in Queensland. Incidence per 1,000 person-years with diabetes decreased from 2005 to 2010: 43.0% for hospital admissions (36.6 to 20.9), 40.1% bed days (391 to 234), 40.0% total amputations (6.47 to 3.88), 45.0% major amputations (2.18 to 1.20), 37.5% minor amputations (4.29 to 2.68) (p &lt; 0.01 respectively). Age-sex standardised incidence per 100,000 person-years in the general population also decreased from 2005 to 2010: 23.3% hospital admissions (105.1 to 80.6), 19.5% bed days (1,122 to 903), 19.3% total amputations (18.57 to 14.99), 26.4% major amputations (6.26 to 4.61), 15.7% minor amputations (12.32 to 10.38) (p &lt; 0.01 respectively). The age-sex adjusted incidence rates per calendar year decreased in the general population (rate ratio (95% CI)); hospital admissions 0.949 (0.942-0.956), bed days 0.964 (0.962-0.966), total amputations 0.962 (0.946-0.979), major amputations 0.945 (0.917-0.974), minor amputations 0.970 (0.950-0.991) (p &lt; 0.05 respectively).\nCONCLUSIONS: There were significant reductions in the incidence of foot-related hospitalisation and amputation amongst persons with diabetes in the population of Queensland over a recent six-year period.","container-title":"PloS One","issue":"6","journalAbbreviation":"PLoS ONE","language":"eng","note":"PMID: 26098890\nPMCID: PMC4476617","page":"e0130609","title":"Reduced Incidence of Foot-Related Hospitalisation and Amputation amongst Persons with Diabetes in Queensland, Australia","volume":"10","author":[{"family":"Lazzarini","given":"Peter A."},{"family":"O'Rourke","given":"Sharon R."},{"family":"Russell","given":"Anthony W."},{"family":"Derhy","given":"Patrick H."},{"family":"Kamp","given":"Maarten C."}],"issued":{"date-parts":[["2015"]]}}},{"id":51351,"uris":["http://zotero.org/users/5328021/items/9FJFRZ2M"],"uri":["http://zotero.org/users/5328021/items/9FJFRZ2M"],"itemData":{"id":51351,"type":"article-journal","abstract":"OBJECTIVE: To assess changes in diabetic lower-extremity amputations (LEA) rates in a defined population over a 15-year period, following a multidisciplinary approach including a critical pathway in an inpatient setting with standardized preoperative and postoperative care, as well as in an outpatient setting through the establishment of a diabetic foot clinic.\nMETHODS: This is a study of the incidence and types of LEAs performed in patients with diabetic foot disease complicated admitted to Morales Meseguer Hospital (Murcia, Spain), a large district general hospital, before (1998-2000) and after (2001-2012) of the introduction of better organized diabetes foot care. Hospital and clinic characteristics to the success of the programme are described. All cases of LEA in diabetic patients (1998-2012) within the area were identified by ICD-9-Clinical modification (CM) diagnostic codes. A chi square test was used to compare the frequency and level of amputations.\nRESULTS: Over all inpatients with diabetes admitted with foot infections and gangrene, there was a significant decrease in the proportion of total major amputations (47%) and elective major amputations (66%) (p&lt;0.001). The incidence of total major amputations rates per 100.000 of the general population fell with statistical significance (p=0.009). The biggest improvement in LEA incidence was seen in the reduction of major elective amputation with fell 60%, from 7.6 to 3.1 per 100,000 (p&lt;0.001).\nCONCLUSIONS: Significant reductions in total and major amputations rates occurred over the 15-year period following improvements in foot care services included multidisciplinary teamwork (critical pathway and diabetic foot clinic).","container-title":"Revista Espanola De Quimioterapia: Publicacion Oficial De La Sociedad Espanola De Quimioterapia","issue":"3","journalAbbreviation":"Rev Esp Quimioter","language":"eng","note":"PMID: 25229372","page":"170-179","title":"Reduction in diabetic amputations over 15 years in a defined Spain population. Benefits of a critical pathway approach and multidisciplinary team work","volume":"27","author":[{"family":"Martínez-Gómez","given":"D. A."},{"family":"Moreno-Carrillo","given":"M. A."},{"family":"Campillo-Soto","given":"A."},{"family":"Carrillo-García","given":"A."},{"family":"Aguayo-Albasini","given":"J. L."}],"issued":{"date-parts":[["2014",9]]}}},{"id":51667,"uris":["http://zotero.org/users/5328021/items/PM5AWJUM"],"uri":["http://zotero.org/users/5328021/items/PM5AWJUM"],"itemData":{"id":51667,"type":"article-journal","abstract":"We analyzed the incidence of lower extremity amputations (LEAs) in the 3rd Health Care Area of Madrid before and after the March 2008 introduction of a multidisciplinary team for managing diabetic foot disease. We compared the amputation rates in people with and without diabetes during 2 periods: before (2001-2007) and after (2008-2011) the introduction of a Multidisciplinary Diabetic Foot Unit (MDFU). We also analyzed the trend of the amputation rates by joinpoint regression analysis and measured the annual percentage change (APC). During the study period, 514 nontraumatic LEAs were performed, 374 (73%) in people with diabetes and 140 (27%) in people without the disease. The incidence of LEAs showed a significant reduction in major amputations in people with diabetes, from 6.1 per 100 000 per year (95% confidence interval [CI] = 4.9 to 7.2), in the 2001 to 2007 period, to 4.0 per 100 000 per year (95% CI = 2.6 to 5.5) in the 2008 to 2011 period (P = .020). There were no changes in incidence of minor or total amputations in the diabetic population or in amputations in the nondiabetic population during the study period. Joinpoint regression analysis showed a significant reduction in the incidence of major LEAs in diabetic population with an APC of -6.6% (95% CI = -10.2 to -2.8; P = .003), but there were no other significant changes. This study demonstrates that the introduction of a multidisciplinary team, coordinated by an endocrinologist and a podiatrist, for managing diabetic foot disease is associated with a reduction in the incidence of major amputations in patients with diabetes.","container-title":"The International Journal of Lower Extremity Wounds","issue":"1","journalAbbreviation":"Int J Low Extrem Wounds","language":"eng","note":"PMID: 24659624","page":"22-26","title":"Reducing major lower extremity amputations after the introduction of a multidisciplinary team for the diabetic foot","volume":"13","author":[{"family":"Rubio","given":"José Antonio"},{"family":"Aragón-Sánchez","given":"Javier"},{"family":"Jiménez","given":"Sara"},{"family":"Guadalix","given":"Gregorio"},{"family":"Albarracín","given":"Agustín"},{"family":"Salido","given":"Carmen"},{"family":"Sanz-Moreno","given":"José"},{"family":"Ruiz-Grande","given":"Fernando"},{"family":"Gil-Fournier","given":"Nuria"},{"family":"Álvarez","given":"Julia"}],"issued":{"date-parts":[["2014",3]]}}},{"id":56954,"uris":["http://zotero.org/users/5328021/items/I2H9EMJ2"],"uri":["http://zotero.org/users/5328021/items/I2H9EMJ2"],"itemData":{"id":56954,"type":"article-journal","abstract":"INTRODUCTION/AIM OF THE STUDY: To assess the influence of a multidisciplinary approach on the limb salvage rates in the treatment of patients suffering from diabetic ischaemic inferior limb ulcers.\nMATERIALS &amp; METHOD: From September 2001 until March 2008, a consecutive series of 183 limbs with diabetic ischaemic wounds in 163 patients were treated by combined multi-level angioplasties as the primary revascularization approach in an institutional diabetic programme (two departmental hospitals). The avoidance of limb loss was retrospectively analyzed before and after the year 2005, as a landmark for implementing a \"multidisciplinary diabetic foot clinic\" in the routine daily care.\nRESULTS: Initial technical success for endovascular revascularization was noted in 152 limbs (83%). The aggregate limb salvage proportions at 12, 24, 32, 60 and 66 months (+/- SEM) were: 87% (+/- 2.8), 80% (+/- 3.9), 77% (+/- 4.4) and thereafter 77% (+/- 4.4), respectively. A comparison between the limb salvage rates before and after initiating the multidisciplinary group showed a significant difference (p = 0.040, CI: 1.040-5.311, HR: 2.35, Chi square = 4.22) with better results in the latest interval, employing effective team activity. No statistical deviation was found regarding the technique itself for revascularization at the same intervals (p = 0.381).\nCONCLUSION: Our experience suggests that limb salvage for diabetic ischaemic wounds may be favourably influenced by a co-ordinated multidisciplinary group. Although appropriate revascularization is crucial for limb rescue, a pluralist control of the attending risk factors influencing wound healing might be of matchless importance as well.","container-title":"Acta Chirurgica Belgica","issue":"6","journalAbbreviation":"Acta Chir. Belg.","language":"eng","note":"PMID: 20184051","page":"694-700","title":"Why a multidisciplinary team may represent a key factor for lowering the inferior limb loss rate in diabetic neuro-ischaemic wounds: application in a departmental institution","volume":"109","author":[{"family":"Alexandrescu","given":"V."},{"family":"Hubermont","given":"G."},{"family":"Coessens","given":"V."},{"family":"Philips","given":"Y."},{"family":"Guillaumie","given":"B."},{"family":"Ngongang","given":"Chr"},{"family":"Vincent","given":"G."},{"family":"Azdad","given":"K."},{"family":"Ledent","given":"G."},{"family":"De Marre","given":"C."},{"family":"Macoir","given":"C."}],"issued":{"date-parts":[["2009",12]]}}}],"schema":"https://github.com/citation-style-language/schema/raw/master/csl-citation.json"} </w:instrText>
            </w:r>
            <w:r w:rsidRPr="00CA32B9">
              <w:rPr>
                <w:rFonts w:asciiTheme="minorHAnsi" w:hAnsiTheme="minorHAnsi" w:cstheme="minorHAnsi"/>
                <w:szCs w:val="20"/>
                <w:lang w:val="en-US"/>
              </w:rPr>
              <w:fldChar w:fldCharType="separate"/>
            </w:r>
            <w:r w:rsidR="00EB40E5" w:rsidRPr="00CA32B9">
              <w:rPr>
                <w:rFonts w:asciiTheme="minorHAnsi" w:hAnsiTheme="minorHAnsi" w:cstheme="minorHAnsi"/>
                <w:szCs w:val="20"/>
                <w:lang w:val="en-US"/>
              </w:rPr>
              <w:t>(1,3</w:t>
            </w:r>
            <w:r w:rsidR="00C22601" w:rsidRPr="00CA32B9">
              <w:rPr>
                <w:rFonts w:asciiTheme="minorHAnsi" w:hAnsiTheme="minorHAnsi" w:cstheme="minorHAnsi"/>
                <w:szCs w:val="20"/>
              </w:rPr>
              <w:t>–</w:t>
            </w:r>
            <w:r w:rsidR="00EB40E5" w:rsidRPr="00CA32B9">
              <w:rPr>
                <w:rFonts w:asciiTheme="minorHAnsi" w:hAnsiTheme="minorHAnsi" w:cstheme="minorHAnsi"/>
                <w:szCs w:val="20"/>
                <w:lang w:val="en-US"/>
              </w:rPr>
              <w:t>12)</w:t>
            </w:r>
            <w:r w:rsidRPr="00CA32B9">
              <w:rPr>
                <w:rFonts w:asciiTheme="minorHAnsi" w:hAnsiTheme="minorHAnsi" w:cstheme="minorHAnsi"/>
                <w:szCs w:val="20"/>
                <w:lang w:val="en-US"/>
              </w:rPr>
              <w:fldChar w:fldCharType="end"/>
            </w:r>
          </w:p>
        </w:tc>
      </w:tr>
      <w:tr w:rsidR="008B4EFF" w:rsidRPr="0048149F" w14:paraId="441BFE64" w14:textId="77777777" w:rsidTr="00361845">
        <w:tc>
          <w:tcPr>
            <w:tcW w:w="3256" w:type="dxa"/>
            <w:vAlign w:val="center"/>
          </w:tcPr>
          <w:p w14:paraId="5ED1697C" w14:textId="2283016D"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 xml:space="preserve">3 studies (III) </w:t>
            </w:r>
          </w:p>
        </w:tc>
        <w:tc>
          <w:tcPr>
            <w:tcW w:w="1887" w:type="dxa"/>
          </w:tcPr>
          <w:p w14:paraId="22C8A858"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4</w:t>
            </w:r>
          </w:p>
        </w:tc>
        <w:tc>
          <w:tcPr>
            <w:tcW w:w="2932" w:type="dxa"/>
            <w:vMerge/>
          </w:tcPr>
          <w:p w14:paraId="06EEF9D6" w14:textId="77777777" w:rsidR="008B4EFF" w:rsidRPr="00CA32B9" w:rsidRDefault="008B4EFF" w:rsidP="00361845">
            <w:pPr>
              <w:pStyle w:val="BodySciensano"/>
              <w:jc w:val="center"/>
              <w:rPr>
                <w:rFonts w:asciiTheme="minorHAnsi" w:hAnsiTheme="minorHAnsi" w:cstheme="minorHAnsi"/>
                <w:szCs w:val="20"/>
                <w:lang w:val="en-US"/>
              </w:rPr>
            </w:pPr>
          </w:p>
        </w:tc>
        <w:tc>
          <w:tcPr>
            <w:tcW w:w="1848" w:type="dxa"/>
          </w:tcPr>
          <w:p w14:paraId="18F32D42" w14:textId="46EF1BC0" w:rsidR="008B4EFF" w:rsidRPr="00CA32B9" w:rsidRDefault="0048149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7155CA">
              <w:rPr>
                <w:rFonts w:asciiTheme="minorHAnsi" w:hAnsiTheme="minorHAnsi" w:cstheme="minorHAnsi"/>
                <w:szCs w:val="20"/>
                <w:lang w:val="en-US"/>
              </w:rPr>
              <w:instrText xml:space="preserve"> ADDIN ZOTERO_ITEM CSL_CITATION {"citationID":"915fLOgE","properties":{"formattedCitation":"(2,13,14)","plainCitation":"(2,13,14)","noteIndex":0},"citationItems":[{"id":10834,"uris":["http://zotero.org/users/5328021/items/KHV5KYBG"],"uri":["http://zotero.org/users/5328021/items/KHV5KYBG"],"itemData":{"id":10834,"type":"article-journal","abstract":"Aim: Management of diabetic foot infection (DFI) is challenging; a multidisciplinary approach has been shown to reduce amputation rates. There is limited information on the effect of having an interdisciplinary diabetic foot team (IDT) on patient load and outcomes at infectious disease departments. We aim to investigate the effect of the IDT approach on patient characteristics, the length of hospitalization, and amputation rates in patients hospitalized for DFI at the department of infectious disease. Material and Method: We retrospectively reviewed the files of patients who were hospitalized in the infectious disease department for DFI between January 2005 and October 2014. Patients hospitalized before the establishment of IDT (October 8, 2013) formed Group-1 and those hospitalized after the establishment of IDT formed Group-2. The members of IDT evaluated and treated all of the patients in Group-2. The groups were compared for patient characteristics, clinical findings, length of hospitalization, laboratory results, and outcome. Results: There were 53 patients in Group-1 and 39 patients in Group-2. The patient hospitalization rate increased after IDT (0.5 patients per month vs. 3.25 patients per month). Patients hospitalized after IDT had more advanced stage (Wagner grade 4-5) wounds (26.4% vs. 51.3%; p=0.013). However, the length of hospitalization did not change after IDT (23.4±11.0 vs. 21.0±14.5; p=0.478). Foot ulcers healed without surgical intervention in 13 (24.5%) and 11 (28.2%) patients in Group-1 and Group-2, respectively (p=0.691). Minor and major amputation rates were 30.2% and 9.4% in Group-1 and 30.8% and 7.7% in Group-2 (p=0.786). Discussion: Despite the fact that patients admitted after the establishment of IDT had more severe wounds, neither the length of hospitalization nor the amputation rate increased. Further studies are needed to evaluate the effectiveness of IDT in the management of DFI.","archive":"Embase","container-title":"Journal of Clinical and Analytical Medicine","issue":"4","journalAbbreviation":"J. Clin. Anal. Med.","language":"English","page":"529-532","title":"The influence of an interdisciplinary diabetic foot team on the outcome of patients with diabetic foot","volume":"7","author":[{"literal":"Coşkun Ö."},{"literal":"Uzun G."},{"literal":"Karakaş A."},{"literal":"Tok D."},{"literal":"Çebi G."},{"literal":"Çekli Y."},{"literal":"Yıldız Ş."},{"literal":"Beşirbellioğlu B.A."}],"issued":{"date-parts":[["2016"]]}}},{"id":45556,"uris":["http://zotero.org/users/5328021/items/XR7EVD7D"],"uri":["http://zotero.org/users/5328021/items/XR7EVD7D"],"itemData":{"id":45556,"type":"article-journal","abstract":"BACKGROUND: This study aims to describe the trends in the severity and treatment modality of patients with diabetic foot ulcer (DFU) at a single tertiary referral center in Korea over the last 10 years and compare the outcomes before and after the introduction of a multidisciplinary diabetic foot team.\nMETHODS: In this retrospective observational study, electronic medical records of patients from years 2002 to 2015 at single tertiary referral center were reviewed. Based on the year of first admission, patients were assigned to a group either before or after the year 2012, the year the diabetes team launched.\nRESULTS: Of the 338 patients with DFU, 229 were first admitted until the year 2011 (group A), while 109 were first admitted since the year 2012 (group B). Mean age was higher in group B, and ulcer size was larger than those of group A. Whereas duration of diabetes was longer in group B, glycemic control was improved (mean glycosylated hemoglobin, 9.48% vs. 8.50%). The proportion of minor lower extremity amputation (LEA) was increased, but length of hospital stay was decreased (73.7±79.6 days vs. 39.8±36.9 days). As critical ischemic limb increased, the proportion of major LEA was not decreased.\nCONCLUSION: Improved glycemic control, multidisciplinary strategies with prompt surgical treatment resulted in reduced length of hospital stay, but these measures did not reduce major LEAs. The increase in critical ischemic limb may have played a role in the unexpected outcome, and may suggest the need for increased vascular intervention strategies in DFU treatment.","container-title":"Diabetes &amp; Metabolism Journal","issue":"4","journalAbbreviation":"Diabetes Metab J","language":"eng","note":"PMID: 29885115\nPMCID: PMC6107356","page":"308-319","title":"The Changes of Trends in the Diagnosis and Treatment of Diabetic Foot Ulcer over a 10-Year Period: Single Center Study","volume":"42","author":[{"family":"Kim","given":"Choong Hee"},{"family":"Moon","given":"Jun Sung"},{"family":"Chung","given":"Seung Min"},{"family":"Kong","given":"Eun Jung"},{"family":"Park","given":"Chul Hyun"},{"family":"Yoon","given":"Woo Sung"},{"family":"Kim","given":"Tae Gon"},{"family":"Kim","given":"Woong"},{"family":"Yoon","given":"Ji Sung"},{"family":"Won","given":"Kyu Chang"},{"family":"Lee","given":"Hyoung Woo"}],"issued":{"date-parts":[["2018",8]]}}},{"id":49546,"uris":["http://zotero.org/users/5328021/items/49JMT95Z"],"uri":["http://zotero.org/users/5328021/items/49JMT95Z"],"itemData":{"id":49546,"type":"article-journal","abstract":"BACKGROUND: To determine if patients with no contact with a multi-disciplinary team High Risk Foot Service (MDT-HRFS) had an increased rate of hospital admission for diabetes foot infection compared to patients with contact. Secondary aims were to report on clinical outcomes.\nMETHODS: A retrospective study was conducted at a major tertiary referral hospital in metropolitan Sydney over 12 months. An ICD-10 search of the electronic medical record system and paper medical charts identified patients with diabetes mellitus (type 1 or type 2) and a primary admission for diabetes foot infection (DFI). Patients were categorised as having contact or no contact with an MDT-HRFS.\nRESULTS: One hundred ninety-six hospital admissions (156 patients) were identified with DFI over a 12-month period. Patients with no contact with a MDT-HRFS represented three quarters of admissions (no contact = 116, 74.7 % vs. contact = 40, 25.6 %, p = 0.0001) and presented with more severe infection (no contact = 39 vs. contact = 12). The odds of lower extremity amputation increased five-fold when both no contact and severe infection occurred in combination (no contact with severe infection and amputation = 34, 82.9 % vs. contact with severe infection and amputation = 7, 17.1 %, OR 4.9, 95 % CI 1.1-21.4, p = 0.037). Using estimates of both the contact and no contact population of people with diabetes and high-risk feet and assuming the risk of amputation was the same, than the number of expected amputations in the no contact group should have been 55, however the observed number was 77, 22 more than expected (p = 0.0001).\nCONCLUSIONS: Patients with no contact with a MDT-HRFS represented the majority of admissions for DFIs to a tertiary referral hospital. This group on population estimates appears to be at high risk of amputation of the lower extremity and therefore early referral of this high-risk group might lower this risk.","container-title":"Journal of Foot and Ankle Research","journalAbbreviation":"J Foot Ankle Res","language":"eng","note":"PMID: 26582352\nPMCID: PMC4650286","page":"62","title":"Primary care referral to multidisciplinary high risk foot services - too few, too late","volume":"8","author":[{"family":"Plusch","given":"D."},{"family":"Penkala","given":"S."},{"family":"Dickson","given":"H. G."},{"family":"Malone","given":"M."}],"issued":{"date-parts":[["2015"]]}}}],"schema":"https://github.com/citation-style-language/schema/raw/master/csl-citation.json"} </w:instrText>
            </w:r>
            <w:r w:rsidRPr="00CA32B9">
              <w:rPr>
                <w:rFonts w:asciiTheme="minorHAnsi" w:hAnsiTheme="minorHAnsi" w:cstheme="minorHAnsi"/>
                <w:szCs w:val="20"/>
                <w:lang w:val="en-US"/>
              </w:rPr>
              <w:fldChar w:fldCharType="separate"/>
            </w:r>
            <w:r w:rsidR="007155CA" w:rsidRPr="007155CA">
              <w:rPr>
                <w:rFonts w:cs="Arial"/>
              </w:rPr>
              <w:t>(2,13,14)</w:t>
            </w:r>
            <w:r w:rsidRPr="00CA32B9">
              <w:rPr>
                <w:rFonts w:asciiTheme="minorHAnsi" w:hAnsiTheme="minorHAnsi" w:cstheme="minorHAnsi"/>
                <w:szCs w:val="20"/>
                <w:lang w:val="en-US"/>
              </w:rPr>
              <w:fldChar w:fldCharType="end"/>
            </w:r>
          </w:p>
        </w:tc>
      </w:tr>
      <w:tr w:rsidR="0071519A" w:rsidRPr="0048149F" w14:paraId="723ECF7F" w14:textId="77777777" w:rsidTr="00361845">
        <w:tc>
          <w:tcPr>
            <w:tcW w:w="3256" w:type="dxa"/>
            <w:vAlign w:val="center"/>
          </w:tcPr>
          <w:p w14:paraId="00FB0BC3" w14:textId="77777777" w:rsidR="0071519A" w:rsidRPr="00CA32B9" w:rsidRDefault="0071519A" w:rsidP="00361845">
            <w:pPr>
              <w:pStyle w:val="BodySciensano"/>
              <w:jc w:val="left"/>
              <w:rPr>
                <w:rFonts w:asciiTheme="minorHAnsi" w:hAnsiTheme="minorHAnsi" w:cstheme="minorHAnsi"/>
                <w:b/>
                <w:color w:val="9A9B9D" w:themeColor="text1" w:themeTint="99"/>
                <w:szCs w:val="20"/>
                <w:lang w:val="en-US"/>
              </w:rPr>
            </w:pPr>
            <w:r w:rsidRPr="00CA32B9">
              <w:rPr>
                <w:rFonts w:asciiTheme="minorHAnsi" w:hAnsiTheme="minorHAnsi" w:cstheme="minorHAnsi"/>
                <w:b/>
                <w:szCs w:val="20"/>
                <w:lang w:val="en-US"/>
              </w:rPr>
              <w:t>Minor amputations</w:t>
            </w:r>
          </w:p>
        </w:tc>
        <w:tc>
          <w:tcPr>
            <w:tcW w:w="1887" w:type="dxa"/>
          </w:tcPr>
          <w:p w14:paraId="39FEEB9E" w14:textId="77777777" w:rsidR="0071519A" w:rsidRPr="00CA32B9" w:rsidRDefault="0071519A" w:rsidP="00361845">
            <w:pPr>
              <w:pStyle w:val="BodySciensano"/>
              <w:jc w:val="center"/>
              <w:rPr>
                <w:rFonts w:asciiTheme="minorHAnsi" w:hAnsiTheme="minorHAnsi" w:cstheme="minorHAnsi"/>
                <w:szCs w:val="20"/>
                <w:lang w:val="en-US"/>
              </w:rPr>
            </w:pPr>
          </w:p>
        </w:tc>
        <w:tc>
          <w:tcPr>
            <w:tcW w:w="4780" w:type="dxa"/>
            <w:gridSpan w:val="2"/>
          </w:tcPr>
          <w:p w14:paraId="03A1D396" w14:textId="77777777" w:rsidR="0071519A" w:rsidRPr="00CA32B9" w:rsidRDefault="0071519A" w:rsidP="00361845">
            <w:pPr>
              <w:pStyle w:val="BodySciensano"/>
              <w:jc w:val="center"/>
              <w:rPr>
                <w:rFonts w:asciiTheme="minorHAnsi" w:hAnsiTheme="minorHAnsi" w:cstheme="minorHAnsi"/>
                <w:szCs w:val="20"/>
                <w:lang w:val="en-US"/>
              </w:rPr>
            </w:pPr>
          </w:p>
        </w:tc>
      </w:tr>
      <w:tr w:rsidR="008B4EFF" w:rsidRPr="0048149F" w14:paraId="4AE6E485" w14:textId="77777777" w:rsidTr="00361845">
        <w:tc>
          <w:tcPr>
            <w:tcW w:w="3256" w:type="dxa"/>
            <w:vAlign w:val="center"/>
          </w:tcPr>
          <w:p w14:paraId="6EAB2934" w14:textId="77777777" w:rsidR="008B4EFF" w:rsidRPr="00CA32B9" w:rsidRDefault="008B4EFF" w:rsidP="00361845">
            <w:pPr>
              <w:pStyle w:val="BodySciensano"/>
              <w:jc w:val="center"/>
              <w:rPr>
                <w:rFonts w:asciiTheme="minorHAnsi" w:hAnsiTheme="minorHAnsi" w:cstheme="minorHAnsi"/>
                <w:color w:val="9A9B9D" w:themeColor="text1" w:themeTint="99"/>
                <w:szCs w:val="20"/>
                <w:lang w:val="en-US"/>
              </w:rPr>
            </w:pPr>
            <w:r w:rsidRPr="00CA32B9">
              <w:rPr>
                <w:rFonts w:asciiTheme="minorHAnsi" w:eastAsia="Times New Roman" w:hAnsiTheme="minorHAnsi" w:cstheme="minorHAnsi"/>
                <w:szCs w:val="20"/>
                <w:lang w:val="en-US"/>
              </w:rPr>
              <w:t>4 studies (III)</w:t>
            </w:r>
            <w:r w:rsidRPr="00CA32B9">
              <w:rPr>
                <w:rFonts w:asciiTheme="minorHAnsi" w:hAnsiTheme="minorHAnsi" w:cstheme="minorHAnsi"/>
                <w:szCs w:val="20"/>
                <w:lang w:val="en-US"/>
              </w:rPr>
              <w:t xml:space="preserve"> </w:t>
            </w:r>
          </w:p>
        </w:tc>
        <w:tc>
          <w:tcPr>
            <w:tcW w:w="1887" w:type="dxa"/>
          </w:tcPr>
          <w:p w14:paraId="3758A9A6"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vMerge w:val="restart"/>
            <w:vAlign w:val="center"/>
          </w:tcPr>
          <w:p w14:paraId="5F712596"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12BBD4FF" w14:textId="7312DA18" w:rsidR="008B4EFF" w:rsidRPr="00CA32B9" w:rsidRDefault="000115C6"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fcFo7270","properties":{"formattedCitation":"(1,9,13,15)","plainCitation":"(1,9,13,15)","noteIndex":0},"citationItems":[{"id":44953,"uris":["http://zotero.org/users/5328021/items/DPLPNAGQ"],"uri":["http://zotero.org/users/5328021/items/DPLPNAGQ"],"itemData":{"id":44953,"type":"article-journal","abstract":"To compare the outcomes of diabetic foot ulcers (DFU) in terms of healing and lower extremity amputation (LEA) rate before and after training of multidisciplinary foot care team (MDFCT). Subjects were categorised into two groups; Group-A cases seen between 1997 and 2006 (before upgrading of training and services of MDFCT) and Group-B cases seen between 2007 and 2016 (after upgrading of training and services of MDFCT). Baseline demographic characteristics, biochemical results, and outcomes of DFU in terms of healing or amputation were analysed by using statistical package social science (SPSS) version 20. Total 7994 DFU cases seen, 888 in group A and 7106 in group B. Mean age of patients was 53.80 ± 10.40 years and mean haemoglobin (HbA1c) was 10.12 ± 2.44. Overall, decreasing trends of amputations were observed from baseline 27.5% to 3.92% during the period of 20 years. In group A, 479 (78.8%) subjects healed completely compared with 3806 (89.1%) in group B. Significant reduction in toe amputations ([13.81%] vs [8.11%]) and below knee amputations [(5.26%) vs (1.82%)] were seen. Similarly, rates of above knee amputation ([1.80%] vs [0.35%] P-value 0.008) in two groups was also significant. Significant improvement was observed in outcomes of DFU in terms of amputation through multidisciplinary team approach.","container-title":"International Wound Journal","issue":"3","journalAbbreviation":"Int Wound J","language":"eng","note":"PMID: 30767384","page":"768-772","title":"Impact of multidisciplinary foot care team on outcome of diabetic foot ulcer in term of lower extremity amputation at a tertiary care unit in Karachi, Pakistan","volume":"16","author":[{"family":"Riaz","given":"Musarrat"},{"family":"Miyan","given":"Zahid"},{"family":"Waris","given":"Nazish"},{"family":"Zaidi","given":"Syed I. H."},{"family":"Tahir","given":"Bilal"},{"family":"Fawwad","given":"Asher"},{"family":"Basit","given":"Abdul"}],"issued":{"date-parts":[["2019",6]]}}},{"id":49818,"uris":["http://zotero.org/users/5328021/items/NSCRZZ8B"],"uri":["http://zotero.org/users/5328021/items/NSCRZZ8B"],"itemData":{"id":49818,"type":"article-journal","abstract":"OBJECTIVE: To determine trends in the incidence of foot-related hospitalisation and amputation amongst persons with diabetes in Queensland (Australia) between 2005 and 2010 that coincided with changes in state-wide ambulatory diabetic foot-related complication management.\nMETHODS: All data from cases admitted for the principal reason of diabetes foot-related hospitalisation or amputation in Queensland from 2005-2010 were obtained from the Queensland Hospital Admitted Patient Data Collection dataset. Incidence rates for foot-related hospitalisation (admissions, bed days used) and amputation (total, minor, major) cases amongst persons with diabetes were calculated per 1,000 person-years with diabetes (diabetes population) and per 100,000 person-years (general population). Age-sex standardised incidence and age-sex adjusted Poisson regression models were also calculated for the general population.\nRESULTS: There were 4,443 amputations, 24,917 hospital admissions and 260,085 bed days used for diabetes foot-related complications in Queensland. Incidence per 1,000 person-years with diabetes decreased from 2005 to 2010: 43.0% for hospital admissions (36.6 to 20.9), 40.1% bed days (391 to 234), 40.0% total amputations (6.47 to 3.88), 45.0% major amputations (2.18 to 1.20), 37.5% minor amputations (4.29 to 2.68) (p &lt; 0.01 respectively). Age-sex standardised incidence per 100,000 person-years in the general population also decreased from 2005 to 2010: 23.3% hospital admissions (105.1 to 80.6), 19.5% bed days (1,122 to 903), 19.3% total amputations (18.57 to 14.99), 26.4% major amputations (6.26 to 4.61), 15.7% minor amputations (12.32 to 10.38) (p &lt; 0.01 respectively). The age-sex adjusted incidence rates per calendar year decreased in the general population (rate ratio (95% CI)); hospital admissions 0.949 (0.942-0.956), bed days 0.964 (0.962-0.966), total amputations 0.962 (0.946-0.979), major amputations 0.945 (0.917-0.974), minor amputations 0.970 (0.950-0.991) (p &lt; 0.05 respectively).\nCONCLUSIONS: There were significant reductions in the incidence of foot-related hospitalisation and amputation amongst persons with diabetes in the population of Queensland over a recent six-year period.","container-title":"PloS One","issue":"6","journalAbbreviation":"PLoS ONE","language":"eng","note":"PMID: 26098890\nPMCID: PMC4476617","page":"e0130609","title":"Reduced Incidence of Foot-Related Hospitalisation and Amputation amongst Persons with Diabetes in Queensland, Australia","volume":"10","author":[{"family":"Lazzarini","given":"Peter A."},{"family":"O'Rourke","given":"Sharon R."},{"family":"Russell","given":"Anthony W."},{"family":"Derhy","given":"Patrick H."},{"family":"Kamp","given":"Maarten C."}],"issued":{"date-parts":[["2015"]]}}},{"id":45556,"uris":["http://zotero.org/users/5328021/items/XR7EVD7D"],"uri":["http://zotero.org/users/5328021/items/XR7EVD7D"],"itemData":{"id":45556,"type":"article-journal","abstract":"BACKGROUND: This study aims to describe the trends in the severity and treatment modality of patients with diabetic foot ulcer (DFU) at a single tertiary referral center in Korea over the last 10 years and compare the outcomes before and after the introduction of a multidisciplinary diabetic foot team.\nMETHODS: In this retrospective observational study, electronic medical records of patients from years 2002 to 2015 at single tertiary referral center were reviewed. Based on the year of first admission, patients were assigned to a group either before or after the year 2012, the year the diabetes team launched.\nRESULTS: Of the 338 patients with DFU, 229 were first admitted until the year 2011 (group A), while 109 were first admitted since the year 2012 (group B). Mean age was higher in group B, and ulcer size was larger than those of group A. Whereas duration of diabetes was longer in group B, glycemic control was improved (mean glycosylated hemoglobin, 9.48% vs. 8.50%). The proportion of minor lower extremity amputation (LEA) was increased, but length of hospital stay was decreased (73.7±79.6 days vs. 39.8±36.9 days). As critical ischemic limb increased, the proportion of major LEA was not decreased.\nCONCLUSION: Improved glycemic control, multidisciplinary strategies with prompt surgical treatment resulted in reduced length of hospital stay, but these measures did not reduce major LEAs. The increase in critical ischemic limb may have played a role in the unexpected outcome, and may suggest the need for increased vascular intervention strategies in DFU treatment.","container-title":"Diabetes &amp; Metabolism Journal","issue":"4","journalAbbreviation":"Diabetes Metab J","language":"eng","note":"PMID: 29885115\nPMCID: PMC6107356","page":"308-319","title":"The Changes of Trends in the Diagnosis and Treatment of Diabetic Foot Ulcer over a 10-Year Period: Single Center Study","volume":"42","author":[{"family":"Kim","given":"Choong Hee"},{"family":"Moon","given":"Jun Sung"},{"family":"Chung","given":"Seung Min"},{"family":"Kong","given":"Eun Jung"},{"family":"Park","given":"Chul Hyun"},{"family":"Yoon","given":"Woo Sung"},{"family":"Kim","given":"Tae Gon"},{"family":"Kim","given":"Woong"},{"family":"Yoon","given":"Ji Sung"},{"family":"Won","given":"Kyu Chang"},{"family":"Lee","given":"Hyoung Woo"}],"issued":{"date-parts":[["2018",8]]}}},{"id":47665,"uris":["http://zotero.org/users/5328021/items/TMPTCMXS"],"uri":["http://zotero.org/users/5328021/items/TMPTCMXS"],"itemData":{"id":47665,"type":"article-journal","abstract":"AIMS: In this study, we evaluated the effects of the re-organization of inpatient care for patients with a diabetic foot infection, and the implementation of a specialized multi-disciplinary wound department at an academic tertiary hospital.\nMETHODS: This was a retrospective cohort study, comprising 272 patients treated for diabetic foot infections in 2006-2007 (Group 1, n=124) and 2013-2014 (Group 2, n=148). In 2012, inpatient care of all chronic wounds was centralized at a single wound department with a multi-disciplinary team. We assessed group outcome before and after the re-organization.\nRESULTS: During the 7-year study period, the incidence of hospitalized patients with a diabetic foot infection increased 19%. After initiating the re-organization, the below-the-knee amputation rate was significantly reduced (25.8% vs. 9.5%, p&lt;0.001). The median time from admission to surgical intervention decreased from 5days to 2days, p&lt;0.001. The length of hospitalization also tended to decrease after the reorganization.\nCONCLUSIONS: The findings of this study demonstrate the benefits of treating diabetic foot infections at a specialized wound department with a multi-disciplinary team. The benefits were achieved by simply distributing the workload and organizing schedules, without new investments or additional personnel. The findings of this study indicate that patients with diabetic foot infections present a challenge that is beyond the expertise of a single field of medicine. A working collaboration between disciplines and a specialized wound department are central in achieving better results.","container-title":"Diabetes Research and Clinical Practice","journalAbbreviation":"Diabetes Res. Clin. Pract.","language":"eng","note":"PMID: 28167324","page":"39-46","title":"Re-organizing inpatient care saves legs in patients with diabetic foot infections","volume":"125","author":[{"family":"Laakso","given":"Miska"},{"family":"Honkasalo","given":"Mikael"},{"family":"Kiiski","given":"Juha"},{"family":"Ala-Houhala","given":"Meri"},{"family":"Haapasalo","given":"Heidi"},{"family":"Laine","given":"Heikki-Jussi"},{"family":"Luukkaala","given":"Tiina"},{"family":"Lahtela","given":"Jorma"},{"family":"Kaartinen","given":"Ilkka"}],"issued":{"date-parts":[["2017",3]]}}}],"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lang w:val="en-US"/>
              </w:rPr>
              <w:t>(1,9,13,15)</w:t>
            </w:r>
            <w:r w:rsidRPr="00CA32B9">
              <w:rPr>
                <w:rFonts w:asciiTheme="minorHAnsi" w:hAnsiTheme="minorHAnsi" w:cstheme="minorHAnsi"/>
                <w:szCs w:val="20"/>
                <w:lang w:val="en-US"/>
              </w:rPr>
              <w:fldChar w:fldCharType="end"/>
            </w:r>
          </w:p>
        </w:tc>
      </w:tr>
      <w:tr w:rsidR="008B4EFF" w:rsidRPr="0048149F" w14:paraId="4D983DD4" w14:textId="77777777" w:rsidTr="00361845">
        <w:tc>
          <w:tcPr>
            <w:tcW w:w="3256" w:type="dxa"/>
            <w:vAlign w:val="center"/>
          </w:tcPr>
          <w:p w14:paraId="16D9B0C3" w14:textId="77777777" w:rsidR="008B4EFF" w:rsidRPr="00CA32B9" w:rsidRDefault="008B4EFF" w:rsidP="00361845">
            <w:pPr>
              <w:pStyle w:val="BodySciensano"/>
              <w:jc w:val="center"/>
              <w:rPr>
                <w:rFonts w:asciiTheme="minorHAnsi" w:hAnsiTheme="minorHAnsi" w:cstheme="minorHAnsi"/>
                <w:color w:val="9A9B9D" w:themeColor="text1" w:themeTint="99"/>
                <w:szCs w:val="20"/>
                <w:lang w:val="en-US"/>
              </w:rPr>
            </w:pPr>
            <w:r w:rsidRPr="00CA32B9">
              <w:rPr>
                <w:rFonts w:asciiTheme="minorHAnsi" w:hAnsiTheme="minorHAnsi" w:cstheme="minorHAnsi"/>
                <w:color w:val="9A9B9D" w:themeColor="text1" w:themeTint="99"/>
                <w:szCs w:val="20"/>
                <w:lang w:val="en-US"/>
              </w:rPr>
              <w:t>2 studies (III)</w:t>
            </w:r>
          </w:p>
        </w:tc>
        <w:tc>
          <w:tcPr>
            <w:tcW w:w="1887" w:type="dxa"/>
          </w:tcPr>
          <w:p w14:paraId="385EF8A4"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2,5</w:t>
            </w:r>
          </w:p>
        </w:tc>
        <w:tc>
          <w:tcPr>
            <w:tcW w:w="2932" w:type="dxa"/>
            <w:vMerge/>
          </w:tcPr>
          <w:p w14:paraId="2E757037" w14:textId="77777777" w:rsidR="008B4EFF" w:rsidRPr="00CA32B9" w:rsidRDefault="008B4EFF" w:rsidP="00361845">
            <w:pPr>
              <w:pStyle w:val="BodySciensano"/>
              <w:jc w:val="center"/>
              <w:rPr>
                <w:rFonts w:asciiTheme="minorHAnsi" w:hAnsiTheme="minorHAnsi" w:cstheme="minorHAnsi"/>
                <w:szCs w:val="20"/>
                <w:lang w:val="en-US"/>
              </w:rPr>
            </w:pPr>
          </w:p>
        </w:tc>
        <w:tc>
          <w:tcPr>
            <w:tcW w:w="1848" w:type="dxa"/>
          </w:tcPr>
          <w:p w14:paraId="6A5EB024" w14:textId="78C9D78E" w:rsidR="008B4EFF" w:rsidRPr="00CA32B9" w:rsidRDefault="000115C6"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z58Q3sPK","properties":{"formattedCitation":"(2,10)","plainCitation":"(2,10)","noteIndex":0},"citationItems":[{"id":10834,"uris":["http://zotero.org/users/5328021/items/KHV5KYBG"],"uri":["http://zotero.org/users/5328021/items/KHV5KYBG"],"itemData":{"id":10834,"type":"article-journal","abstract":"Aim: Management of diabetic foot infection (DFI) is challenging; a multidisciplinary approach has been shown to reduce amputation rates. There is limited information on the effect of having an interdisciplinary diabetic foot team (IDT) on patient load and outcomes at infectious disease departments. We aim to investigate the effect of the IDT approach on patient characteristics, the length of hospitalization, and amputation rates in patients hospitalized for DFI at the department of infectious disease. Material and Method: We retrospectively reviewed the files of patients who were hospitalized in the infectious disease department for DFI between January 2005 and October 2014. Patients hospitalized before the establishment of IDT (October 8, 2013) formed Group-1 and those hospitalized after the establishment of IDT formed Group-2. The members of IDT evaluated and treated all of the patients in Group-2. The groups were compared for patient characteristics, clinical findings, length of hospitalization, laboratory results, and outcome. Results: There were 53 patients in Group-1 and 39 patients in Group-2. The patient hospitalization rate increased after IDT (0.5 patients per month vs. 3.25 patients per month). Patients hospitalized after IDT had more advanced stage (Wagner grade 4-5) wounds (26.4% vs. 51.3%; p=0.013). However, the length of hospitalization did not change after IDT (23.4±11.0 vs. 21.0±14.5; p=0.478). Foot ulcers healed without surgical intervention in 13 (24.5%) and 11 (28.2%) patients in Group-1 and Group-2, respectively (p=0.691). Minor and major amputation rates were 30.2% and 9.4% in Group-1 and 30.8% and 7.7% in Group-2 (p=0.786). Discussion: Despite the fact that patients admitted after the establishment of IDT had more severe wounds, neither the length of hospitalization nor the amputation rate increased. Further studies are needed to evaluate the effectiveness of IDT in the management of DFI.","archive":"Embase","container-title":"Journal of Clinical and Analytical Medicine","issue":"4","journalAbbreviation":"J. Clin. Anal. Med.","language":"English","page":"529-532","title":"The influence of an interdisciplinary diabetic foot team on the outcome of patients with diabetic foot","volume":"7","author":[{"literal":"Coşkun Ö."},{"literal":"Uzun G."},{"literal":"Karakaş A."},{"literal":"Tok D."},{"literal":"Çebi G."},{"literal":"Çekli Y."},{"literal":"Yıldız Ş."},{"literal":"Beşirbellioğlu B.A."}],"issued":{"date-parts":[["2016"]]}}},{"id":51351,"uris":["http://zotero.org/users/5328021/items/9FJFRZ2M"],"uri":["http://zotero.org/users/5328021/items/9FJFRZ2M"],"itemData":{"id":51351,"type":"article-journal","abstract":"OBJECTIVE: To assess changes in diabetic lower-extremity amputations (LEA) rates in a defined population over a 15-year period, following a multidisciplinary approach including a critical pathway in an inpatient setting with standardized preoperative and postoperative care, as well as in an outpatient setting through the establishment of a diabetic foot clinic.\nMETHODS: This is a study of the incidence and types of LEAs performed in patients with diabetic foot disease complicated admitted to Morales Meseguer Hospital (Murcia, Spain), a large district general hospital, before (1998-2000) and after (2001-2012) of the introduction of better organized diabetes foot care. Hospital and clinic characteristics to the success of the programme are described. All cases of LEA in diabetic patients (1998-2012) within the area were identified by ICD-9-Clinical modification (CM) diagnostic codes. A chi square test was used to compare the frequency and level of amputations.\nRESULTS: Over all inpatients with diabetes admitted with foot infections and gangrene, there was a significant decrease in the proportion of total major amputations (47%) and elective major amputations (66%) (p&lt;0.001). The incidence of total major amputations rates per 100.000 of the general population fell with statistical significance (p=0.009). The biggest improvement in LEA incidence was seen in the reduction of major elective amputation with fell 60%, from 7.6 to 3.1 per 100,000 (p&lt;0.001).\nCONCLUSIONS: Significant reductions in total and major amputations rates occurred over the 15-year period following improvements in foot care services included multidisciplinary teamwork (critical pathway and diabetic foot clinic).","container-title":"Revista Espanola De Quimioterapia: Publicacion Oficial De La Sociedad Espanola De Quimioterapia","issue":"3","journalAbbreviation":"Rev Esp Quimioter","language":"eng","note":"PMID: 25229372","page":"170-179","title":"Reduction in diabetic amputations over 15 years in a defined Spain population. Benefits of a critical pathway approach and multidisciplinary team work","volume":"27","author":[{"family":"Martínez-Gómez","given":"D. A."},{"family":"Moreno-Carrillo","given":"M. A."},{"family":"Campillo-Soto","given":"A."},{"family":"Carrillo-García","given":"A."},{"family":"Aguayo-Albasini","given":"J. L."}],"issued":{"date-parts":[["2014",9]]}}}],"schema":"https://github.com/citation-style-language/schema/raw/master/csl-citation.json"}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(2,10)</w:t>
            </w:r>
            <w:r w:rsidRPr="00CA32B9">
              <w:rPr>
                <w:rFonts w:asciiTheme="minorHAnsi" w:hAnsiTheme="minorHAnsi" w:cstheme="minorHAnsi"/>
                <w:szCs w:val="20"/>
                <w:lang w:val="en-US"/>
              </w:rPr>
              <w:fldChar w:fldCharType="end"/>
            </w:r>
          </w:p>
        </w:tc>
      </w:tr>
      <w:tr w:rsidR="0071519A" w:rsidRPr="0048149F" w14:paraId="365A940F" w14:textId="77777777" w:rsidTr="00361845">
        <w:tc>
          <w:tcPr>
            <w:tcW w:w="3256" w:type="dxa"/>
          </w:tcPr>
          <w:p w14:paraId="6488C54E" w14:textId="77777777" w:rsidR="0071519A" w:rsidRPr="00CA32B9" w:rsidRDefault="0071519A" w:rsidP="00361845">
            <w:pPr>
              <w:pStyle w:val="BodySciensano"/>
              <w:rPr>
                <w:rFonts w:asciiTheme="minorHAnsi" w:hAnsiTheme="minorHAnsi" w:cstheme="minorHAnsi"/>
                <w:b/>
                <w:szCs w:val="20"/>
                <w:lang w:val="en-US"/>
              </w:rPr>
            </w:pPr>
            <w:r w:rsidRPr="00CA32B9">
              <w:rPr>
                <w:rFonts w:asciiTheme="minorHAnsi" w:hAnsiTheme="minorHAnsi" w:cstheme="minorHAnsi"/>
                <w:b/>
                <w:szCs w:val="20"/>
                <w:lang w:val="en-US"/>
              </w:rPr>
              <w:t>Length of hospital stay</w:t>
            </w:r>
          </w:p>
        </w:tc>
        <w:tc>
          <w:tcPr>
            <w:tcW w:w="1887" w:type="dxa"/>
          </w:tcPr>
          <w:p w14:paraId="6E0632A0" w14:textId="77777777" w:rsidR="0071519A" w:rsidRPr="00CA32B9" w:rsidRDefault="0071519A" w:rsidP="00361845">
            <w:pPr>
              <w:pStyle w:val="BodySciensano"/>
              <w:jc w:val="center"/>
              <w:rPr>
                <w:rFonts w:asciiTheme="minorHAnsi" w:hAnsiTheme="minorHAnsi" w:cstheme="minorHAnsi"/>
                <w:szCs w:val="20"/>
                <w:lang w:val="en-US"/>
              </w:rPr>
            </w:pPr>
          </w:p>
        </w:tc>
        <w:tc>
          <w:tcPr>
            <w:tcW w:w="4780" w:type="dxa"/>
            <w:gridSpan w:val="2"/>
          </w:tcPr>
          <w:p w14:paraId="7ED11689" w14:textId="77777777" w:rsidR="0071519A" w:rsidRPr="00CA32B9" w:rsidRDefault="0071519A" w:rsidP="00361845">
            <w:pPr>
              <w:pStyle w:val="BodySciensano"/>
              <w:jc w:val="center"/>
              <w:rPr>
                <w:rFonts w:asciiTheme="minorHAnsi" w:hAnsiTheme="minorHAnsi" w:cstheme="minorHAnsi"/>
                <w:szCs w:val="20"/>
                <w:lang w:val="en-US"/>
              </w:rPr>
            </w:pPr>
          </w:p>
        </w:tc>
      </w:tr>
      <w:tr w:rsidR="008B4EFF" w:rsidRPr="0048149F" w14:paraId="2384D24E" w14:textId="77777777" w:rsidTr="00361845">
        <w:tc>
          <w:tcPr>
            <w:tcW w:w="3256" w:type="dxa"/>
          </w:tcPr>
          <w:p w14:paraId="4BEEDAE4"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eastAsia="Times New Roman" w:hAnsiTheme="minorHAnsi" w:cstheme="minorHAnsi"/>
                <w:szCs w:val="20"/>
                <w:lang w:val="en-US"/>
              </w:rPr>
              <w:t>3 studies (III)</w:t>
            </w:r>
            <w:r w:rsidRPr="00CA32B9">
              <w:rPr>
                <w:rFonts w:asciiTheme="minorHAnsi" w:hAnsiTheme="minorHAnsi" w:cstheme="minorHAnsi"/>
                <w:szCs w:val="20"/>
                <w:lang w:val="en-US"/>
              </w:rPr>
              <w:t xml:space="preserve"> </w:t>
            </w:r>
          </w:p>
        </w:tc>
        <w:tc>
          <w:tcPr>
            <w:tcW w:w="1887" w:type="dxa"/>
          </w:tcPr>
          <w:p w14:paraId="255035B2"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vMerge w:val="restart"/>
            <w:vAlign w:val="center"/>
          </w:tcPr>
          <w:p w14:paraId="1128B17A"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612D578E" w14:textId="09F2D9DE" w:rsidR="008B4EFF" w:rsidRPr="00CA32B9" w:rsidRDefault="009C5DC5"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2ApQK78K","properties":{"formattedCitation":"(9,13,15)","plainCitation":"(9,13,15)","noteIndex":0},"citationItems":[{"id":49818,"uris":["http://zotero.org/users/5328021/items/NSCRZZ8B"],"uri":["http://zotero.org/users/5328021/items/NSCRZZ8B"],"itemData":{"id":49818,"type":"article-journal","abstract":"OBJECTIVE: To determine trends in the incidence of foot-related hospitalisation and amputation amongst persons with diabetes in Queensland (Australia) between 2005 and 2010 that coincided with changes in state-wide ambulatory diabetic foot-related complication management.\nMETHODS: All data from cases admitted for the principal reason of diabetes foot-related hospitalisation or amputation in Queensland from 2005-2010 were obtained from the Queensland Hospital Admitted Patient Data Collection dataset. Incidence rates for foot-related hospitalisation (admissions, bed days used) and amputation (total, minor, major) cases amongst persons with diabetes were calculated per 1,000 person-years with diabetes (diabetes population) and per 100,000 person-years (general population). Age-sex standardised incidence and age-sex adjusted Poisson regression models were also calculated for the general population.\nRESULTS: There were 4,443 amputations, 24,917 hospital admissions and 260,085 bed days used for diabetes foot-related complications in Queensland. Incidence per 1,000 person-years with diabetes decreased from 2005 to 2010: 43.0% for hospital admissions (36.6 to 20.9), 40.1% bed days (391 to 234), 40.0% total amputations (6.47 to 3.88), 45.0% major amputations (2.18 to 1.20), 37.5% minor amputations (4.29 to 2.68) (p &lt; 0.01 respectively). Age-sex standardised incidence per 100,000 person-years in the general population also decreased from 2005 to 2010: 23.3% hospital admissions (105.1 to 80.6), 19.5% bed days (1,122 to 903), 19.3% total amputations (18.57 to 14.99), 26.4% major amputations (6.26 to 4.61), 15.7% minor amputations (12.32 to 10.38) (p &lt; 0.01 respectively). The age-sex adjusted incidence rates per calendar year decreased in the general population (rate ratio (95% CI)); hospital admissions 0.949 (0.942-0.956), bed days 0.964 (0.962-0.966), total amputations 0.962 (0.946-0.979), major amputations 0.945 (0.917-0.974), minor amputations 0.970 (0.950-0.991) (p &lt; 0.05 respectively).\nCONCLUSIONS: There were significant reductions in the incidence of foot-related hospitalisation and amputation amongst persons with diabetes in the population of Queensland over a recent six-year period.","container-title":"PloS One","issue":"6","journalAbbreviation":"PLoS ONE","language":"eng","note":"PMID: 26098890\nPMCID: PMC4476617","page":"e0130609","title":"Reduced Incidence of Foot-Related Hospitalisation and Amputation amongst Persons with Diabetes in Queensland, Australia","volume":"10","author":[{"family":"Lazzarini","given":"Peter A."},{"family":"O'Rourke","given":"Sharon R."},{"family":"Russell","given":"Anthony W."},{"family":"Derhy","given":"Patrick H."},{"family":"Kamp","given":"Maarten C."}],"issued":{"date-parts":[["2015"]]}}},{"id":45556,"uris":["http://zotero.org/users/5328021/items/XR7EVD7D"],"uri":["http://zotero.org/users/5328021/items/XR7EVD7D"],"itemData":{"id":45556,"type":"article-journal","abstract":"BACKGROUND: This study aims to describe the trends in the severity and treatment modality of patients with diabetic foot ulcer (DFU) at a single tertiary referral center in Korea over the last 10 years and compare the outcomes before and after the introduction of a multidisciplinary diabetic foot team.\nMETHODS: In this retrospective observational study, electronic medical records of patients from years 2002 to 2015 at single tertiary referral center were reviewed. Based on the year of first admission, patients were assigned to a group either before or after the year 2012, the year the diabetes team launched.\nRESULTS: Of the 338 patients with DFU, 229 were first admitted until the year 2011 (group A), while 109 were first admitted since the year 2012 (group B). Mean age was higher in group B, and ulcer size was larger than those of group A. Whereas duration of diabetes was longer in group B, glycemic control was improved (mean glycosylated hemoglobin, 9.48% vs. 8.50%). The proportion of minor lower extremity amputation (LEA) was increased, but length of hospital stay was decreased (73.7±79.6 days vs. 39.8±36.9 days). As critical ischemic limb increased, the proportion of major LEA was not decreased.\nCONCLUSION: Improved glycemic control, multidisciplinary strategies with prompt surgical treatment resulted in reduced length of hospital stay, but these measures did not reduce major LEAs. The increase in critical ischemic limb may have played a role in the unexpected outcome, and may suggest the need for increased vascular intervention strategies in DFU treatment.","container-title":"Diabetes &amp; Metabolism Journal","issue":"4","journalAbbreviation":"Diabetes Metab J","language":"eng","note":"PMID: 29885115\nPMCID: PMC6107356","page":"308-319","title":"The Changes of Trends in the Diagnosis and Treatment of Diabetic Foot Ulcer over a 10-Year Period: Single Center Study","volume":"42","author":[{"family":"Kim","given":"Choong Hee"},{"family":"Moon","given":"Jun Sung"},{"family":"Chung","given":"Seung Min"},{"family":"Kong","given":"Eun Jung"},{"family":"Park","given":"Chul Hyun"},{"family":"Yoon","given":"Woo Sung"},{"family":"Kim","given":"Tae Gon"},{"family":"Kim","given":"Woong"},{"family":"Yoon","given":"Ji Sung"},{"family":"Won","given":"Kyu Chang"},{"family":"Lee","given":"Hyoung Woo"}],"issued":{"date-parts":[["2018",8]]}}},{"id":47665,"uris":["http://zotero.org/users/5328021/items/TMPTCMXS"],"uri":["http://zotero.org/users/5328021/items/TMPTCMXS"],"itemData":{"id":47665,"type":"article-journal","abstract":"AIMS: In this study, we evaluated the effects of the re-organization of inpatient care for patients with a diabetic foot infection, and the implementation of a specialized multi-disciplinary wound department at an academic tertiary hospital.\nMETHODS: This was a retrospective cohort study, comprising 272 patients treated for diabetic foot infections in 2006-2007 (Group 1, n=124) and 2013-2014 (Group 2, n=148). In 2012, inpatient care of all chronic wounds was centralized at a single wound department with a multi-disciplinary team. We assessed group outcome before and after the re-organization.\nRESULTS: During the 7-year study period, the incidence of hospitalized patients with a diabetic foot infection increased 19%. After initiating the re-organization, the below-the-knee amputation rate was significantly reduced (25.8% vs. 9.5%, p&lt;0.001). The median time from admission to surgical intervention decreased from 5days to 2days, p&lt;0.001. The length of hospitalization also tended to decrease after the reorganization.\nCONCLUSIONS: The findings of this study demonstrate the benefits of treating diabetic foot infections at a specialized wound department with a multi-disciplinary team. The benefits were achieved by simply distributing the workload and organizing schedules, without new investments or additional personnel. The findings of this study indicate that patients with diabetic foot infections present a challenge that is beyond the expertise of a single field of medicine. A working collaboration between disciplines and a specialized wound department are central in achieving better results.","container-title":"Diabetes Research and Clinical Practice","journalAbbreviation":"Diabetes Res. Clin. Pract.","language":"eng","note":"PMID: 28167324","page":"39-46","title":"Re-organizing inpatient care saves legs in patients with diabetic foot infections","volume":"125","author":[{"family":"Laakso","given":"Miska"},{"family":"Honkasalo","given":"Mikael"},{"family":"Kiiski","given":"Juha"},{"family":"Ala-Houhala","given":"Meri"},{"family":"Haapasalo","given":"Heidi"},{"family":"Laine","given":"Heikki-Jussi"},{"family":"Luukkaala","given":"Tiina"},{"family":"Lahtela","given":"Jorma"},{"family":"Kaartinen","given":"Ilkka"}],"issued":{"date-parts":[["2017",3]]}}}],"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(9,13,15)</w:t>
            </w:r>
            <w:r w:rsidRPr="00CA32B9">
              <w:rPr>
                <w:rFonts w:asciiTheme="minorHAnsi" w:hAnsiTheme="minorHAnsi" w:cstheme="minorHAnsi"/>
                <w:szCs w:val="20"/>
                <w:lang w:val="en-US"/>
              </w:rPr>
              <w:fldChar w:fldCharType="end"/>
            </w:r>
          </w:p>
        </w:tc>
      </w:tr>
      <w:tr w:rsidR="008B4EFF" w:rsidRPr="00166EC2" w14:paraId="0D58C299" w14:textId="77777777" w:rsidTr="00361845">
        <w:tc>
          <w:tcPr>
            <w:tcW w:w="3256" w:type="dxa"/>
          </w:tcPr>
          <w:p w14:paraId="3984CD82"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 xml:space="preserve">2 studies (III) </w:t>
            </w:r>
          </w:p>
        </w:tc>
        <w:tc>
          <w:tcPr>
            <w:tcW w:w="1887" w:type="dxa"/>
          </w:tcPr>
          <w:p w14:paraId="36CCBF88" w14:textId="77777777" w:rsidR="008B4EFF" w:rsidRPr="00CA32B9" w:rsidRDefault="008B4EFF" w:rsidP="00361845">
            <w:pPr>
              <w:pStyle w:val="BodySciensano"/>
              <w:jc w:val="center"/>
              <w:rPr>
                <w:rFonts w:asciiTheme="minorHAnsi" w:hAnsiTheme="minorHAnsi" w:cstheme="minorHAnsi"/>
                <w:color w:val="9A9B9D" w:themeColor="text1" w:themeTint="99"/>
                <w:szCs w:val="20"/>
                <w:lang w:val="en-US"/>
              </w:rPr>
            </w:pPr>
            <w:r w:rsidRPr="00CA32B9">
              <w:rPr>
                <w:rFonts w:asciiTheme="minorHAnsi" w:hAnsiTheme="minorHAnsi" w:cstheme="minorHAnsi"/>
                <w:color w:val="9A9B9D" w:themeColor="text1" w:themeTint="99"/>
                <w:szCs w:val="20"/>
                <w:lang w:val="en-US"/>
              </w:rPr>
              <w:t>3,5</w:t>
            </w:r>
          </w:p>
        </w:tc>
        <w:tc>
          <w:tcPr>
            <w:tcW w:w="2932" w:type="dxa"/>
            <w:vMerge/>
          </w:tcPr>
          <w:p w14:paraId="67DC8CEF" w14:textId="77777777" w:rsidR="008B4EFF" w:rsidRPr="00CA32B9" w:rsidRDefault="008B4EFF" w:rsidP="00361845">
            <w:pPr>
              <w:pStyle w:val="BodySciensano"/>
              <w:jc w:val="center"/>
              <w:rPr>
                <w:rFonts w:asciiTheme="minorHAnsi" w:hAnsiTheme="minorHAnsi" w:cstheme="minorHAnsi"/>
                <w:szCs w:val="20"/>
                <w:lang w:val="en-US"/>
              </w:rPr>
            </w:pPr>
          </w:p>
        </w:tc>
        <w:tc>
          <w:tcPr>
            <w:tcW w:w="1848" w:type="dxa"/>
          </w:tcPr>
          <w:p w14:paraId="1317A670" w14:textId="2AEC58AA" w:rsidR="008B4EFF" w:rsidRPr="00CA32B9" w:rsidRDefault="009C5DC5"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UWenThYi","properties":{"formattedCitation":"(2,14)","plainCitation":"(2,14)","noteIndex":0},"citationItems":[{"id":10834,"uris":["http://zotero.org/users/5328021/items/KHV5KYBG"],"uri":["http://zotero.org/users/5328021/items/KHV5KYBG"],"itemData":{"id":10834,"type":"article-journal","abstract":"Aim: Management of diabetic foot infection (DFI) is challenging; a multidisciplinary approach has been shown to reduce amputation rates. There is limited information on the effect of having an interdisciplinary diabetic foot team (IDT) on patient load and outcomes at infectious disease departments. We aim to investigate the effect of the IDT approach on patient characteristics, the length of hospitalization, and amputation rates in patients hospitalized for DFI at the department of infectious disease. Material and Method: We retrospectively reviewed the files of patients who were hospitalized in the infectious disease department for DFI between January 2005 and October 2014. Patients hospitalized before the establishment of IDT (October 8, 2013) formed Group-1 and those hospitalized after the establishment of IDT formed Group-2. The members of IDT evaluated and treated all of the patients in Group-2. The groups were compared for patient characteristics, clinical findings, length of hospitalization, laboratory results, and outcome. Results: There were 53 patients in Group-1 and 39 patients in Group-2. The patient hospitalization rate increased after IDT (0.5 patients per month vs. 3.25 patients per month). Patients hospitalized after IDT had more advanced stage (Wagner grade 4-5) wounds (26.4% vs. 51.3%; p=0.013). However, the length of hospitalization did not change after IDT (23.4±11.0 vs. 21.0±14.5; p=0.478). Foot ulcers healed without surgical intervention in 13 (24.5%) and 11 (28.2%) patients in Group-1 and Group-2, respectively (p=0.691). Minor and major amputation rates were 30.2% and 9.4% in Group-1 and 30.8% and 7.7% in Group-2 (p=0.786). Discussion: Despite the fact that patients admitted after the establishment of IDT had more severe wounds, neither the length of hospitalization nor the amputation rate increased. Further studies are needed to evaluate the effectiveness of IDT in the management of DFI.","archive":"Embase","container-title":"Journal of Clinical and Analytical Medicine","issue":"4","journalAbbreviation":"J. Clin. Anal. Med.","language":"English","page":"529-532","title":"The influence of an interdisciplinary diabetic foot team on the outcome of patients with diabetic foot","volume":"7","author":[{"literal":"Coşkun Ö."},{"literal":"Uzun G."},{"literal":"Karakaş A."},{"literal":"Tok D."},{"literal":"Çebi G."},{"literal":"Çekli Y."},{"literal":"Yıldız Ş."},{"literal":"Beşirbellioğlu B.A."}],"issued":{"date-parts":[["2016"]]}}},{"id":49546,"uris":["http://zotero.org/users/5328021/items/49JMT95Z"],"uri":["http://zotero.org/users/5328021/items/49JMT95Z"],"itemData":{"id":49546,"type":"article-journal","abstract":"BACKGROUND: To determine if patients with no contact with a multi-disciplinary team High Risk Foot Service (MDT-HRFS) had an increased rate of hospital admission for diabetes foot infection compared to patients with contact. Secondary aims were to report on clinical outcomes.\nMETHODS: A retrospective study was conducted at a major tertiary referral hospital in metropolitan Sydney over 12 months. An ICD-10 search of the electronic medical record system and paper medical charts identified patients with diabetes mellitus (type 1 or type 2) and a primary admission for diabetes foot infection (DFI). Patients were categorised as having contact or no contact with an MDT-HRFS.\nRESULTS: One hundred ninety-six hospital admissions (156 patients) were identified with DFI over a 12-month period. Patients with no contact with a MDT-HRFS represented three quarters of admissions (no contact = 116, 74.7 % vs. contact = 40, 25.6 %, p = 0.0001) and presented with more severe infection (no contact = 39 vs. contact = 12). The odds of lower extremity amputation increased five-fold when both no contact and severe infection occurred in combination (no contact with severe infection and amputation = 34, 82.9 % vs. contact with severe infection and amputation = 7, 17.1 %, OR 4.9, 95 % CI 1.1-21.4, p = 0.037). Using estimates of both the contact and no contact population of people with diabetes and high-risk feet and assuming the risk of amputation was the same, than the number of expected amputations in the no contact group should have been 55, however the observed number was 77, 22 more than expected (p = 0.0001).\nCONCLUSIONS: Patients with no contact with a MDT-HRFS represented the majority of admissions for DFIs to a tertiary referral hospital. This group on population estimates appears to be at high risk of amputation of the lower extremity and therefore early referral of this high-risk group might lower this risk.","container-title":"Journal of Foot and Ankle Research","journalAbbreviation":"J Foot Ankle Res","language":"eng","note":"PMID: 26582352\nPMCID: PMC4650286","page":"62","title":"Primary care referral to multidisciplinary high risk foot services - too few, too late","volume":"8","author":[{"family":"Plusch","given":"D."},{"family":"Penkala","given":"S."},{"family":"Dickson","given":"H. G."},{"family":"Malone","given":"M."}],"issued":{"date-parts":[["2015"]]}}}],"schema":"https://github.com/citation-style-language/schema/raw/master/csl-citation.json"}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lang w:val="en-US"/>
              </w:rPr>
              <w:t>(2,14)</w:t>
            </w:r>
            <w:r w:rsidRPr="00CA32B9">
              <w:rPr>
                <w:rFonts w:asciiTheme="minorHAnsi" w:hAnsiTheme="minorHAnsi" w:cstheme="minorHAnsi"/>
                <w:szCs w:val="20"/>
                <w:lang w:val="en-US"/>
              </w:rPr>
              <w:fldChar w:fldCharType="end"/>
            </w:r>
          </w:p>
        </w:tc>
      </w:tr>
      <w:tr w:rsidR="00605AE8" w:rsidRPr="00166EC2" w14:paraId="035A82E6" w14:textId="77777777" w:rsidTr="00361845">
        <w:tc>
          <w:tcPr>
            <w:tcW w:w="9923" w:type="dxa"/>
            <w:gridSpan w:val="4"/>
            <w:shd w:val="clear" w:color="auto" w:fill="D4F1D3" w:themeFill="background2" w:themeFillTint="33"/>
            <w:vAlign w:val="center"/>
          </w:tcPr>
          <w:p w14:paraId="212E2BFE" w14:textId="77777777" w:rsidR="00605AE8" w:rsidRPr="00CA32B9" w:rsidRDefault="00605AE8" w:rsidP="00361845">
            <w:pPr>
              <w:pStyle w:val="BodySciensano"/>
              <w:jc w:val="center"/>
              <w:rPr>
                <w:rFonts w:asciiTheme="minorHAnsi" w:hAnsiTheme="minorHAnsi" w:cstheme="minorHAnsi"/>
                <w:b/>
                <w:bCs/>
                <w:color w:val="56575A"/>
                <w:szCs w:val="20"/>
                <w:lang w:val="en-US"/>
              </w:rPr>
            </w:pPr>
            <w:r w:rsidRPr="00CA32B9">
              <w:rPr>
                <w:rFonts w:asciiTheme="minorHAnsi" w:hAnsiTheme="minorHAnsi" w:cstheme="minorHAnsi"/>
                <w:b/>
                <w:bCs/>
                <w:color w:val="56575A"/>
                <w:szCs w:val="20"/>
                <w:lang w:val="en-US"/>
              </w:rPr>
              <w:t>Integration of a podiatric specialty in the multidisciplinary foot care team</w:t>
            </w:r>
          </w:p>
        </w:tc>
      </w:tr>
      <w:tr w:rsidR="00CD572B" w:rsidRPr="00166EC2" w14:paraId="6BF348B7" w14:textId="77777777" w:rsidTr="00361845">
        <w:tc>
          <w:tcPr>
            <w:tcW w:w="9923" w:type="dxa"/>
            <w:gridSpan w:val="4"/>
            <w:vAlign w:val="center"/>
          </w:tcPr>
          <w:p w14:paraId="425C59F1" w14:textId="77777777" w:rsidR="00CD572B" w:rsidRPr="00CA32B9" w:rsidRDefault="00CD572B" w:rsidP="00361845">
            <w:pPr>
              <w:pStyle w:val="BodySciensano"/>
              <w:jc w:val="left"/>
              <w:rPr>
                <w:rFonts w:asciiTheme="minorHAnsi" w:hAnsiTheme="minorHAnsi" w:cstheme="minorHAnsi"/>
                <w:b/>
                <w:szCs w:val="20"/>
                <w:lang w:val="en-US"/>
              </w:rPr>
            </w:pPr>
            <w:r w:rsidRPr="00CA32B9">
              <w:rPr>
                <w:rFonts w:asciiTheme="minorHAnsi" w:hAnsiTheme="minorHAnsi" w:cstheme="minorHAnsi"/>
                <w:b/>
                <w:szCs w:val="20"/>
                <w:lang w:val="en-US"/>
              </w:rPr>
              <w:t>Ulcer healing</w:t>
            </w:r>
          </w:p>
        </w:tc>
      </w:tr>
      <w:tr w:rsidR="008B4EFF" w:rsidRPr="0048149F" w14:paraId="5FAB0942" w14:textId="77777777" w:rsidTr="00361845">
        <w:tc>
          <w:tcPr>
            <w:tcW w:w="3256" w:type="dxa"/>
          </w:tcPr>
          <w:p w14:paraId="6F399056"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eastAsia="Times New Roman" w:hAnsiTheme="minorHAnsi" w:cstheme="minorHAnsi"/>
                <w:szCs w:val="20"/>
                <w:lang w:val="en-US"/>
              </w:rPr>
              <w:t xml:space="preserve">2 studies (III) </w:t>
            </w:r>
          </w:p>
        </w:tc>
        <w:tc>
          <w:tcPr>
            <w:tcW w:w="1887" w:type="dxa"/>
          </w:tcPr>
          <w:p w14:paraId="0E6316D3"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2,5</w:t>
            </w:r>
          </w:p>
        </w:tc>
        <w:tc>
          <w:tcPr>
            <w:tcW w:w="2932" w:type="dxa"/>
          </w:tcPr>
          <w:p w14:paraId="0A6F5F91"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6DB1F904" w14:textId="6A7D40B1" w:rsidR="008B4EFF" w:rsidRPr="00CA32B9" w:rsidRDefault="0057101E"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bCCOFZzz","properties":{"formattedCitation":"(16,17)","plainCitation":"(16,17)","noteIndex":0},"citationItems":[{"id":45037,"uris":["http://zotero.org/users/5328021/items/DKMM9QNV"],"uri":["http://zotero.org/users/5328021/items/DKMM9QNV"],"itemData":{"id":45037,"type":"article-journal","abstract":"Diabetic foot ulcers (DFUs) are one of the main complications of diabetes affecting many Canadians that need to be effectively managed. There is limited data concerning outcomes of Canadian patients with DFUs treated with a team approach in the public health system. Podiatrists are known to be key members of a multidisciplinary team approach to DFUs management, but in Quebec, Canada, they are only available in private practice. The aim of this study is to evaluate diabetic foot outcomes after integrating podiatric care into in-hospital wound care clinic settings. A 12-month retrospective cohort study was conducted into a new organization named the Pododiabetology University Center (PUC), which is described in this article. Healing rate and healing time were the outcomes measured. The analysis was performed by comparing data collected before and after the integration of the podiatrists. Preliminary results indicate that 73.2% of DFUs (n=52) healed in an average of 19.8 weeks (time to wound closure). Previous data collected on 15 individuals before the integration of podiatric care showed a 27.3% of DFUs resolved in 44.6 weeks. The findings suggest that a patient with DFUs who receives wound care from a multidisciplinary team that includes a podiatrist can improve both their healing rate and time. An integrated multidisciplinary approach including podiatrists for patients affected by acute DFU is highly suggested in the literature in order to reduce the number of hospitalizations, amputations and financial burden, which are variables that could be evaluated in further studies.","container-title":"Foot (Edinburgh, Scotland)","journalAbbreviation":"Foot (Edinb)","language":"eng","note":"PMID: 30639800","page":"54-60","title":"Establishing a multidisciplinary partnership integrating podiatric care into the Quebec public health-care system to improve diabetic foot outcomes: A retrospective cohort","volume":"38","author":[{"family":"Blanchette","given":"Virginie"},{"family":"Hains","given":"Sébastien"},{"family":"Cloutier","given":"Lyne"}],"issued":{"date-parts":[["2019",3]]}}},{"id":49578,"uris":["http://zotero.org/users/5328021/items/U7JU84JN"],"uri":["http://zotero.org/users/5328021/items/U7JU84JN"],"itemData":{"id":49578,"type":"article-journal","abstract":"AIM: To study toe ulcer healing in patients with diabetic foot ulcers attending a multidisciplinary foot clinic over a 10 years period.\nMETHODS: The study was retrospective, consecutive and observational during 2001 through 2011. The patients were treated according to the International Consensus on the Diabetic Foot. During the period the chiropodist staffing in the foot clinic was doubled; new offloading material and orthopedic foot corrections for recalcitrant ulcers were introduced. Healing was investigated in toe ulcers in Cox regression models.\nRESULTS: 2634 patients developed foot ulcers, of which 1461 developed toe ulcers; in 790 patients these were neuropathic, in 551 they were neuro-ischemic and in 120 they were critically ischemic. One-year healing rates increased in the period 2001-2011 from 75% to 91% for neuropathic toe ulcers and from 72% to 80% for neuro-ischemic toe ulcers, while no changes was observed for ischemic toe ulcers. Adjusted for changes in the patient population, the overall rate of healing for neuropathic and neuro-ischemic toe ulcers almost doubled (HR=1.95 [95% CI: 1.36-2.80]).\nCONCLUSION: The results show that the healing of toe ulcers improved. This outcome could not be explained by changes in the patient characteristics, but coincided with a number of improvements in organization and therapy.","container-title":"Diabetes Research and Clinical Practice","issue":"3","journalAbbreviation":"Diabetes Res. Clin. Pract.","language":"eng","note":"PMID: 26515911","page":"315-321","title":"Increased healing in diabetic toe ulcers in a multidisciplinary foot clinic-An observational cohort study","volume":"110","author":[{"family":"Almdal","given":"T."},{"family":"Nielsen","given":"A. Anker"},{"family":"Nielsen","given":"K. E."},{"family":"Jørgensen","given":"M. E."},{"family":"Rasmussen","given":"A."},{"family":"Hangaard","given":"S."},{"family":"Siersma","given":"V."},{"family":"Holstein","given":"P. E."}],"issued":{"date-parts":[["2015",12]]}}}],"schema":"https://github.com/citation-style-language/schema/raw/master/csl-citation.json"}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(16,17)</w:t>
            </w:r>
            <w:r w:rsidRPr="00CA32B9">
              <w:rPr>
                <w:rFonts w:asciiTheme="minorHAnsi" w:hAnsiTheme="minorHAnsi" w:cstheme="minorHAnsi"/>
                <w:szCs w:val="20"/>
                <w:lang w:val="en-US"/>
              </w:rPr>
              <w:fldChar w:fldCharType="end"/>
            </w:r>
          </w:p>
        </w:tc>
      </w:tr>
      <w:tr w:rsidR="00CD572B" w:rsidRPr="0048149F" w14:paraId="70822E85" w14:textId="77777777" w:rsidTr="00361845">
        <w:tc>
          <w:tcPr>
            <w:tcW w:w="9923" w:type="dxa"/>
            <w:gridSpan w:val="4"/>
            <w:vAlign w:val="center"/>
          </w:tcPr>
          <w:p w14:paraId="3F8F1E17" w14:textId="77777777" w:rsidR="00CD572B" w:rsidRPr="00CA32B9" w:rsidRDefault="00CD572B" w:rsidP="00361845">
            <w:pPr>
              <w:jc w:val="left"/>
              <w:rPr>
                <w:rFonts w:asciiTheme="minorHAnsi" w:hAnsiTheme="minorHAnsi" w:cstheme="minorHAnsi"/>
                <w:b/>
                <w:szCs w:val="20"/>
                <w:lang w:val="en-US"/>
              </w:rPr>
            </w:pPr>
            <w:r w:rsidRPr="00CA32B9">
              <w:rPr>
                <w:rFonts w:asciiTheme="minorHAnsi" w:hAnsiTheme="minorHAnsi" w:cstheme="minorHAnsi"/>
                <w:b/>
                <w:szCs w:val="20"/>
                <w:lang w:val="en-US"/>
              </w:rPr>
              <w:t>Major amputation events</w:t>
            </w:r>
          </w:p>
        </w:tc>
      </w:tr>
      <w:tr w:rsidR="008B4EFF" w:rsidRPr="0048149F" w14:paraId="1A76A715" w14:textId="77777777" w:rsidTr="00361845">
        <w:tc>
          <w:tcPr>
            <w:tcW w:w="3256" w:type="dxa"/>
          </w:tcPr>
          <w:p w14:paraId="4D3FA02C" w14:textId="77777777" w:rsidR="008B4EFF" w:rsidRPr="00CA32B9" w:rsidRDefault="00F84FFE" w:rsidP="00361845">
            <w:pPr>
              <w:pStyle w:val="BodySciensano"/>
              <w:jc w:val="center"/>
              <w:rPr>
                <w:rFonts w:asciiTheme="minorHAnsi" w:hAnsiTheme="minorHAnsi" w:cstheme="minorHAnsi"/>
                <w:szCs w:val="20"/>
                <w:lang w:val="en-US"/>
              </w:rPr>
            </w:pPr>
            <w:r w:rsidRPr="00CA32B9">
              <w:rPr>
                <w:rFonts w:asciiTheme="minorHAnsi" w:eastAsia="Times New Roman" w:hAnsiTheme="minorHAnsi" w:cstheme="minorHAnsi"/>
                <w:szCs w:val="20"/>
                <w:lang w:val="en-US"/>
              </w:rPr>
              <w:t>5</w:t>
            </w:r>
            <w:r w:rsidR="008B4EFF" w:rsidRPr="00CA32B9">
              <w:rPr>
                <w:rFonts w:asciiTheme="minorHAnsi" w:eastAsia="Times New Roman" w:hAnsiTheme="minorHAnsi" w:cstheme="minorHAnsi"/>
                <w:szCs w:val="20"/>
                <w:lang w:val="en-US"/>
              </w:rPr>
              <w:t xml:space="preserve"> studies (III) </w:t>
            </w:r>
          </w:p>
        </w:tc>
        <w:tc>
          <w:tcPr>
            <w:tcW w:w="1887" w:type="dxa"/>
          </w:tcPr>
          <w:p w14:paraId="1CF09B91"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tcPr>
          <w:p w14:paraId="558CCC83" w14:textId="77777777" w:rsidR="008B4EFF" w:rsidRPr="00CA32B9" w:rsidRDefault="008B4EFF" w:rsidP="00361845">
            <w:pPr>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158E9855" w14:textId="04FCCE98" w:rsidR="008B4EFF" w:rsidRPr="00CA32B9" w:rsidRDefault="0057101E" w:rsidP="00361845">
            <w:pPr>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PzG4E6DA","properties":{"formattedCitation":"(17\\uc0\\u8211{}21)","plainCitation":"(17–21)","noteIndex":0},"citationItems":[{"id":49578,"uris":["http://zotero.org/users/5328021/items/U7JU84JN"],"uri":["http://zotero.org/users/5328021/items/U7JU84JN"],"itemData":{"id":49578,"type":"article-journal","abstract":"AIM: To study toe ulcer healing in patients with diabetic foot ulcers attending a multidisciplinary foot clinic over a 10 years period.\nMETHODS: The study was retrospective, consecutive and observational during 2001 through 2011. The patients were treated according to the International Consensus on the Diabetic Foot. During the period the chiropodist staffing in the foot clinic was doubled; new offloading material and orthopedic foot corrections for recalcitrant ulcers were introduced. Healing was investigated in toe ulcers in Cox regression models.\nRESULTS: 2634 patients developed foot ulcers, of which 1461 developed toe ulcers; in 790 patients these were neuropathic, in 551 they were neuro-ischemic and in 120 they were critically ischemic. One-year healing rates increased in the period 2001-2011 from 75% to 91% for neuropathic toe ulcers and from 72% to 80% for neuro-ischemic toe ulcers, while no changes was observed for ischemic toe ulcers. Adjusted for changes in the patient population, the overall rate of healing for neuropathic and neuro-ischemic toe ulcers almost doubled (HR=1.95 [95% CI: 1.36-2.80]).\nCONCLUSION: The results show that the healing of toe ulcers improved. This outcome could not be explained by changes in the patient characteristics, but coincided with a number of improvements in organization and therapy.","container-title":"Diabetes Research and Clinical Practice","issue":"3","journalAbbreviation":"Diabetes Res. Clin. Pract.","language":"eng","note":"PMID: 26515911","page":"315-321","title":"Increased healing in diabetic toe ulcers in a multidisciplinary foot clinic-An observational cohort study","volume":"110","author":[{"family":"Almdal","given":"T."},{"family":"Nielsen","given":"A. Anker"},{"family":"Nielsen","given":"K. E."},{"family":"Jørgensen","given":"M. E."},{"family":"Rasmussen","given":"A."},{"family":"Hangaard","given":"S."},{"family":"Siersma","given":"V."},{"family":"Holstein","given":"P. E."}],"issued":{"date-parts":[["2015",12]]}}},{"id":45257,"uris":["http://zotero.org/users/5328021/items/QNWZAHI2"],"uri":["http://zotero.org/users/5328021/items/QNWZAHI2"],"itemData":{"id":45257,"type":"article-journal","abstract":"AIMS/HYPOTHESIS: Diabetic foot complications remain very prevalent in the US and worldwide, and a major risk for devastating amputations. We evaluated the impact of establishing a fully integrated and specialized Podiatry service into a large tertiary academic health system to implement structured and targeted preventative foot care on limb salvage rates.\nMETHODS: Cross-sectional cohorts' data mining analysis was conducted of all encounters for diabetes and any foot complications between 2000-2005 and 2010-2015, preceding and after full implementation of podiatry service, respectively. The primary outcome was the change in major non-traumatic lower extremity amputations. Secondary outcomes included minor non-traumatic lower extremity amputations, other diabetic foot complications, limb salvage procedures as documented by procedural coding, and location (outpatient, inpatient, ED) of service rendered.\nRESULTS: We analyzed 100 million patient encounters that met the above criteria. Compared with the initial cohort, integration of specialized podiatry services resulted in a significant decrease in the number of major amputations from 127 to 85/year (p&lt;0.05), and halved the amputations rate from 0.004% to 0.002% (p&lt;0.05). Rates of minor lower extremity amputations remained unchanged (p&gt;0.10), while the rates of preventative procedures including foot ulcer debridement doubled (0.0002% to 0.0004% ; p&lt;0.03). Diagnoses of diabetic foot complications increased significantly (p&lt;0.05) and shifted toward the outpatient setting.\nCONCLUSION: Full integration of specialized Podiatry service led to a significant decrease in major amputation rates, supporting teamwork between podiatry and diabetes health-care providers is essential to performing timely diabetic foot complications management, preventative procedures leading to limb salvage, and a shift in the care location.","container-title":"Current Diabetes Reviews","issue":"6","journalAbbreviation":"Curr Diabetes Rev","language":"eng","note":"PMID: 30332970\nPMCID: PMC6531350","page":"497-502","title":"A Tale of Two Eras: Mining Big Data from Electronic Health Records to Determine Limb Salvage Rates with Podiatry","volume":"15","author":[{"family":"Schmidt","given":"Brian M."},{"family":"Holmes","given":"Crystal M."},{"family":"Ye","given":"Wen"},{"family":"Pop-Busui","given":"Rodica"}],"issued":{"date-parts":[["2019"]]}}},{"id":47600,"uris":["http://zotero.org/users/5328021/items/8IDCIBJY"],"uri":["http://zotero.org/users/5328021/items/8IDCIBJY"],"itemData":{"id":47600,"type":"article-journal","abstract":"PURPOSE: Complications from diabetes mellitus including major lower extremity amputation may have significant impact on a patient's mortality. This study determined what impact the addition of a limb salvage and diabetic foot program involving podiatry had at an academic institution over 16years by analyzing high-low amputation ratio data.\nMETHODS: The high-low amputation ratio in the diabetic population who underwent non-traumatic amputation of the lower extremity was retrospectively evaluated at an academic institution via cohort discovery of the electronic medical record and analysis of billing over 16years.\nRESULTS: We directly compared two eras, one without podiatry and one with a podiatry presence. It was found that with the addition of a podiatry program, limb salvage rates significantly increased (R2 (without podiatry)=0.45, R2 (with podiatry)=0.26), with a significant change in both the rate of limb salvage per year (-0.11% per year versus -0.36% per year; p&lt;0.01) and an overall decrease in high-low amputation ratio (0.89 without podiatry to 0.60 with podiatry). Of note, approximately 40 major lower extremity amputations were avoided per year with the addition of a podiatry program (p&lt;0.05).\nCONCLUSIONS: Our findings signify the importance of podiatric care in the diabetic population. With an established podiatry program present at an academic institution, major lower extremity amputations can be avoided and more limbs can be salvaged, thus preventing some of the moribund complications from this condition.","container-title":"Diabetes Research and Clinical Practice","journalAbbreviation":"Diabetes Res. Clin. Pract.","language":"eng","note":"PMID: 28288437","page":"272-277","title":"Podiatry impact on high-low amputation ratio characteristics: A 16-year retrospective study","volume":"126","author":[{"family":"Schmidt","given":"Brian M."},{"family":"Wrobel","given":"James S."},{"family":"Munson","given":"Michael"},{"family":"Rothenberg","given":"Gary"},{"family":"Holmes","given":"Crystal M."}],"issued":{"date-parts":[["2017",4]]}}},{"id":51377,"uris":["http://zotero.org/users/5328021/items/UQC6NBHG"],"uri":["http://zotero.org/users/5328021/items/UQC6NBHG"],"itemData":{"id":51377,"type":"article-journal","abstract":"Podologists are nurses who care for the diabetic foot (orthotics, offloading devices, blisters, calluses, treatment of fungus infection and patient education). In contrast to podiatrists, they are not qualified to perform any surgical treatment or wound care. We analysed whether there is an association between the decrease in major amputations and the number of podologic foot care (PFC) visits prescribed in Germany. Detailed list of all major lower limb amputations (OPS 5-864) performed from 2007 to 2011 was provided by the Federal Statistical Office. Data were separated for the 16 federal states in Germany. Detailed lists of the number of PFC treatments for each of the 5 years were derived from the federal report of the statutory health insurance. The total numbers of hospitalised cases per year having diabetes mellitus documented as an additional diagnosis were used to adjust for the different rates of people with diabetes in each federal state. Within a 5-year time period, population-based major amputations per 100 000 people dropped from 21·7 in 2007 to 17·5 in 2011 (-18·5%); whereas the number of PFC treatments per 1000 insured increased from 22 in 2007 to 60 in 2011 (+172·7%). The total number of major amputations divided by the total number of hospitalised cases with the additional diagnosis of diabetes mellitus (DM) shows an inverse correlation with the number of PFC treatments per 1000 insured (Pearson's correlation factor is -0·52049). The five countries with the highest increase in PFC compared with the five countries with the lowest increase (35·6 versus 15·4 per 1000 insured) will have only small differences in the decrease in major amputation rates in this period (-5·1 versus -3·4 per 100.000). There is a strong association between increasing utilisation PFC and decreasing major amputations in Germany. Further study is required to document the cost-effectiveness of this service.","container-title":"International Wound Journal","issue":"5","journalAbbreviation":"Int Wound J","language":"eng","note":"PMID: 25185970","page":"686-691","title":"Association of diabetic foot care and amputation rates in Germany","volume":"13","author":[{"family":"Kröger","given":"Knut"},{"family":"Moysidis","given":"Theodoros"},{"family":"Feghaly","given":"Michel"},{"family":"Schäfer","given":"Erika"},{"family":"Bufe","given":"Alexander"},{"literal":"Initiative Chronische Wunden e.V., Germany"}],"issued":{"date-parts":[["2016",10]]}}},{"id":53396,"uris":["http://zotero.org/users/5328021/items/5X29AIV3"],"uri":["http://zotero.org/users/5328021/items/5X29AIV3"],"itemData":{"id":53396,"type":"article-journal","abstract":"We examined whether outcomes of care (amputation and hospitalisation) among patients with diabetes and foot ulcer differ between those who received pre-ulcer care from podiatrists and those who did not. Adult patients with diabetes and a diagnosis of a diabetic foot ulcer were found in the MarketScan Databases, 2005-2008. Multivariate Cox proportional hazard models estimated the hazard of amputation and hospitalisation. Logistic regression estimated the likelihood of these events. Propensity score weighting and regression adjustment were used to adjust for potentially different characteristics of patients who did and did not receive podiatric care. The sample included 27 545 patients aged greater than 65+ years (Medicare-eligible patients with employer-sponsored supplemental insurance) and 20 208 patients aged lesser than 65 years (non Medicare-eligible commercially insured patients). Care by podiatrists in the year prior to a diabetic foot ulcer was associated with a lower hazard of lower extremity amputation, major amputation and hospitalisations in both non Medicare-eligible commercially insured and Medicare-eligible patient populations. Systematic differences between patients with diabetes and foot ulcer, receiving and not receiving care from podiatrists were also observed; specifically, patients with diabetes receiving care from podiatrists tend to be older and sicker.","container-title":"International Wound Journal","issue":"6","journalAbbreviation":"Int Wound J","language":"eng","note":"PMID: 23374540","page":"641-648","title":"Podiatrist care and outcomes for patients with diabetes and foot ulcer","volume":"11","author":[{"family":"Gibson","given":"Teresa B."},{"family":"Driver","given":"Vickie R."},{"family":"Wrobel","given":"James S."},{"family":"Christina","given":"James R."},{"family":"Bagalman","given":"Erin"},{"family":"DeFrancis","given":"Roy"},{"family":"Garoufalis","given":"Matthew G."},{"family":"Carls","given":"Ginger S."},{"family":"Gatwood","given":"Justin"}],"issued":{"date-parts":[["2014",12]]}}}],"schema":"https://github.com/citation-style-language/schema/raw/master/csl-citation.json"}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(17–21)</w:t>
            </w:r>
            <w:r w:rsidRPr="00CA32B9">
              <w:rPr>
                <w:rFonts w:asciiTheme="minorHAnsi" w:hAnsiTheme="minorHAnsi" w:cstheme="minorHAnsi"/>
                <w:szCs w:val="20"/>
                <w:lang w:val="en-US"/>
              </w:rPr>
              <w:fldChar w:fldCharType="end"/>
            </w:r>
          </w:p>
        </w:tc>
      </w:tr>
      <w:tr w:rsidR="00CD572B" w:rsidRPr="0048149F" w14:paraId="4781E32E" w14:textId="77777777" w:rsidTr="00361845">
        <w:tc>
          <w:tcPr>
            <w:tcW w:w="9923" w:type="dxa"/>
            <w:gridSpan w:val="4"/>
            <w:vAlign w:val="center"/>
          </w:tcPr>
          <w:p w14:paraId="54F49EEE" w14:textId="77777777" w:rsidR="00CD572B" w:rsidRPr="00CA32B9" w:rsidRDefault="00CD572B" w:rsidP="00361845">
            <w:pPr>
              <w:jc w:val="left"/>
              <w:rPr>
                <w:rFonts w:asciiTheme="minorHAnsi" w:hAnsiTheme="minorHAnsi" w:cstheme="minorHAnsi"/>
                <w:b/>
                <w:szCs w:val="20"/>
                <w:lang w:val="en-US"/>
              </w:rPr>
            </w:pPr>
            <w:r w:rsidRPr="00CA32B9">
              <w:rPr>
                <w:rFonts w:asciiTheme="minorHAnsi" w:hAnsiTheme="minorHAnsi" w:cstheme="minorHAnsi"/>
                <w:b/>
                <w:szCs w:val="20"/>
                <w:lang w:val="en-US"/>
              </w:rPr>
              <w:t>Minor amputations</w:t>
            </w:r>
          </w:p>
        </w:tc>
      </w:tr>
      <w:tr w:rsidR="008B4EFF" w:rsidRPr="0048149F" w14:paraId="6815962D" w14:textId="77777777" w:rsidTr="00361845">
        <w:tc>
          <w:tcPr>
            <w:tcW w:w="3256" w:type="dxa"/>
          </w:tcPr>
          <w:p w14:paraId="5CF549EE"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eastAsia="Times New Roman" w:hAnsiTheme="minorHAnsi" w:cstheme="minorHAnsi"/>
                <w:szCs w:val="20"/>
                <w:lang w:val="en-US"/>
              </w:rPr>
              <w:t>1 study (III)</w:t>
            </w:r>
          </w:p>
        </w:tc>
        <w:tc>
          <w:tcPr>
            <w:tcW w:w="1887" w:type="dxa"/>
          </w:tcPr>
          <w:p w14:paraId="492210B8"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5</w:t>
            </w:r>
          </w:p>
        </w:tc>
        <w:tc>
          <w:tcPr>
            <w:tcW w:w="2932" w:type="dxa"/>
          </w:tcPr>
          <w:p w14:paraId="3AE833D8" w14:textId="77777777" w:rsidR="008B4EFF" w:rsidRPr="00CA32B9" w:rsidRDefault="008B4EFF" w:rsidP="00361845">
            <w:pPr>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7919A681" w14:textId="76CC843B" w:rsidR="008B4EFF" w:rsidRPr="00CA32B9" w:rsidRDefault="0057101E" w:rsidP="00361845">
            <w:pPr>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6JlPwPed","properties":{"formattedCitation":"(18)","plainCitation":"(18)","noteIndex":0},"citationItems":[{"id":45257,"uris":["http://zotero.org/users/5328021/items/QNWZAHI2"],"uri":["http://zotero.org/users/5328021/items/QNWZAHI2"],"itemData":{"id":45257,"type":"article-journal","abstract":"AIMS/HYPOTHESIS: Diabetic foot complications remain very prevalent in the US and worldwide, and a major risk for devastating amputations. We evaluated the impact of establishing a fully integrated and specialized Podiatry service into a large tertiary academic health system to implement structured and targeted preventative foot care on limb salvage rates.\nMETHODS: Cross-sectional cohorts' data mining analysis was conducted of all encounters for diabetes and any foot complications between 2000-2005 and 2010-2015, preceding and after full implementation of podiatry service, respectively. The primary outcome was the change in major non-traumatic lower extremity amputations. Secondary outcomes included minor non-traumatic lower extremity amputations, other diabetic foot complications, limb salvage procedures as documented by procedural coding, and location (outpatient, inpatient, ED) of service rendered.\nRESULTS: We analyzed 100 million patient encounters that met the above criteria. Compared with the initial cohort, integration of specialized podiatry services resulted in a significant decrease in the number of major amputations from 127 to 85/year (p&lt;0.05), and halved the amputations rate from 0.004% to 0.002% (p&lt;0.05). Rates of minor lower extremity amputations remained unchanged (p&gt;0.10), while the rates of preventative procedures including foot ulcer debridement doubled (0.0002% to 0.0004% ; p&lt;0.03). Diagnoses of diabetic foot complications increased significantly (p&lt;0.05) and shifted toward the outpatient setting.\nCONCLUSION: Full integration of specialized Podiatry service led to a significant decrease in major amputation rates, supporting teamwork between podiatry and diabetes health-care providers is essential to performing timely diabetic foot complications management, preventative procedures leading to limb salvage, and a shift in the care location.","container-title":"Current Diabetes Reviews","issue":"6","journalAbbreviation":"Curr Diabetes Rev","language":"eng","note":"PMID: 30332970\nPMCID: PMC6531350","page":"497-502","title":"A Tale of Two Eras: Mining Big Data from Electronic Health Records to Determine Limb Salvage Rates with Podiatry","volume":"15","author":[{"family":"Schmidt","given":"Brian M."},{"family":"Holmes","given":"Crystal M."},{"family":"Ye","given":"Wen"},{"family":"Pop-Busui","given":"Rodica"}],"issued":{"date-parts":[["2019"]]}}}],"schema":"https://github.com/citation-style-language/schema/raw/master/csl-citation.json"}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(18)</w:t>
            </w:r>
            <w:r w:rsidRPr="00CA32B9">
              <w:rPr>
                <w:rFonts w:asciiTheme="minorHAnsi" w:hAnsiTheme="minorHAnsi" w:cstheme="minorHAnsi"/>
                <w:szCs w:val="20"/>
                <w:lang w:val="en-US"/>
              </w:rPr>
              <w:fldChar w:fldCharType="end"/>
            </w:r>
            <w:r w:rsidR="00AF62C6" w:rsidRPr="00CA32B9">
              <w:rPr>
                <w:rFonts w:asciiTheme="minorHAnsi" w:hAnsiTheme="minorHAnsi" w:cstheme="minorHAnsi"/>
                <w:szCs w:val="20"/>
                <w:lang w:val="en-US"/>
              </w:rPr>
              <w:t xml:space="preserve"> </w:t>
            </w:r>
          </w:p>
        </w:tc>
      </w:tr>
      <w:tr w:rsidR="00CD572B" w:rsidRPr="0048149F" w14:paraId="6F97DCE5" w14:textId="77777777" w:rsidTr="00361845">
        <w:tc>
          <w:tcPr>
            <w:tcW w:w="9923" w:type="dxa"/>
            <w:gridSpan w:val="4"/>
            <w:vAlign w:val="center"/>
          </w:tcPr>
          <w:p w14:paraId="1F2F2B2B" w14:textId="77777777" w:rsidR="00CD572B" w:rsidRPr="00CA32B9" w:rsidRDefault="00CD572B" w:rsidP="00361845">
            <w:pPr>
              <w:jc w:val="left"/>
              <w:rPr>
                <w:rFonts w:asciiTheme="minorHAnsi" w:hAnsiTheme="minorHAnsi" w:cstheme="minorHAnsi"/>
                <w:b/>
                <w:szCs w:val="20"/>
                <w:lang w:val="en-US"/>
              </w:rPr>
            </w:pPr>
            <w:r w:rsidRPr="00CA32B9">
              <w:rPr>
                <w:rFonts w:asciiTheme="minorHAnsi" w:hAnsiTheme="minorHAnsi" w:cstheme="minorHAnsi"/>
                <w:b/>
                <w:szCs w:val="20"/>
                <w:lang w:val="en-US"/>
              </w:rPr>
              <w:t>Length of hospital stay</w:t>
            </w:r>
          </w:p>
        </w:tc>
      </w:tr>
      <w:tr w:rsidR="008B4EFF" w:rsidRPr="00166EC2" w14:paraId="6261AE62" w14:textId="77777777" w:rsidTr="00361845">
        <w:tc>
          <w:tcPr>
            <w:tcW w:w="3256" w:type="dxa"/>
          </w:tcPr>
          <w:p w14:paraId="300239F3"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eastAsia="Times New Roman" w:hAnsiTheme="minorHAnsi" w:cstheme="minorHAnsi"/>
                <w:szCs w:val="20"/>
                <w:lang w:val="en-US"/>
              </w:rPr>
              <w:t>1 study (III)</w:t>
            </w:r>
          </w:p>
        </w:tc>
        <w:tc>
          <w:tcPr>
            <w:tcW w:w="1887" w:type="dxa"/>
          </w:tcPr>
          <w:p w14:paraId="6075E363"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tcPr>
          <w:p w14:paraId="25A12B14" w14:textId="77777777" w:rsidR="008B4EFF" w:rsidRPr="00CA32B9" w:rsidRDefault="008B4EFF" w:rsidP="00361845">
            <w:pPr>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32FE5723" w14:textId="55311FF0" w:rsidR="008B4EFF" w:rsidRPr="00CA32B9" w:rsidRDefault="0057101E" w:rsidP="00361845">
            <w:pPr>
              <w:jc w:val="center"/>
              <w:rPr>
                <w:rFonts w:asciiTheme="minorHAnsi" w:hAnsiTheme="minorHAnsi" w:cstheme="minorHAnsi"/>
                <w:szCs w:val="20"/>
                <w:lang w:val="en-US"/>
              </w:rPr>
            </w:pPr>
            <w:r w:rsidRPr="00CA32B9">
              <w:rPr>
                <w:rFonts w:asciiTheme="minorHAnsi" w:hAnsiTheme="minorHAnsi" w:cstheme="minorHAnsi"/>
                <w:szCs w:val="20"/>
                <w:lang w:val="en-US"/>
              </w:rPr>
              <w:t xml:space="preserve"> </w:t>
            </w: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OV1ccdg5","properties":{"formattedCitation":"(22)","plainCitation":"(22)","noteIndex":0},"citationItems":[{"id":51834,"uris":["http://zotero.org/users/5328021/items/DDTRHT52"],"uri":["http://zotero.org/users/5328021/items/DDTRHT52"],"itemData":{"id":51834,"type":"article-journal","abstract":"BACKGROUND: To enhance the acute management of people with diabetic foot disease requiring admission, an extended scope of practice, podiatric high-risk foot coordinator position, was established at the Great Western Hospital, Swindon in 2010. The focus of this new role was to facilitate more efficient and timely management of people with complex diabetic foot disease. The aim of this project was to investigate the impact of the podiatric high-risk foot coordinator role on length of stay, rate of re-admission and bed cost.\nMETHOD: This study evaluated the difference in length of stay and rate of re-admission between an 11- month pre-pilot period (November 2008 to October 2009) and a 10-month pilot period (August 2010 to June 2011). The estimated difference in bed cost between the pre-pilot and pilot audits was also calculated. Inclusion criteria were restricted to inpatients admitted with a diabetic foot ulcer, gangrene, cellulitis or infection as the primary cause for admission. Eligible records were retrieved using ICD-10 (V9) coding via the hospital clinical audit department for the pre-pilot period and a unique database was used to source records for the pilot phase.\nRESULTS: Following the introduction of the podiatric high-risk foot coordinator, the average length of stay reduced from 33.7 days to 23.3 days (mean difference 10.4 days, 95% CI 0.0 to 20.8, p = 0.050). There was no statistically significant difference in re-admission rate between the two study periods, 17.2% (95% CI 12.2% to 23.9%) in the pre-pilot phase and 15.4% (95% CI 12.0% to 19.5%) in the pilot phase (p = 0.820). The extrapolated annual cost saving following the implementation of the new coordinator role was calculated to be £234,000 for the 2010/2011 year.\nCONCLUSIONS: This audit found that the extended scope of practice coordinator role may have a positive impact on reducing length of stay for diabetic foot admissions. This paper advocates the role of a podiatric high-risk foot coordinator utilising an extended scope of practice model, although further research is needed.","container-title":"Journal of Foot and Ankle Research","issue":"1","journalAbbreviation":"J Foot Ankle Res","language":"eng","note":"PMID: 24330601\nPMCID: PMC4029194","page":"47","title":"Reducing length of stay for acute diabetic foot episodes: employing an extended scope of practice podiatric high-risk foot coordinator in an acute foundation trust hospital","volume":"6","author":[{"family":"Cichero","given":"Matthew J."},{"family":"Bower","given":"Virginia M."},{"family":"Walsh","given":"Tom P."},{"family":"Yates","given":"Ben J."}],"issued":{"date-parts":[["2013",12,11]]}}}],"schema":"https://github.com/citation-style-language/schema/raw/master/csl-citation.json"}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lang w:val="en-US"/>
              </w:rPr>
              <w:t>(22)</w:t>
            </w:r>
            <w:r w:rsidRPr="00CA32B9">
              <w:rPr>
                <w:rFonts w:asciiTheme="minorHAnsi" w:hAnsiTheme="minorHAnsi" w:cstheme="minorHAnsi"/>
                <w:szCs w:val="20"/>
                <w:lang w:val="en-US"/>
              </w:rPr>
              <w:fldChar w:fldCharType="end"/>
            </w:r>
          </w:p>
        </w:tc>
      </w:tr>
      <w:tr w:rsidR="00605AE8" w:rsidRPr="00166EC2" w14:paraId="3A11D2E9" w14:textId="77777777" w:rsidTr="00361845">
        <w:tc>
          <w:tcPr>
            <w:tcW w:w="9923" w:type="dxa"/>
            <w:gridSpan w:val="4"/>
            <w:shd w:val="clear" w:color="auto" w:fill="D4F1D3" w:themeFill="background2" w:themeFillTint="33"/>
            <w:vAlign w:val="center"/>
          </w:tcPr>
          <w:p w14:paraId="586BC92E" w14:textId="77777777" w:rsidR="00605AE8" w:rsidRPr="00CA32B9" w:rsidRDefault="00605AE8" w:rsidP="00361845">
            <w:pPr>
              <w:pStyle w:val="BodySciensano"/>
              <w:jc w:val="center"/>
              <w:rPr>
                <w:rFonts w:asciiTheme="minorHAnsi" w:hAnsiTheme="minorHAnsi" w:cstheme="minorHAnsi"/>
                <w:b/>
                <w:bCs/>
                <w:color w:val="56575A"/>
                <w:szCs w:val="20"/>
                <w:lang w:val="en-US"/>
              </w:rPr>
            </w:pPr>
            <w:r w:rsidRPr="00CA32B9">
              <w:rPr>
                <w:rFonts w:asciiTheme="minorHAnsi" w:hAnsiTheme="minorHAnsi" w:cstheme="minorHAnsi"/>
                <w:b/>
                <w:bCs/>
                <w:color w:val="56575A"/>
                <w:szCs w:val="20"/>
                <w:lang w:val="en-US"/>
              </w:rPr>
              <w:t>Implementation of a care management program</w:t>
            </w:r>
          </w:p>
        </w:tc>
      </w:tr>
      <w:tr w:rsidR="00CD572B" w:rsidRPr="00166EC2" w14:paraId="00BBFB2C" w14:textId="77777777" w:rsidTr="00361845">
        <w:tc>
          <w:tcPr>
            <w:tcW w:w="9923" w:type="dxa"/>
            <w:gridSpan w:val="4"/>
            <w:vAlign w:val="center"/>
          </w:tcPr>
          <w:p w14:paraId="58D50F62"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Ulcer healing</w:t>
            </w:r>
          </w:p>
        </w:tc>
      </w:tr>
      <w:tr w:rsidR="008B4EFF" w:rsidRPr="0048149F" w14:paraId="77E07D7A" w14:textId="77777777" w:rsidTr="00361845">
        <w:tc>
          <w:tcPr>
            <w:tcW w:w="3256" w:type="dxa"/>
          </w:tcPr>
          <w:p w14:paraId="469F6EEC"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(III)</w:t>
            </w:r>
          </w:p>
        </w:tc>
        <w:tc>
          <w:tcPr>
            <w:tcW w:w="1887" w:type="dxa"/>
          </w:tcPr>
          <w:p w14:paraId="6D6F2674"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vMerge w:val="restart"/>
            <w:vAlign w:val="center"/>
          </w:tcPr>
          <w:p w14:paraId="5C2329D3"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4C085CE4" w14:textId="1020A413" w:rsidR="008B4EFF" w:rsidRPr="00CA32B9" w:rsidRDefault="00F237EE"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wIBHWNmG","properties":{"formattedCitation":"(23)","plainCitation":"(23)","noteIndex":0},"citationItems":[{"id":53324,"uris":["http://zotero.org/users/5328021/items/NZS8JI24"],"uri":["http://zotero.org/users/5328021/items/NZS8JI24"],"itemData":{"id":53324,"type":"article-journal","abstract":"OBJECTIVE: We tested the effects of structured health care for the diabetic foot in one region in Germany aiming to reduce the number of major amputations.\nRESEARCH DESIGN AND METHODS: In a prospective study we investigated patients with diabetic foot in a structured system of outpatient, in-patient and rehabilitative treatment. Subjects were recruited between January 1st, 2000 and December 31, 2007. All participants underwent a two-year follow-up. The modified University of Texas Wound Classification System (UT) was the basis for documentation and data analysis. We evaluated numbers of major amputations, rates of ulcer healing and mortality. In order to compare the effect of the structured health care program with usual care in patients with diabetic foot we evaluated the same parameters at another regional hospital without interdisciplinary care of diabetic foot (controls).\nRESULTS: 684 patients with diabetic foot and 508 controls were investigated. At discharge from hospital 28.3% (structured health care program, SHC) vs. 23.0% (controls) of all ulcers had healed completely. 51.5% (SHC) vs. 49.8% (controls) were in UT grade 1.Major amputations were performed in 32 subjects of the structured health care program group (4.7%) vs. 110 (21.7%) in controls (p&lt;0.0001). Mortality during hospitalization was 2.5% (SHC) vs. 9.4% in controls (p&lt;0.001).\nCONCLUSIONS: With the structured health care program we achieved a significant reduction of major amputation rates by more than 75% as compared to standard care.","container-title":"Cardiovascular Diabetology","journalAbbreviation":"Cardiovasc Diabetol","language":"eng","note":"PMID: 23497152\nPMCID: PMC3627905","page":"45","title":"Structured health care for subjects with diabetic foot ulcers results in a reduction of major amputation rates","volume":"12","author":[{"family":"Weck","given":"Matthias"},{"family":"Slesaczeck","given":"Torsten"},{"family":"Paetzold","given":"Hartmut"},{"family":"Muench","given":"Dirk"},{"family":"Nanning","given":"Thomas"},{"family":"Gagern","given":"Georg","non-dropping-particle":"von"},{"family":"Brechow","given":"Andrej"},{"family":"Dietrich","given":"Ulf"},{"family":"Holfert","given":"Mandy"},{"family":"Bornstein","given":"Stefan"},{"family":"Barthel","given":"Andreas"},{"family":"Thomas","given":"Antje"},{"family":"Koehler","given":"Carsta"},{"family":"Hanefeld","given":"Markolf"}],"issued":{"date-parts":[["2013",3,13]]}}}],"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(23)</w:t>
            </w:r>
            <w:r w:rsidRPr="00CA32B9">
              <w:rPr>
                <w:rFonts w:asciiTheme="minorHAnsi" w:hAnsiTheme="minorHAnsi" w:cstheme="minorHAnsi"/>
                <w:szCs w:val="20"/>
                <w:lang w:val="en-US"/>
              </w:rPr>
              <w:fldChar w:fldCharType="end"/>
            </w:r>
          </w:p>
        </w:tc>
      </w:tr>
      <w:tr w:rsidR="008B4EFF" w:rsidRPr="0048149F" w14:paraId="77FD4268" w14:textId="77777777" w:rsidTr="00361845">
        <w:tc>
          <w:tcPr>
            <w:tcW w:w="3256" w:type="dxa"/>
          </w:tcPr>
          <w:p w14:paraId="7A3AABAD"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1</w:t>
            </w:r>
            <w:r w:rsidRPr="00CA32B9">
              <w:rPr>
                <w:rFonts w:asciiTheme="minorHAnsi" w:hAnsiTheme="minorHAnsi" w:cstheme="minorHAnsi"/>
                <w:szCs w:val="20"/>
                <w:lang w:val="en-US"/>
              </w:rPr>
              <w:t xml:space="preserve"> </w:t>
            </w:r>
            <w:r w:rsidRPr="00CA32B9">
              <w:rPr>
                <w:rFonts w:asciiTheme="minorHAnsi" w:hAnsiTheme="minorHAnsi" w:cstheme="minorHAnsi"/>
                <w:color w:val="9A9B9D" w:themeColor="text1" w:themeTint="99"/>
                <w:szCs w:val="20"/>
                <w:lang w:val="en-US"/>
              </w:rPr>
              <w:t>study (III)</w:t>
            </w:r>
          </w:p>
        </w:tc>
        <w:tc>
          <w:tcPr>
            <w:tcW w:w="1887" w:type="dxa"/>
          </w:tcPr>
          <w:p w14:paraId="37D8FD84"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3</w:t>
            </w:r>
          </w:p>
        </w:tc>
        <w:tc>
          <w:tcPr>
            <w:tcW w:w="2932" w:type="dxa"/>
            <w:vMerge/>
          </w:tcPr>
          <w:p w14:paraId="1A827990" w14:textId="77777777" w:rsidR="008B4EFF" w:rsidRPr="00CA32B9" w:rsidRDefault="008B4EFF" w:rsidP="00361845">
            <w:pPr>
              <w:pStyle w:val="BodySciensano"/>
              <w:jc w:val="center"/>
              <w:rPr>
                <w:rFonts w:asciiTheme="minorHAnsi" w:hAnsiTheme="minorHAnsi" w:cstheme="minorHAnsi"/>
                <w:szCs w:val="20"/>
                <w:lang w:val="en-US"/>
              </w:rPr>
            </w:pPr>
          </w:p>
        </w:tc>
        <w:tc>
          <w:tcPr>
            <w:tcW w:w="1848" w:type="dxa"/>
          </w:tcPr>
          <w:p w14:paraId="1A7E3D2A" w14:textId="46A1DD8F" w:rsidR="008B4EFF" w:rsidRPr="00CA32B9" w:rsidRDefault="00F237EE"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JpLLCImT","properties":{"formattedCitation":"(24)","plainCitation":"(24)","noteIndex":0},"citationItems":[{"id":51883,"uris":["http://zotero.org/users/5328021/items/J9C4684X"],"uri":["http://zotero.org/users/5328021/items/J9C4684X"],"itemData":{"id":51883,"type":"article-journal","abstract":"Introduction. Critical limb lschemia (CLI) and particularly diabetic foot (DF) are still considered \"Cinderella\" in our departments. Anyway, the presence of arterial obstructive disease increases the risk of amputation by itself; when it is associated with foot infection, the risk of amputation is greatly increased. Methods. From January 2007 to December 2011, 375 patients with DF infection and CLI have been admitted to our Unit; from 2007 to 2009, 192 patients (Group A) underwent surgical debridement of the lesion followed by a delayed revascularization; from 2010 to 2011, 183 patients (Group B) were treated following a new 4-step protocol: (1) early diagnosis with a 24 h on call DF team; (2) urgent treatment of severe foot infection with an aggressive surgical debridement; (3) early revascularization within 24 hours; (4) definitive treatment: wound healing, reconstructive surgery, and orthesis. We reported rates of mortality, major amputation, and foot healing at 6 months of followup. Results. The majority of patients in both groups were male; no statistical differences in medical history and clinical condition were reported at the baseline. The main difference between the two groups was the mean time from debridement to revascularization (3 days in Group A and 24 hours in Group B). After 6 months of follow-up, mortality was 11% in Group A versus 4.4% in Group B. Major amputation rate was 39.6% and 24.6% in Groups A and B, respectively. Wound healing was achieved in 17.8% in Group A and 20.8% in Group B. Conclusions. This protocol requires a lot of professional skills that should to reach the goal to avoid major amputations in patients with DF. Only an interdisciplinary integrated DF team and an early intervention may significantly impact the outcome of our patients: \"Time is Tissue\"!","container-title":"International Journal of Vascular Medicine","journalAbbreviation":"Int J Vasc Med","language":"eng","note":"PMID: 24260718\nPMCID: PMC3821940","page":"296169","title":"Diabetic foot: surgical approach in emergency","volume":"2013","author":[{"family":"Setacci","given":"C."},{"family":"Sirignano","given":"P."},{"family":"Mazzitelli","given":"G."},{"family":"Setacci","given":"F."},{"family":"Messina","given":"G."},{"family":"Galzerano","given":"G."},{"family":"Donato","given":"G.","non-dropping-particle":"de"}],"issued":{"date-parts":[["2013"]]}}}],"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(24)</w:t>
            </w:r>
            <w:r w:rsidRPr="00CA32B9">
              <w:rPr>
                <w:rFonts w:asciiTheme="minorHAnsi" w:hAnsiTheme="minorHAnsi" w:cstheme="minorHAnsi"/>
                <w:szCs w:val="20"/>
                <w:lang w:val="en-US"/>
              </w:rPr>
              <w:fldChar w:fldCharType="end"/>
            </w:r>
          </w:p>
        </w:tc>
      </w:tr>
      <w:tr w:rsidR="00CD572B" w:rsidRPr="0048149F" w14:paraId="1D1DCCB6" w14:textId="77777777" w:rsidTr="00361845">
        <w:tc>
          <w:tcPr>
            <w:tcW w:w="9923" w:type="dxa"/>
            <w:gridSpan w:val="4"/>
            <w:vAlign w:val="center"/>
          </w:tcPr>
          <w:p w14:paraId="49E97AEE"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Major amputation events</w:t>
            </w:r>
          </w:p>
        </w:tc>
      </w:tr>
      <w:tr w:rsidR="008B4EFF" w:rsidRPr="0048149F" w14:paraId="3D907244" w14:textId="77777777" w:rsidTr="00361845">
        <w:tc>
          <w:tcPr>
            <w:tcW w:w="3256" w:type="dxa"/>
          </w:tcPr>
          <w:p w14:paraId="1B432A33"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3</w:t>
            </w:r>
            <w:r w:rsidRPr="00CA32B9">
              <w:rPr>
                <w:rFonts w:asciiTheme="minorHAnsi" w:eastAsia="Times New Roman" w:hAnsiTheme="minorHAnsi" w:cstheme="minorHAnsi"/>
                <w:szCs w:val="20"/>
                <w:lang w:val="en-US"/>
              </w:rPr>
              <w:t xml:space="preserve"> studies (III)</w:t>
            </w:r>
          </w:p>
        </w:tc>
        <w:tc>
          <w:tcPr>
            <w:tcW w:w="1887" w:type="dxa"/>
          </w:tcPr>
          <w:p w14:paraId="7AB6B653"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vMerge w:val="restart"/>
            <w:vAlign w:val="center"/>
          </w:tcPr>
          <w:p w14:paraId="4E7D7926"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3E9D8F54" w14:textId="6836449B" w:rsidR="008B4EFF" w:rsidRPr="00CA32B9" w:rsidRDefault="00F237EE"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OSw752Yk","properties":{"formattedCitation":"(23\\uc0\\u8211{}25)","plainCitation":"(23–25)","noteIndex":0},"citationItems":[{"id":53324,"uris":["http://zotero.org/users/5328021/items/NZS8JI24"],"uri":["http://zotero.org/users/5328021/items/NZS8JI24"],"itemData":{"id":53324,"type":"article-journal","abstract":"OBJECTIVE: We tested the effects of structured health care for the diabetic foot in one region in Germany aiming to reduce the number of major amputations.\nRESEARCH DESIGN AND METHODS: In a prospective study we investigated patients with diabetic foot in a structured system of outpatient, in-patient and rehabilitative treatment. Subjects were recruited between January 1st, 2000 and December 31, 2007. All participants underwent a two-year follow-up. The modified University of Texas Wound Classification System (UT) was the basis for documentation and data analysis. We evaluated numbers of major amputations, rates of ulcer healing and mortality. In order to compare the effect of the structured health care program with usual care in patients with diabetic foot we evaluated the same parameters at another regional hospital without interdisciplinary care of diabetic foot (controls).\nRESULTS: 684 patients with diabetic foot and 508 controls were investigated. At discharge from hospital 28.3% (structured health care program, SHC) vs. 23.0% (controls) of all ulcers had healed completely. 51.5% (SHC) vs. 49.8% (controls) were in UT grade 1.Major amputations were performed in 32 subjects of the structured health care program group (4.7%) vs. 110 (21.7%) in controls (p&lt;0.0001). Mortality during hospitalization was 2.5% (SHC) vs. 9.4% in controls (p&lt;0.001).\nCONCLUSIONS: With the structured health care program we achieved a significant reduction of major amputation rates by more than 75% as compared to standard care.","container-title":"Cardiovascular Diabetology","journalAbbreviation":"Cardiovasc Diabetol","language":"eng","note":"PMID: 23497152\nPMCID: PMC3627905","page":"45","title":"Structured health care for subjects with diabetic foot ulcers results in a reduction of major amputation rates","volume":"12","author":[{"family":"Weck","given":"Matthias"},{"family":"Slesaczeck","given":"Torsten"},{"family":"Paetzold","given":"Hartmut"},{"family":"Muench","given":"Dirk"},{"family":"Nanning","given":"Thomas"},{"family":"Gagern","given":"Georg","non-dropping-particle":"von"},{"family":"Brechow","given":"Andrej"},{"family":"Dietrich","given":"Ulf"},{"family":"Holfert","given":"Mandy"},{"family":"Bornstein","given":"Stefan"},{"family":"Barthel","given":"Andreas"},{"family":"Thomas","given":"Antje"},{"family":"Koehler","given":"Carsta"},{"family":"Hanefeld","given":"Markolf"}],"issued":{"date-parts":[["2013",3,13]]}}},{"id":51883,"uris":["http://zotero.org/users/5328021/items/J9C4684X"],"uri":["http://zotero.org/users/5328021/items/J9C4684X"],"itemData":{"id":51883,"type":"article-journal","abstract":"Introduction. Critical limb lschemia (CLI) and particularly diabetic foot (DF) are still considered \"Cinderella\" in our departments. Anyway, the presence of arterial obstructive disease increases the risk of amputation by itself; when it is associated with foot infection, the risk of amputation is greatly increased. Methods. From January 2007 to December 2011, 375 patients with DF infection and CLI have been admitted to our Unit; from 2007 to 2009, 192 patients (Group A) underwent surgical debridement of the lesion followed by a delayed revascularization; from 2010 to 2011, 183 patients (Group B) were treated following a new 4-step protocol: (1) early diagnosis with a 24 h on call DF team; (2) urgent treatment of severe foot infection with an aggressive surgical debridement; (3) early revascularization within 24 hours; (4) definitive treatment: wound healing, reconstructive surgery, and orthesis. We reported rates of mortality, major amputation, and foot healing at 6 months of followup. Results. The majority of patients in both groups were male; no statistical differences in medical history and clinical condition were reported at the baseline. The main difference between the two groups was the mean time from debridement to revascularization (3 days in Group A and 24 hours in Group B). After 6 months of follow-up, mortality was 11% in Group A versus 4.4% in Group B. Major amputation rate was 39.6% and 24.6% in Groups A and B, respectively. Wound healing was achieved in 17.8% in Group A and 20.8% in Group B. Conclusions. This protocol requires a lot of professional skills that should to reach the goal to avoid major amputations in patients with DF. Only an interdisciplinary integrated DF team and an early intervention may significantly impact the outcome of our patients: \"Time is Tissue\"!","container-title":"International Journal of Vascular Medicine","journalAbbreviation":"Int J Vasc Med","language":"eng","note":"PMID: 24260718\nPMCID: PMC3821940","page":"296169","title":"Diabetic foot: surgical approach in emergency","volume":"2013","author":[{"family":"Setacci","given":"C."},{"family":"Sirignano","given":"P."},{"family":"Mazzitelli","given":"G."},{"family":"Setacci","given":"F."},{"family":"Messina","given":"G."},{"family":"Galzerano","given":"G."},{"family":"Donato","given":"G.","non-dropping-particle":"de"}],"issued":{"date-parts":[["2013"]]}}},{"id":55189,"uris":["http://zotero.org/users/5328021/items/KC544TTH"],"uri":["http://zotero.org/users/5328021/items/KC544TTH"],"itemData":{"id":55189,"type":"article-journal","abstract":"INTRODUCTION: The aim of the study was to determine the cost-effectiveness of the Lower Extremity Amputation Prevention (LEAP) strategy in comparison to standard clinical practice for treating patients with critical limb ischaemia (CLI).\nMETHODS: A retrospective cost-effectiveness analysis of the LEAP programme relative to pre-LEAP practice was performed from the perspective of Singapore hospitals. The cost incorporated in the analysis included direct medical costs incurred during the admission. Outcomes included the number of amputations, number of deaths and length of hospital stay after the initial treatment.\nRESULTS: During the study period, the LEAP group had a lower amputation rate (29 percent versus 76 percent, p-value is 0.00001), lower related death rate (one percent versus 19 percent, p-value is 0.00001) and fewer in-hospital days per patient (17.8 days versus 23.16 days, p-value is 0.048) as compared to the standard clinical practice group. The implementation of the LEAP strategy generated cost savings of S$2,566 per patient during admission when compared with the pre-LEAP approach. The results were robust to variations in input parameters.\nCONCLUSION: The LEAP strategy dominated standard practice in the management of patients with diabetes mellitus and CLI. The implementation of the LEAP strategy significantly improved patient outcomes and reduced hospital costs.","container-title":"Singapore Medical Journal","issue":"9","journalAbbreviation":"Singapore Med J","language":"eng","note":"PMID: 21947143","page":"662-668","title":"Lower extremity amputation prevention in Singapore: economic analysis of results","volume":"52","author":[{"family":"Tan","given":"M. L. M."},{"family":"Feng","given":"J."},{"family":"Gordois","given":"A."},{"family":"Wong","given":"E. S. D."}],"issued":{"date-parts":[["2011",9]]}}}],"schema":"https://github.com/citation-style-language/schema/raw/master/csl-citation.json"}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(23–25)</w:t>
            </w:r>
            <w:r w:rsidRPr="00CA32B9">
              <w:rPr>
                <w:rFonts w:asciiTheme="minorHAnsi" w:hAnsiTheme="minorHAnsi" w:cstheme="minorHAnsi"/>
                <w:szCs w:val="20"/>
                <w:lang w:val="en-US"/>
              </w:rPr>
              <w:fldChar w:fldCharType="end"/>
            </w:r>
          </w:p>
        </w:tc>
      </w:tr>
      <w:tr w:rsidR="008B4EFF" w:rsidRPr="0048149F" w14:paraId="4F56C6A2" w14:textId="77777777" w:rsidTr="00361845">
        <w:tc>
          <w:tcPr>
            <w:tcW w:w="3256" w:type="dxa"/>
          </w:tcPr>
          <w:p w14:paraId="697C71FE"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1</w:t>
            </w:r>
            <w:r w:rsidRPr="00CA32B9">
              <w:rPr>
                <w:rFonts w:asciiTheme="minorHAnsi" w:hAnsiTheme="minorHAnsi" w:cstheme="minorHAnsi"/>
                <w:szCs w:val="20"/>
                <w:lang w:val="en-US"/>
              </w:rPr>
              <w:t xml:space="preserve"> </w:t>
            </w:r>
            <w:r w:rsidRPr="00CA32B9">
              <w:rPr>
                <w:rFonts w:asciiTheme="minorHAnsi" w:hAnsiTheme="minorHAnsi" w:cstheme="minorHAnsi"/>
                <w:color w:val="9A9B9D" w:themeColor="text1" w:themeTint="99"/>
                <w:szCs w:val="20"/>
                <w:lang w:val="en-US"/>
              </w:rPr>
              <w:t>study (III)</w:t>
            </w:r>
          </w:p>
        </w:tc>
        <w:tc>
          <w:tcPr>
            <w:tcW w:w="1887" w:type="dxa"/>
          </w:tcPr>
          <w:p w14:paraId="662E0E90"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2</w:t>
            </w:r>
          </w:p>
        </w:tc>
        <w:tc>
          <w:tcPr>
            <w:tcW w:w="2932" w:type="dxa"/>
            <w:vMerge/>
          </w:tcPr>
          <w:p w14:paraId="0FF19CBB" w14:textId="77777777" w:rsidR="008B4EFF" w:rsidRPr="00CA32B9" w:rsidRDefault="008B4EFF" w:rsidP="00361845">
            <w:pPr>
              <w:pStyle w:val="BodySciensano"/>
              <w:jc w:val="center"/>
              <w:rPr>
                <w:rFonts w:asciiTheme="minorHAnsi" w:hAnsiTheme="minorHAnsi" w:cstheme="minorHAnsi"/>
                <w:szCs w:val="20"/>
                <w:lang w:val="en-US"/>
              </w:rPr>
            </w:pPr>
          </w:p>
        </w:tc>
        <w:tc>
          <w:tcPr>
            <w:tcW w:w="1848" w:type="dxa"/>
          </w:tcPr>
          <w:p w14:paraId="4316736C" w14:textId="21683510" w:rsidR="008B4EFF" w:rsidRPr="00CA32B9" w:rsidRDefault="00F237EE"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u1LiF05i","properties":{"formattedCitation":"(26)","plainCitation":"(26)","noteIndex":0},"citationItems":[{"id":53387,"uris":["http://zotero.org/users/5328021/items/TEM2VR76"],"uri":["http://zotero.org/users/5328021/items/TEM2VR76"],"itemData":{"id":53387,"type":"article-journal","abstract":"BACKGROUND: Patients with neuroischemic diabetic foot syndrome (DFS) may need arterial revascularization, minor amputations, débridements as well as meticulous wound care. Unfortunately, postoperative outpatient care is frequently inadequate. This is especially true for Germany, where the in- and outpatient sectors are funded and managed separately, with poor communication between the two. Thus, many patients may be readmitted to the hospital following successful treatment and discharge. In an attempt to overcome these problems, we looked at whether an integrated case management (CM) system for outpatient care according to in-hospital standards might improve patients care and avoid readmissions. In addition we analyzed the length of hospital stay (LOS) as well as hospital costs.\nPATIENTS AND METHODS: In this retrospective cohort study patients with DFS, bypass surgery and foot surgery after implementation of the CM (study group; n = 376) were compared with a matched historic control group (HCG; n = 190) including the flat rate revenues (G-DRG K01B). Following a standardized assessment, integrated trans-sectoral CM care was offered to 116 patients (CMP).\nRESULTS: The proportion of patients who were readmitted to hospital was reduced in CMP compared to HCG (8.8 vs. 16.4 %; p &lt; 0.01), with consequent reduction of case consolidations (9.7 % versus 17.8 %, p &lt; 0.001). Although initially, the mean LOS was higher in the CMP patients, the reduction in readmissions meant that this integrated CM program improved the hospital's economic situation.\nCONCLUSIONS: A hospital-based integrated CM system significantly reduces the hospital readmissions in patients with neuroischemic DFS following bypass surgery, with lower hospital costs.","container-title":"VASA. Zeitschrift fur Gefasskrankheiten","issue":"1","journalAbbreviation":"VASA","language":"eng","note":"PMID: 23385227","page":"56-67","title":"Readmissions of patients with diabetes mellitus and foot ulcers after infra-popliteal bypass surgery - attacking the problem by an integrated case management model","volume":"42","author":[{"family":"Rümenapf","given":"Gerhard"},{"family":"Geiger","given":"Sandra"},{"family":"Schneider","given":"Brigitte"},{"family":"Amendt","given":"Klaus"},{"family":"Wilhelm","given":"Norbert"},{"family":"Morbach","given":"Stephan"},{"family":"Nagel","given":"Norbert"}],"issued":{"date-parts":[["2013",1]]}}}],"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(26)</w:t>
            </w:r>
            <w:r w:rsidRPr="00CA32B9">
              <w:rPr>
                <w:rFonts w:asciiTheme="minorHAnsi" w:hAnsiTheme="minorHAnsi" w:cstheme="minorHAnsi"/>
                <w:szCs w:val="20"/>
                <w:lang w:val="en-US"/>
              </w:rPr>
              <w:fldChar w:fldCharType="end"/>
            </w:r>
          </w:p>
        </w:tc>
      </w:tr>
      <w:tr w:rsidR="00CD572B" w:rsidRPr="0048149F" w14:paraId="0F20D492" w14:textId="77777777" w:rsidTr="00361845">
        <w:tc>
          <w:tcPr>
            <w:tcW w:w="9923" w:type="dxa"/>
            <w:gridSpan w:val="4"/>
            <w:vAlign w:val="center"/>
          </w:tcPr>
          <w:p w14:paraId="4F0F0ADE"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Minor amputations</w:t>
            </w:r>
          </w:p>
        </w:tc>
      </w:tr>
      <w:tr w:rsidR="008B4EFF" w:rsidRPr="0048149F" w14:paraId="3754698C" w14:textId="77777777" w:rsidTr="00361845">
        <w:tc>
          <w:tcPr>
            <w:tcW w:w="3256" w:type="dxa"/>
          </w:tcPr>
          <w:p w14:paraId="7987AA6B"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(III)</w:t>
            </w:r>
          </w:p>
        </w:tc>
        <w:tc>
          <w:tcPr>
            <w:tcW w:w="1887" w:type="dxa"/>
          </w:tcPr>
          <w:p w14:paraId="64A1D2B7"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3</w:t>
            </w:r>
          </w:p>
        </w:tc>
        <w:tc>
          <w:tcPr>
            <w:tcW w:w="2932" w:type="dxa"/>
            <w:vAlign w:val="center"/>
          </w:tcPr>
          <w:p w14:paraId="2F1D9C76" w14:textId="77777777" w:rsidR="008B4EFF" w:rsidRPr="00CA32B9" w:rsidRDefault="00CD572B"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1E081683" w14:textId="6164C2DC" w:rsidR="008B4EFF" w:rsidRPr="00CA32B9" w:rsidRDefault="00060A4E"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j6Sexh35","properties":{"formattedCitation":"(25)","plainCitation":"(25)","noteIndex":0},"citationItems":[{"id":55189,"uris":["http://zotero.org/users/5328021/items/KC544TTH"],"uri":["http://zotero.org/users/5328021/items/KC544TTH"],"itemData":{"id":55189,"type":"article-journal","abstract":"INTRODUCTION: The aim of the study was to determine the cost-effectiveness of the Lower Extremity Amputation Prevention (LEAP) strategy in comparison to standard clinical practice for treating patients with critical limb ischaemia (CLI).\nMETHODS: A retrospective cost-effectiveness analysis of the LEAP programme relative to pre-LEAP practice was performed from the perspective of Singapore hospitals. The cost incorporated in the analysis included direct medical costs incurred during the admission. Outcomes included the number of amputations, number of deaths and length of hospital stay after the initial treatment.\nRESULTS: During the study period, the LEAP group had a lower amputation rate (29 percent versus 76 percent, p-value is 0.00001), lower related death rate (one percent versus 19 percent, p-value is 0.00001) and fewer in-hospital days per patient (17.8 days versus 23.16 days, p-value is 0.048) as compared to the standard clinical practice group. The implementation of the LEAP strategy generated cost savings of S$2,566 per patient during admission when compared with the pre-LEAP approach. The results were robust to variations in input parameters.\nCONCLUSION: The LEAP strategy dominated standard practice in the management of patients with diabetes mellitus and CLI. The implementation of the LEAP strategy significantly improved patient outcomes and reduced hospital costs.","container-title":"Singapore Medical Journal","issue":"9","journalAbbreviation":"Singapore Med J","language":"eng","note":"PMID: 21947143","page":"662-668","title":"Lower extremity amputation prevention in Singapore: economic analysis of results","volume":"52","author":[{"family":"Tan","given":"M. L. M."},{"family":"Feng","given":"J."},{"family":"Gordois","given":"A."},{"family":"Wong","given":"E. S. D."}],"issued":{"date-parts":[["2011",9]]}}}],"schema":"https://github.com/citation-style-language/schema/raw/master/csl-citation.json"}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(25)</w:t>
            </w:r>
            <w:r w:rsidRPr="00CA32B9">
              <w:rPr>
                <w:rFonts w:asciiTheme="minorHAnsi" w:hAnsiTheme="minorHAnsi" w:cstheme="minorHAnsi"/>
                <w:szCs w:val="20"/>
                <w:lang w:val="en-US"/>
              </w:rPr>
              <w:fldChar w:fldCharType="end"/>
            </w:r>
          </w:p>
        </w:tc>
      </w:tr>
      <w:tr w:rsidR="00CD572B" w:rsidRPr="0048149F" w14:paraId="1190696C" w14:textId="77777777" w:rsidTr="00361845">
        <w:tc>
          <w:tcPr>
            <w:tcW w:w="9923" w:type="dxa"/>
            <w:gridSpan w:val="4"/>
            <w:vAlign w:val="center"/>
          </w:tcPr>
          <w:p w14:paraId="3C61DE0D"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 xml:space="preserve">Mortality </w:t>
            </w:r>
          </w:p>
        </w:tc>
      </w:tr>
      <w:tr w:rsidR="008B4EFF" w:rsidRPr="0048149F" w14:paraId="0FA25720" w14:textId="77777777" w:rsidTr="00361845">
        <w:tc>
          <w:tcPr>
            <w:tcW w:w="3256" w:type="dxa"/>
          </w:tcPr>
          <w:p w14:paraId="6C291FC2"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3 </w:t>
            </w:r>
            <w:r w:rsidRPr="00CA32B9">
              <w:rPr>
                <w:rFonts w:asciiTheme="minorHAnsi" w:eastAsia="Times New Roman" w:hAnsiTheme="minorHAnsi" w:cstheme="minorHAnsi"/>
                <w:szCs w:val="20"/>
                <w:lang w:val="en-US"/>
              </w:rPr>
              <w:t>studies (III)</w:t>
            </w:r>
          </w:p>
        </w:tc>
        <w:tc>
          <w:tcPr>
            <w:tcW w:w="1887" w:type="dxa"/>
          </w:tcPr>
          <w:p w14:paraId="00B45948" w14:textId="77777777" w:rsidR="008B4EFF" w:rsidRPr="00CA32B9" w:rsidRDefault="00F237EE"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3</w:t>
            </w:r>
          </w:p>
        </w:tc>
        <w:tc>
          <w:tcPr>
            <w:tcW w:w="2932" w:type="dxa"/>
            <w:vAlign w:val="center"/>
          </w:tcPr>
          <w:p w14:paraId="21D1BFC1"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06B6031E" w14:textId="110B2B44" w:rsidR="008B4EFF" w:rsidRPr="00CA32B9" w:rsidRDefault="00060A4E"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ydpCyobL","properties":{"formattedCitation":"(23\\uc0\\u8211{}25)","plainCitation":"(23–25)","noteIndex":0},"citationItems":[{"id":53324,"uris":["http://zotero.org/users/5328021/items/NZS8JI24"],"uri":["http://zotero.org/users/5328021/items/NZS8JI24"],"itemData":{"id":53324,"type":"article-journal","abstract":"OBJECTIVE: We tested the effects of structured health care for the diabetic foot in one region in Germany aiming to reduce the number of major amputations.\nRESEARCH DESIGN AND METHODS: In a prospective study we investigated patients with diabetic foot in a structured system of outpatient, in-patient and rehabilitative treatment. Subjects were recruited between January 1st, 2000 and December 31, 2007. All participants underwent a two-year follow-up. The modified University of Texas Wound Classification System (UT) was the basis for documentation and data analysis. We evaluated numbers of major amputations, rates of ulcer healing and mortality. In order to compare the effect of the structured health care program with usual care in patients with diabetic foot we evaluated the same parameters at another regional hospital without interdisciplinary care of diabetic foot (controls).\nRESULTS: 684 patients with diabetic foot and 508 controls were investigated. At discharge from hospital 28.3% (structured health care program, SHC) vs. 23.0% (controls) of all ulcers had healed completely. 51.5% (SHC) vs. 49.8% (controls) were in UT grade 1.Major amputations were performed in 32 subjects of the structured health care program group (4.7%) vs. 110 (21.7%) in controls (p&lt;0.0001). Mortality during hospitalization was 2.5% (SHC) vs. 9.4% in controls (p&lt;0.001).\nCONCLUSIONS: With the structured health care program we achieved a significant reduction of major amputation rates by more than 75% as compared to standard care.","container-title":"Cardiovascular Diabetology","journalAbbreviation":"Cardiovasc Diabetol","language":"eng","note":"PMID: 23497152\nPMCID: PMC3627905","page":"45","title":"Structured health care for subjects with diabetic foot ulcers results in a reduction of major amputation rates","volume":"12","author":[{"family":"Weck","given":"Matthias"},{"family":"Slesaczeck","given":"Torsten"},{"family":"Paetzold","given":"Hartmut"},{"family":"Muench","given":"Dirk"},{"family":"Nanning","given":"Thomas"},{"family":"Gagern","given":"Georg","non-dropping-particle":"von"},{"family":"Brechow","given":"Andrej"},{"family":"Dietrich","given":"Ulf"},{"family":"Holfert","given":"Mandy"},{"family":"Bornstein","given":"Stefan"},{"family":"Barthel","given":"Andreas"},{"family":"Thomas","given":"Antje"},{"family":"Koehler","given":"Carsta"},{"family":"Hanefeld","given":"Markolf"}],"issued":{"date-parts":[["2013",3,13]]}}},{"id":51883,"uris":["http://zotero.org/users/5328021/items/J9C4684X"],"uri":["http://zotero.org/users/5328021/items/J9C4684X"],"itemData":{"id":51883,"type":"article-journal","abstract":"Introduction. Critical limb lschemia (CLI) and particularly diabetic foot (DF) are still considered \"Cinderella\" in our departments. Anyway, the presence of arterial obstructive disease increases the risk of amputation by itself; when it is associated with foot infection, the risk of amputation is greatly increased. Methods. From January 2007 to December 2011, 375 patients with DF infection and CLI have been admitted to our Unit; from 2007 to 2009, 192 patients (Group A) underwent surgical debridement of the lesion followed by a delayed revascularization; from 2010 to 2011, 183 patients (Group B) were treated following a new 4-step protocol: (1) early diagnosis with a 24 h on call DF team; (2) urgent treatment of severe foot infection with an aggressive surgical debridement; (3) early revascularization within 24 hours; (4) definitive treatment: wound healing, reconstructive surgery, and orthesis. We reported rates of mortality, major amputation, and foot healing at 6 months of followup. Results. The majority of patients in both groups were male; no statistical differences in medical history and clinical condition were reported at the baseline. The main difference between the two groups was the mean time from debridement to revascularization (3 days in Group A and 24 hours in Group B). After 6 months of follow-up, mortality was 11% in Group A versus 4.4% in Group B. Major amputation rate was 39.6% and 24.6% in Groups A and B, respectively. Wound healing was achieved in 17.8% in Group A and 20.8% in Group B. Conclusions. This protocol requires a lot of professional skills that should to reach the goal to avoid major amputations in patients with DF. Only an interdisciplinary integrated DF team and an early intervention may significantly impact the outcome of our patients: \"Time is Tissue\"!","container-title":"International Journal of Vascular Medicine","journalAbbreviation":"Int J Vasc Med","language":"eng","note":"PMID: 24260718\nPMCID: PMC3821940","page":"296169","title":"Diabetic foot: surgical approach in emergency","volume":"2013","author":[{"family":"Setacci","given":"C."},{"family":"Sirignano","given":"P."},{"family":"Mazzitelli","given":"G."},{"family":"Setacci","given":"F."},{"family":"Messina","given":"G."},{"family":"Galzerano","given":"G."},{"family":"Donato","given":"G.","non-dropping-particle":"de"}],"issued":{"date-parts":[["2013"]]}}},{"id":55189,"uris":["http://zotero.org/users/5328021/items/KC544TTH"],"uri":["http://zotero.org/users/5328021/items/KC544TTH"],"itemData":{"id":55189,"type":"article-journal","abstract":"INTRODUCTION: The aim of the study was to determine the cost-effectiveness of the Lower Extremity Amputation Prevention (LEAP) strategy in comparison to standard clinical practice for treating patients with critical limb ischaemia (CLI).\nMETHODS: A retrospective cost-effectiveness analysis of the LEAP programme relative to pre-LEAP practice was performed from the perspective of Singapore hospitals. The cost incorporated in the analysis included direct medical costs incurred during the admission. Outcomes included the number of amputations, number of deaths and length of hospital stay after the initial treatment.\nRESULTS: During the study period, the LEAP group had a lower amputation rate (29 percent versus 76 percent, p-value is 0.00001), lower related death rate (one percent versus 19 percent, p-value is 0.00001) and fewer in-hospital days per patient (17.8 days versus 23.16 days, p-value is 0.048) as compared to the standard clinical practice group. The implementation of the LEAP strategy generated cost savings of S$2,566 per patient during admission when compared with the pre-LEAP approach. The results were robust to variations in input parameters.\nCONCLUSION: The LEAP strategy dominated standard practice in the management of patients with diabetes mellitus and CLI. The implementation of the LEAP strategy significantly improved patient outcomes and reduced hospital costs.","container-title":"Singapore Medical Journal","issue":"9","journalAbbreviation":"Singapore Med J","language":"eng","note":"PMID: 21947143","page":"662-668","title":"Lower extremity amputation prevention in Singapore: economic analysis of results","volume":"52","author":[{"family":"Tan","given":"M. L. M."},{"family":"Feng","given":"J."},{"family":"Gordois","given":"A."},{"family":"Wong","given":"E. S. D."}],"issued":{"date-parts":[["2011",9]]}}}],"schema":"https://github.com/citation-style-language/schema/raw/master/csl-citation.json"}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(23–25)</w:t>
            </w:r>
            <w:r w:rsidRPr="00CA32B9">
              <w:rPr>
                <w:rFonts w:asciiTheme="minorHAnsi" w:hAnsiTheme="minorHAnsi" w:cstheme="minorHAnsi"/>
                <w:szCs w:val="20"/>
                <w:lang w:val="en-US"/>
              </w:rPr>
              <w:fldChar w:fldCharType="end"/>
            </w:r>
          </w:p>
        </w:tc>
      </w:tr>
      <w:tr w:rsidR="00CD572B" w:rsidRPr="0048149F" w14:paraId="1684F030" w14:textId="77777777" w:rsidTr="00361845">
        <w:tc>
          <w:tcPr>
            <w:tcW w:w="9923" w:type="dxa"/>
            <w:gridSpan w:val="4"/>
            <w:vAlign w:val="center"/>
          </w:tcPr>
          <w:p w14:paraId="61F531D0"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Cost per patients</w:t>
            </w:r>
          </w:p>
        </w:tc>
      </w:tr>
      <w:tr w:rsidR="008B4EFF" w:rsidRPr="00A91C12" w14:paraId="57F1B15B" w14:textId="77777777" w:rsidTr="00361845">
        <w:tc>
          <w:tcPr>
            <w:tcW w:w="3256" w:type="dxa"/>
          </w:tcPr>
          <w:p w14:paraId="04FF27B9"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1</w:t>
            </w:r>
            <w:r w:rsidRPr="00CA32B9">
              <w:rPr>
                <w:rFonts w:asciiTheme="minorHAnsi" w:eastAsia="Times New Roman" w:hAnsiTheme="minorHAnsi" w:cstheme="minorHAnsi"/>
                <w:szCs w:val="20"/>
                <w:lang w:val="en-US"/>
              </w:rPr>
              <w:t xml:space="preserve"> study (III)</w:t>
            </w:r>
          </w:p>
        </w:tc>
        <w:tc>
          <w:tcPr>
            <w:tcW w:w="1887" w:type="dxa"/>
            <w:tcBorders>
              <w:top w:val="single" w:sz="4" w:space="0" w:color="58595B" w:themeColor="text1"/>
            </w:tcBorders>
          </w:tcPr>
          <w:p w14:paraId="4BA3A638"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3</w:t>
            </w:r>
          </w:p>
        </w:tc>
        <w:tc>
          <w:tcPr>
            <w:tcW w:w="2932" w:type="dxa"/>
            <w:tcBorders>
              <w:top w:val="single" w:sz="4" w:space="0" w:color="58595B" w:themeColor="text1"/>
            </w:tcBorders>
          </w:tcPr>
          <w:p w14:paraId="602C8D28" w14:textId="77777777" w:rsidR="008B4EFF" w:rsidRPr="00CA32B9" w:rsidRDefault="00282A8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Borders>
              <w:top w:val="single" w:sz="4" w:space="0" w:color="58595B" w:themeColor="text1"/>
            </w:tcBorders>
          </w:tcPr>
          <w:p w14:paraId="28301711" w14:textId="640EEC3E" w:rsidR="008B4EFF" w:rsidRPr="00CA32B9" w:rsidRDefault="00060A4E"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 </w:t>
            </w: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KP0TDs1c","properties":{"formattedCitation":"(25)","plainCitation":"(25)","noteIndex":0},"citationItems":[{"id":55189,"uris":["http://zotero.org/users/5328021/items/KC544TTH"],"uri":["http://zotero.org/users/5328021/items/KC544TTH"],"itemData":{"id":55189,"type":"article-journal","abstract":"INTRODUCTION: The aim of the study was to determine the cost-effectiveness of the Lower Extremity Amputation Prevention (LEAP) strategy in comparison to standard clinical practice for treating patients with critical limb ischaemia (CLI).\nMETHODS: A retrospective cost-effectiveness analysis of the LEAP programme relative to pre-LEAP practice was performed from the perspective of Singapore hospitals. The cost incorporated in the analysis included direct medical costs incurred during the admission. Outcomes included the number of amputations, number of deaths and length of hospital stay after the initial treatment.\nRESULTS: During the study period, the LEAP group had a lower amputation rate (29 percent versus 76 percent, p-value is 0.00001), lower related death rate (one percent versus 19 percent, p-value is 0.00001) and fewer in-hospital days per patient (17.8 days versus 23.16 days, p-value is 0.048) as compared to the standard clinical practice group. The implementation of the LEAP strategy generated cost savings of S$2,566 per patient during admission when compared with the pre-LEAP approach. The results were robust to variations in input parameters.\nCONCLUSION: The LEAP strategy dominated standard practice in the management of patients with diabetes mellitus and CLI. The implementation of the LEAP strategy significantly improved patient outcomes and reduced hospital costs.","container-title":"Singapore Medical Journal","issue":"9","journalAbbreviation":"Singapore Med J","language":"eng","note":"PMID: 21947143","page":"662-668","title":"Lower extremity amputation prevention in Singapore: economic analysis of results","volume":"52","author":[{"family":"Tan","given":"M. L. M."},{"family":"Feng","given":"J."},{"family":"Gordois","given":"A."},{"family":"Wong","given":"E. S. D."}],"issued":{"date-parts":[["2011",9]]}}}],"schema":"https://github.com/citation-style-language/schema/raw/master/csl-citation.json"}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asciiTheme="minorHAnsi" w:hAnsiTheme="minorHAnsi" w:cstheme="minorHAnsi"/>
                <w:szCs w:val="20"/>
                <w:lang w:val="en-US"/>
              </w:rPr>
              <w:t>(25)</w:t>
            </w:r>
            <w:r w:rsidRPr="00CA32B9">
              <w:rPr>
                <w:rFonts w:asciiTheme="minorHAnsi" w:hAnsiTheme="minorHAnsi" w:cstheme="minorHAnsi"/>
                <w:szCs w:val="20"/>
                <w:lang w:val="en-US"/>
              </w:rPr>
              <w:fldChar w:fldCharType="end"/>
            </w:r>
          </w:p>
        </w:tc>
      </w:tr>
      <w:tr w:rsidR="00605AE8" w:rsidRPr="00166EC2" w14:paraId="6CA499DD" w14:textId="77777777" w:rsidTr="00361845">
        <w:tc>
          <w:tcPr>
            <w:tcW w:w="9923" w:type="dxa"/>
            <w:gridSpan w:val="4"/>
            <w:shd w:val="clear" w:color="auto" w:fill="D4F1D3" w:themeFill="background2" w:themeFillTint="33"/>
          </w:tcPr>
          <w:p w14:paraId="6E2DC327" w14:textId="5296816F" w:rsidR="00605AE8" w:rsidRPr="00CA32B9" w:rsidRDefault="00AF75F2" w:rsidP="00361845">
            <w:pPr>
              <w:pStyle w:val="BodySciensano"/>
              <w:jc w:val="center"/>
              <w:rPr>
                <w:rFonts w:asciiTheme="minorHAnsi" w:hAnsiTheme="minorHAnsi" w:cstheme="minorHAnsi"/>
                <w:b/>
                <w:bCs/>
                <w:color w:val="56575A"/>
                <w:szCs w:val="20"/>
                <w:lang w:val="en-US"/>
              </w:rPr>
            </w:pPr>
            <w:r>
              <w:rPr>
                <w:rFonts w:asciiTheme="minorHAnsi" w:hAnsiTheme="minorHAnsi" w:cstheme="minorHAnsi"/>
                <w:b/>
                <w:bCs/>
                <w:color w:val="56575A"/>
                <w:szCs w:val="20"/>
                <w:lang w:val="en-US"/>
              </w:rPr>
              <w:t xml:space="preserve">Implementation of a </w:t>
            </w:r>
            <w:r w:rsidR="00605AE8" w:rsidRPr="00CA32B9">
              <w:rPr>
                <w:rFonts w:asciiTheme="minorHAnsi" w:hAnsiTheme="minorHAnsi" w:cstheme="minorHAnsi"/>
                <w:b/>
                <w:bCs/>
                <w:color w:val="56575A"/>
                <w:szCs w:val="20"/>
                <w:lang w:val="en-US"/>
              </w:rPr>
              <w:t>Pay-for-Performance program</w:t>
            </w:r>
          </w:p>
        </w:tc>
      </w:tr>
      <w:tr w:rsidR="00CD572B" w:rsidRPr="00166EC2" w14:paraId="4A8BAAEB" w14:textId="77777777" w:rsidTr="00361845">
        <w:tc>
          <w:tcPr>
            <w:tcW w:w="9923" w:type="dxa"/>
            <w:gridSpan w:val="4"/>
            <w:vAlign w:val="center"/>
          </w:tcPr>
          <w:p w14:paraId="01AFA64E"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Non-traumatic lower extremity amputation events</w:t>
            </w:r>
          </w:p>
        </w:tc>
      </w:tr>
      <w:tr w:rsidR="008B4EFF" w:rsidRPr="00166EC2" w14:paraId="1268756D" w14:textId="77777777" w:rsidTr="00361845">
        <w:tc>
          <w:tcPr>
            <w:tcW w:w="3256" w:type="dxa"/>
            <w:vAlign w:val="center"/>
          </w:tcPr>
          <w:p w14:paraId="6B28D622"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(III)</w:t>
            </w:r>
          </w:p>
        </w:tc>
        <w:tc>
          <w:tcPr>
            <w:tcW w:w="1887" w:type="dxa"/>
          </w:tcPr>
          <w:p w14:paraId="18ABC240"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vAlign w:val="center"/>
          </w:tcPr>
          <w:p w14:paraId="1047DA4F"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2F8EBFFF" w14:textId="7F14AACB" w:rsidR="008B4EFF" w:rsidRPr="00CA32B9" w:rsidRDefault="00120B1C"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bi3701E0","properties":{"formattedCitation":"(27)","plainCitation":"(27)","noteIndex":0},"citationItems":[{"id":45271,"uris":["http://zotero.org/users/5328021/items/N7LY45J8"],"uri":["http://zotero.org/users/5328021/items/N7LY45J8"],"itemData":{"id":45271,"type":"article-journal","abstract":"Patients with diabetes are at a high risk of lower extremity amputations and may have a reduced life expectancy. Taiwan has implemented a diabetes pay-for-performance (P4P) program providing team care to improve the control of disease and avoid subsequent complications. Few studies investigated the effects of adopting a nationalized policy to decrease amputation risk in diabetes previously. Our study aimed to analyze the impact of the P4P programs on the incidence of lower extremity amputations in Taiwanese patients with diabetes.This was a population-based cohort study using the Taiwan National Health Insurance Research Database (which provided coverage for 98% of the total population in Taiwan) from 1998 to 2007. Patients with diabetes were identified based on the International Classification of Diseases, 9th Revision, Clinical Modification (ICD-9-CM) diagnostic codes. We linked procedure codes to inpatient claims to identify patients hospitalized for nontraumatic lower extremity amputations.A total of 9738 patients with diabetes with amputations were enrolled (mean age ± standard deviation: 64.4 ± 14.5 years; men: 63.9%). The incidence of nontraumatic diabetic lower extremity amputations decreased over the time period studied (3.79-2.27 per 1000 persons with diabetes). Based on the Cox proportional hazard regression model, male sex (hazard ratio: 1.83, 95% confidence interval [CI] 1.76-1.92), older age, and low socioeconomic status significantly interact with diabetes with respect to the risks of amputation. Patients who did not join the P4P program for diabetes care had a 3.46-fold higher risk of amputation compared with those who joined (95% CI 3.19-3.76).The amputation rate in Taiwanese diabetic patients decreased over the time period observed. Diabetes in patients with low socioeconomic status is associated with an increased risk of amputations. Our findings suggested that in addition to medical interventions and self-management educations, formulate and implement of medical policies, such as P4P program, might have a significant effect on decreasing the diabetes-related amputation rate.","container-title":"Medicine","issue":"41","journalAbbreviation":"Medicine (Baltimore)","language":"eng","note":"PMID: 30313085\nPMCID: PMC6203477","page":"e12759","title":"Impact of the pay-for-performance program on lower extremity amputations in patients with diabetes in Taiwan","volume":"97","author":[{"family":"Sheen","given":"Yi-Jing"},{"family":"Kung","given":"Pei-Tseng"},{"family":"Kuo","given":"Wei-Yin"},{"family":"Chiu","given":"Li-Ting"},{"family":"Tsai","given":"Wen-Chen"}],"issued":{"date-parts":[["2018",10]]}}}],"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lang w:val="en-US"/>
              </w:rPr>
              <w:t>(27)</w:t>
            </w:r>
            <w:r w:rsidRPr="00CA32B9">
              <w:rPr>
                <w:rFonts w:asciiTheme="minorHAnsi" w:hAnsiTheme="minorHAnsi" w:cstheme="minorHAnsi"/>
                <w:szCs w:val="20"/>
                <w:lang w:val="en-US"/>
              </w:rPr>
              <w:fldChar w:fldCharType="end"/>
            </w:r>
          </w:p>
        </w:tc>
      </w:tr>
      <w:tr w:rsidR="00605AE8" w:rsidRPr="00166EC2" w14:paraId="24450AD2" w14:textId="77777777" w:rsidTr="00361845">
        <w:tc>
          <w:tcPr>
            <w:tcW w:w="9923" w:type="dxa"/>
            <w:gridSpan w:val="4"/>
            <w:shd w:val="clear" w:color="auto" w:fill="D4F1D3" w:themeFill="background2" w:themeFillTint="33"/>
            <w:vAlign w:val="center"/>
          </w:tcPr>
          <w:p w14:paraId="4C6D9DA1" w14:textId="77777777" w:rsidR="00605AE8" w:rsidRPr="00CA32B9" w:rsidRDefault="00605AE8" w:rsidP="00361845">
            <w:pPr>
              <w:pStyle w:val="BodySciensano"/>
              <w:jc w:val="center"/>
              <w:rPr>
                <w:rFonts w:asciiTheme="minorHAnsi" w:hAnsiTheme="minorHAnsi" w:cstheme="minorHAnsi"/>
                <w:b/>
                <w:bCs/>
                <w:color w:val="56575A"/>
                <w:szCs w:val="20"/>
                <w:lang w:val="en-US"/>
              </w:rPr>
            </w:pPr>
            <w:r w:rsidRPr="00CA32B9">
              <w:rPr>
                <w:rFonts w:asciiTheme="minorHAnsi" w:hAnsiTheme="minorHAnsi" w:cstheme="minorHAnsi"/>
                <w:b/>
                <w:bCs/>
                <w:color w:val="56575A"/>
                <w:szCs w:val="20"/>
                <w:lang w:val="en-US"/>
              </w:rPr>
              <w:t>Implementation of nurse-led care</w:t>
            </w:r>
          </w:p>
        </w:tc>
      </w:tr>
      <w:tr w:rsidR="00CD572B" w:rsidRPr="00166EC2" w14:paraId="76A68AE4" w14:textId="77777777" w:rsidTr="00361845">
        <w:tc>
          <w:tcPr>
            <w:tcW w:w="9923" w:type="dxa"/>
            <w:gridSpan w:val="4"/>
            <w:vAlign w:val="center"/>
          </w:tcPr>
          <w:p w14:paraId="07BCF242"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Patient-reported Experience Measures (PREMs)</w:t>
            </w:r>
          </w:p>
        </w:tc>
      </w:tr>
      <w:tr w:rsidR="008B4EFF" w:rsidRPr="00166EC2" w14:paraId="7E0655A5" w14:textId="77777777" w:rsidTr="00361845">
        <w:tc>
          <w:tcPr>
            <w:tcW w:w="3256" w:type="dxa"/>
            <w:vAlign w:val="center"/>
          </w:tcPr>
          <w:p w14:paraId="6E2B4084" w14:textId="4CBA211C" w:rsidR="008B4EFF" w:rsidRPr="00CA32B9" w:rsidRDefault="008B4EFF" w:rsidP="004F4263">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1 </w:t>
            </w:r>
            <w:r w:rsidR="00D56297">
              <w:rPr>
                <w:rFonts w:asciiTheme="minorHAnsi" w:eastAsia="Times New Roman" w:hAnsiTheme="minorHAnsi" w:cstheme="minorHAnsi"/>
                <w:szCs w:val="20"/>
                <w:lang w:val="en-US"/>
              </w:rPr>
              <w:t>study (</w:t>
            </w:r>
            <w:r w:rsidR="004F4263" w:rsidRPr="004F4263">
              <w:rPr>
                <w:rFonts w:asciiTheme="minorHAnsi" w:eastAsia="Times New Roman" w:hAnsiTheme="minorHAnsi" w:cstheme="minorHAnsi"/>
                <w:szCs w:val="20"/>
                <w:lang w:val="en-US"/>
              </w:rPr>
              <w:t>II</w:t>
            </w:r>
            <w:r w:rsidRPr="00CA32B9">
              <w:rPr>
                <w:rFonts w:asciiTheme="minorHAnsi" w:eastAsia="Times New Roman" w:hAnsiTheme="minorHAnsi" w:cstheme="minorHAnsi"/>
                <w:szCs w:val="20"/>
                <w:lang w:val="en-US"/>
              </w:rPr>
              <w:t>)</w:t>
            </w:r>
          </w:p>
        </w:tc>
        <w:tc>
          <w:tcPr>
            <w:tcW w:w="1887" w:type="dxa"/>
          </w:tcPr>
          <w:p w14:paraId="0C56F32E"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6</w:t>
            </w:r>
          </w:p>
        </w:tc>
        <w:tc>
          <w:tcPr>
            <w:tcW w:w="2932" w:type="dxa"/>
            <w:vAlign w:val="center"/>
          </w:tcPr>
          <w:p w14:paraId="7EBBDC7C" w14:textId="77777777" w:rsidR="008B4EFF" w:rsidRPr="00CA32B9" w:rsidRDefault="003252B8"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Moderate</w:t>
            </w:r>
          </w:p>
        </w:tc>
        <w:tc>
          <w:tcPr>
            <w:tcW w:w="1848" w:type="dxa"/>
          </w:tcPr>
          <w:p w14:paraId="08068AC5" w14:textId="3B996898" w:rsidR="008B4EFF" w:rsidRPr="00CA32B9" w:rsidRDefault="00120B1C"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edS75JKF","properties":{"formattedCitation":"(28)","plainCitation":"(28)","noteIndex":0},"citationItems":[{"id":99489,"uris":["http://zotero.org/groups/4352621/items/CEDGIL3C"],"uri":["http://zotero.org/groups/4352621/items/CEDGIL3C"],"itemData":{"id":99489,"type":"article-journal","abstract":"Diabetic foot ulcer (DFU) is a serious and costly complication in diabetes which affects different aspects of life and can reduce patient's quality of life. Various views to manage DFU have been introduced. The nurse-led team, as a multidisciplinary team, can be effective due to a holistic approach to some disease management; but in patients with DFU it has not been assessed. Therefore, this study was designed to determine the effect of nurse-led care on quality of care (QOC) and improvement of HbA1C in Patients with DFU. This was a randomized clinical trial study performed on 52 patients with DFU. Patients were randomly assigned into two groups: nurse-led care intervention and standard care. The study was conducted in one of the hospitals affiliated to Tehran University of Medical Sciences. Data were collected using two questionnaires: Demographic characteristics and Quality Patient Care Scale (QUALPACS) and taking a blood sample for HbA1C. The nurse-led Care interventions were conducted in three stages: Integrated, Interdisciplinary, and Comprehensive. Descriptive and analytic statistical methods were used to analyze the data. P &lt; .05 was considered significant. The results demonstrated that according to repeated measures test, (before, 4 and 12 weeks after the intervention), the level of QOC dimensions (Psychosocial, communication and physical aspect) in the nurse-led group had a significant difference with control group (P &lt; .0001). Also, according to the results of Independent t test, there was a significant difference in total QOC scoring and HbA1c between intervention and control groups after the intervention and follow up (P &lt; .0001). Considering the burden of diabetes and DFUs, it seems that the establishment of a nurse-led care approach can be an effective strategy to manage and treat these patients, and eliminate the disruption of care and achieve optimal care quality.","container-title":"Wound Repair and Regeneration","DOI":"10.1111/wrr.12788","ISSN":"1524-475X","issue":"3","language":"en","note":"_eprint: https://onlinelibrary.wiley.com/doi/pdf/10.1111/wrr.12788","page":"338-346","source":"Wiley Online Library","title":"Effect of nurse-led care on quality of care and level of HbA1C in patients with diabetic foot ulcer: A randomized clinical trial","title-short":"Effect of nurse-led care on quality of care and level of HbA1C in patients with diabetic foot ulcer","volume":"28","author":[{"family":"Nayeri","given":"Nahid Dehghan"},{"family":"Samadi","given":"Nasrin"},{"family":"Larijani","given":"Bagher"},{"family":"Sayadi","given":"Leila"}],"issued":{"date-parts":[["2020"]]}}}],"schema":"https://github.com/citation-style-language/schema/raw/master/csl-citation.json"}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lang w:val="en-US"/>
              </w:rPr>
              <w:t>(28)</w:t>
            </w:r>
            <w:r w:rsidRPr="00CA32B9">
              <w:rPr>
                <w:rFonts w:asciiTheme="minorHAnsi" w:hAnsiTheme="minorHAnsi" w:cstheme="minorHAnsi"/>
                <w:szCs w:val="20"/>
                <w:lang w:val="en-US"/>
              </w:rPr>
              <w:fldChar w:fldCharType="end"/>
            </w:r>
          </w:p>
        </w:tc>
      </w:tr>
      <w:tr w:rsidR="00605AE8" w:rsidRPr="00166EC2" w14:paraId="1A705F89" w14:textId="77777777" w:rsidTr="00361845">
        <w:tc>
          <w:tcPr>
            <w:tcW w:w="9923" w:type="dxa"/>
            <w:gridSpan w:val="4"/>
            <w:shd w:val="clear" w:color="auto" w:fill="7FD67B" w:themeFill="background2" w:themeFillTint="99"/>
            <w:vAlign w:val="center"/>
          </w:tcPr>
          <w:p w14:paraId="54108FFA" w14:textId="0CA1130B" w:rsidR="00605AE8" w:rsidRPr="00CA32B9" w:rsidRDefault="00605AE8" w:rsidP="00361845">
            <w:pPr>
              <w:pStyle w:val="BodySciensano"/>
              <w:jc w:val="center"/>
              <w:rPr>
                <w:rFonts w:asciiTheme="minorHAnsi" w:hAnsiTheme="minorHAnsi" w:cstheme="minorHAnsi"/>
                <w:b/>
                <w:szCs w:val="20"/>
                <w:lang w:val="en-US"/>
              </w:rPr>
            </w:pPr>
            <w:r w:rsidRPr="00CA32B9">
              <w:rPr>
                <w:rFonts w:asciiTheme="minorHAnsi" w:hAnsiTheme="minorHAnsi" w:cstheme="minorHAnsi"/>
                <w:b/>
                <w:szCs w:val="20"/>
                <w:lang w:val="en-US"/>
              </w:rPr>
              <w:t xml:space="preserve">WOUND HEALING </w:t>
            </w:r>
            <w:r w:rsidR="00AF75F2">
              <w:rPr>
                <w:rFonts w:asciiTheme="minorHAnsi" w:hAnsiTheme="minorHAnsi" w:cstheme="minorHAnsi"/>
                <w:b/>
                <w:szCs w:val="20"/>
                <w:lang w:val="en-US"/>
              </w:rPr>
              <w:t xml:space="preserve">INTERVENTION </w:t>
            </w:r>
            <w:r w:rsidRPr="00CA32B9">
              <w:rPr>
                <w:rFonts w:asciiTheme="minorHAnsi" w:hAnsiTheme="minorHAnsi" w:cstheme="minorHAnsi"/>
                <w:b/>
                <w:szCs w:val="20"/>
                <w:lang w:val="en-US"/>
              </w:rPr>
              <w:t>DOMAIN</w:t>
            </w:r>
          </w:p>
        </w:tc>
      </w:tr>
      <w:tr w:rsidR="00605AE8" w:rsidRPr="00166EC2" w14:paraId="005650E5" w14:textId="77777777" w:rsidTr="00361845">
        <w:tc>
          <w:tcPr>
            <w:tcW w:w="9923" w:type="dxa"/>
            <w:gridSpan w:val="4"/>
            <w:shd w:val="clear" w:color="auto" w:fill="D4F1D3" w:themeFill="background2" w:themeFillTint="33"/>
          </w:tcPr>
          <w:p w14:paraId="640DCBF5" w14:textId="77777777" w:rsidR="00605AE8" w:rsidRPr="00CA32B9" w:rsidRDefault="00605AE8" w:rsidP="00361845">
            <w:pPr>
              <w:pStyle w:val="BodySciensano"/>
              <w:jc w:val="center"/>
              <w:rPr>
                <w:rFonts w:asciiTheme="minorHAnsi" w:hAnsiTheme="minorHAnsi" w:cstheme="minorHAnsi"/>
                <w:b/>
                <w:bCs/>
                <w:color w:val="56575A"/>
                <w:szCs w:val="20"/>
                <w:lang w:val="en-US"/>
              </w:rPr>
            </w:pPr>
            <w:r w:rsidRPr="00CA32B9">
              <w:rPr>
                <w:rFonts w:asciiTheme="minorHAnsi" w:hAnsiTheme="minorHAnsi" w:cstheme="minorHAnsi"/>
                <w:b/>
                <w:bCs/>
                <w:color w:val="56575A"/>
                <w:szCs w:val="20"/>
                <w:lang w:val="en-US"/>
              </w:rPr>
              <w:t>Treatment with non-biological dressings impregnated with antimicrobial agents</w:t>
            </w:r>
          </w:p>
        </w:tc>
      </w:tr>
      <w:tr w:rsidR="00CD572B" w:rsidRPr="00166EC2" w14:paraId="248D7FF1" w14:textId="77777777" w:rsidTr="00361845">
        <w:tc>
          <w:tcPr>
            <w:tcW w:w="9923" w:type="dxa"/>
            <w:gridSpan w:val="4"/>
            <w:vAlign w:val="center"/>
          </w:tcPr>
          <w:p w14:paraId="0A6A2155"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Ulcer healing</w:t>
            </w:r>
          </w:p>
        </w:tc>
      </w:tr>
      <w:tr w:rsidR="008B4EFF" w:rsidRPr="0048149F" w14:paraId="5397980E" w14:textId="77777777" w:rsidTr="00361845">
        <w:tc>
          <w:tcPr>
            <w:tcW w:w="3256" w:type="dxa"/>
            <w:vAlign w:val="center"/>
          </w:tcPr>
          <w:p w14:paraId="6371FC08" w14:textId="074E6790" w:rsidR="008B4EFF" w:rsidRPr="00CA32B9" w:rsidRDefault="00627966"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2</w:t>
            </w:r>
            <w:r w:rsidRPr="00CA32B9">
              <w:rPr>
                <w:rFonts w:asciiTheme="minorHAnsi" w:eastAsia="Times New Roman" w:hAnsiTheme="minorHAnsi" w:cstheme="minorHAnsi"/>
                <w:szCs w:val="20"/>
                <w:lang w:val="en-US"/>
              </w:rPr>
              <w:t xml:space="preserve"> studies</w:t>
            </w:r>
            <w:r w:rsidR="008B4EFF" w:rsidRPr="00CA32B9">
              <w:rPr>
                <w:rFonts w:asciiTheme="minorHAnsi" w:eastAsia="Times New Roman" w:hAnsiTheme="minorHAnsi" w:cstheme="minorHAnsi"/>
                <w:szCs w:val="20"/>
                <w:lang w:val="en-US"/>
              </w:rPr>
              <w:t xml:space="preserve"> (I) -</w:t>
            </w:r>
            <w:r w:rsidR="008B4EFF" w:rsidRPr="00CA32B9">
              <w:rPr>
                <w:rFonts w:asciiTheme="minorHAnsi" w:hAnsiTheme="minorHAnsi" w:cstheme="minorHAnsi"/>
                <w:szCs w:val="20"/>
                <w:lang w:val="en-US"/>
              </w:rPr>
              <w:t xml:space="preserve"> 4 </w:t>
            </w:r>
            <w:r w:rsidRPr="00CA32B9">
              <w:rPr>
                <w:rFonts w:asciiTheme="minorHAnsi" w:hAnsiTheme="minorHAnsi" w:cstheme="minorHAnsi"/>
                <w:szCs w:val="20"/>
                <w:lang w:val="en-US"/>
              </w:rPr>
              <w:t>studies</w:t>
            </w:r>
            <w:r w:rsidR="008B4EFF" w:rsidRPr="00CA32B9">
              <w:rPr>
                <w:rFonts w:asciiTheme="minorHAnsi" w:hAnsiTheme="minorHAnsi" w:cstheme="minorHAnsi"/>
                <w:szCs w:val="20"/>
                <w:lang w:val="en-US"/>
              </w:rPr>
              <w:t xml:space="preserve"> (</w:t>
            </w:r>
            <w:r w:rsidRPr="00CA32B9">
              <w:rPr>
                <w:rFonts w:asciiTheme="minorHAnsi" w:eastAsia="Times New Roman" w:hAnsiTheme="minorHAnsi" w:cstheme="minorHAnsi"/>
                <w:szCs w:val="20"/>
                <w:lang w:val="en-US"/>
              </w:rPr>
              <w:t>II</w:t>
            </w:r>
            <w:r w:rsidR="008B4EFF" w:rsidRPr="00CA32B9">
              <w:rPr>
                <w:rFonts w:asciiTheme="minorHAnsi" w:eastAsia="Times New Roman" w:hAnsiTheme="minorHAnsi" w:cstheme="minorHAnsi"/>
                <w:szCs w:val="20"/>
                <w:lang w:val="en-US"/>
              </w:rPr>
              <w:t>)</w:t>
            </w:r>
          </w:p>
        </w:tc>
        <w:tc>
          <w:tcPr>
            <w:tcW w:w="1887" w:type="dxa"/>
          </w:tcPr>
          <w:p w14:paraId="26DEB868"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6</w:t>
            </w:r>
            <w:r w:rsidR="00627966" w:rsidRPr="00CA32B9">
              <w:rPr>
                <w:rFonts w:asciiTheme="minorHAnsi" w:hAnsiTheme="minorHAnsi" w:cstheme="minorHAnsi"/>
                <w:szCs w:val="20"/>
                <w:lang w:val="en-US"/>
              </w:rPr>
              <w:t>,5</w:t>
            </w:r>
          </w:p>
        </w:tc>
        <w:tc>
          <w:tcPr>
            <w:tcW w:w="2932" w:type="dxa"/>
            <w:vMerge w:val="restart"/>
            <w:vAlign w:val="center"/>
          </w:tcPr>
          <w:p w14:paraId="49552261"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6214D0B5" w14:textId="33235CFC" w:rsidR="008B4EFF" w:rsidRPr="00CA32B9" w:rsidRDefault="00F21C0B"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 </w:t>
            </w:r>
            <w:r w:rsidR="00C366DF"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S6UisbHc","properties":{"formattedCitation":"(29\\uc0\\u8211{}34)","plainCitation":"(29–34)","noteIndex":0},"citationItems":[{"id":73732,"uris":["http://zotero.org/users/5328021/items/MEFDS6AQ"],"uri":["http://zotero.org/users/5328021/items/MEFDS6AQ"],"itemData":{"id":73732,"type":"article-journal","abstract":"Background: This study aimed 1) to examine the impact of honey on diabetic foot;  2) to examine the effect of olive oil on diabetic foot; and 3) to compare the impact of honey and olive oil in the healing of diabetic foot. Methods: In this randomized controlled trial, 45 patients took part. Patients were randomly assigned to three groups. In the honey group, the wound was dressed using gauzes  with honey daily for 1 month. In the olive oil group, the wound was dressed using gauzes with olive oil (4 mL) daily for 1 month. Patients in the control group received usual dressing. Wounds were assessed before and after intervention using the Wagner scoring system and the checklist of diabetic foot healing (where a higher score indicates better wound healing). Results: Demographic characteristics of patients in the three groups were similar. Mean scores of tissue around the wound, wound grade, wound drainage, and wound healing were similar before intervention in all three groups. After intervention, means score  of tissue around the wound, wound grade, wound drainage, and wound healing were significantly higher in patients in the honey and olive oil groups compared to patients in the control group. Conclusion: The results of this study reveal that  honey is as effective as olive oil in the treatment of diabetic foot. Given the few studies on this topic, further investigation is needed.","container-title":"Clinical, cosmetic and investigational dermatology","journalAbbreviation":"Clin Cosmet Investig Dermatol","language":"eng","note":"PMID: 31190942 \nPMCID: PMC6516048","page":"347-354","title":"Impact of olive oil and honey on healing of diabetic foot: a randomized controlled trial.","volume":"12","author":[{"family":"Karimi","given":"Zohreh"},{"family":"Behnammoghadam","given":"Mohammad"},{"family":"Rafiei","given":"Hossein"},{"family":"Abdi","given":"Naeem"},{"family":"Zoladl","given":"Mohammad"},{"family":"Talebianpoor","given":"Mohammad Sharif"},{"family":"Arya","given":"Arash"},{"family":"Khastavaneh","given":"Maryam"}],"issued":{"date-parts":[["2019"]]}}},{"id":44991,"uris":["http://zotero.org/users/5328021/items/QIK67KY3"],"uri":["http://zotero.org/users/5328021/items/QIK67KY3"],"itemData":{"id":44991,"type":"article-journal","abstract":"OBJECTIVE: Honey dressing has been applied in the treatment of diabetic foot ulcers (DFUs). However, there is a lack of research showing ample evidence that honey dressing is more effective in the treatment of DFUs than other dressings. This study aimed to examine the effects of honey dressing on wound-healing process for DFUs.\nMETHOD: We searched for evidence regarding honey dressing used in the treatment of DFUs in various databases. We selected randomized controlled trials (RCTs) and quasi-experimental studies for meta-analysis.\nRESULTS: The meta-analysis showed that honey dressing effectively shortened the wound debridement time, wound healing time, and bacterial clearance time; it increased the wound healing rate and bacterial clearance rate during the first one to two weeks of use.\nCONCLUSION: Our findings suggest that honey dressing effectively promotes healing in DFUs. Further research is needed to elucidate these findings so that this form of treatment can be widely applied.","container-title":"Complementary Therapies in Clinical Practice","journalAbbreviation":"Complement Ther Clin Pract","language":"eng","note":"PMID: 30712715","page":"123-131","title":"Effectiveness of honey dressing in the treatment of diabetic foot ulcers: A systematic review and meta-analysis","volume":"34","author":[{"family":"Wang","given":"Cui"},{"family":"Guo","given":"Min"},{"family":"Zhang","given":"Nan"},{"family":"Wang","given":"Gongchao"}],"issued":{"date-parts":[["2019",2]]}}},{"id":73603,"uris":["http://zotero.org/users/5328021/items/NVCI7ARP"],"uri":["http://zotero.org/users/5328021/items/NVCI7ARP"],"itemData":{"id":73603,"type":"article-journal","abstract":"Background: Diabetic foot ulcer (DFU) is the main risk factor for nontraumatic lower-limb amputation. We hypothesized that by reversing the offending local tissue factors resulting from the low tissue supply of oxygen, inefficient fuel metabolism and acidosis, we can eradicate the infection and help to promote healing. This might be enhanced with the help of an innovated local preparation (PEDYPHAR((R))) through its enriched alkaline ointment base and the regenerating  growth factors of Royal Jelly (RJ) plus the antimicrobial, immune-modulatory nutritional and other biochemical properties of RJ and Panthenol. We conducted this study to test the safety and efficacy of PEDYPHAR ointment as an adjuvant in limb salvage management for patients with limb-threatening diabetic foot wounds.  Methods: A prospective, randomized, controlled open-label study design with a mean follow-up period of 12 weeks. One hundred and nineteen eligible patients with diabetic foot wounds presenting to 3 outpatient clinics in Egypt were randomized to be treated with the local application of either PEDYPHAR or Panthenol ointment under dressing after conservative debridement of necrotic tissue and irrigation with warm normal saline. Results: At the end of the 12-week follow-up period, PEDYPHAR showed a higher rate of complete healing of limb-threatening wounds in the intent-to-treat population, 11 of 34 (32.4%) in","container-title":"Diabetes, metabolic syndrome and obesity : targets and therapy","journalAbbreviation":"Diabetes Metab Syndr Obes","language":"eng","note":"PMID: 31564933 \nPMCID: PMC6731465","page":"1659-1665","title":"Efficacy of a new local limb salvage treatment for limb-threatening diabetic foot wounds - a randomized controlled study.","volume":"12","author":[{"family":"Yakoot","given":"Mostafa"},{"family":"Abdelatif","given":"Mahmoud"},{"family":"Helmy","given":"Sherine"}],"issued":{"date-parts":[["2019"]]}}},{"id":49033,"uris":["http://zotero.org/users/5328021/items/YLMQRGAE"],"uri":["http://zotero.org/users/5328021/items/YLMQRGAE"],"itemData":{"id":49033,"type":"article-journal","abstract":"Topical honey has been used for the treatment of wound since ancient time. But the medical evidence proving it is limited. Hence a systematic review was planned. An exhaustive literature search was done in PUBMED, COCHRANE, GOOGLE using 'topical honey', 'diabetic foot ulcer', 'chronic wounds' as key words. Literature search showed total of five clinical trials and about ten observational studies in various part of world. Out of five clinical trials three concluded that honey dressing is better than conventional dressing, all the clinical trials proved safety of honey for the treatment of diabetic foot ulcer. Observational studies included total of 320 patients which also showed safety of honey but efficacy cannot be considered from observational studies. This review showed that honey dressing is safer for treatment of diabetic foot ulcer but there is insufficient good quality data to realistically conclude on the efficacy of honey on diabetic foot ulcers.","container-title":"Complementary Therapies in Clinical Practice","journalAbbreviation":"Complement Ther Clin Pract","language":"eng","note":"PMID: 27502813","page":"130-133","title":"Topical honey for the treatment of diabetic foot ulcer: A systematic review","volume":"24","author":[{"family":"Kateel","given":"Ramya"},{"family":"Adhikari","given":"Prabha"},{"family":"Augustine","given":"Alfred J."},{"family":"Ullal","given":"Sheetal"}],"issued":{"date-parts":[["2016",8]]}}},{"id":49612,"uris":["http://zotero.org/users/5328021/items/85AK45PJ"],"uri":["http://zotero.org/users/5328021/items/85AK45PJ"],"itemData":{"id":49612,"type":"article-journal","abstract":"OBJECTIVE: To investigate the effect of Beri-honey-impregnated dressing on diabetic foot ulcer and compare it with normal saline dressing.\nSTUDY DESIGN: A randomized, controlled trial.\nPLACE AND DURATION OF STUDY: Sughra Shafi Medical Complex, Narowal, Pakistan and Bhatti International Trust (BIT) Hospital, Affiliated with Central Park Medical College, Lahore, from February 2006 to February 2010.\nMETHODOLOGY: Patients with Wagner's grade 1 and 2 ulcers were enrolled. Those patients were divided in two groups; group A (n=179) treated with honey dressing and group B (n=169) treated with normal saline dressing. Outcome measures were calculated in terms of proportion of wounds completely healed (primary outcome), wound healing time, and deterioration of wounds. Patients were followed-up for a maximum of 120 days.\nRESULTS: One hundred and thirty six wounds (75.97%) out of 179 were completely healed with honey dressing and 97 (57.39%) out of 169 wtih saline dressing (p=0.001). The median wound healing time was 18.00 (6 - 120) days (Median with IQR) in group A and 29.00 (7 - 120) days (Median with IQR) in group B (p &lt; 0.001).\nCONCLUSION: The present results showed that honey is an effective dressing agent instead of conventional dressings, in treating patients of diabetic foot ulcer.","container-title":"Journal of the College of Physicians and Surgeons--Pakistan: JCPSP","issue":"10","journalAbbreviation":"J Coll Physicians Surg Pak","language":"eng","note":"PMID: 26454386","page":"721-725","title":"A Randomized, Controlled Clinical Trial of Honey-Impregnated Dressing for Treating Diabetic Foot Ulcer","volume":"25","author":[{"family":"Imran","given":"Muhammad"},{"family":"Hussain","given":"Muhammad Barkaat"},{"family":"Baig","given":"Mukhtiar"}],"issued":{"date-parts":[["2015",10]]}}},{"id":45265,"uris":["http://zotero.org/users/5328021/items/L5IP3C9N"],"uri":["http://zotero.org/users/5328021/items/L5IP3C9N"],"itemData":{"id":45265,"type":"article-journal","abstract":"BACKGROUND: There is a wide variety of dressings currently available for the treatment of diabetic foot ulcers (DFUs). Because of a lack of evidence from head-to-head randomized controlled trials (RCTs), the relative effects of these dressings in DFU patients remain unclear. This study compared the efficacy of nine dressings in healing DFU.\nMETHODS: A literature search was performed of the MEDLINE (PubMed), EMBASE and Cochrane Central Register of Controlled Trials (CENTRAL) databases. Reports published from 1993 to 2017 focusing on dressings for healing DFU were identified.\nRESULTS: Twenty-one RCTs, with a total of 2159 patients, were included in the present study. Bayesian network analysis showed that amniotic membrane dressings were superior to alginate, basic wound contact, foam, honey-impregnated, hydrocolloid, and iodine-impregnated dressings. Hydrogel dressings were better than basic wound contact dressings. Other dressings showed no significant differences. According to the probability of ranking results, amniotic membrane and hydrogel dressings are preferred for healing DFUs.\nCONCLUSIONS: The nine dressings evaluated in this study had different advantages in promoting the healing of DFU, but most differences among the dressings were not significant. According to the analysis of rank probability, amniotic membrane and hydrogel dressings are the most advantageous in terms of promoting DFU healing. It is recommended that the most suitable dressing should be selected taking into consideration exudate control, comfort, and cost.","container-title":"Journal of Diabetes","issue":"6","journalAbbreviation":"J Diabetes","language":"eng","note":"PMID: 30324760","page":"418-426","title":"Comparative efficacy of nine different dressings in healing diabetic foot ulcer: A Bayesian network analysis","volume":"11","author":[{"family":"Zhang","given":"Xu"},{"family":"Sun","given":"Di"},{"family":"Jiang","given":"Gui Chun"}],"issued":{"date-parts":[["2019",6]]}}}],"schema":"https://github.com/citation-style-language/schema/raw/master/csl-citation.json"} </w:instrText>
            </w:r>
            <w:r w:rsidR="00C366DF" w:rsidRPr="00CA32B9">
              <w:rPr>
                <w:rFonts w:asciiTheme="minorHAnsi" w:hAnsiTheme="minorHAnsi" w:cstheme="minorHAnsi"/>
                <w:szCs w:val="20"/>
                <w:lang w:val="en-US"/>
              </w:rPr>
              <w:fldChar w:fldCharType="separate"/>
            </w:r>
            <w:r w:rsidR="00A20A04" w:rsidRPr="00CA32B9">
              <w:rPr>
                <w:rFonts w:asciiTheme="minorHAnsi" w:hAnsiTheme="minorHAnsi" w:cstheme="minorHAnsi"/>
                <w:szCs w:val="20"/>
              </w:rPr>
              <w:t>(29–34)</w:t>
            </w:r>
            <w:r w:rsidR="00C366DF" w:rsidRPr="00CA32B9">
              <w:rPr>
                <w:rFonts w:asciiTheme="minorHAnsi" w:hAnsiTheme="minorHAnsi" w:cstheme="minorHAnsi"/>
                <w:szCs w:val="20"/>
                <w:lang w:val="en-US"/>
              </w:rPr>
              <w:fldChar w:fldCharType="end"/>
            </w:r>
          </w:p>
        </w:tc>
      </w:tr>
      <w:tr w:rsidR="008B4EFF" w:rsidRPr="0048149F" w14:paraId="18A73B73" w14:textId="77777777" w:rsidTr="00361845">
        <w:tc>
          <w:tcPr>
            <w:tcW w:w="3256" w:type="dxa"/>
            <w:vAlign w:val="center"/>
          </w:tcPr>
          <w:p w14:paraId="79B124ED"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2</w:t>
            </w:r>
            <w:r w:rsidR="00627966" w:rsidRPr="00CA32B9">
              <w:rPr>
                <w:rFonts w:asciiTheme="minorHAnsi" w:hAnsiTheme="minorHAnsi" w:cstheme="minorHAnsi"/>
                <w:color w:val="9A9B9D" w:themeColor="text1" w:themeTint="99"/>
                <w:szCs w:val="20"/>
                <w:lang w:val="en-US"/>
              </w:rPr>
              <w:t xml:space="preserve"> </w:t>
            </w:r>
            <w:r w:rsidRPr="00CA32B9">
              <w:rPr>
                <w:rFonts w:asciiTheme="minorHAnsi" w:hAnsiTheme="minorHAnsi" w:cstheme="minorHAnsi"/>
                <w:color w:val="9A9B9D" w:themeColor="text1" w:themeTint="99"/>
                <w:szCs w:val="20"/>
                <w:lang w:val="en-US"/>
              </w:rPr>
              <w:t>studies (I)</w:t>
            </w:r>
            <w:r w:rsidR="00627966" w:rsidRPr="00CA32B9">
              <w:rPr>
                <w:rFonts w:asciiTheme="minorHAnsi" w:hAnsiTheme="minorHAnsi" w:cstheme="minorHAnsi"/>
                <w:color w:val="9A9B9D" w:themeColor="text1" w:themeTint="99"/>
                <w:szCs w:val="20"/>
                <w:lang w:val="en-US"/>
              </w:rPr>
              <w:t xml:space="preserve"> - 5</w:t>
            </w:r>
            <w:r w:rsidRPr="00CA32B9">
              <w:rPr>
                <w:rFonts w:asciiTheme="minorHAnsi" w:hAnsiTheme="minorHAnsi" w:cstheme="minorHAnsi"/>
                <w:color w:val="9A9B9D" w:themeColor="text1" w:themeTint="99"/>
                <w:szCs w:val="20"/>
                <w:lang w:val="en-US"/>
              </w:rPr>
              <w:t xml:space="preserve"> studies (II)</w:t>
            </w:r>
          </w:p>
        </w:tc>
        <w:tc>
          <w:tcPr>
            <w:tcW w:w="1887" w:type="dxa"/>
          </w:tcPr>
          <w:p w14:paraId="1BE2A21E" w14:textId="3395D750" w:rsidR="008B4EFF" w:rsidRPr="00CA32B9" w:rsidRDefault="00627966"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6,5</w:t>
            </w:r>
          </w:p>
        </w:tc>
        <w:tc>
          <w:tcPr>
            <w:tcW w:w="2932" w:type="dxa"/>
            <w:vMerge/>
            <w:vAlign w:val="center"/>
          </w:tcPr>
          <w:p w14:paraId="607222DA" w14:textId="77777777" w:rsidR="008B4EFF" w:rsidRPr="00CA32B9" w:rsidRDefault="008B4EFF" w:rsidP="00361845">
            <w:pPr>
              <w:pStyle w:val="BodySciensano"/>
              <w:jc w:val="center"/>
              <w:rPr>
                <w:rFonts w:asciiTheme="minorHAnsi" w:hAnsiTheme="minorHAnsi" w:cstheme="minorHAnsi"/>
                <w:szCs w:val="20"/>
                <w:lang w:val="en-US"/>
              </w:rPr>
            </w:pPr>
          </w:p>
        </w:tc>
        <w:tc>
          <w:tcPr>
            <w:tcW w:w="1848" w:type="dxa"/>
          </w:tcPr>
          <w:p w14:paraId="15AFE9C1" w14:textId="2D8E966A" w:rsidR="008B4EFF" w:rsidRPr="00CA32B9" w:rsidRDefault="00F21C0B"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 </w:t>
            </w: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cVtBFlXd","properties":{"formattedCitation":"(32)","plainCitation":"(32)","noteIndex":0},"citationItems":[{"id":49033,"uris":["http://zotero.org/users/5328021/items/YLMQRGAE"],"uri":["http://zotero.org/users/5328021/items/YLMQRGAE"],"itemData":{"id":49033,"type":"article-journal","abstract":"Topical honey has been used for the treatment of wound since ancient time. But the medical evidence proving it is limited. Hence a systematic review was planned. An exhaustive literature search was done in PUBMED, COCHRANE, GOOGLE using 'topical honey', 'diabetic foot ulcer', 'chronic wounds' as key words. Literature search showed total of five clinical trials and about ten observational studies in various part of world. Out of five clinical trials three concluded that honey dressing is better than conventional dressing, all the clinical trials proved safety of honey for the treatment of diabetic foot ulcer. Observational studies included total of 320 patients which also showed safety of honey but efficacy cannot be considered from observational studies. This review showed that honey dressing is safer for treatment of diabetic foot ulcer but there is insufficient good quality data to realistically conclude on the efficacy of honey on diabetic foot ulcers.","container-title":"Complementary Therapies in Clinical Practice","journalAbbreviation":"Complement Ther Clin Pract","language":"eng","note":"PMID: 27502813","page":"130-133","title":"Topical honey for the treatment of diabetic foot ulcer: A systematic review","volume":"24","author":[{"family":"Kateel","given":"Ramya"},{"family":"Adhikari","given":"Prabha"},{"family":"Augustine","given":"Alfred J."},{"family":"Ullal","given":"Sheetal"}],"issued":{"date-parts":[["2016",8]]}}}],"schema":"https://github.com/citation-style-language/schema/raw/master/csl-citation.json"} </w:instrText>
            </w:r>
            <w:r w:rsidRPr="00CA32B9">
              <w:rPr>
                <w:rFonts w:asciiTheme="minorHAnsi" w:hAnsiTheme="minorHAnsi" w:cstheme="minorHAnsi"/>
                <w:szCs w:val="20"/>
                <w:lang w:val="en-US"/>
              </w:rPr>
              <w:fldChar w:fldCharType="separate"/>
            </w:r>
            <w:r w:rsidR="00A20A04" w:rsidRPr="00CA32B9">
              <w:rPr>
                <w:rFonts w:asciiTheme="minorHAnsi" w:hAnsiTheme="minorHAnsi" w:cstheme="minorHAnsi"/>
                <w:szCs w:val="20"/>
              </w:rPr>
              <w:t>(32)</w:t>
            </w:r>
            <w:r w:rsidRPr="00CA32B9">
              <w:rPr>
                <w:rFonts w:asciiTheme="minorHAnsi" w:hAnsiTheme="minorHAnsi" w:cstheme="minorHAnsi"/>
                <w:szCs w:val="20"/>
                <w:lang w:val="en-US"/>
              </w:rPr>
              <w:fldChar w:fldCharType="end"/>
            </w: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vHEpb7Ht","properties":{"formattedCitation":"(35\\uc0\\u8211{}40)","plainCitation":"(35–40)","noteIndex":0},"citationItems":[{"id":47398,"uris":["http://zotero.org/users/5328021/items/YTL6TW99"],"uri":["http://zotero.org/users/5328021/items/YTL6TW99"],"itemData":{"id":47398,"type":"article-journal","abstract":"BACKGROUND: People with diabetes are at high risk for developing foot ulcers, which often become infected. These wounds, especially when infected, cause substantial morbidity. Wound treatments should aim to alleviate symptoms, promote healing, and avoid adverse outcomes, especially lower extremity amputation. Topical antimicrobial therapy has been used on diabetic foot ulcers, either as a treatment for clinically infected wounds, or to prevent infection in clinically uninfected wounds.\nOBJECTIVES: To evaluate the effects of treatment with topical antimicrobial agents on: the resolution of signs and symptoms of infection; the healing of infected diabetic foot ulcers; and preventing infection and improving healing in clinically uninfected diabetic foot ulcers.\nSEARCH METHODS: We searched the Cochrane Wounds Specialised Register, CENTRAL, Ovid MEDLINE, Ovid MEDLINE (In-Process &amp; Other Non-Indexed Citations), Ovid Embase, and EBSCO CINAHL Plus in August 2016. We also searched clinical trials registries for ongoing and unpublished studies, and checked reference lists to identify additional studies. We used no restrictions with respect to language, date of publication, or study setting.\nSELECTION CRITERIA: We included randomised controlled trials conducted in any setting (inpatient or outpatient) that evaluated topical treatment with any type of solid or liquid (e.g., cream, gel, ointment) antimicrobial agent, including antiseptics, antibiotics, and antimicrobial dressings, in people with diabetes mellitus who were diagnosed with an ulcer or open wound of the foot, whether clinically infected or uninfected.\nDATA COLLECTION AND ANALYSIS: Two review authors independently performed study selection, 'Risk of bias' assessment, and data extraction. Initial disagreements were resolved by discussion, or by including a third review author when necessary.\nMAIN RESULTS: We found 22 trials that met our inclusion criteria with a total of over 2310 participants (one study did not report number of participants). The included studies mostly had small numbers of participants (from 4 to 317) and relatively short follow-up periods (4 to 24 weeks). At baseline, six trials included only people with ulcers that were clinically infected; one trial included people with both infected and uninfected ulcers; two trials included people with non-infected ulcers; and the remaining 13 studies did not report infection status.Included studies employed various topical antimicrobial treatments, including antimicrobial dressings (e.g. silver, iodides), super-oxidised aqueous solutions, zinc hyaluronate, silver sulphadiazine, tretinoin, pexiganan cream, and chloramine. We performed the following five comparisons based on the included studies: Antimicrobial dressings compared with non-antimicrobial dressings: Pooled data from five trials with a total of 945 participants suggest (based on the average treatment effect from a random-effects model) that more wounds may heal when treated with an antimicrobial dressing than with a non-antimicrobial dressing: risk ratio (RR) 1.28, 95% confidence interval (CI) 1.12 to 1.45. These results correspond to an additional 119 healing events in the antimicrobial-dressing arm per 1000 participants (95% CI 51 to 191 more). We consider this low-certainty evidence (downgraded twice due to risk of bias). The evidence on adverse events or other outcomes was uncertain (very low-certainty evidence, frequently downgraded due to risk of bias and imprecision). Antimicrobial topical treatments (non dressings) compared with non-antimicrobial topical treatments (non dressings): There were four trials with a total of 132 participants in this comparison that contributed variously to the estimates of outcome data. Evidence was generally of low or very low certainty, and the 95% CIs spanned benefit and harm: proportion of wounds healed RR 2.82 (95% CI 0.56 to 14.23; 112 participants; 3 trials; very low-certainty evidence); achieving resolution of infection RR 1.16 (95% CI 0.54 to 2.51; 40 participants; 1 trial; low-certainty evidence); undergoing surgical resection RR 1.67 (95% CI 0.47 to 5.90; 40 participants; 1 trial; low-certainty evidence); and sustaining an adverse event (no events in either arm; 81 participants; 2 trials; very low-certainty evidence). Comparison of different topical antimicrobial treatments: We included eight studies with a total of 250 participants, but all of the comparisons were different and no data could be appropriately pooled. Reported outcome data were limited and we are uncertain about the relative effects of antimicrobial topical agents for each of our review outcomes for this comparison, that is wound healing, resolution of infection, surgical resection, and adverse events (all very low-certainty evidence). Topical antimicrobials compared with systemic antibiotics : We included four studies with a total of 937 participants. These studies reported no wound-healing data, and the evidence was uncertain for the relative effects on resolution of infection in infected ulcers and surgical resection (very low certainty). On average, there is probably little difference in the risk of adverse events between the compared topical antimicrobial and systemic antibiotics treatments: RR 0.91 (95% CI 0.78 to 1.06; moderate-certainty evidence - downgraded once for inconsistency). Topical antimicrobial agents compared with growth factor: We included one study with 40 participants. The only review-relevant outcome reported was number of ulcers healed, and these data were uncertain (very low-certainty evidence).\nAUTHORS' CONCLUSIONS: The randomised controlled trial data on the effectiveness and safety of topical antimicrobial treatments for diabetic foot ulcers is limited by the availability of relatively few, mostly small, and often poorly designed trials. Based on our systematic review and analysis of the literature, we suggest that: 1) use of an antimicrobial dressing instead of a non-antimicrobial dressing may increase the number of diabetic foot ulcers healed over a medium-term follow-up period (low-certainty evidence); and 2) there is probably little difference in the risk of adverse events related to treatment between systemic antibiotics and topical antimicrobial treatments based on the available studies (moderate-certainty evidence). For each of the other outcomes we examined there were either no reported data or the available data left us uncertain as to whether or not there were any differences between the compared treatments. Given the high, and increasing, frequency of diabetic foot wounds, we encourage investigators to undertake properly designed randomised controlled trials in this area to evaluate the effects of topical antimicrobial treatments for both the prevention and the treatment of infection in these wounds and ultimately the effects on wound healing.","container-title":"The Cochrane Database of Systematic Reviews","journalAbbreviation":"Cochrane Database Syst Rev","language":"eng","note":"PMID: 28613416\nPMCID: PMC6481886","page":"CD011038","title":"Topical antimicrobial agents for treating foot ulcers in people with diabetes","volume":"6","author":[{"family":"Dumville","given":"Jo C."},{"family":"Lipsky","given":"Benjamin A."},{"family":"Hoey","given":"Christopher"},{"family":"Cruciani","given":"Mario"},{"family":"Fiscon","given":"Marta"},{"family":"Xia","given":"Jun"}],"issued":{"date-parts":[["2017"]],"season":"14"}}},{"id":47641,"uris":["http://zotero.org/users/5328021/items/4IDRXDZW"],"uri":["http://zotero.org/users/5328021/items/4IDRXDZW"],"itemData":{"id":47641,"type":"article-journal","abstract":"Nanocrystalline silver (nAg) and Manuka honey (MH) dressing have increasing popularity for treating diabetic foot ulcer (DFU). This study was an open-label randomized controlled trial with three parallel groups' design in examining the preliminary effectiveness of nAg against MH and conventional dressing in healing DFU in terms of ulcer healing, ulcer infection, and inflammation. 31 participants (11 in the nAg group, 10 in the MH group, and 10 in the convention group) diagnosed with type 2 diabetes were enrolled. Wound cleaning, debridement, and topical dressing application were performed according to the group allocation in each visit at weeks 1, 2, 3, 4, 6, 8, 10, and 12. The results found that the proportions of complete ulcer healing were 81.8%, 50%, and 40% in the nAg, MH, and conventional groups, respectively. The ulcer size reduction rate was potentially higher in the nAg group (97.45%) than the MH group (86.21%) and the conventional group (75.17%). In bacteriology, nAg showed a greater rate of microorganism reduction although it was not significant. To conclude, nAg alginate was potentially superior to MH and conventional dressing in healing diabetic foot ulcer in terms of ulcer size reduction rate.","container-title":"Evidence-Based Complementary and Alternative Medicine: eCAM","journalAbbreviation":"Evid Based Complement Alternat Med","language":"eng","note":"PMID: 28239398\nPMCID: PMC5296609","page":"5294890","title":"A Pilot Randomized, Controlled Study of Nanocrystalline Silver, Manuka Honey, and Conventional Dressing in Healing Diabetic Foot Ulcer","volume":"2017","author":[{"family":"Tsang","given":"Ka-Kit"},{"family":"Kwong","given":"Enid Wai-Yung"},{"family":"To","given":"Tony Shing-Shun"},{"family":"Chung","given":"Joanne Wai-Yee"},{"family":"Wong","given":"Thomas Kwok-Shing"}],"issued":{"date-parts":[["2017"]]}}},{"id":49300,"uris":["http://zotero.org/users/5328021/items/T83V5E99"],"uri":["http://zotero.org/users/5328021/items/T83V5E99"],"itemData":{"id":49300,"type":"article-journal","abstract":"BACKGROUND: Chronic foot ulcers in diabetes are serious, costly and frequently difficult to heal. Recent guidelines conclude that new dressings and treatments generally fail to show superiority compared with standard of care. Several mechanisms are probably responsible for impaired healing of chronic foot ulcers, including inflammation and infection. Chloramines have presumed antiseptic and antibacterial properties, and have shown to be a useful treatment in odontology.\nMETHODS: In an explorative open randomised controlled multi-centre study, we compared chloramine-based treatment with current standard of care for 12 weeks and follow-up for 24 weeks. Seventeen patients in each group, mean age about 70, duration of diabetes &gt; 20 years and foot ulcers about 1.5 years, completed the 12 weeks study.\nRESULTS: After 5 weeks, the difference between the groups in relative reduction in ulcer area was statistically significant (p=0.016). Absolute change in ulcer area was first statistically significant within the chloraminetreated group after 2 weeks (p=0.026), after 8 weeks in the control group (p=0.0023), with significant difference between groups after 5 weeks (p=0.024). The approximate relative decrease per week was 19.4% (95%CI 12.2, 26.0; p&lt;0.0001) in the chloramine-treated group and 11.7% (95%CI 6.4, 16.7; p&lt;0.0001; between-group difference p=0.083). After 9 weeks 7 patients had healed in the chloraminetreated group, but only one in the control group (p=0.039). There were no statistically significant differences in wound healing at 12 or 24 weeks, and no marked differences in signs of infection, pain, quality of life (EQ-5D), or incidence of adverse events.\nCONCLUSIONS: Chloramine-based treatment seems to be efficacious, particularly in the early phase of the care of infected diabetic foot ulcers. It is safe and easy to use, and could prove to be a valuable addition in the treatment arsenal, providing non-surgical debridement. Future studies will evaluate its role in wound care.","container-title":"Clinical Diabetes and Endocrinology","journalAbbreviation":"Clin Diabetes Endocrinol","language":"eng","note":"PMID: 28702241\nPMCID: PMC5471721","page":"6","title":"The role of chloramines in treatment of diabetic foot ulcers: an exploratory multicentre randomised controlled trial","volume":"2","author":[{"family":"Bergqvist","given":"Karin"},{"family":"Almhöjd","given":"Ulrica"},{"family":"Herrmann","given":"Irene"},{"family":"Eliasson","given":"Björn"}],"issued":{"date-parts":[["2016"]]}}},{"id":53286,"uris":["http://zotero.org/users/5328021/items/ZGVXW7CU"],"uri":["http://zotero.org/users/5328021/items/ZGVXW7CU"],"itemData":{"id":53286,"type":"article-journal","abstract":"Foot ulcers are major sources of morbidity in individuals with diabetes mellitus. As royal jelly (RJ, a worker honey bee product) contains enzymatic, antibacterial and vasodilative properties, it can potentially help in healing of diabetic foot ulcers (DFUs). This study aimed to evaluate the efficacy of topical RJ on healing of DFUs. Diabetic patients with foot ulcers who were referred to us at Khorshid Hospital, Isfahan, Iran, were managed by offloading, infection control, vascular improvement and debridement (if required). Then, all ulcers were randomly selected to receive either 5% sterile topical RJ or placebo on their total surface area. Patients were followed for 3 months or until complete healing. Twenty-five patients (6 females and 19 males) and a total of 64 ulcers were included and randomly allocated to case or control group (32 per group). Four ulcers were excluded and 60 ulcers included in the final analysis. Healing parameters including depth, length and width reduction rate, duration of complete healing and incidence of complete healing did not show any significant difference (P = 0·69, 0·95, 0·7, 0·74 and 0·6, respectively) between groups. We did not observe any side effect of topical RJ application. This study could not confirm any significant superiority of 5% topical RJ over placebo for the treatment of DFUs.","container-title":"International Wound Journal","issue":"2","journalAbbreviation":"Int Wound J","language":"eng","note":"PMID: 23566071","page":"137-142","title":"The efficacy of topical royal jelly on healing of diabetic foot ulcers: a double-blind placebo-controlled clinical trial","volume":"12","author":[{"family":"Siavash","given":"Mansour"},{"family":"Shokri","given":"Saeideh"},{"family":"Haghighi","given":"Sepehr"},{"family":"Shahtalebi","given":"Mohammad Ali"},{"family":"Farajzadehgan","given":"Ziba"}],"issued":{"date-parts":[["2015",4]]}}},{"id":53636,"uris":["http://zotero.org/users/5328021/items/GTM8534G"],"uri":["http://zotero.org/users/5328021/items/GTM8534G"],"itemData":{"id":53636,"type":"article-journal","abstract":"In this study, we investigate the effect of manuka honey-impregnated dressings (MHID) on the healing of neuropathic diabetic foot ulcers (NDFU). A total of 63 Caucasians, type 2 diabetic patients followed up in the diabetic foot outpatient clinic comprised the study population. Patients were randomised in two groups as follows: group I patients were treated with MHID and group II patients were treated with conventional dressings (CD). The patients were followed up on a weekly basis for 16 weeks. Mean healing time was 31 ± 4 days in group I versus 43 ± 3 days in group II (P &lt; 0·05). In group I patients 78·13% of ulcers became sterile during the first week versus 35·5% in group II patients; the corresponding percentages for weeks 2, 4 and 6 were 15·62% versus 38·7%, 6·25% versus 12·9% and 0% versus 12·9% respectively. The percent of ulcers healed did not differ significantly between groups (97% for MHID and 90% for CD). MHID represent an effective treatment for NDFU leading to a significant reduction in the time of healing and rapid disinfection of ulcers.","container-title":"International Wound Journal","issue":"3","journalAbbreviation":"Int Wound J","language":"eng","note":"PMID: 22985336","page":"259-263","title":"Manuka honey-impregnated dressings in the treatment of neuropathic diabetic foot ulcers","volume":"11","author":[{"family":"Kamaratos","given":"Alexandros V."},{"family":"Tzirogiannis","given":"Konstantinos N."},{"family":"Iraklianou","given":"Stella A."},{"family":"Panoutsopoulos","given":"Georgios I."},{"family":"Kanellos","given":"Ilias E."},{"family":"Melidonis","given":"Andreas I."}],"issued":{"date-parts":[["2014",6]]}}},{"id":16525,"uris":["http://zotero.org/users/5328021/items/DZQCVAIF"],"uri":["http://zotero.org/users/5328021/items/DZQCVAIF"],"itemData":{"id":16525,"type":"article-journal","abstract":"Background Honey dressing has been applied to clinical practice for many types of disease for centuries. Many researchers have studied the effects of honey dressing for the treatment of DFUs (diabetic foot ulcers), and no systematic review has considered effects of honey dressing on DFUs. A systematic review performed to objectively evaluate the effectiveness of honey dressing in the treatment of DFUs. Methods We include all original studies found for the key words honey and diabetic foot ulcers. Mean effect sizes and confidence intervals are pooled from study effect sizes according to standard methods, and these are considered for various common types of honey dressing interventions separately. Results A total of 4 RCTs involving 258 participants were included, and 3 trails involving 228 participants met the quantitative analysis and 1 study involving 30 participants met qualitative analysis. Results of meta and descriptive analyses showed that total treatment time, Mean purge time of ulcers, ratio of purging germ, healed area of ulcers in honey dressing group are better than that of control group, respectively, and with statistically significant differences. Conclusions Honey dressing was superior of traditional dressing for treatment of DFUs. Due to limitations in the quantity of published studies, this conclusion has yet to be carried out in large, multicenter study to validate. © 2014, Chinese Nursing Association. Production and hosting by Elsevier (Singapore) Pte Ltd. All rights reserved.","archive":"Embase","container-title":"International Journal of Nursing Sciences","issue":"2","journalAbbreviation":"Int. J. Nurs. Sci.","language":"English","page":"224-231","title":"Effects of honey dressing for the treatment of DFUs: A systematic review","volume":"1","author":[{"family":"Tian X.","given":""},{"literal":"Yi L.-J."},{"literal":"Ma L."},{"literal":"Zhang L."},{"literal":"Song G.-M."},{"literal":"Wang Y."}],"issued":{"date-parts":[["2014"]]}}}],"schema":"https://github.com/citation-style-language/schema/raw/master/csl-citation.json"}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(35–40)</w:t>
            </w:r>
            <w:r w:rsidRPr="00CA32B9">
              <w:rPr>
                <w:rFonts w:asciiTheme="minorHAnsi" w:hAnsiTheme="minorHAnsi" w:cstheme="minorHAnsi"/>
                <w:szCs w:val="20"/>
                <w:lang w:val="en-US"/>
              </w:rPr>
              <w:fldChar w:fldCharType="end"/>
            </w:r>
            <w:r w:rsidRPr="00CA32B9">
              <w:rPr>
                <w:rFonts w:asciiTheme="minorHAnsi" w:hAnsiTheme="minorHAnsi" w:cstheme="minorHAnsi"/>
                <w:szCs w:val="20"/>
                <w:lang w:val="en-US"/>
              </w:rPr>
              <w:t xml:space="preserve"> </w:t>
            </w:r>
          </w:p>
        </w:tc>
      </w:tr>
      <w:tr w:rsidR="00CD572B" w:rsidRPr="0048149F" w14:paraId="40E76BC6" w14:textId="77777777" w:rsidTr="00361845">
        <w:tc>
          <w:tcPr>
            <w:tcW w:w="9923" w:type="dxa"/>
            <w:gridSpan w:val="4"/>
            <w:vAlign w:val="center"/>
          </w:tcPr>
          <w:p w14:paraId="62A0764E"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 xml:space="preserve">Ulcer area reduction </w:t>
            </w:r>
          </w:p>
        </w:tc>
      </w:tr>
      <w:tr w:rsidR="008B4EFF" w:rsidRPr="0048149F" w14:paraId="32DAFE40" w14:textId="77777777" w:rsidTr="00361845">
        <w:tc>
          <w:tcPr>
            <w:tcW w:w="3256" w:type="dxa"/>
            <w:vAlign w:val="center"/>
          </w:tcPr>
          <w:p w14:paraId="091E51D1"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3 studies (</w:t>
            </w:r>
            <w:r w:rsidRPr="00CA32B9">
              <w:rPr>
                <w:rFonts w:asciiTheme="minorHAnsi" w:eastAsia="Times New Roman" w:hAnsiTheme="minorHAnsi" w:cstheme="minorHAnsi"/>
                <w:szCs w:val="20"/>
                <w:lang w:val="en-US"/>
              </w:rPr>
              <w:t>II)</w:t>
            </w:r>
          </w:p>
        </w:tc>
        <w:tc>
          <w:tcPr>
            <w:tcW w:w="1887" w:type="dxa"/>
          </w:tcPr>
          <w:p w14:paraId="6B356BF5" w14:textId="1B9507AA" w:rsidR="008B4EFF" w:rsidRPr="00CA32B9" w:rsidRDefault="000E3273"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4,</w:t>
            </w:r>
          </w:p>
        </w:tc>
        <w:tc>
          <w:tcPr>
            <w:tcW w:w="2932" w:type="dxa"/>
            <w:vMerge w:val="restart"/>
            <w:vAlign w:val="center"/>
          </w:tcPr>
          <w:p w14:paraId="7B7B7635"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Low</w:t>
            </w:r>
          </w:p>
        </w:tc>
        <w:tc>
          <w:tcPr>
            <w:tcW w:w="1848" w:type="dxa"/>
          </w:tcPr>
          <w:p w14:paraId="4A72D826" w14:textId="19D44A31" w:rsidR="008B4EFF" w:rsidRPr="00CA32B9" w:rsidRDefault="00050694"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ayzmDO9v","properties":{"formattedCitation":"(33,37,41)","plainCitation":"(33,37,41)","noteIndex":0},"citationItems":[{"id":49612,"uris":["http://zotero.org/users/5328021/items/85AK45PJ"],"uri":["http://zotero.org/users/5328021/items/85AK45PJ"],"itemData":{"id":49612,"type":"article-journal","abstract":"OBJECTIVE: To investigate the effect of Beri-honey-impregnated dressing on diabetic foot ulcer and compare it with normal saline dressing.\nSTUDY DESIGN: A randomized, controlled trial.\nPLACE AND DURATION OF STUDY: Sughra Shafi Medical Complex, Narowal, Pakistan and Bhatti International Trust (BIT) Hospital, Affiliated with Central Park Medical College, Lahore, from February 2006 to February 2010.\nMETHODOLOGY: Patients with Wagner's grade 1 and 2 ulcers were enrolled. Those patients were divided in two groups; group A (n=179) treated with honey dressing and group B (n=169) treated with normal saline dressing. Outcome measures were calculated in terms of proportion of wounds completely healed (primary outcome), wound healing time, and deterioration of wounds. Patients were followed-up for a maximum of 120 days.\nRESULTS: One hundred and thirty six wounds (75.97%) out of 179 were completely healed with honey dressing and 97 (57.39%) out of 169 wtih saline dressing (p=0.001). The median wound healing time was 18.00 (6 - 120) days (Median with IQR) in group A and 29.00 (7 - 120) days (Median with IQR) in group B (p &lt; 0.001).\nCONCLUSION: The present results showed that honey is an effective dressing agent instead of conventional dressings, in treating patients of diabetic foot ulcer.","container-title":"Journal of the College of Physicians and Surgeons--Pakistan: JCPSP","issue":"10","journalAbbreviation":"J Coll Physicians Surg Pak","language":"eng","note":"PMID: 26454386","page":"721-725","title":"A Randomized, Controlled Clinical Trial of Honey-Impregnated Dressing for Treating Diabetic Foot Ulcer","volume":"25","author":[{"family":"Imran","given":"Muhammad"},{"family":"Hussain","given":"Muhammad Barkaat"},{"family":"Baig","given":"Mukhtiar"}],"issued":{"date-parts":[["2015",10]]}}},{"id":49300,"uris":["http://zotero.org/users/5328021/items/T83V5E99"],"uri":["http://zotero.org/users/5328021/items/T83V5E99"],"itemData":{"id":49300,"type":"article-journal","abstract":"BACKGROUND: Chronic foot ulcers in diabetes are serious, costly and frequently difficult to heal. Recent guidelines conclude that new dressings and treatments generally fail to show superiority compared with standard of care. Several mechanisms are probably responsible for impaired healing of chronic foot ulcers, including inflammation and infection. Chloramines have presumed antiseptic and antibacterial properties, and have shown to be a useful treatment in odontology.\nMETHODS: In an explorative open randomised controlled multi-centre study, we compared chloramine-based treatment with current standard of care for 12 weeks and follow-up for 24 weeks. Seventeen patients in each group, mean age about 70, duration of diabetes &gt; 20 years and foot ulcers about 1.5 years, completed the 12 weeks study.\nRESULTS: After 5 weeks, the difference between the groups in relative reduction in ulcer area was statistically significant (p=0.016). Absolute change in ulcer area was first statistically significant within the chloraminetreated group after 2 weeks (p=0.026), after 8 weeks in the control group (p=0.0023), with significant difference between groups after 5 weeks (p=0.024). The approximate relative decrease per week was 19.4% (95%CI 12.2, 26.0; p&lt;0.0001) in the chloramine-treated group and 11.7% (95%CI 6.4, 16.7; p&lt;0.0001; between-group difference p=0.083). After 9 weeks 7 patients had healed in the chloraminetreated group, but only one in the control group (p=0.039). There were no statistically significant differences in wound healing at 12 or 24 weeks, and no marked differences in signs of infection, pain, quality of life (EQ-5D), or incidence of adverse events.\nCONCLUSIONS: Chloramine-based treatment seems to be efficacious, particularly in the early phase of the care of infected diabetic foot ulcers. It is safe and easy to use, and could prove to be a valuable addition in the treatment arsenal, providing non-surgical debridement. Future studies will evaluate its role in wound care.","container-title":"Clinical Diabetes and Endocrinology","journalAbbreviation":"Clin Diabetes Endocrinol","language":"eng","note":"PMID: 28702241\nPMCID: PMC5471721","page":"6","title":"The role of chloramines in treatment of diabetic foot ulcers: an exploratory multicentre randomised controlled trial","volume":"2","author":[{"family":"Bergqvist","given":"Karin"},{"family":"Almhöjd","given":"Ulrica"},{"family":"Herrmann","given":"Irene"},{"family":"Eliasson","given":"Björn"}],"issued":{"date-parts":[["2016"]]}}},{"id":74018,"uris":["http://zotero.org/users/5328021/items/EX8YDGVZ"],"uri":["http://zotero.org/users/5328021/items/EX8YDGVZ"],"itemData":{"id":74018,"type":"article-journal","abstract":"Objective: Diabetic foot wounds are a relevant diabetes complication and a major  health problem. It has been described that propolis has health benefits due to its anti-inflammatory, antioxidant, and support in the healing process. The current study assessed the effect of propolis as an adjuvant in the healing of human diabetic foot ulcers. This was evaluated in a randomized placebo-controlled study of subjects receiving care in the Diagnostic and Treatment Centre from the  Regional Hospital of Talca, Chile. Research Design and Methods: Randomized subjects received ambulatory healing treatment for diabetes foot wounds with propolis spray (3%), which was applied to cover the entire wound surface each time it was dressed from week 0 until cicatrization or 8 weeks as a maximum. Two  serum samples were taken (day 0 and end of the study) for cytokine and oxidative  stress analyses. Also, macro- and microscopy were analyzed in the process of wound healing. Results: The study comprised 31 subjects with type 2 diabetes in treatment for diabetic foot wounds in the Diagnostic and Treatment Centre from the Regional Hospital of Talca. Propolis promotes a reduction of the wound's area by an average of 4 cm(2), related to an increase in the connective tissue deposit compared to the control. Also, propolis increased the glutathione (GSH) and GSH/glutathione disulfide (GSSG) ratio (p &lt; 0.02), depleted tumor necrosis factor- (TNF-) alpha, and increased interleukin- (IL-) 10 levels. Topical propolis did not modify the biochemical parameters in the serum of the studied subjects. Conclusions: The topical use of propolis turned out to be an interesting therapeutic strategy as an adjuvant in the care of diabetes foot wounds due to its ability to improve and promote healing based on its anti-inflammatory and antioxidant profile. This trial is registered with NCT03649243.","container-title":"Journal of diabetes research","journalAbbreviation":"J Diabetes Res","language":"eng","note":"PMID: 31612147 \nPMCID: PMC6757282","page":"2507578","title":"Propolis as an Adjuvant in the Healing of Human Diabetic Foot Wounds Receiving Care in the Diagnostic and Treatment Centre from the Regional Hospital of Talca.","volume":"2019","author":[{"family":"Mujica","given":"Veronica"},{"family":"Orrego","given":"Roxana"},{"family":"Fuentealba","given":"Roberto"},{"family":"Leiva","given":"Elba"},{"family":"Zuniga-Hernandez","given":"Jessica"}],"issued":{"date-parts":[["2019"]]}}}],"schema":"https://github.com/citation-style-language/schema/raw/master/csl-citation.json"} </w:instrText>
            </w:r>
            <w:r w:rsidRPr="00CA32B9">
              <w:rPr>
                <w:rFonts w:asciiTheme="minorHAnsi" w:hAnsiTheme="minorHAnsi" w:cstheme="minorHAnsi"/>
                <w:szCs w:val="20"/>
                <w:lang w:val="en-US"/>
              </w:rPr>
              <w:fldChar w:fldCharType="separate"/>
            </w:r>
            <w:r w:rsidR="00A20A04" w:rsidRPr="00CA32B9">
              <w:rPr>
                <w:rFonts w:asciiTheme="minorHAnsi" w:hAnsiTheme="minorHAnsi" w:cstheme="minorHAnsi"/>
                <w:szCs w:val="20"/>
                <w:lang w:val="en-US"/>
              </w:rPr>
              <w:t>(33,37,41)</w:t>
            </w:r>
            <w:r w:rsidRPr="00CA32B9">
              <w:rPr>
                <w:rFonts w:asciiTheme="minorHAnsi" w:hAnsiTheme="minorHAnsi" w:cstheme="minorHAnsi"/>
                <w:szCs w:val="20"/>
                <w:lang w:val="en-US"/>
              </w:rPr>
              <w:fldChar w:fldCharType="end"/>
            </w:r>
          </w:p>
        </w:tc>
      </w:tr>
      <w:tr w:rsidR="008B4EFF" w:rsidRPr="0048149F" w14:paraId="4B2EAF7F" w14:textId="77777777" w:rsidTr="00361845">
        <w:tc>
          <w:tcPr>
            <w:tcW w:w="3256" w:type="dxa"/>
            <w:vAlign w:val="center"/>
          </w:tcPr>
          <w:p w14:paraId="1658ABED" w14:textId="77777777" w:rsidR="008B4EFF" w:rsidRPr="00CA32B9" w:rsidRDefault="000E3273"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2 studies</w:t>
            </w:r>
            <w:r w:rsidR="008B4EFF" w:rsidRPr="00CA32B9">
              <w:rPr>
                <w:rFonts w:asciiTheme="minorHAnsi" w:hAnsiTheme="minorHAnsi" w:cstheme="minorHAnsi"/>
                <w:color w:val="9A9B9D" w:themeColor="text1" w:themeTint="99"/>
                <w:szCs w:val="20"/>
                <w:lang w:val="en-US"/>
              </w:rPr>
              <w:t xml:space="preserve"> (II)</w:t>
            </w:r>
          </w:p>
        </w:tc>
        <w:tc>
          <w:tcPr>
            <w:tcW w:w="1887" w:type="dxa"/>
          </w:tcPr>
          <w:p w14:paraId="62C8724C" w14:textId="77777777" w:rsidR="008B4EFF" w:rsidRPr="00CA32B9" w:rsidRDefault="00C366D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5</w:t>
            </w:r>
            <w:r w:rsidR="000E3273" w:rsidRPr="00CA32B9">
              <w:rPr>
                <w:rFonts w:asciiTheme="minorHAnsi" w:hAnsiTheme="minorHAnsi" w:cstheme="minorHAnsi"/>
                <w:color w:val="9A9B9D" w:themeColor="text1" w:themeTint="99"/>
                <w:szCs w:val="20"/>
                <w:lang w:val="en-US"/>
              </w:rPr>
              <w:t>,5</w:t>
            </w:r>
          </w:p>
        </w:tc>
        <w:tc>
          <w:tcPr>
            <w:tcW w:w="2932" w:type="dxa"/>
            <w:vMerge/>
            <w:vAlign w:val="center"/>
          </w:tcPr>
          <w:p w14:paraId="3ED5A739" w14:textId="77777777" w:rsidR="008B4EFF" w:rsidRPr="00CA32B9" w:rsidRDefault="008B4EFF" w:rsidP="00361845">
            <w:pPr>
              <w:pStyle w:val="BodySciensano"/>
              <w:jc w:val="center"/>
              <w:rPr>
                <w:rFonts w:asciiTheme="minorHAnsi" w:hAnsiTheme="minorHAnsi" w:cstheme="minorHAnsi"/>
                <w:szCs w:val="20"/>
                <w:lang w:val="en-US"/>
              </w:rPr>
            </w:pPr>
          </w:p>
        </w:tc>
        <w:tc>
          <w:tcPr>
            <w:tcW w:w="1848" w:type="dxa"/>
          </w:tcPr>
          <w:p w14:paraId="257D18D7" w14:textId="6B82C645" w:rsidR="008B4EFF" w:rsidRPr="00CA32B9" w:rsidRDefault="00050694"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vIxy1tYl","properties":{"formattedCitation":"(42,43)","plainCitation":"(42,43)","noteIndex":0},"citationItems":[{"id":47264,"uris":["http://zotero.org/users/5328021/items/LWFNVWWG"],"uri":["http://zotero.org/users/5328021/items/LWFNVWWG"],"itemData":{"id":47264,"type":"article-journal","abstract":"In this randomized controlled trial, diabetic patients with foot ulcers (Wagner grades 1 and 2) were randomly assigned to conventional therapies for diabetic foot ulcer plus topical propolis ointment (5%; twice daily) or conventional therapies alone. The process of ulcer healing was observed during 4 weeks and compared between the two groups regarding the size, erythema, exudates, white blood cell (WBC) count and erythrocyte sedimentation rate (ESR). The process of ulcer size reduction during the four-week period of study was significantly different between the groups. However, this difference was not significant between the third and fourth weeks. There was no significant difference between two groups regarding erythema and exudate reduction as well as WBC count and ESR. Administration of topical propolis ointment in addition to the conventional treatments of diabetic foot ulcer could reduce the size of ulcers with Wagner grades 1 and 2.","container-title":"Natural Product Research","issue":"17","journalAbbreviation":"Nat. Prod. Res.","language":"eng","note":"PMID: 28826262","page":"2096-2099","title":"Topical propolis improves wound healing in patients with diabetic foot ulcer: a randomized controlled trial","volume":"32","author":[{"family":"Afkhamizadeh","given":"Mozhgan"},{"family":"Aboutorabi","given":"Robab"},{"family":"Ravari","given":"Hassan"},{"family":"Fathi Najafi","given":"Mohsen"},{"family":"Ataei Azimi","given":"Sajad"},{"family":"Javadian Langaroodi","given":"Adineh"},{"family":"Yaghoubi","given":"Mohammad Ali"},{"family":"Sahebkar","given":"Amirhossein"}],"issued":{"date-parts":[["2018",9]]}}},{"id":45230,"uris":["http://zotero.org/users/5328021/items/WJFD298A"],"uri":["http://zotero.org/users/5328021/items/WJFD298A"],"itemData":{"id":45230,"type":"article-journal","abstract":"Objective: To compare outcomes of diabetic foot ulcers (DFUs) treated with clostridial collagenase ointment (CCO) or silver-containing products, both in combination with sharp debridement as needed. Approach: One hundred two subjects with qualifying DFUs were randomized to daily treatment with either CCO or a silver-containing product for 6 weeks followed by a 4 -week follow-up period. The primary outcome was the mean percent reduction in DFU area. A secondary outcome was the incidence of ulcer infections between groups. Results: At the end of treatment, the mean percent reduction in area from baseline of DFUs treated with CCO was 62% (p &lt; 0.0001) and with silver was 40% (p &lt; 0.0001). The difference between groups-22%-was not statistically significant (p = 0.071). Among ulcers closed by the end of treatment, the mean time to closure was 31.1 ± 9.0 days versus 37.1 ± 7.7 days, respectively (not statistically significant). There was a numerically greater incidence of target ulcer infections in the silver group (11, 21.6%) than in the CCO group (5, 9.8%; p = 0.208). No clinically relevant safety signals were identified in either group. Innovation: CCO treatment can progress a wound toward closure. Ulcer infection prophylaxis may not be sacrificed when treating DFU with CCO in lieu of silver-containing products. Conclusion: Both CCO and silver-containing products promote significant reduction in DFU area over 6 weeks of treatment with no clinically relevant safety concerns. Mean percent reduction in lesion area was numerically (22%) but not significantly greater with CCO compared to silver, as was time to ulcer closure, with an incidence of ulcer infection at least as low as for silver-containing products.","container-title":"Advances in Wound Care","issue":"10","journalAbbreviation":"Adv Wound Care (New Rochelle)","language":"eng","note":"PMID: 30374419\nPMCID: PMC6203225","page":"339-348","title":"Clinical Outcomes for Diabetic Foot Ulcers Treated with Clostridial Collagenase Ointment or with a Product Containing Silver","volume":"7","author":[{"family":"Motley","given":"Travis A."},{"family":"Caporusso","given":"Joseph M."},{"family":"Lange","given":"Darrell L."},{"family":"Eichelkraut","given":"Robert A."},{"family":"Cargill","given":"David Innes"},{"family":"Dickerson","given":"Jaime E."}],"issued":{"date-parts":[["2018",10,1]]}}}],"schema":"https://github.com/citation-style-language/schema/raw/master/csl-citation.json"} </w:instrText>
            </w:r>
            <w:r w:rsidRPr="00CA32B9">
              <w:rPr>
                <w:rFonts w:asciiTheme="minorHAnsi" w:hAnsiTheme="minorHAnsi" w:cstheme="minorHAnsi"/>
                <w:szCs w:val="20"/>
                <w:lang w:val="en-US"/>
              </w:rPr>
              <w:fldChar w:fldCharType="separate"/>
            </w:r>
            <w:r w:rsidR="000E3273" w:rsidRPr="00CA32B9">
              <w:rPr>
                <w:rFonts w:asciiTheme="minorHAnsi" w:hAnsiTheme="minorHAnsi" w:cstheme="minorHAnsi"/>
                <w:szCs w:val="20"/>
              </w:rPr>
              <w:t>(42,43)</w:t>
            </w:r>
            <w:r w:rsidRPr="00CA32B9">
              <w:rPr>
                <w:rFonts w:asciiTheme="minorHAnsi" w:hAnsiTheme="minorHAnsi" w:cstheme="minorHAnsi"/>
                <w:szCs w:val="20"/>
                <w:lang w:val="en-US"/>
              </w:rPr>
              <w:fldChar w:fldCharType="end"/>
            </w:r>
          </w:p>
        </w:tc>
      </w:tr>
      <w:tr w:rsidR="00CD572B" w:rsidRPr="0048149F" w14:paraId="3F1EC27A" w14:textId="77777777" w:rsidTr="00361845">
        <w:tc>
          <w:tcPr>
            <w:tcW w:w="9923" w:type="dxa"/>
            <w:gridSpan w:val="4"/>
            <w:vAlign w:val="center"/>
          </w:tcPr>
          <w:p w14:paraId="590F683D"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 xml:space="preserve">Time to healing </w:t>
            </w:r>
          </w:p>
        </w:tc>
      </w:tr>
      <w:tr w:rsidR="008B4EFF" w:rsidRPr="0048149F" w14:paraId="2F7AFA67" w14:textId="77777777" w:rsidTr="00361845">
        <w:tc>
          <w:tcPr>
            <w:tcW w:w="3256" w:type="dxa"/>
            <w:vAlign w:val="center"/>
          </w:tcPr>
          <w:p w14:paraId="1A17A5C1" w14:textId="24CCCC78" w:rsidR="008B4EFF" w:rsidRPr="00CA32B9" w:rsidRDefault="00E563DA" w:rsidP="00361845">
            <w:pPr>
              <w:pStyle w:val="BodySciensano"/>
              <w:jc w:val="center"/>
              <w:rPr>
                <w:rFonts w:asciiTheme="minorHAnsi" w:hAnsiTheme="minorHAnsi" w:cstheme="minorHAnsi"/>
                <w:szCs w:val="20"/>
                <w:lang w:val="en-US"/>
              </w:rPr>
            </w:pPr>
            <w:r>
              <w:rPr>
                <w:rFonts w:asciiTheme="minorHAnsi" w:hAnsiTheme="minorHAnsi" w:cstheme="minorHAnsi"/>
                <w:szCs w:val="20"/>
                <w:lang w:val="en-US"/>
              </w:rPr>
              <w:t>2</w:t>
            </w:r>
            <w:r w:rsidR="008B4EFF" w:rsidRPr="00CA32B9">
              <w:rPr>
                <w:rFonts w:asciiTheme="minorHAnsi" w:hAnsiTheme="minorHAnsi" w:cstheme="minorHAnsi"/>
                <w:szCs w:val="20"/>
                <w:lang w:val="en-US"/>
              </w:rPr>
              <w:t xml:space="preserve"> stud</w:t>
            </w:r>
            <w:r>
              <w:rPr>
                <w:rFonts w:asciiTheme="minorHAnsi" w:hAnsiTheme="minorHAnsi" w:cstheme="minorHAnsi"/>
                <w:szCs w:val="20"/>
                <w:lang w:val="en-US"/>
              </w:rPr>
              <w:t>ies</w:t>
            </w:r>
            <w:r w:rsidR="008B4EFF" w:rsidRPr="00CA32B9">
              <w:rPr>
                <w:rFonts w:asciiTheme="minorHAnsi" w:hAnsiTheme="minorHAnsi" w:cstheme="minorHAnsi"/>
                <w:szCs w:val="20"/>
                <w:lang w:val="en-US"/>
              </w:rPr>
              <w:t xml:space="preserve"> (</w:t>
            </w:r>
            <w:r w:rsidR="008B4EFF" w:rsidRPr="00CA32B9">
              <w:rPr>
                <w:rFonts w:asciiTheme="minorHAnsi" w:eastAsia="Times New Roman" w:hAnsiTheme="minorHAnsi" w:cstheme="minorHAnsi"/>
                <w:szCs w:val="20"/>
                <w:lang w:val="en-US"/>
              </w:rPr>
              <w:t>II)</w:t>
            </w:r>
          </w:p>
        </w:tc>
        <w:tc>
          <w:tcPr>
            <w:tcW w:w="1887" w:type="dxa"/>
          </w:tcPr>
          <w:p w14:paraId="183E9204"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6</w:t>
            </w:r>
          </w:p>
        </w:tc>
        <w:tc>
          <w:tcPr>
            <w:tcW w:w="2932" w:type="dxa"/>
            <w:vMerge w:val="restart"/>
            <w:vAlign w:val="center"/>
          </w:tcPr>
          <w:p w14:paraId="33746012"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Moderate </w:t>
            </w:r>
          </w:p>
        </w:tc>
        <w:tc>
          <w:tcPr>
            <w:tcW w:w="1848" w:type="dxa"/>
          </w:tcPr>
          <w:p w14:paraId="12966A5C" w14:textId="2FF19EF9" w:rsidR="008B4EFF" w:rsidRPr="00CA32B9" w:rsidRDefault="004B16F2"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K4ysWtzd","properties":{"formattedCitation":"(30,39)","plainCitation":"(30,39)","noteIndex":0},"citationItems":[{"id":44991,"uris":["http://zotero.org/users/5328021/items/QIK67KY3"],"uri":["http://zotero.org/users/5328021/items/QIK67KY3"],"itemData":{"id":44991,"type":"article-journal","abstract":"OBJECTIVE: Honey dressing has been applied in the treatment of diabetic foot ulcers (DFUs). However, there is a lack of research showing ample evidence that honey dressing is more effective in the treatment of DFUs than other dressings. This study aimed to examine the effects of honey dressing on wound-healing process for DFUs.\nMETHOD: We searched for evidence regarding honey dressing used in the treatment of DFUs in various databases. We selected randomized controlled trials (RCTs) and quasi-experimental studies for meta-analysis.\nRESULTS: The meta-analysis showed that honey dressing effectively shortened the wound debridement time, wound healing time, and bacterial clearance time; it increased the wound healing rate and bacterial clearance rate during the first one to two weeks of use.\nCONCLUSION: Our findings suggest that honey dressing effectively promotes healing in DFUs. Further research is needed to elucidate these findings so that this form of treatment can be widely applied.","container-title":"Complementary Therapies in Clinical Practice","journalAbbreviation":"Complement Ther Clin Pract","language":"eng","note":"PMID: 30712715","page":"123-131","title":"Effectiveness of honey dressing in the treatment of diabetic foot ulcers: A systematic review and meta-analysis","volume":"34","author":[{"family":"Wang","given":"Cui"},{"family":"Guo","given":"Min"},{"family":"Zhang","given":"Nan"},{"family":"Wang","given":"Gongchao"}],"issued":{"date-parts":[["2019",2]]}}},{"id":53636,"uris":["http://zotero.org/users/5328021/items/GTM8534G"],"uri":["http://zotero.org/users/5328021/items/GTM8534G"],"itemData":{"id":53636,"type":"article-journal","abstract":"In this study, we investigate the effect of manuka honey-impregnated dressings (MHID) on the healing of neuropathic diabetic foot ulcers (NDFU). A total of 63 Caucasians, type 2 diabetic patients followed up in the diabetic foot outpatient clinic comprised the study population. Patients were randomised in two groups as follows: group I patients were treated with MHID and group II patients were treated with conventional dressings (CD). The patients were followed up on a weekly basis for 16 weeks. Mean healing time was 31 ± 4 days in group I versus 43 ± 3 days in group II (P &lt; 0·05). In group I patients 78·13% of ulcers became sterile during the first week versus 35·5% in group II patients; the corresponding percentages for weeks 2, 4 and 6 were 15·62% versus 38·7%, 6·25% versus 12·9% and 0% versus 12·9% respectively. The percent of ulcers healed did not differ significantly between groups (97% for MHID and 90% for CD). MHID represent an effective treatment for NDFU leading to a significant reduction in the time of healing and rapid disinfection of ulcers.","container-title":"International Wound Journal","issue":"3","journalAbbreviation":"Int Wound J","language":"eng","note":"PMID: 22985336","page":"259-263","title":"Manuka honey-impregnated dressings in the treatment of neuropathic diabetic foot ulcers","volume":"11","author":[{"family":"Kamaratos","given":"Alexandros V."},{"family":"Tzirogiannis","given":"Konstantinos N."},{"family":"Iraklianou","given":"Stella A."},{"family":"Panoutsopoulos","given":"Georgios I."},{"family":"Kanellos","given":"Ilias E."},{"family":"Melidonis","given":"Andreas I."}],"issued":{"date-parts":[["2014",6]]}}}],"schema":"https://github.com/citation-style-language/schema/raw/master/csl-citation.json"}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(30,39)</w:t>
            </w:r>
            <w:r w:rsidRPr="00CA32B9">
              <w:rPr>
                <w:rFonts w:asciiTheme="minorHAnsi" w:hAnsiTheme="minorHAnsi" w:cstheme="minorHAnsi"/>
                <w:szCs w:val="20"/>
                <w:lang w:val="en-US"/>
              </w:rPr>
              <w:fldChar w:fldCharType="end"/>
            </w:r>
          </w:p>
        </w:tc>
      </w:tr>
      <w:tr w:rsidR="008B4EFF" w:rsidRPr="0048149F" w14:paraId="53C7299F" w14:textId="77777777" w:rsidTr="00361845">
        <w:tc>
          <w:tcPr>
            <w:tcW w:w="3256" w:type="dxa"/>
            <w:vAlign w:val="center"/>
          </w:tcPr>
          <w:p w14:paraId="1BE516FD" w14:textId="77777777" w:rsidR="008B4EFF" w:rsidRPr="00CA32B9" w:rsidRDefault="000E3273"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2 studies</w:t>
            </w:r>
            <w:r w:rsidR="008B4EFF" w:rsidRPr="00CA32B9">
              <w:rPr>
                <w:rFonts w:asciiTheme="minorHAnsi" w:hAnsiTheme="minorHAnsi" w:cstheme="minorHAnsi"/>
                <w:color w:val="9A9B9D" w:themeColor="text1" w:themeTint="99"/>
                <w:szCs w:val="20"/>
                <w:lang w:val="en-US"/>
              </w:rPr>
              <w:t xml:space="preserve"> (II)</w:t>
            </w:r>
          </w:p>
        </w:tc>
        <w:tc>
          <w:tcPr>
            <w:tcW w:w="1887" w:type="dxa"/>
          </w:tcPr>
          <w:p w14:paraId="3EAFAC05"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color w:val="9A9B9D" w:themeColor="text1" w:themeTint="99"/>
                <w:szCs w:val="20"/>
                <w:lang w:val="en-US"/>
              </w:rPr>
              <w:t>5</w:t>
            </w:r>
            <w:r w:rsidR="000E3273" w:rsidRPr="00CA32B9">
              <w:rPr>
                <w:rFonts w:asciiTheme="minorHAnsi" w:hAnsiTheme="minorHAnsi" w:cstheme="minorHAnsi"/>
                <w:color w:val="9A9B9D" w:themeColor="text1" w:themeTint="99"/>
                <w:szCs w:val="20"/>
                <w:lang w:val="en-US"/>
              </w:rPr>
              <w:t>,5</w:t>
            </w:r>
          </w:p>
        </w:tc>
        <w:tc>
          <w:tcPr>
            <w:tcW w:w="2932" w:type="dxa"/>
            <w:vMerge/>
            <w:vAlign w:val="center"/>
          </w:tcPr>
          <w:p w14:paraId="746719EC" w14:textId="77777777" w:rsidR="008B4EFF" w:rsidRPr="00CA32B9" w:rsidRDefault="008B4EFF" w:rsidP="00361845">
            <w:pPr>
              <w:pStyle w:val="BodySciensano"/>
              <w:jc w:val="center"/>
              <w:rPr>
                <w:rFonts w:asciiTheme="minorHAnsi" w:hAnsiTheme="minorHAnsi" w:cstheme="minorHAnsi"/>
                <w:szCs w:val="20"/>
                <w:lang w:val="en-US"/>
              </w:rPr>
            </w:pPr>
          </w:p>
        </w:tc>
        <w:tc>
          <w:tcPr>
            <w:tcW w:w="1848" w:type="dxa"/>
          </w:tcPr>
          <w:p w14:paraId="325A7855" w14:textId="526BBD0F" w:rsidR="008B4EFF" w:rsidRPr="00CA32B9" w:rsidRDefault="004B16F2"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 xml:space="preserve"> </w:t>
            </w:r>
            <w:r w:rsidRPr="00CA32B9">
              <w:rPr>
                <w:rFonts w:asciiTheme="minorHAnsi" w:hAnsiTheme="minorHAnsi" w:cstheme="minorHAnsi"/>
                <w:szCs w:val="20"/>
                <w:lang w:val="en-US"/>
              </w:rPr>
              <w:fldChar w:fldCharType="begin"/>
            </w:r>
            <w:r w:rsidR="007155CA">
              <w:rPr>
                <w:rFonts w:asciiTheme="minorHAnsi" w:hAnsiTheme="minorHAnsi" w:cstheme="minorHAnsi"/>
                <w:szCs w:val="20"/>
                <w:lang w:val="en-US"/>
              </w:rPr>
              <w:instrText xml:space="preserve"> ADDIN ZOTERO_ITEM CSL_CITATION {"citationID":"4KX2fR7r","properties":{"formattedCitation":"(37,43)","plainCitation":"(37,43)","noteIndex":0},"citationItems":[{"id":49300,"uris":["http://zotero.org/users/5328021/items/T83V5E99"],"uri":["http://zotero.org/users/5328021/items/T83V5E99"],"itemData":{"id":49300,"type":"article-journal","abstract":"BACKGROUND: Chronic foot ulcers in diabetes are serious, costly and frequently difficult to heal. Recent guidelines conclude that new dressings and treatments generally fail to show superiority compared with standard of care. Several mechanisms are probably responsible for impaired healing of chronic foot ulcers, including inflammation and infection. Chloramines have presumed antiseptic and antibacterial properties, and have shown to be a useful treatment in odontology.\nMETHODS: In an explorative open randomised controlled multi-centre study, we compared chloramine-based treatment with current standard of care for 12 weeks and follow-up for 24 weeks. Seventeen patients in each group, mean age about 70, duration of diabetes &gt; 20 years and foot ulcers about 1.5 years, completed the 12 weeks study.\nRESULTS: After 5 weeks, the difference between the groups in relative reduction in ulcer area was statistically significant (p=0.016). Absolute change in ulcer area was first statistically significant within the chloraminetreated group after 2 weeks (p=0.026), after 8 weeks in the control group (p=0.0023), with significant difference between groups after 5 weeks (p=0.024). The approximate relative decrease per week was 19.4% (95%CI 12.2, 26.0; p&lt;0.0001) in the chloramine-treated group and 11.7% (95%CI 6.4, 16.7; p&lt;0.0001; between-group difference p=0.083). After 9 weeks 7 patients had healed in the chloraminetreated group, but only one in the control group (p=0.039). There were no statistically significant differences in wound healing at 12 or 24 weeks, and no marked differences in signs of infection, pain, quality of life (EQ-5D), or incidence of adverse events.\nCONCLUSIONS: Chloramine-based treatment seems to be efficacious, particularly in the early phase of the care of infected diabetic foot ulcers. It is safe and easy to use, and could prove to be a valuable addition in the treatment arsenal, providing non-surgical debridement. Future studies will evaluate its role in wound care.","container-title":"Clinical Diabetes and Endocrinology","journalAbbreviation":"Clin Diabetes Endocrinol","language":"eng","note":"PMID: 28702241\nPMCID: PMC5471721","page":"6","title":"The role of chloramines in treatment of diabetic foot ulcers: an exploratory multicentre randomised controlled trial","volume":"2","author":[{"family":"Bergqvist","given":"Karin"},{"family":"Almhöjd","given":"Ulrica"},{"family":"Herrmann","given":"Irene"},{"family":"Eliasson","given":"Björn"}],"issued":{"date-parts":[["2016"]]}}},{"id":45230,"uris":["http://zotero.org/users/5328021/items/WJFD298A"],"uri":["http://zotero.org/users/5328021/items/WJFD298A"],"itemData":{"id":45230,"type":"article-journal","abstract":"Objective: To compare outcomes of diabetic foot ulcers (DFUs) treated with clostridial collagenase ointment (CCO) or silver-containing products, both in combination with sharp debridement as needed. Approach: One hundred two subjects with qualifying DFUs were randomized to daily treatment with either CCO or a silver-containing product for 6 weeks followed by a 4 -week follow-up period. The primary outcome was the mean percent reduction in DFU area. A secondary outcome was the incidence of ulcer infections between groups. Results: At the end of treatment, the mean percent reduction in area from baseline of DFUs treated with CCO was 62% (p &lt; 0.0001) and with silver was 40% (p &lt; 0.0001). The difference between groups-22%-was not statistically significant (p = 0.071). Among ulcers closed by the end of treatment, the mean time to closure was 31.1 ± 9.0 days versus 37.1 ± 7.7 days, respectively (not statistically significant). There was a numerically greater incidence of target ulcer infections in the silver group (11, 21.6%) than in the CCO group (5, 9.8%; p = 0.208). No clinically relevant safety signals were identified in either group. Innovation: CCO treatment can progress a wound toward closure. Ulcer infection prophylaxis may not be sacrificed when treating DFU with CCO in lieu of silver-containing products. Conclusion: Both CCO and silver-containing products promote significant reduction in DFU area over 6 weeks of treatment with no clinically relevant safety concerns. Mean percent reduction in lesion area was numerically (22%) but not significantly greater with CCO compared to silver, as was time to ulcer closure, with an incidence of ulcer infection at least as low as for silver-containing products.","container-title":"Advances in Wound Care","issue":"10","journalAbbreviation":"Adv Wound Care (New Rochelle)","language":"eng","note":"PMID: 30374419\nPMCID: PMC6203225","page":"339-348","title":"Clinical Outcomes for Diabetic Foot Ulcers Treated with Clostridial Collagenase Ointment or with a Product Containing Silver","volume":"7","author":[{"family":"Motley","given":"Travis A."},{"family":"Caporusso","given":"Joseph M."},{"family":"Lange","given":"Darrell L."},{"family":"Eichelkraut","given":"Robert A."},{"family":"Cargill","given":"David Innes"},{"family":"Dickerson","given":"Jaime E."}],"issued":{"date-parts":[["2018",10,1]]}}}],"schema":"https://github.com/citation-style-language/schema/raw/master/csl-citation.json"} </w:instrText>
            </w:r>
            <w:r w:rsidRPr="00CA32B9">
              <w:rPr>
                <w:rFonts w:asciiTheme="minorHAnsi" w:hAnsiTheme="minorHAnsi" w:cstheme="minorHAnsi"/>
                <w:szCs w:val="20"/>
                <w:lang w:val="en-US"/>
              </w:rPr>
              <w:fldChar w:fldCharType="separate"/>
            </w:r>
            <w:r w:rsidR="007155CA" w:rsidRPr="007155CA">
              <w:rPr>
                <w:rFonts w:cs="Arial"/>
              </w:rPr>
              <w:t>(37,43)</w:t>
            </w:r>
            <w:r w:rsidRPr="00CA32B9">
              <w:rPr>
                <w:rFonts w:asciiTheme="minorHAnsi" w:hAnsiTheme="minorHAnsi" w:cstheme="minorHAnsi"/>
                <w:szCs w:val="20"/>
                <w:lang w:val="en-US"/>
              </w:rPr>
              <w:fldChar w:fldCharType="end"/>
            </w:r>
          </w:p>
        </w:tc>
      </w:tr>
      <w:tr w:rsidR="00CD572B" w:rsidRPr="0048149F" w14:paraId="5349F2C7" w14:textId="77777777" w:rsidTr="00361845">
        <w:tc>
          <w:tcPr>
            <w:tcW w:w="9923" w:type="dxa"/>
            <w:gridSpan w:val="4"/>
            <w:vAlign w:val="center"/>
          </w:tcPr>
          <w:p w14:paraId="1A94A350" w14:textId="77777777" w:rsidR="00CD572B" w:rsidRPr="00CA32B9" w:rsidRDefault="00CD572B" w:rsidP="00361845">
            <w:pPr>
              <w:pStyle w:val="BodySciensano"/>
              <w:jc w:val="left"/>
              <w:rPr>
                <w:rFonts w:asciiTheme="minorHAnsi" w:hAnsiTheme="minorHAnsi" w:cstheme="minorHAnsi"/>
                <w:szCs w:val="20"/>
                <w:lang w:val="en-US"/>
              </w:rPr>
            </w:pPr>
            <w:r w:rsidRPr="00CA32B9">
              <w:rPr>
                <w:rFonts w:asciiTheme="minorHAnsi" w:hAnsiTheme="minorHAnsi" w:cstheme="minorHAnsi"/>
                <w:b/>
                <w:szCs w:val="20"/>
                <w:lang w:val="en-US"/>
              </w:rPr>
              <w:t>Stump healing</w:t>
            </w:r>
          </w:p>
        </w:tc>
      </w:tr>
      <w:tr w:rsidR="008B4EFF" w:rsidRPr="00A91C12" w14:paraId="1487DBCE" w14:textId="77777777" w:rsidTr="00361845">
        <w:tc>
          <w:tcPr>
            <w:tcW w:w="3256" w:type="dxa"/>
            <w:vAlign w:val="center"/>
          </w:tcPr>
          <w:p w14:paraId="56F39768"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887" w:type="dxa"/>
          </w:tcPr>
          <w:p w14:paraId="5A0445D3"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6</w:t>
            </w:r>
          </w:p>
        </w:tc>
        <w:tc>
          <w:tcPr>
            <w:tcW w:w="2932" w:type="dxa"/>
            <w:vAlign w:val="center"/>
          </w:tcPr>
          <w:p w14:paraId="70F78FB5" w14:textId="77777777" w:rsidR="008B4EFF" w:rsidRPr="00CA32B9" w:rsidRDefault="008B4EFF" w:rsidP="00361845">
            <w:pPr>
              <w:pStyle w:val="BodySciensano"/>
              <w:jc w:val="center"/>
              <w:rPr>
                <w:rFonts w:asciiTheme="minorHAnsi" w:hAnsiTheme="minorHAnsi" w:cstheme="minorHAnsi"/>
                <w:szCs w:val="20"/>
                <w:lang w:val="en-US"/>
              </w:rPr>
            </w:pPr>
            <w:r w:rsidRPr="00CA32B9">
              <w:rPr>
                <w:rFonts w:asciiTheme="minorHAnsi" w:hAnsiTheme="minorHAnsi" w:cstheme="minorHAnsi"/>
                <w:szCs w:val="20"/>
                <w:lang w:val="en-US"/>
              </w:rPr>
              <w:t>Moderate</w:t>
            </w:r>
          </w:p>
        </w:tc>
        <w:tc>
          <w:tcPr>
            <w:tcW w:w="1848" w:type="dxa"/>
          </w:tcPr>
          <w:p w14:paraId="64510DB6" w14:textId="00B6237D" w:rsidR="008B4EFF" w:rsidRPr="00CA32B9" w:rsidRDefault="004B16F2" w:rsidP="00361845">
            <w:pPr>
              <w:pStyle w:val="BodySciensano"/>
              <w:keepNext/>
              <w:jc w:val="center"/>
              <w:rPr>
                <w:rFonts w:asciiTheme="minorHAnsi" w:hAnsiTheme="minorHAnsi" w:cstheme="minorHAnsi"/>
                <w:szCs w:val="20"/>
                <w:lang w:val="en-US"/>
              </w:rPr>
            </w:pPr>
            <w:r w:rsidRPr="00CA32B9">
              <w:rPr>
                <w:rFonts w:asciiTheme="minorHAnsi" w:hAnsiTheme="minorHAnsi" w:cstheme="minorHAnsi"/>
                <w:szCs w:val="20"/>
                <w:lang w:val="en-US"/>
              </w:rPr>
              <w:fldChar w:fldCharType="begin"/>
            </w:r>
            <w:r w:rsidR="006A470F">
              <w:rPr>
                <w:rFonts w:asciiTheme="minorHAnsi" w:hAnsiTheme="minorHAnsi" w:cstheme="minorHAnsi"/>
                <w:szCs w:val="20"/>
                <w:lang w:val="en-US"/>
              </w:rPr>
              <w:instrText xml:space="preserve"> ADDIN ZOTERO_ITEM CSL_CITATION {"citationID":"1TscIEZf","properties":{"formattedCitation":"(44)","plainCitation":"(44)","noteIndex":0},"citationItems":[{"id":51529,"uris":["http://zotero.org/users/5328021/items/VH5GUMPS"],"uri":["http://zotero.org/users/5328021/items/VH5GUMPS"],"itemData":{"id":51529,"type":"article-journal","abstract":"INTRODUCTION: Diabetic foot infections are frequently polymicrobial. The lower tissue concentration of systemically administered antibiotics in diabetic patients was reported. Collatamp(®)EG (Syntacoll GmbH Saal/Donau, Germany) is a bioabsorbable, gentamicin impregnated collagen spongeused for local treatment. The aim of this randomized trial was to assess influence of gentamicin-collagen sponge applied to a wound on surgical outcomes after minor amputations in diabetic patients.\nMATERIAL AND METHODS: Fifty diabetic patients indicated for minor amputation in 2009 at our surgery department were included in the study. Patients were pre-operatively randomised into two groups. Twenty-five patients in group A were treated with gentamicin impregnated collagen sponge applied into wound peri-operatively while 25 patients in group B had minor amputation without gentamicin sponge.\nRESULTS: There was no significant difference in the demographic data, procedures performed, diabetes duration and peripheral vascular disease severity between the groups. The median glycosylated haemoglobin was 6.0% (range: 4.6-9.5%) in group A and 6.2% (range: 4.0-8.4%) in control group B (non-significant). Median TcPO2 level was 44 (range: 13-67) in group A and 48 (range: 11-69) in control group B (non-significant). The median of wound healing duration in group A was 3.0 weeks (range: 1.7-17.1 weeks) compared to 4.9 weeks (range: 2.6-20.0 weeks) in control group B. This was with a statistically significant difference (p &lt; 0.05).\nCONCLUSIONS: Application of gentamicin impregnated collagen sponge shortened wound healing duration after minor amputations in diabetic patients by almost 2 weeks.","container-title":"Archives of medical science: AMS","issue":"2","journalAbbreviation":"Arch Med Sci","language":"eng","note":"PMID: 24904661\nPMCID: PMC4042048","page":"283-287","title":"Application of gentamicin-collagen sponge shortened wound healing time after minor amputations in diabetic patients - a prospective, randomised trial","volume":"10","author":[{"family":"Varga","given":"Martin"},{"family":"Sixta","given":"Bedrich"},{"family":"Bem","given":"Robert"},{"family":"Matia","given":"Ivan"},{"family":"Jirkovska","given":"Alexandra"},{"family":"Adamec","given":"Milos"}],"issued":{"date-parts":[["2014",5,12]]}}}],"schema":"https://github.com/citation-style-language/schema/raw/master/csl-citation.json"} </w:instrText>
            </w:r>
            <w:r w:rsidRPr="00CA32B9">
              <w:rPr>
                <w:rFonts w:asciiTheme="minorHAnsi" w:hAnsiTheme="minorHAnsi" w:cstheme="minorHAnsi"/>
                <w:szCs w:val="20"/>
                <w:lang w:val="en-US"/>
              </w:rPr>
              <w:fldChar w:fldCharType="separate"/>
            </w:r>
            <w:r w:rsidR="000E3273" w:rsidRPr="00A91C12">
              <w:rPr>
                <w:rFonts w:asciiTheme="minorHAnsi" w:hAnsiTheme="minorHAnsi" w:cstheme="minorHAnsi"/>
                <w:szCs w:val="20"/>
                <w:lang w:val="en-US"/>
              </w:rPr>
              <w:t>(44)</w:t>
            </w:r>
            <w:r w:rsidRPr="00CA32B9">
              <w:rPr>
                <w:rFonts w:asciiTheme="minorHAnsi" w:hAnsiTheme="minorHAnsi" w:cstheme="minorHAnsi"/>
                <w:szCs w:val="20"/>
                <w:lang w:val="en-US"/>
              </w:rPr>
              <w:fldChar w:fldCharType="end"/>
            </w:r>
          </w:p>
        </w:tc>
      </w:tr>
    </w:tbl>
    <w:p w14:paraId="3133A16E" w14:textId="05244B16" w:rsidR="003D0488" w:rsidRPr="003D0488" w:rsidRDefault="003D0488" w:rsidP="003D0488">
      <w:pPr>
        <w:pStyle w:val="Caption"/>
        <w:keepNext/>
        <w:rPr>
          <w:bCs w:val="0"/>
          <w:color w:val="58595B" w:themeColor="text1"/>
          <w:szCs w:val="20"/>
          <w:lang w:val="en-US"/>
        </w:rPr>
      </w:pPr>
      <w:r w:rsidRPr="003D0488">
        <w:rPr>
          <w:bCs w:val="0"/>
          <w:color w:val="58595B" w:themeColor="text1"/>
          <w:szCs w:val="20"/>
          <w:lang w:val="en-US"/>
        </w:rPr>
        <w:lastRenderedPageBreak/>
        <w:t>Additional table 5 (continued)</w:t>
      </w:r>
    </w:p>
    <w:tbl>
      <w:tblPr>
        <w:tblStyle w:val="TableGridLight"/>
        <w:tblW w:w="9924" w:type="dxa"/>
        <w:tblInd w:w="-431" w:type="dxa"/>
        <w:tblLook w:val="04A0" w:firstRow="1" w:lastRow="0" w:firstColumn="1" w:lastColumn="0" w:noHBand="0" w:noVBand="1"/>
      </w:tblPr>
      <w:tblGrid>
        <w:gridCol w:w="3213"/>
        <w:gridCol w:w="1653"/>
        <w:gridCol w:w="2218"/>
        <w:gridCol w:w="2840"/>
      </w:tblGrid>
      <w:tr w:rsidR="00E84D1C" w:rsidRPr="00166EC2" w14:paraId="4E144CB9" w14:textId="77777777" w:rsidTr="004E4612">
        <w:tc>
          <w:tcPr>
            <w:tcW w:w="9924" w:type="dxa"/>
            <w:gridSpan w:val="4"/>
            <w:shd w:val="clear" w:color="auto" w:fill="D4F1D3" w:themeFill="background2" w:themeFillTint="33"/>
            <w:vAlign w:val="center"/>
          </w:tcPr>
          <w:p w14:paraId="3531AF06" w14:textId="6E19C3DB" w:rsidR="00E84D1C" w:rsidRDefault="00E84D1C" w:rsidP="00E84D1C">
            <w:pPr>
              <w:jc w:val="center"/>
              <w:rPr>
                <w:lang w:val="en-US"/>
              </w:rPr>
            </w:pPr>
            <w:r w:rsidRPr="00CA32B9">
              <w:rPr>
                <w:rFonts w:asciiTheme="minorHAnsi" w:hAnsiTheme="minorHAnsi" w:cstheme="minorHAnsi"/>
                <w:b/>
                <w:bCs/>
                <w:color w:val="56575A"/>
                <w:szCs w:val="20"/>
                <w:lang w:val="en-US"/>
              </w:rPr>
              <w:t>Treatment with non-biological dressings not impregnated with antimicrobial agents</w:t>
            </w:r>
          </w:p>
        </w:tc>
      </w:tr>
      <w:tr w:rsidR="00E84D1C" w14:paraId="7245D240" w14:textId="77777777" w:rsidTr="004E4612">
        <w:tc>
          <w:tcPr>
            <w:tcW w:w="9924" w:type="dxa"/>
            <w:gridSpan w:val="4"/>
            <w:vAlign w:val="center"/>
          </w:tcPr>
          <w:p w14:paraId="3AAF4DBB" w14:textId="022D8ECE" w:rsidR="00E84D1C" w:rsidRDefault="00E84D1C" w:rsidP="003D0488">
            <w:pPr>
              <w:rPr>
                <w:lang w:val="en-US"/>
              </w:rPr>
            </w:pPr>
            <w:r w:rsidRPr="00CA32B9">
              <w:rPr>
                <w:rFonts w:asciiTheme="minorHAnsi" w:hAnsiTheme="minorHAnsi" w:cstheme="minorHAnsi"/>
                <w:b/>
                <w:szCs w:val="20"/>
                <w:lang w:val="en-US"/>
              </w:rPr>
              <w:t>Ulcer healing</w:t>
            </w:r>
          </w:p>
        </w:tc>
      </w:tr>
      <w:tr w:rsidR="00E84D1C" w14:paraId="669D09B1" w14:textId="77777777" w:rsidTr="004E4612">
        <w:tc>
          <w:tcPr>
            <w:tcW w:w="3213" w:type="dxa"/>
            <w:vAlign w:val="center"/>
          </w:tcPr>
          <w:p w14:paraId="7B9FE0D9" w14:textId="4A8D7E5A" w:rsidR="00E84D1C" w:rsidRDefault="00E84D1C" w:rsidP="004E4612">
            <w:pPr>
              <w:jc w:val="center"/>
              <w:rPr>
                <w:lang w:val="en-US"/>
              </w:rPr>
            </w:pPr>
            <w:r w:rsidRPr="00CA32B9">
              <w:rPr>
                <w:rFonts w:asciiTheme="minorHAnsi" w:hAnsiTheme="minorHAnsi" w:cstheme="minorHAnsi"/>
                <w:szCs w:val="20"/>
                <w:lang w:val="en-US"/>
              </w:rPr>
              <w:t>9</w:t>
            </w:r>
            <w:r w:rsidRPr="00CA32B9">
              <w:rPr>
                <w:rFonts w:asciiTheme="minorHAnsi" w:eastAsia="Times New Roman" w:hAnsiTheme="minorHAnsi" w:cstheme="minorHAnsi"/>
                <w:szCs w:val="20"/>
                <w:lang w:val="en-US"/>
              </w:rPr>
              <w:t xml:space="preserve"> studies (I)</w:t>
            </w:r>
            <w:r w:rsidRPr="00CA32B9">
              <w:rPr>
                <w:rFonts w:asciiTheme="minorHAnsi" w:hAnsiTheme="minorHAnsi" w:cstheme="minorHAnsi"/>
                <w:szCs w:val="20"/>
                <w:lang w:val="en-US"/>
              </w:rPr>
              <w:t xml:space="preserve"> - 6 studies (</w:t>
            </w:r>
            <w:r w:rsidRPr="00CA32B9">
              <w:rPr>
                <w:rFonts w:asciiTheme="minorHAnsi" w:eastAsia="Times New Roman" w:hAnsiTheme="minorHAnsi" w:cstheme="minorHAnsi"/>
                <w:szCs w:val="20"/>
                <w:lang w:val="en-US"/>
              </w:rPr>
              <w:t>II)</w:t>
            </w:r>
          </w:p>
        </w:tc>
        <w:tc>
          <w:tcPr>
            <w:tcW w:w="1653" w:type="dxa"/>
          </w:tcPr>
          <w:p w14:paraId="3F81F1EC" w14:textId="5FCCD6C2" w:rsidR="00E84D1C" w:rsidRDefault="00E84D1C" w:rsidP="00E84D1C">
            <w:pPr>
              <w:jc w:val="center"/>
              <w:rPr>
                <w:lang w:val="en-US"/>
              </w:rPr>
            </w:pPr>
            <w:r w:rsidRPr="00CA32B9">
              <w:rPr>
                <w:rFonts w:asciiTheme="minorHAnsi" w:hAnsiTheme="minorHAnsi" w:cstheme="minorHAnsi"/>
                <w:szCs w:val="20"/>
                <w:lang w:val="en-US"/>
              </w:rPr>
              <w:t>8</w:t>
            </w:r>
          </w:p>
        </w:tc>
        <w:tc>
          <w:tcPr>
            <w:tcW w:w="2218" w:type="dxa"/>
            <w:vMerge w:val="restart"/>
            <w:vAlign w:val="center"/>
          </w:tcPr>
          <w:p w14:paraId="772AC5C5" w14:textId="5F0754C2" w:rsidR="00E84D1C" w:rsidRDefault="00E84D1C" w:rsidP="00E84D1C">
            <w:pPr>
              <w:jc w:val="center"/>
              <w:rPr>
                <w:lang w:val="en-US"/>
              </w:rPr>
            </w:pPr>
            <w:r w:rsidRPr="00CA32B9">
              <w:rPr>
                <w:rFonts w:asciiTheme="minorHAnsi" w:hAnsiTheme="minorHAnsi" w:cstheme="minorHAnsi"/>
                <w:szCs w:val="20"/>
                <w:lang w:val="en-US"/>
              </w:rPr>
              <w:t>High</w:t>
            </w:r>
          </w:p>
        </w:tc>
        <w:tc>
          <w:tcPr>
            <w:tcW w:w="2840" w:type="dxa"/>
          </w:tcPr>
          <w:p w14:paraId="3EF20B01" w14:textId="443B1AF1" w:rsidR="00E84D1C" w:rsidRDefault="00E84D1C" w:rsidP="00E84D1C">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xYQuO7oY","properties":{"formattedCitation":"(34,45\\uc0\\u8211{}58)","plainCitation":"(34,45–58)","noteIndex":0},"citationItems":[{"id":45265,"uris":["http://zotero.org/users/5328021/items/L5IP3C9N"],"uri":["http://zotero.org/users/5328021/items/L5IP3C9N"],"itemData":{"id":45265,"type":"article-journal","abstract":"BACKGROUND: There is a wide variety of dressings currently available for the treatment of diabetic foot ulcers (DFUs). Because of a lack of evidence from head-to-head randomized controlled trials (RCTs), the relative effects of these dressings in DFU patients remain unclear. This study compared the efficacy of nine dressings in healing DFU.\nMETHODS: A literature search was performed of the MEDLINE (PubMed), EMBASE and Cochrane Central Register of Controlled Trials (CENTRAL) databases. Reports published from 1993 to 2017 focusing on dressings for healing DFU were identified.\nRESULTS: Twenty-one RCTs, with a total of 2159 patients, were included in the present study. Bayesian network analysis showed that amniotic membrane dressings were superior to alginate, basic wound contact, foam, honey-impregnated, hydrocolloid, and iodine-impregnated dressings. Hydrogel dressings were better than basic wound contact dressings. Other dressings showed no significant differences. According to the probability of ranking results, amniotic membrane and hydrogel dressings are preferred for healing DFUs.\nCONCLUSIONS: The nine dressings evaluated in this study had different advantages in promoting the healing of DFU, but most differences among the dressings were not significant. According to the analysis of rank probability, amniotic membrane and hydrogel dressings are the most advantageous in terms of promoting DFU healing. It is recommended that the most suitable dressing should be selected taking into consideration exudate control, comfort, and cost.","container-title":"Journal of Diabetes","issue":"6","journalAbbreviation":"J Diabetes","language":"eng","note":"PMID: 30324760","page":"418-426","title":"Comparative efficacy of nine different dressings in healing diabetic foot ulcer: A Bayesian network analysis","volume":"11","author":[{"family":"Zhang","given":"Xu"},{"family":"Sun","given":"Di"},{"family":"Jiang","given":"Gui Chun"}],"issued":{"date-parts":[["2019",6]]}}},{"id":74188,"uris":["http://zotero.org/users/5328021/items/AHDAVE56"],"uri":["http://zotero.org/users/5328021/items/AHDAVE56"],"itemData":{"id":74188,"type":"article-journal","abstract":"The purpose of this systematic review and meta-analysis is to assess the clinical effectiveness and safety of the medical hydrogel dressings used in skin wounds and therefore to weight the evidence for their clinical application. PubMed/Medline (1980-2019), Cochrane Library (1980-2019), ClinicalTrials.gov, Cochrane CENTRAL, Chinese Journal Full-text Database (CNKI, 1994-2019), and China Biomedy Medicine disc (CBM, 1978-2019), Chinese Scientific Journal Database (VIP,","container-title":"Frontiers in bioengineering and biotechnology","journalAbbreviation":"Front Bioeng Biotechnol","language":"eng","note":"PMID: 31824935 \nPMCID: PMC6881259","page":"342","title":"A Systematic Review and Meta-Analysis of Clinical Effectiveness and Safety of Hydrogel Dressings in the Management of Skin Wounds.","volume":"7","author":[{"family":"Zhang","given":"Lijun"},{"family":"Yin","given":"Hanxiao"},{"family":"Lei","given":"Xun"},{"family":"Lau","given":"Johnson N. Y."},{"family":"Yuan","given":"Mingzhou"},{"family":"Wang","given":"Xiaoyan"},{"family":"Zhang","given":"Fangyingnan"},{"family":"Zhou","given":"Fei"},{"family":"Qi","given":"Shaohai"},{"family":"Shu","given":"Bin"},{"family":"Wu","given":"Jun"}],"issued":{"date-parts":[["2019"]]}}},{"id":73889,"uris":["http://zotero.org/users/5328021/items/DF6FBFUG"],"uri":["http://zotero.org/users/5328021/items/DF6FBFUG"],"itemData":{"id":73889,"type":"article-journal","abstract":"Wound healing, especially diabetic ones, is a relevant clinical problem, so it is not surprising that surgical procedures are often needed. To overcome invasive procedures, several strategies with drugs or natural compound are used. Recently, in an experimental study, we described an increase in keratinocyte proliferation  after their exposition to quercetin plus oleic acid. In the present clinical study, we evaluated both the clinical efficacy and the safety of nano-hydrogel embedded with quercetin and oleic acid in the treatment of lower limb skin wound  in patients with diabetes mellitus (DM). Fifty-six DM patients (28 men and 28 women, mean age 61.7 +/- 9.2 years) unsuccessfully treated with mechanical compression were enrolled and randomised to receive an add on treatment with hyaluronic acid (0.2%) or nano-hydrogel embedded with quercetin and oleic acid. The treatment with nano-hydrogel embedded with quercetin and oleic acid significantly (P &lt; .01) reduced the wound healing time, in comparison to hyaluronic acid (0.2%) without developing of adverse drug reactions, suggesting that this formulation could be used in the management of wound healing even if other clinical trials must be performed in order to validate this observation.","container-title":"International wound journal","issue":"2","journalAbbreviation":"Int Wound J","language":"eng","note":"PMID: 31876118","page":"485-490","title":"Nano-hydrogel embedded with quercetin and oleic acid as a new formulation in the  treatment of diabetic foot ulcer: A pilot study.","volume":"17","author":[{"family":"Gallelli","given":"Giuseppe"},{"family":"Cione","given":"Erika"},{"family":"Serra","given":"Raffaele"},{"family":"Leo","given":"Antonio"},{"family":"Citraro","given":"Rita"},{"family":"Matricardi","given":"Pietro"},{"family":"Di Meo","given":"Chiara"},{"family":"Bisceglia","given":"Francesco"},{"family":"Caroleo","given":"Maria C."},{"family":"Basile","given":"Sonia"},{"family":"Gallelli","given":"Luca"}],"issued":{"date-parts":[["2020",4]]}}},{"id":46956,"uris":["http://zotero.org/users/5328021/items/PE4SEEHM"],"uri":["http://zotero.org/users/5328021/items/PE4SEEHM"],"itemData":{"id":46956,"type":"article-journal","abstract":"BACKGROUND: Diabetic foot ulcers are serious and challenging wounds associated with high risk of infection and lower-limb amputation. Ulcers are deemed neuroischaemic if peripheral neuropathy and peripheral artery disease are both present. No satisfactory treatment for neuroischaemic ulcers currently exists, and no evidence supports one particular dressing. We aimed to assess the effect of a sucrose octasulfate dressing versus a control dressing on wound closure in patients with neuroischaemic diabetic foot ulcers.\nMETHODS: We did a randomised, double-blind clinical trial (Explorer) in 43 hospitals with specialised diabetic foot clinics in France, Spain, Italy, Germany, and the UK. Eligible participants were inpatients or outpatients aged 18 years or older with diabetes and a non-infected neuroischaemic diabetic foot ulcer greater than 1 cm2 and of grade IC or IIC (as defined by the University of Texas Diabetic Wound Classification system). We excluded patients with a severe illness that might lead to them discontinuing the trial and those who had surgical revascularisation in the month before study entry. We randomly assigned participants (1:1) via a computer-generated randomisation procedure (concealed block size two); stratified by study centre and wound area (1-5 cm2 and 5-30 cm2), to treatment with either a sucrose octasulfate wound dressing or a control dressing (the same dressing without sucrose octasulfate) for 20 weeks. Both groups otherwise received the same standard of care for a 2-week screening period before randomisation and throughout the 20-week trial. Dressings were applied by nursing staff (or by instructed relatives for some outpatients). Frequencies of dressing changes were decided by the investigator on the basis of the clinical condition of the wound. Patients were assessed 2 weeks after randomisation, then monthly until week 20 or occurrence of wound closure. The primary outcome, assessed by intention-to-treat, was proportion of patients with wound closure at week 20. This trial is registered with ClinicalTrials.gov, number NCT01717183.\nFINDINGS: Between March 21, 2013, and March 31, 2016, we randomly assigned 240 individuals to treatment: 126 to the sucrose octasulfate dressing and 114 to the control dressing. After 20 weeks, wound closure occurred in 60 patients (48%) in the sucrose octasulfate dressing group and 34 patients (30%) in the control dressing group (18 percentage points difference, 95% CI 5-30; adjusted odds ratio 2·60, 95% CI 1·43-4·73; p=0·002). In both groups, the most frequent adverse events were infections of the target wound: 33 wound infections in 25 (20%) patients of 126 in the sucrose octasulfate dressing group and 36 in 32 (28%) patients of 114 in the control dressing group. Minor amputations not affecting the wound site were also reported in one (1%) patient in the sucrose octasulfate dressing group and two (2%) patients in the control dressing group. Three (2%) patients assigned to the sucrose octasulfate dressing and four (4%) assigned to the control dressing died, but none of the deaths were related to treatment, procedure, wound progression, or subsequent to amputation.\nINTERPRETATION: A sucrose octasulfate dressing significantly improved wound closure of neuroischaemic diabetic foot ulcers without affecting safety after 20 weeks of treatment along with standard care. These findings support the use of sucrose octasulfate dressing as a local treatment for neuroischaemic diabetic foot ulcers.\nFUNDING: Laboratoires Urgo Medical.","container-title":"The Lancet. Diabetes &amp; Endocrinology","issue":"3","journalAbbreviation":"Lancet Diabetes Endocrinol","language":"eng","note":"PMID: 29275068","page":"186-196","title":"Sucrose octasulfate dressing versus control dressing in patients with neuroischaemic diabetic foot ulcers (Explorer): an international, multicentre, double-blind, randomised, controlled trial","volume":"6","author":[{"family":"Edmonds","given":"Michael"},{"family":"Lázaro-Martínez","given":"José Luis"},{"family":"Alfayate-García","given":"Jesus Manuel"},{"family":"Martini","given":"Jacques"},{"family":"Petit","given":"Jean-Michel"},{"family":"Rayman","given":"Gerry"},{"family":"Lobmann","given":"Ralf"},{"family":"Uccioli","given":"Luigi"},{"family":"Sauvadet","given":"Anne"},{"family":"Bohbot","given":"Serge"},{"family":"Kerihuel","given":"Jean-Charles"},{"family":"Piaggesi","given":"Alberto"}],"issued":{"date-parts":[["2018"]]}}},{"id":45759,"uris":["http://zotero.org/users/5328021/items/V85FA4MN"],"uri":["http://zotero.org/users/5328021/items/V85FA4MN"],"itemData":{"id":45759,"type":"article-journal","abstract":"INTRODUCTION: The aim of the study was to investigate the role of the proteolytic fraction from Vasconcellea cundinamarcensis, designated as P1G10, on the healing of chronic foot ulcers in neuropathic patients with diabetes 2.\nMETHODS: Fifty patients were enrolled in a prospective, randomized, double-blind trial, to verify the efficacy and safety of a topical dressing formulated with 0.1% P1G10, intended for wound healing, versus a hydrogel (control) protocol. Upon completion of the intervention, the outcome evaluated the number of patients attaining full epithelization (100%), or at least 80% healing. Statistical analysis compared the data on each group for the significance of the differences.\nRESULTS: Collection of data was finished in week 16, and the results were analyzed by intention to treat. The results showed that, in the control group, 5 patients attained 100% ulcer healing, 3 patients ≥ 80% healing and 11 experienced ulcer changes ≤ 80%, and the remainder showed no changes or their wounds became worse. Meanwhile, in the P1G10 group, 11 patients experienced full healing, 4 had healing ≥ 80% and 5 had ulcer changes ≤ lower than 80%, and the remainder showed no changes or their wounds became worse. The healing incidence for the first endpoint (100% healing) showed that the P1G10 group was 2.95-fold more efficacious than the control group (CI 95%) and 2.52-fold (CI, 95%) higher than its control for the second endpoint (80% healing).\nCONCLUSIONS: These data support the hypothesis that topical application of the proteolytic fraction identified as P1G10 significantly enhances foot ulcer healing compared to hydrogel treatment.","container-title":"Advances in Therapy","issue":"4","journalAbbreviation":"Adv Ther","language":"eng","note":"PMID: 29564750","page":"494-502","title":"The Proteolytic Fraction from Latex of Vasconcellea cundinamarcensis (P1G10) Enhances Wound Healing of Diabetic Foot Ulcers: A Double-Blind Randomized Pilot Study","volume":"35","author":[{"family":"Tonaco","given":"Luís A. B."},{"family":"Gomes","given":"Flavia L."},{"family":"Velasquez-Melendez","given":"Gustavo"},{"family":"Lopes","given":"Miriam T. P."},{"family":"Salas","given":"Carlos E."}],"issued":{"date-parts":[["2018"]]}}},{"id":48954,"uris":["http://zotero.org/users/5328021/items/PUK549ZQ"],"uri":["http://zotero.org/users/5328021/items/PUK549ZQ"],"itemData":{"id":48954,"type":"article-journal","abstract":"Diabetic foot ulcers and venous leg ulcers are chronic wounds frequently encountered by dermatologists. Choosing appropriate wound dressings can effectively promote wound healing and potentially reduce morbidity and financial burden experienced by patients. The objective of our systematic review and meta-analysis was to evaluate wound healing efficacies of synthetic active dressings in diabetic foot ulcer and venous leg ulcer management. For data collection, PubMed, Embase, Cochrane Library, CINAHL, and clinicaltrials.gov online databases were searched from database inception to 10 May 2015. Fixed and random effects modeling were used to calculate pooled risk ratios for complete ulcer healing from pairwise dressing comparisons. The results of our review showed moderate-quality level evidence that hydrogels were more effective in healing diabetic foot ulcers than basic wound contact dressings (RR 1.80 [95% CI, 1.27-2.56]). The other dressing comparisons showed no statistically significant differences between the interventions examined in terms of achieving complete diabetic foot ulcer healing. Non-adherent dressings were more cost-effective than hydrofiber dressings for diabetic foot ulcers in terms of mean total cost per patient of the dressings themselves. All venous leg ulcer pairwise dressing comparisons showed equivalent dressing efficacies in terms of promoting complete ulcer healing. Overall, most synthetic active dressings and traditional wound dressings are equally efficacious in treating diabetic foot ulcers and venous leg ulcers. For treating diabetic foot ulcers, hydrogels are more efficacious than basic wound contact dressings, and non-adherent dressings are more cost-effective than hydrofiber dressings. Ultimately, dressing choice should be tailored to the wound and the patient.","container-title":"Dermatology Online Journal","issue":"8","journalAbbreviation":"Dermatol. Online J.","language":"eng","note":"PMID: 27617934","title":"Comparing the efficacies of alginate, foam, hydrocolloid, hydrofiber, and hydrogel dressings in the management of diabetic foot ulcers and venous leg ulcers: a systematic review and meta-analysis examining how to dress for success","volume":"22","author":[{"family":"Saco","given":"Michael"},{"family":"Howe","given":"Nicole"},{"family":"Nathoo","given":"Rajiv"},{"family":"Cherpelis","given":"Basil"}],"issued":{"date-parts":[["2016",8,15]]}}},{"id":49337,"uris":["http://zotero.org/users/5328021/items/9KHD4UIY"],"uri":["http://zotero.org/users/5328021/items/9KHD4UIY"],"itemData":{"id":49337,"type":"article-journal","abstract":"Fast and complete healing of a diabetic foot ulcer (DFU) is challenging due to the hostile wound healing environment of the diabetic patients. As a part of a multimodal treatment approach, advanced dressing material using hyaluronic acid (HA) has been found to be effective. However, previous studies have used HA with additional biologics, which interferes in determining the true clinical effect of HA in DFU. To examine the sole effectiveness of HA in DFU treatment, a prospective, randomized, placebo-controlled, single-center study was conducted using an HA dressing without additional substances. Thus, 34 patients who met the inclusion criteria were randomized into two groups (the study group: HA dressing material; the control group: conventional dressing material). During the 12-week study period, complete ulcer healing rate was evaluated as a primary endpoint. Additionally, healing velocity and the mean duration for achieving a 50% ulcer size reduction was compared between the two groups as a secondary endpoint. At the end of the study, the study group presented a significantly higher complete healing rate as compared to that in the control group [84.6% (11/13), 41.6% (5/12), respectively, P = 0.041]. Additionally, faster ulcer healing velocity and shorter mean duration for achieving a 50% ulcer size reduction were observed in the study group (P = 0.022 and 0.004, respectively). The Kaplan-Meier survival analysis for the median time for 50% ulcer healing rate also showed a significantly shorter duration in the study group (21 days vs. 39 days, P = 0.0127). Finally, there were no adverse events related to the dressing materials used in the study. As a major component of the extracellular matrix, this study supports the safety and efficacy of a pure HA dressing without additional substances in treating DFU.","container-title":"Wound Repair and Regeneration: Official Publication of the Wound Healing Society [and] the European Tissue Repair Society","issue":"3","journalAbbreviation":"Wound Repair Regen","language":"eng","note":"PMID: 26972358","page":"581-588","title":"Hyaluronic acid dressing (Healoderm) in the treatment of diabetic foot ulcer: A prospective, randomized, placebo-controlled, single-center study","volume":"24","author":[{"family":"Lee","given":"Moses"},{"family":"Han","given":"Seung Hwan"},{"family":"Choi","given":"Woo Jin"},{"family":"Chung","given":"Kwang Ho"},{"family":"Lee","given":"Jin Woo"}],"issued":{"date-parts":[["2016"]]}}},{"id":51070,"uris":["http://zotero.org/users/5328021/items/LWGPEB69"],"uri":["http://zotero.org/users/5328021/items/LWGPEB69"],"itemData":{"id":51070,"type":"article-journal","abstract":"Nonhealing neuropathic foot ulcers remain a significant problem in individuals with diabetes. The gap-junctional protein connexin43 (Cx43) has roles in dermal wound healing and targeting Cx43 signalling accelerates wound reepithelialization. In a prospective, randomized, multicenter clinical trial we evaluated the efficacy and safety of a peptide mimetic of the C-terminus of Cx43, alpha connexin carboxy-terminal (ACT1), in accelerating the healing of chronic diabetic foot ulcers (DFUs) when incorporated into standard of care (SOC) protocols. Adults with DFUs of at least four weeks duration were randomized to receive SOC with or without topical application of ACT1. Primary outcome was mean percent ulcer reepithelialization and safety variables included incidence of treatment related adverse events (AEs) and detection of ACT1 immunogenicity. ACT1 treatment was associated with a significantly greater reduction in mean percent ulcer area from baseline to 12 weeks (72.1% vs. 57.1%; p = 0.03). Analysis of incidence and median time-to-complete-ulcer closure revealed that ACT1 treatment was associated with a greater percentage of participants that reached 100% ulcer reepitheliazation and a reduced median time-to-complete-ulcer closure. No AEs reported were treatment related, and ACT1 was not immunogenic. Treatment protocols that incorporate ACT1 may present a therapeutic strategy that safely augments the reepithelialization of chronic DFUs.","container-title":"Wound Repair and Regeneration: Official Publication of the Wound Healing Society [and] the European Tissue Repair Society","issue":"2","journalAbbreviation":"Wound Repair Regen","language":"eng","note":"PMID: 25703647\nPMCID: PMC4472499","page":"203-212","title":"Topical administration of a connexin43-based peptide augments healing of chronic neuropathic diabetic foot ulcers: A multicenter, randomized trial","volume":"23","author":[{"family":"Grek","given":"Christina L."},{"family":"Prasad","given":"G. M."},{"family":"Viswanathan","given":"Vijay"},{"family":"Armstrong","given":"David G."},{"family":"Gourdie","given":"Robert G."},{"family":"Ghatnekar","given":"Gautam S."}],"issued":{"date-parts":[["2015",4]]}}},{"id":51466,"uris":["http://zotero.org/users/5328021/items/KS3R4ZNZ"],"uri":["http://zotero.org/users/5328021/items/KS3R4ZNZ"],"itemData":{"id":51466,"type":"article-journal","abstract":"Diabetic foot ulceration is a major complication of diabetes mellitus. Hyaluronic acid (HA) is used in the treatment of diabetic foot. This meta-analysis was designed to evaluate if HA increased the complete healing rate of diabetic foot compared with controls. We searched Medline, Cochrane, EMBASE, Google Scholar (until January 31, 2014) databases for prospective randomized controlled trials that assessed the effectiveness of HA in treating foot ulcers resulting from diabetes. The primary outcome for the study was complete healing rate of the ulcer at 12 weeks. Three hundred twenty-eight patients were identified from four studies that evaluated the rate of healing of diabetic foot that were treated with HA or controls. Among the four studies, odd ratios (OR) ranged from 1.19 to 8.86, with the overall OR being 1.71 (p = 0.047; 95% confidence interval = 1.01 to 2.90). In summary, our meta-analysis strengthens the findings that HA is beneficial in treating diabetic foot by increasing the rate of wound healing. These findings support the use of HA in treating diabetic foot.","container-title":"Dermatologic Therapy","issue":"6","journalAbbreviation":"Dermatol Ther","language":"eng","note":"PMID: 25039587","page":"331-336","title":"Effectiveness of hyaluronic acid for treating diabetic foot: a systematic review and meta-analysis","volume":"27","author":[{"family":"Chen","given":"Chao-Pen"},{"family":"Hung","given":"Wei"},{"family":"Lin","given":"Sheng-Hsuan"}],"issued":{"date-parts":[["2014",12]]}}},{"id":53162,"uris":["http://zotero.org/users/5328021/items/TT8XAEVB"],"uri":["http://zotero.org/users/5328021/items/TT8XAEVB"],"itemData":{"id":53162,"type":"article-journal","abstract":"BACKGROUND: Foot ulcers in people with diabetes mellitus are a common and serious global health issue. Dressings form a key part of ulcer treatment, with clinicians and patients having many different types to choose from including alginate dressings. A clear and current overview of current evidence is required to facilitate decision-making regarding dressing use.\nOBJECTIVES: To compare the effects of alginate wound dressings with no wound dressing or alternative dressings on the healing of foot ulcers in people with diabetes mellitus.\nSEARCH METHODS: For this first update, in April 2013, we searched the following databases the Cochrane Wounds Group Specialised Register; The Cochrane Central Register of Controlled Trials (CENTRAL) (The Cochrane Library); Ovid MEDLINE; Ovid MEDLINE (In-Process &amp; Other Non-Indexed Citations); Ovid EMBASE; and EBSCO CINAHL. There were no restrictions based on language or date of publication.\nSELECTION CRITERIA: Published or unpublished randomised controlled trials (RCTs) that have compared the effects on ulcer healing of alginate dressings with alternative wound dressings or no dressing in the treatment of foot ulcers in people with diabetes.\nDATA COLLECTION AND ANALYSIS: Two review authors independently performed study selection, risk of bias assessment and data extraction.\nMAIN RESULTS: We included six studies (375 participants) in this review; these compared alginate dressings with basic wound contact dressings, foam dressings and a silver-containing, fibrous-hydrocolloid dressing. Meta analysis of two studies found no statistically significant difference between alginate dressings and basic wound contact dressings: risk ratio (RR) 1.09 (95% CI 0.66 to 1.80). Pooled data from two studies comparing alginate dressings with foam dressings found no statistically significant difference in ulcer healing (RR 0.67, 95% CI 0.41 to 1.08). There was no statistically significant difference in the number of diabetic foot ulcers healed when an anti-microbial (silver) hydrocolloid dressing was compared with a standard alginate dressing (RR 1.40, 95% CI 0.79 to 2.47). All studies had short follow-up times (six to 12 weeks), and small sample sizes.\nAUTHORS' CONCLUSIONS: Currently there is no research evidence to suggest that alginate wound dressings are more effective in healing foot ulcers in people with diabetes than other types of dressing however many trials in this field are very small. Decision makers may wish to consider aspects such as dressing cost and the wound management properties offered by each dressing type e.g. exudate management.","container-title":"The Cochrane Database of Systematic Reviews","issue":"6","journalAbbreviation":"Cochrane Database Syst Rev","language":"eng","note":"PMID: 23799857","page":"CD009110","title":"Alginate dressings for healing diabetic foot ulcers","author":[{"family":"Dumville","given":"Jo C."},{"family":"O'Meara","given":"Susan"},{"family":"Deshpande","given":"Sohan"},{"family":"Speak","given":"Katharine"}],"issued":{"date-parts":[["2013",6,25]]}}},{"id":53829,"uris":["http://zotero.org/users/5328021/items/5YMFK5PJ"],"uri":["http://zotero.org/users/5328021/items/5YMFK5PJ"],"itemData":{"id":53829,"type":"article-journal","abstract":"Hyaluronic acid (HA) is a polysaccharide common to most species and is found in many sites in the human body, including the skin and soft tissue. A systematic review of the literature and meta-analysis was performed to identify randomized controlled trials, evaluating the use of HA derivatives in healing burns, epithelial surgical, and chronic wounds. Nine studies were identified, which met the search criteria and clinical endpoints of complete healing and percent wound size reduction when using HA vs. either an active or passive comparator. It was found in the vast majority of randomized controlled trials (eight of nine) that HA derivatives significantly improved the healing of wounds vs. traditional therapies or placebo (either via complete healing or a significant reduction in wound size) occurring from burns, venous insufficiency, diabetes, neuropathic insufficiency, and surgical removal of the epithelial layer (for tattoo removal). In the other remaining trial, one formulation of HA was compared with another, with the higher concentration showing improved application characteristics. Further, it was found in a meta-analysis in subsets of patients with diabetic foot ulcers (neuropathic) that HA derivatives healed these types of wounds significantly faster than standard of care. These studies in aggregate show that HA derivatives accelerate the healing process in burns, epithelial surgical wounds, and chronic wounds.","container-title":"Wound Repair and Regeneration: Official Publication of the Wound Healing Society [and] the European Tissue Repair Society","issue":"3","journalAbbreviation":"Wound Repair Regen","language":"eng","note":"PMID: 22564227","page":"317-331","title":"Hyaluronic acid derivatives and their healing effect on burns, epithelial surgical wounds, and chronic wounds: a systematic review and meta-analysis of randomized controlled trials","volume":"20","author":[{"family":"Voigt","given":"Jeffrey"},{"family":"Driver","given":"Vickie R."}],"issued":{"date-parts":[["2012",6]]}}},{"id":53838,"uris":["http://zotero.org/users/5328021/items/X7JMLZKW"],"uri":["http://zotero.org/users/5328021/items/X7JMLZKW"],"itemData":{"id":53838,"type":"article-journal","abstract":"AIMS/HYPOTHESIS: Foot ulcers in people with diabetes are a common and serious global health issue. Dressings form a key part of ulcer treatment. Existing systematic reviews are limited by the lack of head-to-head comparisons of alternative dressings in a field where there are several different dressing options. We aimed to determine the relative effects of alternative wound dressings on the healing of diabetic foot ulcers.\nMETHODS: This study was a systematic review involving Bayesian mixed treatment comparison. We included randomised controlled trials evaluating the effects on diabetic foot ulcer healing of one or more wound dressings. There were no restrictions based on language or publication status.\nRESULTS: Fifteen eligible studies, evaluating nine dressing types, were included. Ten direct treatment comparisons were made. Whilst there was increased healing associated with hydrogel and foam dressings compared with basic wound contact materials, these findings were based on data from small studies at unclear or high risk of bias. The mixed treatment comparison suggested that hydrocolloid-matrix dressings were associated with higher odds of ulcer healing than all other dressing types; there was a high degree of uncertainty around these estimates, which were deemed to be of very low quality.\nCONCLUSIONS/INTERPRETATION: These findings summarise all available trial evidence regarding the use of dressings to heal diabetic foot ulcers. More expensive dressings may offer no advantages in terms of healing than cheaper basic dressings. In addition, evidence pointing to a difference in favour of 'advanced' dressing types over basic wound contact materials is of low or very low quality.","container-title":"Diabetologia","issue":"7","journalAbbreviation":"Diabetologia","language":"eng","note":"PMID: 22544222\nPMCID: PMC3369130","page":"1902-1910","title":"Systematic review and mixed treatment comparison: dressings to heal diabetic foot ulcers","volume":"55","author":[{"family":"Dumville","given":"J. C."},{"family":"Soares","given":"M. O."},{"family":"O'Meara","given":"S."},{"family":"Cullum","given":"N."}],"issued":{"date-parts":[["2012",7]]}}},{"id":53095,"uris":["http://zotero.org/users/5328021/items/T6NGTWH9"],"uri":["http://zotero.org/users/5328021/items/T6NGTWH9"],"itemData":{"id":53095,"type":"article-journal","abstract":"BACKGROUND: Foot ulcers in people with diabetes are a prevalent and serious global health issue. Wound dressings are regarded as important components of ulcer treatment, with clinicians and patients having many different types to choose from including hydrocolloid dressings. There is a range of different hydrocolloids available including fibrous-hydrocolloid and hydrocolloid (matrix) dressings. A clear and current overview of current evidence is required to facilitate decision-making regarding dressing use.\nOBJECTIVES: To compare the effects of hydrocolloid wound dressings with no dressing or alternative dressings on the healing of foot ulcers in people with diabetes.\nSEARCH METHODS: For this first update, in April 2013, we searched the following databases the Cochrane Wounds Group Specialised Register; The Cochrane Central Register of Controlled Trials (CENTRAL) (The Cochrane Library); Ovid MEDLINE; Ovid MEDLINE (In-Process &amp; Other Non-Indexed Citations); Ovid EMBASE; and EBSCO CINAHL. There were no restrictions based on language or date of publication.\nSELECTION CRITERIA: Published or unpublished randomised controlled trials (RCTs) that have compared the effects on ulcer healing of hydrocolloid with alternative wound treatments in the treatment of foot ulcers in people with diabetes.\nDATA COLLECTION AND ANALYSIS: Two review authors independently performed study selection, risk of bias assessment and data extraction.\nMAIN RESULTS: We included five studies (535 participants) in the review: these compared hydrocolloids with basic wound contact dressings, foam dressings, alginate dressings and a topical treatment. Meta-analysis of two studies indicated no statistically significant difference in ulcer healing between fibrous-hydrocolloids and basic wound contact dressings: risk ratio 1.01 (95% CI 0.74 to 1.38). One of these studies found that a basic wound contact dressing was more cost-effective than a fibrous-hydrocolloid dressing. One study compared a hydrocolloid-matrix dressing with a foam dressing and found no statistically significant difference in the number of ulcers healed. There was no statistically significant difference in healing between an antimicrobial (silver) fibrous-hydrocolloid dressing and standard alginate dressing; an antimicrobial dressing (iodine-impregnated) and a standard fibrous hydrocolloid dressing or a standard fibrous hydrocolloid dressing and a topical cream containing plant extracts.\nAUTHORS' CONCLUSIONS: Currently there is no research evidence to suggest that any type of hydrocolloid wound dressing is more effective in healing diabetic foot ulcers than other types of dressing or a topical cream containing plant extracts. Decision makers may wish to consider aspects such as dressing cost and the wound management properties offered by each dressing type e.g. exudate management.","container-title":"The Cochrane Database of Systematic Reviews","issue":"8","journalAbbreviation":"Cochrane Database Syst Rev","language":"eng","note":"PMID: 23922167","page":"CD009099","title":"Hydrocolloid dressings for healing diabetic foot ulcers","author":[{"family":"Dumville","given":"Jo C."},{"family":"Deshpande","given":"Sohan"},{"family":"O'Meara","given":"Susan"},{"family":"Speak","given":"Katharine"}],"issued":{"date-parts":[["2013",8,6]]}}},{"id":53138,"uris":["http://zotero.org/users/5328021/items/7I7VH6CH"],"uri":["http://zotero.org/users/5328021/items/7I7VH6CH"],"itemData":{"id":53138,"type":"article-journal","abstract":"BACKGROUND: Foot ulcers in people with diabetes are a prevalent and serious global health issue. Dressings form a key part of ulcer treatment, with clinicians and patients having many different types to choose from including hydrogel dressings. A clear and current overview of current evidence is required to facilitate decision-making regarding dressing use.\nOBJECTIVES: To assess the effects of hydrogel wound dressings compared with alternative dressings or none on the healing of foot ulcers in people with diabetes.\nSEARCH METHODS: For this first update, in April 2013, we searched the following databases the Cochrane Wounds Group Specialised Register; The Cochrane Central Register of Controlled Trials (CENTRAL) (The Cochrane Library); Ovid MEDLINE; Ovid MEDLINE (In-Process &amp; Other Non-Indexed Citations); Ovid EMBASE; and EBSCO CINAHL. There were no restrictions based on language or date of publication.\nSELECTION CRITERIA: Published or unpublished randomised controlled trials (RCTs) that have compared the effects on ulcer healing of hydrogel with alternative wound dressings or no dressing in the treatment of foot ulcers in people with diabetes.\nDATA COLLECTION AND ANALYSIS: Two review authors independently performed study selection, risk of bias assessment and data extraction.\nMAIN RESULTS: We included five studies (446 participants) in this review. Meta analysis of three studies comparing hydrogel dressings with basic wound contract dressings found significantly greater healing with hydrogel: risk ratio (RR) 1.80, 95% confidence interval (CI) 1.27 to 2.56. The three pooled studies had different follow-up times (12 weeks, 16 weeks and 20 weeks) and also evaluated ulcers of different severities (grade 3 and 4; grade 2 and grade unspecified). One study compared a hydrogel dressing with larval therapy and found no statistically significant difference in the number of ulcers healed and another found no statistically significant difference in healing between hydrogel and platelet-derived growth factor. There was also no statistically significant difference in number of healed ulcers between two different brands of hydrogel dressing. All included studies were small and at unclear risk of bias and there was some clinical heterogeneity with studies including different ulcer grades. No included studies compared hydrogel with other advanced wound dressings.\nAUTHORS' CONCLUSIONS: There is some evidence to suggest that hydrogel dressings are more effective in healing (lower grade) diabetic foot ulcers than basic wound contact dressings however this finding is uncertain due to risk of bias in the original studies. There is currently no research evidence to suggest that hydrogel is more effective than larval therapy or platelet-derived growth factors in healing diabetic foot ulcers, nor that one brand of hydrogel is more effective than another in ulcer healing. No RCTs comparing hydrogel dressings with other advanced dressing types were found.","container-title":"The Cochrane Database of Systematic Reviews","issue":"7","journalAbbreviation":"Cochrane Database Syst Rev","language":"eng","note":"PMID: 23846869\nPMCID: PMC6486218","page":"CD009101","title":"Hydrogel dressings for healing diabetic foot ulcers","author":[{"family":"Dumville","given":"Jo C."},{"family":"O'Meara","given":"Susan"},{"family":"Deshpande","given":"Sohan"},{"family":"Speak","given":"Katharine"}],"issued":{"date-parts":[["2013",7,12]]}}},{"id":53193,"uris":["http://zotero.org/users/5328021/items/QFGYRK7Q"],"uri":["http://zotero.org/users/5328021/items/QFGYRK7Q"],"itemData":{"id":53193,"type":"article-journal","abstract":"BACKGROUND: Foot ulcers in people with diabetes are a prevalent and serious global health issue. Dressings form a key part of ulcer treatment, with clinicians and patients having many different types to choose from. A clear and current overview of current evidence is required to facilitate decision-making regarding dressing use.\nOBJECTIVES: The review aimed to evaluate the effects of foam wound dressings on the healing of foot ulcers in people with diabetes.\nSEARCH METHODS: For this first update we searched the following databases the Cochrane Wounds Group Specialised Register; The Cochrane Central Register of Controlled Trials (CENTRAL) (The Cochrane Library); Ovid MEDLINE; Ovid MEDLINE (In-Process &amp; Other Non-Indexed Citations); Ovid EMBASE; and EBSCO CINAHL in April 2013. There were no restrictions based on language or date of publication.\nSELECTION CRITERIA: Published or unpublished randomised controlled trials (RCTs) that evaluated the effects on ulcer healing of one or more foam wound dressings in the treatment of foot ulcers in people with diabetes.\nDATA COLLECTION AND ANALYSIS: Two review authors independently performed study selection, risk of bias assessment and data extraction.\nMAIN RESULTS: We included six studies (157 participants) in this review. Meta analysis of two studies indicated that foam dressings do not promote the healing of diabetic foot ulcers compared with basic wound contact dressings (RR 2.03, 95%CI 0.91 to 4.55). Pooled data from two studies comparing foam and alginate dressing found no statistically significant difference in ulcer healing (RR 1.50, 95% CI 0.92 to 2.44). There was no statistically significant difference in the number of diabetic foot ulcers healed when foam dressings were compared with hydrocolloid (matrix) dressings. All included studies were small and/or had limited follow-up times.\nAUTHORS' CONCLUSIONS: Currently there is no research evidence to suggest that foam wound dressings are more effective in healing foot ulcers in people with diabetes than other types of dressing however all trials in this field are very small. Decision makers may wish to consider aspects such as dressing cost and the wound management properties offered by each dressing type e.g. exudate management.","container-title":"The Cochrane Database of Systematic Reviews","issue":"6","journalAbbreviation":"Cochrane Database Syst Rev","language":"eng","note":"PMID: 23740766","page":"CD009111","title":"Foam dressings for healing diabetic foot ulcers","author":[{"family":"Dumville","given":"Jo C."},{"family":"Deshpande","given":"Sohan"},{"family":"O'Meara","given":"Susan"},{"family":"Speak","given":"Katharine"}],"issued":{"date-parts":[["2013",6,6]]}}}],"schema":"https://github.com/citation-style-language/schema/raw/master/csl-citation.json"} </w:instrText>
            </w:r>
            <w:r w:rsidRPr="00CA32B9">
              <w:rPr>
                <w:rFonts w:asciiTheme="minorHAnsi" w:hAnsiTheme="minorHAnsi" w:cstheme="minorHAnsi"/>
                <w:szCs w:val="20"/>
                <w:lang w:val="en-US"/>
              </w:rPr>
              <w:fldChar w:fldCharType="separate"/>
            </w:r>
            <w:r w:rsidRPr="00E84D1C">
              <w:rPr>
                <w:rFonts w:cs="Arial"/>
                <w:szCs w:val="24"/>
              </w:rPr>
              <w:t>(34,45–58)</w:t>
            </w:r>
            <w:r w:rsidRPr="00CA32B9">
              <w:rPr>
                <w:rFonts w:asciiTheme="minorHAnsi" w:hAnsiTheme="minorHAnsi" w:cstheme="minorHAnsi"/>
                <w:szCs w:val="20"/>
                <w:lang w:val="en-US"/>
              </w:rPr>
              <w:fldChar w:fldCharType="end"/>
            </w:r>
          </w:p>
        </w:tc>
      </w:tr>
      <w:tr w:rsidR="00E84D1C" w14:paraId="6962FF0B" w14:textId="77777777" w:rsidTr="004E4612">
        <w:tc>
          <w:tcPr>
            <w:tcW w:w="3213" w:type="dxa"/>
            <w:vAlign w:val="center"/>
          </w:tcPr>
          <w:p w14:paraId="3189AD75" w14:textId="64E13C6E" w:rsidR="00E84D1C" w:rsidRDefault="00E84D1C" w:rsidP="004E4612">
            <w:pPr>
              <w:jc w:val="center"/>
              <w:rPr>
                <w:lang w:val="en-US"/>
              </w:rPr>
            </w:pPr>
            <w:r w:rsidRPr="00CA32B9">
              <w:rPr>
                <w:rFonts w:asciiTheme="minorHAnsi" w:hAnsiTheme="minorHAnsi" w:cstheme="minorHAnsi"/>
                <w:color w:val="9A9B9D" w:themeColor="text1" w:themeTint="99"/>
                <w:szCs w:val="20"/>
                <w:lang w:val="en-US"/>
              </w:rPr>
              <w:t>3 studies (II)</w:t>
            </w:r>
          </w:p>
        </w:tc>
        <w:tc>
          <w:tcPr>
            <w:tcW w:w="1653" w:type="dxa"/>
          </w:tcPr>
          <w:p w14:paraId="09D03966" w14:textId="2FD84026" w:rsidR="00E84D1C" w:rsidRDefault="00E84D1C" w:rsidP="00E84D1C">
            <w:pPr>
              <w:jc w:val="center"/>
              <w:rPr>
                <w:lang w:val="en-US"/>
              </w:rPr>
            </w:pPr>
            <w:r w:rsidRPr="00CA32B9">
              <w:rPr>
                <w:rFonts w:asciiTheme="minorHAnsi" w:hAnsiTheme="minorHAnsi" w:cstheme="minorHAnsi"/>
                <w:color w:val="9A9B9D" w:themeColor="text1" w:themeTint="99"/>
                <w:szCs w:val="20"/>
                <w:lang w:val="en-US"/>
              </w:rPr>
              <w:t>6</w:t>
            </w:r>
          </w:p>
        </w:tc>
        <w:tc>
          <w:tcPr>
            <w:tcW w:w="2218" w:type="dxa"/>
            <w:vMerge/>
            <w:vAlign w:val="center"/>
          </w:tcPr>
          <w:p w14:paraId="1436B402" w14:textId="77777777" w:rsidR="00E84D1C" w:rsidRDefault="00E84D1C" w:rsidP="003D0488">
            <w:pPr>
              <w:rPr>
                <w:lang w:val="en-US"/>
              </w:rPr>
            </w:pPr>
          </w:p>
        </w:tc>
        <w:tc>
          <w:tcPr>
            <w:tcW w:w="2840" w:type="dxa"/>
          </w:tcPr>
          <w:p w14:paraId="11A45BD0" w14:textId="1621B2C5" w:rsidR="00E84D1C" w:rsidRDefault="00E84D1C" w:rsidP="00E84D1C">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0RXrqSoY","properties":{"formattedCitation":"(59\\uc0\\u8211{}61)","plainCitation":"(59–61)","noteIndex":0},"citationItems":[{"id":73604,"uris":["http://zotero.org/users/5328021/items/4WEB7JXE"],"uri":["http://zotero.org/users/5328021/items/4WEB7JXE"],"itemData":{"id":73604,"type":"article-journal","abstract":"This study aimed to assess the efficacy of a new povidone-iodine (PVP-I) foam dressing (Betafoam) vs foam dressing (Medifoam) for the management of diabetic foot ulcers. This study was conducted between March 2016 and September 2017 at 10 sites in Korea. A total of 71 patients (aged &gt;/=19 years) with type 1/2 diabetes  and early-phase diabetic foot ulcers (Wagener classification grade 1/2) were randomised to treatment with PVP-I foam dressing or foam dressing for 8 weeks. Wound healing, wound infection, patient satisfaction, and adverse events (AEs) were assessed. The PVP-I foam and foam dressing groups were comparable in the proportion of patients with complete wound healing within 8 weeks (44.4% vs 42.3%, P = .9191), mean (+/-SD) number of days to complete healing (31.00 +/- 15.07 vs 33.27 +/- 12.60 days; P = .6541), and infection rates (11.1% vs 11.4%; P = 1.0000). Median satisfaction score (scored from 0 to 10) at the final visit was also comparable between groups (10 vs 9, P = .2889). There was no significant difference in AE incidence (27.8% vs 17.1%, P = .2836), and none of the reported  AEs had a causal relationship with the dressings. The results of this study suggest that PVP-I foam dressing has wound-healing efficacy comparable with foam  dressing, with no notable safety concerns. This study was funded by Mundipharma Korea Ltd and registered at ClinicalTrials.gov (identifier NCT02732886).","container-title":"International wound journal","issue":"1","journalAbbreviation":"Int Wound J","language":"eng","note":"PMID: 31773882","page":"91-99","title":"Efficacy of a povidone-iodine foam dressing (Betafoam) on diabetic foot ulcer.","volume":"17","author":[{"family":"Gwak","given":"Heui C."},{"family":"Han","given":"Seung H."},{"family":"Lee","given":"Jinwoo"},{"family":"Park","given":"Sejin"},{"family":"Sung","given":"Ki-Sun"},{"family":"Kim","given":"Hak-Jun"},{"family":"Chun","given":"Dongil"},{"family":"Lee","given":"Kyungmin"},{"family":"Ahn","given":"Jae-Hoon"},{"family":"Kwak","given":"Kyunghee"},{"family":"Chung","given":"Hyung-Jin"}],"issued":{"date-parts":[["2020",2]]}}},{"id":55458,"uris":["http://zotero.org/users/5328021/items/3MQ2E53I"],"uri":["http://zotero.org/users/5328021/items/3MQ2E53I"],"itemData":{"id":55458,"type":"article-journal","abstract":"We assessed the safety and efficacy of Formulated Collagen Gel (FCG) alone and with Ad5PDGF-B (GAM501) compared with Standard of Care (SOC) in patients with 1.5-10.0 cm(2) chronic diabetic neuropathic foot ulcers that healed &lt;30% during Run-in. Wound size was assessed by planimetry of acetate tracings and photographs in 124 patients. Comparison of data sets revealed that acetate tracings frequently overestimated areas at some sites. For per-protocol analysis, 113 patients qualified using acetate tracings but only 82 qualified using photographs. Prior animal studies suggested that collagen alone would have little effect on healing and would serve as a negative control. Surprisingly trends for increased incidence of complete closure were observed for both GAM501 (41%) and FCG (45%) vs. Standard of Care (31%). By photographic data, Standard of Care had no significant effect on change in wound radius (mm/week) from during Run-in to Week 1 (-0.06 ± 0.32 to 0.78 ± 1.53, p=ns) but both FCG (-0.08 ± 0.61 to 1.97 ± 1.77, p&lt;0.002) and GAM501 (-0.02 ± 0.58 to 1.46 ± 1.37, p&lt;0.002) significantly increased healing rates that gradually declined over subsequent weeks. Both GAM501 and FCG appeared to be safe and well tolerated, and alternate dosing schedules hold promise to improve overall complete wound closure in adequately powered trials.","container-title":"Wound Repair and Regeneration: Official Publication of the Wound Healing Society [and] the European Tissue Repair Society","issue":"3","journalAbbreviation":"Wound Repair Regen","language":"eng","note":"PMID: 21371164\nPMCID: PMC3443373","page":"302-308","title":"Formulated collagen gel accelerates healing rate immediately after application in patients with diabetic neuropathic foot ulcers","volume":"19","author":[{"family":"Blume","given":"Peter"},{"family":"Driver","given":"Vickie R."},{"family":"Tallis","given":"Arthur J."},{"family":"Kirsner","given":"Robert S."},{"family":"Kroeker","given":"Roy"},{"family":"Payne","given":"Wyatt G."},{"family":"Wali","given":"Soma"},{"family":"Marston","given":"William"},{"family":"Dove","given":"Cyaandi"},{"family":"Engler","given":"Robert L."},{"family":"Chandler","given":"Lois A."},{"family":"Sosnowski","given":"Barbara K."}],"issued":{"date-parts":[["2011",6]]}}},{"id":55395,"uris":["http://zotero.org/users/5328021/items/EPIIRBNF"],"uri":["http://zotero.org/users/5328021/items/EPIIRBNF"],"itemData":{"id":55395,"type":"article-journal","abstract":"AIM: The aim of the study was to evaluate the effect of topical phenytoin on healing in diabetic foot ulcers. A randomized, controlled, double-blind, clinical trial was conducted.\nMETHODS: A phenytoin dressing and a control dressing were manufactured. Individuals who were ≥ 18 years of age with peripheral neuropathy, an ankle brachial pressure index &gt; 0.5 and a diabetic foot ulcer ≥ 4 weeks' duration were independently randomized to the phenytoin group (31 participants) or the control group (34 participants). Participants with renal disease, ankle brachial pressure index &lt; 0.5, necrosis or osteomyelitis were excluded. Subjects received standard wound care and dressing application. Primary endpoint analysis (diabetic foot ulcer closed or not at 16 weeks) was calculated by survival analysis.\nRESULTS: Participants (n = 65, 52 with Type 2 diabetes) were treated for a maximum of 16 weeks. Sixty per cent of the diabetic foot ulcers closed overall (18 in the phenytoin group, 20 in the control group) with no statistically significant differences in complete healing or in diabetic foot ulcer area over time between the two groups. At 24-weeks follow-up, one diabetic foot ulcer had recurred.\nCONCLUSIONS: There were no differences in diabetic foot ulcer closure rates or in diabetic foot ulcer area over time between the two groups. This study does not support the use of phenytoin in the treatment of diabetic foot ulcers.","container-title":"Diabetic Medicine: A Journal of the British Diabetic Association","issue":"10","journalAbbreviation":"Diabet. Med.","language":"eng","note":"PMID: 21480976","page":"1154-1157","title":"The effect of topical phenytoin on healing in diabetic foot ulcers: a randomized controlled trial","volume":"28","author":[{"family":"Shaw","given":"J."},{"family":"Hughes","given":"C. M."},{"family":"Lagan","given":"K. M."},{"family":"Stevenson","given":"M. R."},{"family":"Irwin","given":"C. R."},{"family":"Bell","given":"P. M."}],"issued":{"date-parts":[["2011",10]]}}}],"schema":"https://github.com/citation-style-language/schema/raw/master/csl-citation.json"}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(59–61)</w:t>
            </w:r>
            <w:r w:rsidRPr="00CA32B9">
              <w:rPr>
                <w:rFonts w:asciiTheme="minorHAnsi" w:hAnsiTheme="minorHAnsi" w:cstheme="minorHAnsi"/>
                <w:szCs w:val="20"/>
                <w:lang w:val="en-US"/>
              </w:rPr>
              <w:fldChar w:fldCharType="end"/>
            </w:r>
          </w:p>
        </w:tc>
      </w:tr>
      <w:tr w:rsidR="00E84D1C" w14:paraId="1C3B0007" w14:textId="77777777" w:rsidTr="004E4612">
        <w:tc>
          <w:tcPr>
            <w:tcW w:w="9924" w:type="dxa"/>
            <w:gridSpan w:val="4"/>
            <w:vAlign w:val="center"/>
          </w:tcPr>
          <w:p w14:paraId="0EBDA3A1" w14:textId="3E8D2D73" w:rsidR="00E84D1C" w:rsidRDefault="00E84D1C" w:rsidP="00E84D1C">
            <w:pPr>
              <w:jc w:val="left"/>
              <w:rPr>
                <w:lang w:val="en-US"/>
              </w:rPr>
            </w:pPr>
            <w:r w:rsidRPr="00CA32B9">
              <w:rPr>
                <w:rFonts w:asciiTheme="minorHAnsi" w:hAnsiTheme="minorHAnsi" w:cstheme="minorHAnsi"/>
                <w:b/>
                <w:szCs w:val="20"/>
                <w:lang w:val="en-US"/>
              </w:rPr>
              <w:t>Ulcer area reduction</w:t>
            </w:r>
          </w:p>
        </w:tc>
      </w:tr>
      <w:tr w:rsidR="003D0488" w14:paraId="3CA25755" w14:textId="77777777" w:rsidTr="004E4612">
        <w:tc>
          <w:tcPr>
            <w:tcW w:w="3213" w:type="dxa"/>
            <w:vAlign w:val="center"/>
          </w:tcPr>
          <w:p w14:paraId="1E7CCA49" w14:textId="4F7FEEB9" w:rsidR="003D0488" w:rsidRDefault="003D0488" w:rsidP="004E4612">
            <w:pPr>
              <w:jc w:val="center"/>
              <w:rPr>
                <w:lang w:val="en-US"/>
              </w:rPr>
            </w:pPr>
            <w:r w:rsidRPr="00CA32B9">
              <w:rPr>
                <w:rFonts w:asciiTheme="minorHAnsi" w:hAnsiTheme="minorHAnsi" w:cstheme="minorHAnsi"/>
                <w:szCs w:val="20"/>
                <w:lang w:val="en-US"/>
              </w:rPr>
              <w:t>9 studies (II)</w:t>
            </w:r>
          </w:p>
        </w:tc>
        <w:tc>
          <w:tcPr>
            <w:tcW w:w="1653" w:type="dxa"/>
          </w:tcPr>
          <w:p w14:paraId="34691FC6" w14:textId="79F61A80" w:rsidR="003D0488" w:rsidRDefault="003D0488" w:rsidP="00E84D1C">
            <w:pPr>
              <w:jc w:val="center"/>
              <w:rPr>
                <w:lang w:val="en-US"/>
              </w:rPr>
            </w:pPr>
            <w:r w:rsidRPr="00CA32B9">
              <w:rPr>
                <w:rFonts w:asciiTheme="minorHAnsi" w:hAnsiTheme="minorHAnsi" w:cstheme="minorHAnsi"/>
                <w:szCs w:val="20"/>
                <w:lang w:val="en-US"/>
              </w:rPr>
              <w:t>5</w:t>
            </w:r>
          </w:p>
        </w:tc>
        <w:tc>
          <w:tcPr>
            <w:tcW w:w="2218" w:type="dxa"/>
            <w:vAlign w:val="center"/>
          </w:tcPr>
          <w:p w14:paraId="3FF4ACD2" w14:textId="7163A4E5" w:rsidR="003D0488" w:rsidRDefault="003D0488" w:rsidP="00E84D1C">
            <w:pPr>
              <w:jc w:val="center"/>
              <w:rPr>
                <w:lang w:val="en-US"/>
              </w:rPr>
            </w:pPr>
            <w:r w:rsidRPr="00CA32B9">
              <w:rPr>
                <w:rFonts w:asciiTheme="minorHAnsi" w:hAnsiTheme="minorHAnsi" w:cstheme="minorHAnsi"/>
                <w:szCs w:val="20"/>
                <w:lang w:val="en-US"/>
              </w:rPr>
              <w:t>Low</w:t>
            </w:r>
          </w:p>
        </w:tc>
        <w:tc>
          <w:tcPr>
            <w:tcW w:w="2840" w:type="dxa"/>
          </w:tcPr>
          <w:p w14:paraId="2896CF7B" w14:textId="16B9E3E6" w:rsidR="003D0488" w:rsidRDefault="003D0488" w:rsidP="00E84D1C">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ueLdkRWG","properties":{"formattedCitation":"(47,50,62\\uc0\\u8211{}68)","plainCitation":"(47,50,62–68)","noteIndex":0},"citationItems":[{"id":46956,"uris":["http://zotero.org/users/5328021/items/PE4SEEHM"],"uri":["http://zotero.org/users/5328021/items/PE4SEEHM"],"itemData":{"id":46956,"type":"article-journal","abstract":"BACKGROUND: Diabetic foot ulcers are serious and challenging wounds associated with high risk of infection and lower-limb amputation. Ulcers are deemed neuroischaemic if peripheral neuropathy and peripheral artery disease are both present. No satisfactory treatment for neuroischaemic ulcers currently exists, and no evidence supports one particular dressing. We aimed to assess the effect of a sucrose octasulfate dressing versus a control dressing on wound closure in patients with neuroischaemic diabetic foot ulcers.\nMETHODS: We did a randomised, double-blind clinical trial (Explorer) in 43 hospitals with specialised diabetic foot clinics in France, Spain, Italy, Germany, and the UK. Eligible participants were inpatients or outpatients aged 18 years or older with diabetes and a non-infected neuroischaemic diabetic foot ulcer greater than 1 cm2 and of grade IC or IIC (as defined by the University of Texas Diabetic Wound Classification system). We excluded patients with a severe illness that might lead to them discontinuing the trial and those who had surgical revascularisation in the month before study entry. We randomly assigned participants (1:1) via a computer-generated randomisation procedure (concealed block size two); stratified by study centre and wound area (1-5 cm2 and 5-30 cm2), to treatment with either a sucrose octasulfate wound dressing or a control dressing (the same dressing without sucrose octasulfate) for 20 weeks. Both groups otherwise received the same standard of care for a 2-week screening period before randomisation and throughout the 20-week trial. Dressings were applied by nursing staff (or by instructed relatives for some outpatients). Frequencies of dressing changes were decided by the investigator on the basis of the clinical condition of the wound. Patients were assessed 2 weeks after randomisation, then monthly until week 20 or occurrence of wound closure. The primary outcome, assessed by intention-to-treat, was proportion of patients with wound closure at week 20. This trial is registered with ClinicalTrials.gov, number NCT01717183.\nFINDINGS: Between March 21, 2013, and March 31, 2016, we randomly assigned 240 individuals to treatment: 126 to the sucrose octasulfate dressing and 114 to the control dressing. After 20 weeks, wound closure occurred in 60 patients (48%) in the sucrose octasulfate dressing group and 34 patients (30%) in the control dressing group (18 percentage points difference, 95% CI 5-30; adjusted odds ratio 2·60, 95% CI 1·43-4·73; p=0·002). In both groups, the most frequent adverse events were infections of the target wound: 33 wound infections in 25 (20%) patients of 126 in the sucrose octasulfate dressing group and 36 in 32 (28%) patients of 114 in the control dressing group. Minor amputations not affecting the wound site were also reported in one (1%) patient in the sucrose octasulfate dressing group and two (2%) patients in the control dressing group. Three (2%) patients assigned to the sucrose octasulfate dressing and four (4%) assigned to the control dressing died, but none of the deaths were related to treatment, procedure, wound progression, or subsequent to amputation.\nINTERPRETATION: A sucrose octasulfate dressing significantly improved wound closure of neuroischaemic diabetic foot ulcers without affecting safety after 20 weeks of treatment along with standard care. These findings support the use of sucrose octasulfate dressing as a local treatment for neuroischaemic diabetic foot ulcers.\nFUNDING: Laboratoires Urgo Medical.","container-title":"The Lancet. Diabetes &amp; Endocrinology","issue":"3","journalAbbreviation":"Lancet Diabetes Endocrinol","language":"eng","note":"PMID: 29275068","page":"186-196","title":"Sucrose octasulfate dressing versus control dressing in patients with neuroischaemic diabetic foot ulcers (Explorer): an international, multicentre, double-blind, randomised, controlled trial","volume":"6","author":[{"family":"Edmonds","given":"Michael"},{"family":"Lázaro-Martínez","given":"José Luis"},{"family":"Alfayate-García","given":"Jesus Manuel"},{"family":"Martini","given":"Jacques"},{"family":"Petit","given":"Jean-Michel"},{"family":"Rayman","given":"Gerry"},{"family":"Lobmann","given":"Ralf"},{"family":"Uccioli","given":"Luigi"},{"family":"Sauvadet","given":"Anne"},{"family":"Bohbot","given":"Serge"},{"family":"Kerihuel","given":"Jean-Charles"},{"family":"Piaggesi","given":"Alberto"}],"issued":{"date-parts":[["2018"]]}}},{"id":49337,"uris":["http://zotero.org/users/5328021/items/9KHD4UIY"],"uri":["http://zotero.org/users/5328021/items/9KHD4UIY"],"itemData":{"id":49337,"type":"article-journal","abstract":"Fast and complete healing of a diabetic foot ulcer (DFU) is challenging due to the hostile wound healing environment of the diabetic patients. As a part of a multimodal treatment approach, advanced dressing material using hyaluronic acid (HA) has been found to be effective. However, previous studies have used HA with additional biologics, which interferes in determining the true clinical effect of HA in DFU. To examine the sole effectiveness of HA in DFU treatment, a prospective, randomized, placebo-controlled, single-center study was conducted using an HA dressing without additional substances. Thus, 34 patients who met the inclusion criteria were randomized into two groups (the study group: HA dressing material; the control group: conventional dressing material). During the 12-week study period, complete ulcer healing rate was evaluated as a primary endpoint. Additionally, healing velocity and the mean duration for achieving a 50% ulcer size reduction was compared between the two groups as a secondary endpoint. At the end of the study, the study group presented a significantly higher complete healing rate as compared to that in the control group [84.6% (11/13), 41.6% (5/12), respectively, P = 0.041]. Additionally, faster ulcer healing velocity and shorter mean duration for achieving a 50% ulcer size reduction were observed in the study group (P = 0.022 and 0.004, respectively). The Kaplan-Meier survival analysis for the median time for 50% ulcer healing rate also showed a significantly shorter duration in the study group (21 days vs. 39 days, P = 0.0127). Finally, there were no adverse events related to the dressing materials used in the study. As a major component of the extracellular matrix, this study supports the safety and efficacy of a pure HA dressing without additional substances in treating DFU.","container-title":"Wound Repair and Regeneration: Official Publication of the Wound Healing Society [and] the European Tissue Repair Society","issue":"3","journalAbbreviation":"Wound Repair Regen","language":"eng","note":"PMID: 26972358","page":"581-588","title":"Hyaluronic acid dressing (Healoderm) in the treatment of diabetic foot ulcer: A prospective, randomized, placebo-controlled, single-center study","volume":"24","author":[{"family":"Lee","given":"Moses"},{"family":"Han","given":"Seung Hwan"},{"family":"Choi","given":"Woo Jin"},{"family":"Chung","given":"Kwang Ho"},{"family":"Lee","given":"Jin Woo"}],"issued":{"date-parts":[["2016"]]}}},{"id":73582,"uris":["http://zotero.org/users/5328021/items/3LBCQ6EM"],"uri":["http://zotero.org/users/5328021/items/3LBCQ6EM"],"itemData":{"id":73582,"type":"article-journal","abstract":"BACKGROUND: Infected diabetic foot ulcers are always a problem for the surgeon, as well as, an economic burden upon the patient and state, in terms of increased  hospital stay and cost of medications and dressings. Various methods have been devised for the treatment of infected wounds in history with varying results in different patients groups. The purpose of this study is to compare the effectiveness of topical insulin on the healing of diabetic foot ulcers with the  conventional Pyodine((R)) povidone iodine dressing. Our objective was to compare  effectiveness of topical insulin with conventional Pyodine((R)) povidone iodine dressings in frequency of healing of diabetic foot ulcers. MATERIALS AND METHODS: It was a quasi-experimental study done at Pakistan Institute of Medical Sciences  Islamabad over a period of 20 months from January 2015 to September 2016. One hundred ten patients were included in the study. Sampling technique used was non-probability consecutive. Patients were assigned into two groups, group A receiving treatment with solution of 30 International Units Insulin Regular in 30 ml of normal saline and group B receiving conventional dressing with normal saline. The wound were compared for both groups at the days 7, 14 and 21 for wound healing. Complete healing time of diabetic foot ulcers was determined from  patients' followup visits in outpatient department. Data was by analyzed by SPSS  20. RESULTS: A total of 110 patients were enrolled in the study. Patients were divided equally into both control and experimental groups. The mean age of the patients was 53.23 +/- 6.21 years. The mean pre-treatment wound diameter was 4.81 +/- 0.85 cm in the placebo group, while it was 4.84 +/- 0.81 cm in the topical insulin group (CI 0.29-0.35, P = 0.875). The mean post-treatment wound diameter was 3.90 +/- 0.76 cm in the placebo group, while it was 2.46 +/- 0.57 cm in the topical insulin group (CI 0.44-0.58, P = 0.022). The mean wound difference was 0.91 +/- 0.25 cm in the placebo group, while it was 2.4 +/- 0.34 cm in the topical insulin group (CI 0.40-0.20, P = 0.041). The mean percent reduction in wound diameter was 19.2 +/- 4.6% in the placebo group, while it was 49.7 +/- 5.2% cm in the topical insulin group (CI 10.6-6.1, P = 0.001). CONCLUSION: There was significant contraction seen in the size of the ulcer in both the study groups depicting the healing process.","container-title":"World journal of surgery","journalAbbreviation":"World J Surg","language":"eng","note":"PMID: 31820059","title":"Effectiveness of Topical Insulin Dressings in Management of Diabetic Foot Ulcers.","author":[{"family":"Bhittani","given":"Mehreen K."},{"family":"Rehman","given":"Mubarak"},{"family":"Altaf","given":"Humera N."},{"family":"Altaf","given":"Omar S."}],"issued":{"date-parts":[["2019",12,9]]}}},{"id":73919,"uris":["http://zotero.org/users/5328021/items/AP8BWBQM"],"uri":["http://zotero.org/users/5328021/items/AP8BWBQM"],"itemData":{"id":73919,"type":"article-journal","abstract":"Diabetic foot ulceration is a common and severe complication of diabetes, causing substantial social, medical, and economic burdens. Treatment of foot ulcers remains challenging, thus requiring increasing awareness and more efficient management. This study investigates the efficacy of ointments, containing as main active ingredient the olive oil extract of the marine isopod Ceratothoa oestroides, in the treatment of patients with diabetic foot ulcers. Fifty-two patients were allocated into four treatment groups either receiving therapy with  an ointment containing extract of C. oestroides or extract of C. oestroides and eosin or extract of C. oestroides and cefaclor or no treatment. Patients were monitored for a period of 135 days by evaluation of transepidermal water loss, skin hydration, planimetry, photo-documentation, and clinical condition. Treatment with the extract of C. oestroides demonstrated significant healing properties that became evident after 45 days of treatment and resulted in complete ulcer healing in 61% of the patients. A significant improvement in transepidermal water loss (p &lt; 0.001), skin hydration levels (p &lt; 0.001), and wound area (p &lt; 0.001) was observed in all patients. Similar efficacy was demonstrated for the combination of C. oestroides extract with eosin treatment (p &lt; 0.001). On the contrary, the combination of C. oestroides extract with cefaclor antibiotic agent completely inhibited the healing properties of the isopod extract and did not improve water loss, skin hydration, or wound area. An important factor for C. oestroides extract healing properties is its selective activity against Gram negative bacteria. Ointments containing C. oestroides extract alone or combined with the antimicrobial agent eosin emerges as an effective regimen for the treatment of diabetic foot ulcers.","container-title":"Wound repair and regeneration : official publication of the Wound Healing Society [and] the European Tissue Repair Society","journalAbbreviation":"Wound Repair Regen","language":"eng","note":"PMID: 31618498","title":"Ointments containing Ceratothoa oestroides extract: Evaluation of their healing potential in the treatment of diabetic foot ulcers.","author":[{"family":"Meimeti","given":"Evangelia"},{"family":"Tentolouris","given":"Nikolaos"},{"family":"Manes","given":"Christos"},{"family":"Loupa","given":"Chariclia"},{"family":"Provatopoulou","given":"Xeni"},{"family":"Mostratos","given":"Dimitrios"},{"family":"Vitsos","given":"Andreas"},{"family":"Roussis","given":"Vassilios"},{"family":"Tzouvelekis","given":"Leonidas"},{"family":"Miriagou","given":"Vivi"},{"family":"Rallis","given":"Michail"}],"issued":{"date-parts":[["2019",10,16]]}}},{"id":73739,"uris":["http://zotero.org/users/5328021/items/ZJIADGVP"],"uri":["http://zotero.org/users/5328021/items/ZJIADGVP"],"itemData":{"id":73739,"type":"article-journal","abstract":"OBJECTIVE: The aim of this study is to develop, and characterize nanostructured lipid carriers (NLCs) of phenytoin (PHT) in order to improve its entrapment efficiency and sustained release to improve the healing process. METHODS: Twenty-seven patients with neuropathic diabetic foot ulceration (DFU) were enrolled in this study. Patients were comparable regarding size, grading of ulcer and control of diabetes with no major deformity. All patients were managed by weekly sharp debridement if indicated and offloaded with cast shoes. They were equally divided into three groups: PHT-NLC-hydrogel (0.5%w/v), phenytoin hydrogel (0.5%w/v) and blank hydrogel groups. Changes in wound area were monitored over 2  months. RESULTS: Baseline wound area of PHT-NLC, PHT and blank hydrogels were 5.50 +/- 3.66, 3.94 +/- 1.86 and 5.36 +/- 2.14 cm(2), respectively. Ulcers treated with PHT-NLC hydrogel showed smaller wound area compared to control groups (rho &lt; 0.05). The overall reduction in ulcer size were 95.82 +/- 2.22% for","container-title":"Foot (Edinburgh, Scotland)","journalAbbreviation":"Foot (Edinb)","language":"eng","note":"PMID: 30999080","page":"14-21","title":"The impact of topical phenytoin loaded nanostructured lipid carriers in diabetic  foot ulceration.","volume":"40","author":[{"family":"Motawea","given":"Amira"},{"family":"Abd El-Gawad","given":"Abd El-Gawad H."},{"family":"Borg","given":"Thanaa"},{"family":"Motawea","given":"Mohamad"},{"family":"Tarshoby","given":"Manal"}],"issued":{"date-parts":[["2019",9]]}}},{"id":45836,"uris":["http://zotero.org/users/5328021/items/A788N7KC"],"uri":["http://zotero.org/users/5328021/items/A788N7KC"],"itemData":{"id":45836,"type":"article-journal","abstract":"Potassium permanganate has been reported to be an effective treatment for certain types of wounds. The aim of the present study was to evaluate the use of potassium permanganate in the treatment of diabetic foot ulcers. A single-blind, randomized, controlled clinical trial was conducted on patients with type 2 diabetes mellitus that presented with a foot ulcer persisting for &gt;3 months. The control group (n=10) was treated with the current standard treatment, which comprises of measures for reducing pressure in the ulcerated area, daily cleansing of the ulcer with potable water and antiseptic wash solution, and the application of a disinfectant solution on the entire surface area of the ulcer; while the intervention group (n=15) received the standard treatment plus 5% topical potassium permanganate solution applied once a day for 21 days. In the intervention group, 1 patient did not tolerate the treatment and was eliminated from the study on the first day. The remaining patients tolerated the interventions well. At the end of the treatment period, ulcers in the control group had decreased by 38% whereas those in the intervention group decreased by 73% (P&lt;0.009). The degree of decrease was also investigated; the ulcer size was ≥50% decreased in 40% of patients in the control group and in 86% of patients in the intervention group (P=0.02). In conclusion, the results of the present study indicate that topical potassium permanganate is well tolerated and significantly accelerates the healing process of diabetic foot ulcers.","container-title":"Biomedical Reports","issue":"2","journalAbbreviation":"Biomed Rep","language":"eng","note":"PMID: 29435274\nPMCID: PMC5778841","page":"156-159","title":"Topical 5% potassium permanganate solution accelerates the healing process in chronic diabetic foot ulcers","volume":"8","author":[{"family":"Delgado-Enciso","given":"Iván"},{"family":"Madrigal-Perez","given":"Violeta M."},{"family":"Lara-Esqueda","given":"Agustin"},{"family":"Diaz-Sanchez","given":"Martha G."},{"family":"Guzman-Esquivel","given":"Jose"},{"family":"Rosas-Vizcaino","given":"Luis E."},{"family":"Virgen-Jimenez","given":"Oscar O."},{"family":"Kleiman-Trujillo","given":"Juleny"},{"family":"Lagarda-Canales","given":"Maria R."},{"family":"Ceja-Espiritu","given":"Gabriel"},{"family":"Rangel-Salgado","given":"Viridiana"},{"family":"Lopez-Lemus","given":"Uriel A."},{"family":"Delgado-Enciso","given":"Josuel"},{"family":"Lara-Basulto","given":"Agustin D."},{"family":"Soriano Hernández","given":"Alejandro D."}],"issued":{"date-parts":[["2018",2]]}}},{"id":76841,"uris":["http://zotero.org/users/5328021/items/FJXEQTRT"],"uri":["http://zotero.org/users/5328021/items/FJXEQTRT"],"itemData":{"id":76841,"type":"article-journal","archive":"cin20","container-title":"International Journal of Diabetes in Developing Countries","issue":"1","journalAbbreviation":"International Journal of Diabetes in Developing Countries","page":"46-49","source":"EBSCOhost","title":"The efficacy of topical phenytoin in the healing of diabetic foot ulcers: a randomized double-blinded trial.","volume":"37","author":[{"family":"Prabhu","given":"Raghunath"},{"family":"Ravi","given":"Chandni"},{"family":"Pai","given":"Srinivas"},{"family":"Rodrigues","given":"Gabriel"}],"issued":{"date-parts":[["2017",3]]}}},{"id":16537,"uris":["http://zotero.org/users/5328021/items/VND5E8VJ"],"uri":["http://zotero.org/users/5328021/items/VND5E8VJ"],"itemData":{"id":16537,"type":"article-journal","abstract":"Objective: To compare efficacy of topical use of Phenytoin and Vaseline Gauze dressing with Vaseline Gauze dressing alone in healing of diabetic foot ulcers. Methodology: This randomized controlled trial was carried out in Surgical unit I of Benazir Bhutto Hospital from January to June 2013. Study included 60 diabetic patients with Wagner grade 1 &amp; 2 ulcers on foot for more than 04 weeks with adequate control of diabetes. Patients with history of hepatic and renal diseases; on steroid use; or with impalpable foot arteries; were excluded. Thirty each were randomized to phenytoin and vaseline gauze dressing and vaseline gauze alone groups, respectively. At baseline and after 08 weeks, area of wound was measured using graph paper tracings and healing percentage was calculated. Results: Mean age of the sample was 53.83±6.66 years. Thirty six (60%) were males. Twenty five (41.67%) patients had Wagner grade 1 and 35 (58.33%) had grade 2 foot ulcers. Age, gender distribution and severity of foot ulcers according to Wagner grades were similar between two groups. In phenytoin &amp; Vaseline group, the mean baseline ulcer area decreased from 1310±489.2 mm2 to 492.53±460.9 mm2 at 8-weeks. In vaseline alone group, the mean baseline ulcer area decreased from 1107.53±486.58 mm2 to 662.63±497.8 mm2. In phenytoin &amp; vaseline group, the treatment was effective in 21 (70%) patients, whereas in vaseline alone group, the treatment was effective in 13 (43.3%) patients; p= 0.037. Conclusion: Phenytoin and vaseline dressings were significantly more effective as compared to vaseline alone dressings.","archive":"Embase","container-title":"Journal of Postgraduate Medical Institute","issue":"3","journalAbbreviation":"J. Postgrad. Med. Inst.","language":"English","page":"297-302","title":"A comparison of efficacy of topical use of phenytoin and vaseline gauze dressing with vaseline gauze dressing alone in healing of diabetic foot ulcers","volume":"28","author":[{"literal":"Ahmed A."},{"literal":"Ahmed M.I."}],"issued":{"date-parts":[["2014"]]}}},{"id":53352,"uris":["http://zotero.org/users/5328021/items/LZUUBXDJ"],"uri":["http://zotero.org/users/5328021/items/LZUUBXDJ"],"itemData":{"id":53352,"type":"article-journal","abstract":"Collagen/oxidized regenerated cellulose (ORC)/silver therapy has been designed to facilitate wound healing by normalizing the microenvironment and correcting biochemical imbalances in chronic wounds. The aim of this study was to compare collagen/ORC/silver therapy to control (standard treatment). Patients with diabetic foot ulcers were randomized to either collagen/ORC/silver (24) or control treatment (15). Wound area measurements and wound fluid samples were taken weekly. Protease levels were measured in wound fluid samples to investigate differences between responders (≥50% reduction in wound area by week 4) and nonresponders (&lt;50% reduction in wound area by week 4). There were significantly more responders in the collagen/ORC/silver group compared with the control group (79% vs. 43%, p = 0.035). There were significantly fewer withdrawals from the study because of infection in the collagen/ORC/silver group compared with the control group (0% vs. 31%, p = 0.012). The sum of matrix metalloproteinase-9 and elastase concentration was higher in nonresponders compared with responders at baseline (p = 0.0705) and week 4 (p = 0.012). The results suggest that collagen/ORC/silver normalizes the wound microenvironment and protects against infection, resulting in improved wound healing. It was also demonstrated that measuring a combination of proteases may be a more relevant prognostic healing marker than any individual protease alone.","container-title":"Wound Repair and Regeneration: Official Publication of the Wound Healing Society [and] the European Tissue Repair Society","issue":"2","journalAbbreviation":"Wound Repair Regen","language":"eng","note":"PMID: 23438054","page":"216-225","title":"Randomized controlled trial on collagen/oxidized regenerated cellulose/silver treatment","volume":"21","author":[{"family":"Gottrup","given":"Finn"},{"family":"Cullen","given":"Breda Mary"},{"family":"Karlsmark","given":"Tonny"},{"family":"Bischoff-Mikkelsen","given":"Morten"},{"family":"Nisbet","given":"Lorraine"},{"family":"Gibson","given":"Molly Camilla"}],"issued":{"date-parts":[["2013",4]]}}}],"schema":"https://github.com/citation-style-language/schema/raw/master/csl-citation.json"}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(47,50,62–68)</w:t>
            </w:r>
            <w:r w:rsidRPr="00CA32B9">
              <w:rPr>
                <w:rFonts w:asciiTheme="minorHAnsi" w:hAnsiTheme="minorHAnsi" w:cstheme="minorHAnsi"/>
                <w:szCs w:val="20"/>
                <w:lang w:val="en-US"/>
              </w:rPr>
              <w:fldChar w:fldCharType="end"/>
            </w:r>
          </w:p>
        </w:tc>
      </w:tr>
      <w:tr w:rsidR="00E84D1C" w14:paraId="34A27C40" w14:textId="77777777" w:rsidTr="004E4612">
        <w:tc>
          <w:tcPr>
            <w:tcW w:w="9924" w:type="dxa"/>
            <w:gridSpan w:val="4"/>
            <w:vAlign w:val="center"/>
          </w:tcPr>
          <w:p w14:paraId="42F7B9DF" w14:textId="63FC61C6" w:rsidR="00E84D1C" w:rsidRDefault="00E84D1C" w:rsidP="00E84D1C">
            <w:pPr>
              <w:keepNext/>
              <w:jc w:val="left"/>
              <w:rPr>
                <w:lang w:val="en-US"/>
              </w:rPr>
            </w:pPr>
            <w:r w:rsidRPr="00CA32B9">
              <w:rPr>
                <w:rFonts w:asciiTheme="minorHAnsi" w:hAnsiTheme="minorHAnsi" w:cstheme="minorHAnsi"/>
                <w:b/>
                <w:szCs w:val="20"/>
                <w:lang w:val="en-US"/>
              </w:rPr>
              <w:t>Time to healing</w:t>
            </w:r>
          </w:p>
        </w:tc>
      </w:tr>
      <w:tr w:rsidR="003D0488" w14:paraId="0B7BFC4D" w14:textId="77777777" w:rsidTr="004E4612">
        <w:tc>
          <w:tcPr>
            <w:tcW w:w="3213" w:type="dxa"/>
            <w:vAlign w:val="center"/>
          </w:tcPr>
          <w:p w14:paraId="077B523B" w14:textId="6E02D43B" w:rsidR="003D0488" w:rsidRDefault="003D0488" w:rsidP="004E4612">
            <w:pPr>
              <w:jc w:val="center"/>
              <w:rPr>
                <w:lang w:val="en-US"/>
              </w:rPr>
            </w:pPr>
            <w:r w:rsidRPr="00CA32B9">
              <w:rPr>
                <w:rFonts w:asciiTheme="minorHAnsi" w:hAnsiTheme="minorHAnsi" w:cstheme="minorHAnsi"/>
                <w:szCs w:val="20"/>
                <w:lang w:val="en-US"/>
              </w:rPr>
              <w:t>6 studies (</w:t>
            </w:r>
            <w:r w:rsidRPr="00CA32B9">
              <w:rPr>
                <w:rFonts w:asciiTheme="minorHAnsi" w:eastAsia="Times New Roman" w:hAnsiTheme="minorHAnsi" w:cstheme="minorHAnsi"/>
                <w:szCs w:val="20"/>
                <w:lang w:val="en-US"/>
              </w:rPr>
              <w:t>II)</w:t>
            </w:r>
          </w:p>
        </w:tc>
        <w:tc>
          <w:tcPr>
            <w:tcW w:w="1653" w:type="dxa"/>
          </w:tcPr>
          <w:p w14:paraId="210E433A" w14:textId="7D94C48E" w:rsidR="003D0488" w:rsidRDefault="003D0488" w:rsidP="00E84D1C">
            <w:pPr>
              <w:jc w:val="center"/>
              <w:rPr>
                <w:lang w:val="en-US"/>
              </w:rPr>
            </w:pPr>
            <w:r w:rsidRPr="00CA32B9">
              <w:rPr>
                <w:rFonts w:asciiTheme="minorHAnsi" w:hAnsiTheme="minorHAnsi" w:cstheme="minorHAnsi"/>
                <w:szCs w:val="20"/>
                <w:lang w:val="en-US"/>
              </w:rPr>
              <w:t>6,6</w:t>
            </w:r>
          </w:p>
        </w:tc>
        <w:tc>
          <w:tcPr>
            <w:tcW w:w="2218" w:type="dxa"/>
            <w:vAlign w:val="center"/>
          </w:tcPr>
          <w:p w14:paraId="3B35DED7" w14:textId="4F4575CB" w:rsidR="003D0488" w:rsidRDefault="003D0488" w:rsidP="00E84D1C">
            <w:pPr>
              <w:jc w:val="center"/>
              <w:rPr>
                <w:lang w:val="en-US"/>
              </w:rPr>
            </w:pPr>
            <w:r w:rsidRPr="00CA32B9">
              <w:rPr>
                <w:rFonts w:asciiTheme="minorHAnsi" w:hAnsiTheme="minorHAnsi" w:cstheme="minorHAnsi"/>
                <w:szCs w:val="20"/>
                <w:lang w:val="en-US"/>
              </w:rPr>
              <w:t>Moderate</w:t>
            </w:r>
          </w:p>
        </w:tc>
        <w:tc>
          <w:tcPr>
            <w:tcW w:w="2840" w:type="dxa"/>
          </w:tcPr>
          <w:p w14:paraId="1CB29E9F" w14:textId="2E8BF97E" w:rsidR="003D0488" w:rsidRDefault="003D0488"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TibTnQai","properties":{"formattedCitation":"(45\\uc0\\u8211{}47,50,51,69)","plainCitation":"(45–47,50,51,69)","noteIndex":0},"citationItems":[{"id":74188,"uris":["http://zotero.org/users/5328021/items/AHDAVE56"],"uri":["http://zotero.org/users/5328021/items/AHDAVE56"],"itemData":{"id":74188,"type":"article-journal","abstract":"The purpose of this systematic review and meta-analysis is to assess the clinical effectiveness and safety of the medical hydrogel dressings used in skin wounds and therefore to weight the evidence for their clinical application. PubMed/Medline (1980-2019), Cochrane Library (1980-2019), ClinicalTrials.gov, Cochrane CENTRAL, Chinese Journal Full-text Database (CNKI, 1994-2019), and China Biomedy Medicine disc (CBM, 1978-2019), Chinese Scientific Journal Database (VIP,","container-title":"Frontiers in bioengineering and biotechnology","journalAbbreviation":"Front Bioeng Biotechnol","language":"eng","note":"PMID: 31824935 \nPMCID: PMC6881259","page":"342","title":"A Systematic Review and Meta-Analysis of Clinical Effectiveness and Safety of Hydrogel Dressings in the Management of Skin Wounds.","volume":"7","author":[{"family":"Zhang","given":"Lijun"},{"family":"Yin","given":"Hanxiao"},{"family":"Lei","given":"Xun"},{"family":"Lau","given":"Johnson N. Y."},{"family":"Yuan","given":"Mingzhou"},{"family":"Wang","given":"Xiaoyan"},{"family":"Zhang","given":"Fangyingnan"},{"family":"Zhou","given":"Fei"},{"family":"Qi","given":"Shaohai"},{"family":"Shu","given":"Bin"},{"family":"Wu","given":"Jun"}],"issued":{"date-parts":[["2019"]]}}},{"id":73889,"uris":["http://zotero.org/users/5328021/items/DF6FBFUG"],"uri":["http://zotero.org/users/5328021/items/DF6FBFUG"],"itemData":{"id":73889,"type":"article-journal","abstract":"Wound healing, especially diabetic ones, is a relevant clinical problem, so it is not surprising that surgical procedures are often needed. To overcome invasive procedures, several strategies with drugs or natural compound are used. Recently, in an experimental study, we described an increase in keratinocyte proliferation  after their exposition to quercetin plus oleic acid. In the present clinical study, we evaluated both the clinical efficacy and the safety of nano-hydrogel embedded with quercetin and oleic acid in the treatment of lower limb skin wound  in patients with diabetes mellitus (DM). Fifty-six DM patients (28 men and 28 women, mean age 61.7 +/- 9.2 years) unsuccessfully treated with mechanical compression were enrolled and randomised to receive an add on treatment with hyaluronic acid (0.2%) or nano-hydrogel embedded with quercetin and oleic acid. The treatment with nano-hydrogel embedded with quercetin and oleic acid significantly (P &lt; .01) reduced the wound healing time, in comparison to hyaluronic acid (0.2%) without developing of adverse drug reactions, suggesting that this formulation could be used in the management of wound healing even if other clinical trials must be performed in order to validate this observation.","container-title":"International wound journal","issue":"2","journalAbbreviation":"Int Wound J","language":"eng","note":"PMID: 31876118","page":"485-490","title":"Nano-hydrogel embedded with quercetin and oleic acid as a new formulation in the  treatment of diabetic foot ulcer: A pilot study.","volume":"17","author":[{"family":"Gallelli","given":"Giuseppe"},{"family":"Cione","given":"Erika"},{"family":"Serra","given":"Raffaele"},{"family":"Leo","given":"Antonio"},{"family":"Citraro","given":"Rita"},{"family":"Matricardi","given":"Pietro"},{"family":"Di Meo","given":"Chiara"},{"family":"Bisceglia","given":"Francesco"},{"family":"Caroleo","given":"Maria C."},{"family":"Basile","given":"Sonia"},{"family":"Gallelli","given":"Luca"}],"issued":{"date-parts":[["2020",4]]}}},{"id":46956,"uris":["http://zotero.org/users/5328021/items/PE4SEEHM"],"uri":["http://zotero.org/users/5328021/items/PE4SEEHM"],"itemData":{"id":46956,"type":"article-journal","abstract":"BACKGROUND: Diabetic foot ulcers are serious and challenging wounds associated with high risk of infection and lower-limb amputation. Ulcers are deemed neuroischaemic if peripheral neuropathy and peripheral artery disease are both present. No satisfactory treatment for neuroischaemic ulcers currently exists, and no evidence supports one particular dressing. We aimed to assess the effect of a sucrose octasulfate dressing versus a control dressing on wound closure in patients with neuroischaemic diabetic foot ulcers.\nMETHODS: We did a randomised, double-blind clinical trial (Explorer) in 43 hospitals with specialised diabetic foot clinics in France, Spain, Italy, Germany, and the UK. Eligible participants were inpatients or outpatients aged 18 years or older with diabetes and a non-infected neuroischaemic diabetic foot ulcer greater than 1 cm2 and of grade IC or IIC (as defined by the University of Texas Diabetic Wound Classification system). We excluded patients with a severe illness that might lead to them discontinuing the trial and those who had surgical revascularisation in the month before study entry. We randomly assigned participants (1:1) via a computer-generated randomisation procedure (concealed block size two); stratified by study centre and wound area (1-5 cm2 and 5-30 cm2), to treatment with either a sucrose octasulfate wound dressing or a control dressing (the same dressing without sucrose octasulfate) for 20 weeks. Both groups otherwise received the same standard of care for a 2-week screening period before randomisation and throughout the 20-week trial. Dressings were applied by nursing staff (or by instructed relatives for some outpatients). Frequencies of dressing changes were decided by the investigator on the basis of the clinical condition of the wound. Patients were assessed 2 weeks after randomisation, then monthly until week 20 or occurrence of wound closure. The primary outcome, assessed by intention-to-treat, was proportion of patients with wound closure at week 20. This trial is registered with ClinicalTrials.gov, number NCT01717183.\nFINDINGS: Between March 21, 2013, and March 31, 2016, we randomly assigned 240 individuals to treatment: 126 to the sucrose octasulfate dressing and 114 to the control dressing. After 20 weeks, wound closure occurred in 60 patients (48%) in the sucrose octasulfate dressing group and 34 patients (30%) in the control dressing group (18 percentage points difference, 95% CI 5-30; adjusted odds ratio 2·60, 95% CI 1·43-4·73; p=0·002). In both groups, the most frequent adverse events were infections of the target wound: 33 wound infections in 25 (20%) patients of 126 in the sucrose octasulfate dressing group and 36 in 32 (28%) patients of 114 in the control dressing group. Minor amputations not affecting the wound site were also reported in one (1%) patient in the sucrose octasulfate dressing group and two (2%) patients in the control dressing group. Three (2%) patients assigned to the sucrose octasulfate dressing and four (4%) assigned to the control dressing died, but none of the deaths were related to treatment, procedure, wound progression, or subsequent to amputation.\nINTERPRETATION: A sucrose octasulfate dressing significantly improved wound closure of neuroischaemic diabetic foot ulcers without affecting safety after 20 weeks of treatment along with standard care. These findings support the use of sucrose octasulfate dressing as a local treatment for neuroischaemic diabetic foot ulcers.\nFUNDING: Laboratoires Urgo Medical.","container-title":"The Lancet. Diabetes &amp; Endocrinology","issue":"3","journalAbbreviation":"Lancet Diabetes Endocrinol","language":"eng","note":"PMID: 29275068","page":"186-196","title":"Sucrose octasulfate dressing versus control dressing in patients with neuroischaemic diabetic foot ulcers (Explorer): an international, multicentre, double-blind, randomised, controlled trial","volume":"6","author":[{"family":"Edmonds","given":"Michael"},{"family":"Lázaro-Martínez","given":"José Luis"},{"family":"Alfayate-García","given":"Jesus Manuel"},{"family":"Martini","given":"Jacques"},{"family":"Petit","given":"Jean-Michel"},{"family":"Rayman","given":"Gerry"},{"family":"Lobmann","given":"Ralf"},{"family":"Uccioli","given":"Luigi"},{"family":"Sauvadet","given":"Anne"},{"family":"Bohbot","given":"Serge"},{"family":"Kerihuel","given":"Jean-Charles"},{"family":"Piaggesi","given":"Alberto"}],"issued":{"date-parts":[["2018"]]}}},{"id":49337,"uris":["http://zotero.org/users/5328021/items/9KHD4UIY"],"uri":["http://zotero.org/users/5328021/items/9KHD4UIY"],"itemData":{"id":49337,"type":"article-journal","abstract":"Fast and complete healing of a diabetic foot ulcer (DFU) is challenging due to the hostile wound healing environment of the diabetic patients. As a part of a multimodal treatment approach, advanced dressing material using hyaluronic acid (HA) has been found to be effective. However, previous studies have used HA with additional biologics, which interferes in determining the true clinical effect of HA in DFU. To examine the sole effectiveness of HA in DFU treatment, a prospective, randomized, placebo-controlled, single-center study was conducted using an HA dressing without additional substances. Thus, 34 patients who met the inclusion criteria were randomized into two groups (the study group: HA dressing material; the control group: conventional dressing material). During the 12-week study period, complete ulcer healing rate was evaluated as a primary endpoint. Additionally, healing velocity and the mean duration for achieving a 50% ulcer size reduction was compared between the two groups as a secondary endpoint. At the end of the study, the study group presented a significantly higher complete healing rate as compared to that in the control group [84.6% (11/13), 41.6% (5/12), respectively, P = 0.041]. Additionally, faster ulcer healing velocity and shorter mean duration for achieving a 50% ulcer size reduction were observed in the study group (P = 0.022 and 0.004, respectively). The Kaplan-Meier survival analysis for the median time for 50% ulcer healing rate also showed a significantly shorter duration in the study group (21 days vs. 39 days, P = 0.0127). Finally, there were no adverse events related to the dressing materials used in the study. As a major component of the extracellular matrix, this study supports the safety and efficacy of a pure HA dressing without additional substances in treating DFU.","container-title":"Wound Repair and Regeneration: Official Publication of the Wound Healing Society [and] the European Tissue Repair Society","issue":"3","journalAbbreviation":"Wound Repair Regen","language":"eng","note":"PMID: 26972358","page":"581-588","title":"Hyaluronic acid dressing (Healoderm) in the treatment of diabetic foot ulcer: A prospective, randomized, placebo-controlled, single-center study","volume":"24","author":[{"family":"Lee","given":"Moses"},{"family":"Han","given":"Seung Hwan"},{"family":"Choi","given":"Woo Jin"},{"family":"Chung","given":"Kwang Ho"},{"family":"Lee","given":"Jin Woo"}],"issued":{"date-parts":[["2016"]]}}},{"id":51070,"uris":["http://zotero.org/users/5328021/items/LWGPEB69"],"uri":["http://zotero.org/users/5328021/items/LWGPEB69"],"itemData":{"id":51070,"type":"article-journal","abstract":"Nonhealing neuropathic foot ulcers remain a significant problem in individuals with diabetes. The gap-junctional protein connexin43 (Cx43) has roles in dermal wound healing and targeting Cx43 signalling accelerates wound reepithelialization. In a prospective, randomized, multicenter clinical trial we evaluated the efficacy and safety of a peptide mimetic of the C-terminus of Cx43, alpha connexin carboxy-terminal (ACT1), in accelerating the healing of chronic diabetic foot ulcers (DFUs) when incorporated into standard of care (SOC) protocols. Adults with DFUs of at least four weeks duration were randomized to receive SOC with or without topical application of ACT1. Primary outcome was mean percent ulcer reepithelialization and safety variables included incidence of treatment related adverse events (AEs) and detection of ACT1 immunogenicity. ACT1 treatment was associated with a significantly greater reduction in mean percent ulcer area from baseline to 12 weeks (72.1% vs. 57.1%; p = 0.03). Analysis of incidence and median time-to-complete-ulcer closure revealed that ACT1 treatment was associated with a greater percentage of participants that reached 100% ulcer reepitheliazation and a reduced median time-to-complete-ulcer closure. No AEs reported were treatment related, and ACT1 was not immunogenic. Treatment protocols that incorporate ACT1 may present a therapeutic strategy that safely augments the reepithelialization of chronic DFUs.","container-title":"Wound Repair and Regeneration: Official Publication of the Wound Healing Society [and] the European Tissue Repair Society","issue":"2","journalAbbreviation":"Wound Repair Regen","language":"eng","note":"PMID: 25703647\nPMCID: PMC4472499","page":"203-212","title":"Topical administration of a connexin43-based peptide augments healing of chronic neuropathic diabetic foot ulcers: A multicenter, randomized trial","volume":"23","author":[{"family":"Grek","given":"Christina L."},{"family":"Prasad","given":"G. M."},{"family":"Viswanathan","given":"Vijay"},{"family":"Armstrong","given":"David G."},{"family":"Gourdie","given":"Robert G."},{"family":"Ghatnekar","given":"Gautam S."}],"issued":{"date-parts":[["2015",4]]}}},{"id":55571,"uris":["http://zotero.org/users/5328021/items/Z2AK4JSS"],"uri":["http://zotero.org/users/5328021/items/Z2AK4JSS"],"itemData":{"id":55571,"type":"article-journal","abstract":"The purpose of this study was to compare the rate of wound healing in diabetic foot ulcers (DFU) using either a microbial cellulose (MC) wound dressing or Xeroform™ Petrolatum gauze. In a parallel, open-label trial in which the primary outcome was the rate of wound healing and the time to wound closure, 15 ulcers in type II diabetic patients received an MC dressing. Wounds in 19 control patients with type II diabetes were treated with a Xeroform gauze dressing. All wounds were non infected, Wagner stage II or III and received standard care including debridement, non weight bearing limb support and weekly wound evaluation. The mean time to heal in the MC (±SE) treated group was 32 days ± 2.5 and for controls it was 48 days ± 4.7 (P &lt; 0.01). The rate of weekly wound closure (mean ± SE) was 1.7 times faster in the MC-treated group (cellulose treated, -5.04% per week ± 0.38 versus control, -2.93% per week ± 0.19), (P &lt; 0.001). Among covariants tested by univariate regression, only the original wound area correlated with the time to wound closure (P &lt; 0.001). In conclusion, with the provision of current standards of care, the application of an MC dressing to a diabetic ulcer may enhance the rate of wound healing and shorten the time course of epithelisation.","container-title":"International Wound Journal","issue":"1","journalAbbreviation":"Int Wound J","language":"eng","note":"PMID: 21159127","page":"69-73","title":"A parallel open-label trial to evaluate microbial cellulose wound dressing in the treatment of diabetic foot ulcers","volume":"8","author":[{"family":"Solway","given":"Douglas R."},{"family":"Clark","given":"William A."},{"family":"Levinson","given":"Dennis J."}],"issued":{"date-parts":[["2011",2]]}}}],"schema":"https://github.com/citation-style-language/schema/raw/master/csl-citation.json"}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(45–47,50,51,69)</w:t>
            </w:r>
            <w:r w:rsidRPr="00CA32B9">
              <w:rPr>
                <w:rFonts w:asciiTheme="minorHAnsi" w:hAnsiTheme="minorHAnsi" w:cstheme="minorHAnsi"/>
                <w:szCs w:val="20"/>
                <w:lang w:val="en-US"/>
              </w:rPr>
              <w:fldChar w:fldCharType="end"/>
            </w:r>
          </w:p>
        </w:tc>
      </w:tr>
      <w:tr w:rsidR="00E84D1C" w14:paraId="5B566FE8" w14:textId="77777777" w:rsidTr="004E4612">
        <w:tc>
          <w:tcPr>
            <w:tcW w:w="9924" w:type="dxa"/>
            <w:gridSpan w:val="4"/>
            <w:vAlign w:val="center"/>
          </w:tcPr>
          <w:p w14:paraId="7CDD92D2" w14:textId="2582E91D" w:rsidR="00E84D1C" w:rsidRDefault="00E84D1C" w:rsidP="00E84D1C">
            <w:pPr>
              <w:keepNext/>
              <w:jc w:val="left"/>
              <w:rPr>
                <w:lang w:val="en-US"/>
              </w:rPr>
            </w:pPr>
            <w:r w:rsidRPr="00CA32B9">
              <w:rPr>
                <w:rFonts w:asciiTheme="minorHAnsi" w:hAnsiTheme="minorHAnsi" w:cstheme="minorHAnsi"/>
                <w:b/>
                <w:szCs w:val="20"/>
                <w:lang w:val="en-US"/>
              </w:rPr>
              <w:t>Cost-effectiveness</w:t>
            </w:r>
          </w:p>
        </w:tc>
      </w:tr>
      <w:tr w:rsidR="00E84D1C" w14:paraId="0618FA3F" w14:textId="77777777" w:rsidTr="004E4612">
        <w:tc>
          <w:tcPr>
            <w:tcW w:w="3213" w:type="dxa"/>
            <w:vAlign w:val="center"/>
          </w:tcPr>
          <w:p w14:paraId="6A7480FE" w14:textId="1129D038" w:rsidR="00E84D1C" w:rsidRDefault="00E84D1C" w:rsidP="004E4612">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 xml:space="preserve">study (I) - </w:t>
            </w: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(III)</w:t>
            </w:r>
          </w:p>
        </w:tc>
        <w:tc>
          <w:tcPr>
            <w:tcW w:w="1653" w:type="dxa"/>
          </w:tcPr>
          <w:p w14:paraId="12857189" w14:textId="0C25A74C" w:rsidR="00E84D1C" w:rsidRDefault="00E84D1C" w:rsidP="00E84D1C">
            <w:pPr>
              <w:jc w:val="center"/>
              <w:rPr>
                <w:lang w:val="en-US"/>
              </w:rPr>
            </w:pPr>
            <w:r w:rsidRPr="00CA32B9">
              <w:rPr>
                <w:rFonts w:asciiTheme="minorHAnsi" w:hAnsiTheme="minorHAnsi" w:cstheme="minorHAnsi"/>
                <w:szCs w:val="20"/>
                <w:lang w:val="en-US"/>
              </w:rPr>
              <w:t>5</w:t>
            </w:r>
          </w:p>
        </w:tc>
        <w:tc>
          <w:tcPr>
            <w:tcW w:w="2218" w:type="dxa"/>
            <w:vMerge w:val="restart"/>
            <w:vAlign w:val="center"/>
          </w:tcPr>
          <w:p w14:paraId="24613F68" w14:textId="1B8FD5DE" w:rsidR="00E84D1C" w:rsidRDefault="00E84D1C" w:rsidP="00E84D1C">
            <w:pPr>
              <w:jc w:val="center"/>
              <w:rPr>
                <w:lang w:val="en-US"/>
              </w:rPr>
            </w:pPr>
            <w:r w:rsidRPr="00CA32B9">
              <w:rPr>
                <w:rFonts w:asciiTheme="minorHAnsi" w:hAnsiTheme="minorHAnsi" w:cstheme="minorHAnsi"/>
                <w:szCs w:val="20"/>
                <w:lang w:val="en-US"/>
              </w:rPr>
              <w:t>Low</w:t>
            </w:r>
          </w:p>
        </w:tc>
        <w:tc>
          <w:tcPr>
            <w:tcW w:w="2840" w:type="dxa"/>
          </w:tcPr>
          <w:p w14:paraId="41CA39D2" w14:textId="0EB5C2A0" w:rsidR="00E84D1C" w:rsidRDefault="00E84D1C" w:rsidP="00E84D1C">
            <w:pPr>
              <w:keepNext/>
              <w:jc w:val="center"/>
              <w:rPr>
                <w:lang w:val="en-US"/>
              </w:rPr>
            </w:pPr>
            <w:r w:rsidRPr="00CA32B9">
              <w:rPr>
                <w:rFonts w:asciiTheme="minorHAnsi" w:hAnsiTheme="minorHAnsi" w:cstheme="minorHAnsi"/>
                <w:szCs w:val="20"/>
                <w:lang w:val="en-US"/>
              </w:rPr>
              <w:fldChar w:fldCharType="begin"/>
            </w:r>
            <w:r w:rsidR="007155CA">
              <w:rPr>
                <w:rFonts w:asciiTheme="minorHAnsi" w:hAnsiTheme="minorHAnsi" w:cstheme="minorHAnsi"/>
                <w:szCs w:val="20"/>
                <w:lang w:val="en-US"/>
              </w:rPr>
              <w:instrText xml:space="preserve"> ADDIN ZOTERO_ITEM CSL_CITATION {"citationID":"OzKCdgjN","properties":{"formattedCitation":"(49,70)","plainCitation":"(49,70)","noteIndex":0},"citationItems":[{"id":48954,"uris":["http://zotero.org/users/5328021/items/PUK549ZQ"],"uri":["http://zotero.org/users/5328021/items/PUK549ZQ"],"itemData":{"id":48954,"type":"article-journal","abstract":"Diabetic foot ulcers and venous leg ulcers are chronic wounds frequently encountered by dermatologists. Choosing appropriate wound dressings can effectively promote wound healing and potentially reduce morbidity and financial burden experienced by patients. The objective of our systematic review and meta-analysis was to evaluate wound healing efficacies of synthetic active dressings in diabetic foot ulcer and venous leg ulcer management. For data collection, PubMed, Embase, Cochrane Library, CINAHL, and clinicaltrials.gov online databases were searched from database inception to 10 May 2015. Fixed and random effects modeling were used to calculate pooled risk ratios for complete ulcer healing from pairwise dressing comparisons. The results of our review showed moderate-quality level evidence that hydrogels were more effective in healing diabetic foot ulcers than basic wound contact dressings (RR 1.80 [95% CI, 1.27-2.56]). The other dressing comparisons showed no statistically significant differences between the interventions examined in terms of achieving complete diabetic foot ulcer healing. Non-adherent dressings were more cost-effective than hydrofiber dressings for diabetic foot ulcers in terms of mean total cost per patient of the dressings themselves. All venous leg ulcer pairwise dressing comparisons showed equivalent dressing efficacies in terms of promoting complete ulcer healing. Overall, most synthetic active dressings and traditional wound dressings are equally efficacious in treating diabetic foot ulcers and venous leg ulcers. For treating diabetic foot ulcers, hydrogels are more efficacious than basic wound contact dressings, and non-adherent dressings are more cost-effective than hydrofiber dressings. Ultimately, dressing choice should be tailored to the wound and the patient.","container-title":"Dermatology Online Journal","issue":"8","journalAbbreviation":"Dermatol. Online J.","language":"eng","note":"PMID: 27617934","title":"Comparing the efficacies of alginate, foam, hydrocolloid, hydrofiber, and hydrogel dressings in the management of diabetic foot ulcers and venous leg ulcers: a systematic review and meta-analysis examining how to dress for success","volume":"22","author":[{"family":"Saco","given":"Michael"},{"family":"Howe","given":"Nicole"},{"family":"Nathoo","given":"Rajiv"},{"family":"Cherpelis","given":"Basil"}],"issued":{"date-parts":[["2016",8,15]]}}},{"id":82422,"uris":["http://zotero.org/users/5328021/items/DCEJ8MJK"],"uri":["http://zotero.org/users/5328021/items/DCEJ8MJK"],"itemData":{"id":82422,"type":"article-journal","abstract":"The main purpose of this trial is to demonstrate that the new dressing is more effective than the current dressing in the local treatment of chronic foot ulcers in diabetic patients.","archive_location":"CN-02024806","container-title":"https://clinicaltrials.gov/show/NCT01717183","DOI":"doi: 10.1371/journal.pone.0245652","journalAbbreviation":"PLoS One","note":"PMID: 33481840","title":"Cost-effectiveness of TLC-NOSF dressings versus neutral dressings for the treatment of diabetic foot ulcers in France (NCT01717183)","URL":"https://www.cochranelibrary.com/central/doi/10.1002/central/CN-02024806/full","author":[{"literal":"Franck Maunoury"},{"family":"Anaïs Oury","given":""},{"family":"Sophie Fortin","given":""}],"issued":{"date-parts":[["2021"]]}}}],"schema":"https://github.com/citation-style-language/schema/raw/master/csl-citation.json"} </w:instrText>
            </w:r>
            <w:r w:rsidRPr="00CA32B9">
              <w:rPr>
                <w:rFonts w:asciiTheme="minorHAnsi" w:hAnsiTheme="minorHAnsi" w:cstheme="minorHAnsi"/>
                <w:szCs w:val="20"/>
                <w:lang w:val="en-US"/>
              </w:rPr>
              <w:fldChar w:fldCharType="separate"/>
            </w:r>
            <w:r w:rsidR="007155CA" w:rsidRPr="007155CA">
              <w:rPr>
                <w:rFonts w:cs="Arial"/>
              </w:rPr>
              <w:t>(49,70)</w:t>
            </w:r>
            <w:r w:rsidRPr="00CA32B9">
              <w:rPr>
                <w:rFonts w:asciiTheme="minorHAnsi" w:hAnsiTheme="minorHAnsi" w:cstheme="minorHAnsi"/>
                <w:szCs w:val="20"/>
                <w:lang w:val="en-US"/>
              </w:rPr>
              <w:fldChar w:fldCharType="end"/>
            </w:r>
          </w:p>
        </w:tc>
      </w:tr>
      <w:tr w:rsidR="00E84D1C" w14:paraId="5845805C" w14:textId="77777777" w:rsidTr="004E4612">
        <w:tc>
          <w:tcPr>
            <w:tcW w:w="3213" w:type="dxa"/>
            <w:vAlign w:val="center"/>
          </w:tcPr>
          <w:p w14:paraId="64B41B3E" w14:textId="5057AF09" w:rsidR="00E84D1C" w:rsidRDefault="00E84D1C" w:rsidP="004E4612">
            <w:pPr>
              <w:jc w:val="center"/>
              <w:rPr>
                <w:lang w:val="en-US"/>
              </w:rPr>
            </w:pPr>
            <w:r w:rsidRPr="00CA32B9">
              <w:rPr>
                <w:rFonts w:asciiTheme="minorHAnsi" w:hAnsiTheme="minorHAnsi" w:cstheme="minorHAnsi"/>
                <w:color w:val="9A9B9D" w:themeColor="text1" w:themeTint="99"/>
                <w:szCs w:val="20"/>
                <w:lang w:val="en-US"/>
              </w:rPr>
              <w:t>1 study (</w:t>
            </w:r>
            <w:r w:rsidR="00D347AD" w:rsidRPr="00CA32B9">
              <w:rPr>
                <w:rFonts w:asciiTheme="minorHAnsi" w:hAnsiTheme="minorHAnsi" w:cstheme="minorHAnsi"/>
                <w:color w:val="9A9B9D" w:themeColor="text1" w:themeTint="99"/>
                <w:szCs w:val="20"/>
                <w:lang w:val="en-US"/>
              </w:rPr>
              <w:t>III</w:t>
            </w:r>
            <w:r w:rsidR="00D347AD" w:rsidRPr="00CA32B9" w:rsidDel="00D347AD">
              <w:rPr>
                <w:rFonts w:asciiTheme="minorHAnsi" w:hAnsiTheme="minorHAnsi" w:cstheme="minorHAnsi"/>
                <w:color w:val="9A9B9D" w:themeColor="text1" w:themeTint="99"/>
                <w:szCs w:val="20"/>
                <w:lang w:val="en-US"/>
              </w:rPr>
              <w:t xml:space="preserve"> </w:t>
            </w:r>
            <w:r w:rsidRPr="00CA32B9">
              <w:rPr>
                <w:rFonts w:asciiTheme="minorHAnsi" w:hAnsiTheme="minorHAnsi" w:cstheme="minorHAnsi"/>
                <w:color w:val="9A9B9D" w:themeColor="text1" w:themeTint="99"/>
                <w:szCs w:val="20"/>
                <w:lang w:val="en-US"/>
              </w:rPr>
              <w:t>)</w:t>
            </w:r>
          </w:p>
        </w:tc>
        <w:tc>
          <w:tcPr>
            <w:tcW w:w="1653" w:type="dxa"/>
          </w:tcPr>
          <w:p w14:paraId="6C86039F" w14:textId="1671EBA3" w:rsidR="00E84D1C" w:rsidRDefault="00E84D1C" w:rsidP="00E84D1C">
            <w:pPr>
              <w:jc w:val="center"/>
              <w:rPr>
                <w:lang w:val="en-US"/>
              </w:rPr>
            </w:pPr>
            <w:r w:rsidRPr="00CA32B9">
              <w:rPr>
                <w:rFonts w:asciiTheme="minorHAnsi" w:hAnsiTheme="minorHAnsi" w:cstheme="minorHAnsi"/>
                <w:color w:val="9A9B9D" w:themeColor="text1" w:themeTint="99"/>
                <w:szCs w:val="20"/>
                <w:lang w:val="en-US"/>
              </w:rPr>
              <w:t>2</w:t>
            </w:r>
          </w:p>
        </w:tc>
        <w:tc>
          <w:tcPr>
            <w:tcW w:w="2218" w:type="dxa"/>
            <w:vMerge/>
            <w:vAlign w:val="center"/>
          </w:tcPr>
          <w:p w14:paraId="6C45CC64" w14:textId="77777777" w:rsidR="00E84D1C" w:rsidRDefault="00E84D1C" w:rsidP="003D0488">
            <w:pPr>
              <w:rPr>
                <w:lang w:val="en-US"/>
              </w:rPr>
            </w:pPr>
          </w:p>
        </w:tc>
        <w:tc>
          <w:tcPr>
            <w:tcW w:w="2840" w:type="dxa"/>
          </w:tcPr>
          <w:p w14:paraId="4CBF0C3E" w14:textId="4AEF1231"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eeprJ01c","properties":{"formattedCitation":"(71)","plainCitation":"(71)","noteIndex":0},"citationItems":[{"id":47498,"uris":["http://zotero.org/users/5328021/items/BSV9WEAN"],"uri":["http://zotero.org/users/5328021/items/BSV9WEAN"],"itemData":{"id":47498,"type":"article-journal","abstract":"OBJECTIVE: Wounds that have stalled healing are costly in terms of patient morbidity and increase in use of material and financial resources. A natural polymer beta-glucans has been incorporated into a methylcellulose gel to provide a topical gel designed to accelerate healing in wounds where it has stalled. Although the gel provides an environment conducive to moist wound healing the active agent, beta-glucans, activate the innate immune response.\nMETHOD: Using a Markov cohort simulation model, data were extrapolated from a double-blind randomised trial to evaluate the economic benefits of the soluble beta-glucan (SBG) gel in the treatment of diabetic foot ulcers (DFUs).\nRESULTS: Over an annual budget cycle, SBG gel is expected to heal 94% of wounds compared with 78% when given standard care. It also healed wounds more quickly, with the average expected healed weeks 34.4 in the SBG gel group, compared with 24.7 methylcellulose dressing group. In our model this leads to a cost saving over an annual budget cycle of £503 per patient. Note: healed weeks refers to the number of weeks when the wound has healed during the 12-week period and should not be confused with weeks to healing.\nCONCLUSION: The shorter healing time associated with the SBG gel treatment leads to a cost saving because fewer weeks of treatment are required to heal the wound, suggesting this is a promising new cost-effective option for the treatment of DFUs.","container-title":"Journal of Wound Care","issue":"5","journalAbbreviation":"J Wound Care","language":"eng","note":"PMID: 28475444","page":"228-234","title":"The cost-effectiveness of a novel soluble beta-glucan gel","volume":"26","author":[{"family":"Cutting","given":"K. F."}],"issued":{"date-parts":[["2017",5,2]]}}}],"schema":"https://github.com/citation-style-language/schema/raw/master/csl-citation.json"}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(71)</w:t>
            </w:r>
            <w:r w:rsidRPr="00CA32B9">
              <w:rPr>
                <w:rFonts w:asciiTheme="minorHAnsi" w:hAnsiTheme="minorHAnsi" w:cstheme="minorHAnsi"/>
                <w:szCs w:val="20"/>
                <w:lang w:val="en-US"/>
              </w:rPr>
              <w:fldChar w:fldCharType="end"/>
            </w:r>
          </w:p>
        </w:tc>
      </w:tr>
      <w:tr w:rsidR="00E84D1C" w14:paraId="65FD1E9F" w14:textId="77777777" w:rsidTr="004E4612">
        <w:tc>
          <w:tcPr>
            <w:tcW w:w="9924" w:type="dxa"/>
            <w:gridSpan w:val="4"/>
            <w:vAlign w:val="center"/>
          </w:tcPr>
          <w:p w14:paraId="5018E45A" w14:textId="07B688A1" w:rsidR="00E84D1C" w:rsidRDefault="00E84D1C" w:rsidP="00E84D1C">
            <w:pPr>
              <w:keepNext/>
              <w:jc w:val="left"/>
              <w:rPr>
                <w:lang w:val="en-US"/>
              </w:rPr>
            </w:pPr>
            <w:r w:rsidRPr="00CA32B9">
              <w:rPr>
                <w:rFonts w:asciiTheme="minorHAnsi" w:hAnsiTheme="minorHAnsi" w:cstheme="minorHAnsi"/>
                <w:b/>
                <w:szCs w:val="20"/>
                <w:lang w:val="en-US"/>
              </w:rPr>
              <w:t>Hospitalization days</w:t>
            </w:r>
          </w:p>
        </w:tc>
      </w:tr>
      <w:tr w:rsidR="00E84D1C" w14:paraId="2EEA05A4" w14:textId="77777777" w:rsidTr="004E4612">
        <w:tc>
          <w:tcPr>
            <w:tcW w:w="3213" w:type="dxa"/>
            <w:vAlign w:val="center"/>
          </w:tcPr>
          <w:p w14:paraId="17F68427" w14:textId="78AF555F" w:rsidR="00E84D1C" w:rsidRDefault="00E84D1C" w:rsidP="004E4612">
            <w:pPr>
              <w:jc w:val="center"/>
              <w:rPr>
                <w:lang w:val="en-US"/>
              </w:rPr>
            </w:pPr>
            <w:r w:rsidRPr="00CA32B9">
              <w:rPr>
                <w:rFonts w:asciiTheme="minorHAnsi" w:hAnsiTheme="minorHAnsi" w:cstheme="minorHAnsi"/>
                <w:szCs w:val="20"/>
                <w:lang w:val="en-US"/>
              </w:rPr>
              <w:t xml:space="preserve">2 </w:t>
            </w:r>
            <w:r w:rsidRPr="00CA32B9">
              <w:rPr>
                <w:rFonts w:asciiTheme="minorHAnsi" w:eastAsia="Times New Roman" w:hAnsiTheme="minorHAnsi" w:cstheme="minorHAnsi"/>
                <w:szCs w:val="20"/>
                <w:lang w:val="en-US"/>
              </w:rPr>
              <w:t>studies (III)</w:t>
            </w:r>
          </w:p>
        </w:tc>
        <w:tc>
          <w:tcPr>
            <w:tcW w:w="1653" w:type="dxa"/>
          </w:tcPr>
          <w:p w14:paraId="673886E9" w14:textId="796B0E47" w:rsidR="00E84D1C" w:rsidRDefault="00E84D1C" w:rsidP="00E84D1C">
            <w:pPr>
              <w:jc w:val="center"/>
              <w:rPr>
                <w:lang w:val="en-US"/>
              </w:rPr>
            </w:pPr>
            <w:r w:rsidRPr="00CA32B9">
              <w:rPr>
                <w:rFonts w:asciiTheme="minorHAnsi" w:hAnsiTheme="minorHAnsi" w:cstheme="minorHAnsi"/>
                <w:szCs w:val="20"/>
                <w:lang w:val="en-US"/>
              </w:rPr>
              <w:t>2,5</w:t>
            </w:r>
          </w:p>
        </w:tc>
        <w:tc>
          <w:tcPr>
            <w:tcW w:w="2218" w:type="dxa"/>
            <w:vMerge w:val="restart"/>
            <w:vAlign w:val="center"/>
          </w:tcPr>
          <w:p w14:paraId="7E9C8211" w14:textId="1B0FA1DF" w:rsidR="00E84D1C" w:rsidRDefault="00E84D1C" w:rsidP="00E84D1C">
            <w:pPr>
              <w:jc w:val="center"/>
              <w:rPr>
                <w:lang w:val="en-US"/>
              </w:rPr>
            </w:pPr>
            <w:r w:rsidRPr="00CA32B9">
              <w:rPr>
                <w:rFonts w:asciiTheme="minorHAnsi" w:hAnsiTheme="minorHAnsi" w:cstheme="minorHAnsi"/>
                <w:szCs w:val="20"/>
                <w:lang w:val="en-US"/>
              </w:rPr>
              <w:t>Low</w:t>
            </w:r>
          </w:p>
        </w:tc>
        <w:tc>
          <w:tcPr>
            <w:tcW w:w="2840" w:type="dxa"/>
          </w:tcPr>
          <w:p w14:paraId="5536B5D1" w14:textId="41C1A707"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21TnWOiV","properties":{"formattedCitation":"(72,73)","plainCitation":"(72,73)","noteIndex":0},"citationItems":[{"id":47428,"uris":["http://zotero.org/users/5328021/items/T7BFIMLW"],"uri":["http://zotero.org/users/5328021/items/T7BFIMLW"],"itemData":{"id":47428,"type":"article-journal","abstract":"OBJECTIVE: The purpose of this study was to determine the wound healing effects of Acapsil, a white, odorless powder based on micropore particle technology (MPPT) (Willingsford Ltd, Southampton, UK) by comparing it to Gentaxane (Gentaksan, Borshchagovsky CCP, Kyiv, Ukraine) (polydimethylsiloxane powder with gentamicin antibiotic) and Ioddicerin (Farmak, Kyiv, Ukraine) (iodine with dimethyl sulfoxide [DMSO]).\nMATERIALS AND METHODS: The study included 266 patients with primarily trophic ulcers caused by pancreatic diabetes and venous insufficiency of the lower extremities, carbuncles, phlegmons, infected third- or fourth-degree heat burns, and infiltrations of postoperative wounds. The products were applied once daily to the wound until it was clean (ie, free from necrosis, pus, and fibrinogenous thickenings).\nRESULTS: The number of days (mean ± standard deviation) to a clean wound was 3.0 ± 0.9 for MPPT (n = 88) compared with 7.0 ± 1.2 and 8.0 ± 1.1 for Gentaxane (n = 90) and iodine/DMSO (n = 88), respectively. Thus, MPPT reduced the time to reach a clean wound by 57% and 62%, respectively. Products were used once daily until a clean wound was reached, which also reflects the number of applications. Days to onset of granulation for MPPT, Gentaxane, and iodine/DMSO were 4.5 ± 0.8, 9.2 ± 1.4, and 10.3 ± 1.5 days, respectively; and days to onset of epithelialization were 7.8 ± 1.1, 14.1 ± 1.9, and 16.4 ± 2.7 days, respectively. Subgroup analysis of patients with diabetic foot and venous leg ulcers found that each of these demonstrated the same pattern of healing as the overall study. The number of hospitalization days was 14.6 ± 5.6 for MPPT, 21.0 ± 10.7 for Gentaxane, and 24.0 ± 7.9 for iodine/DMSO. Compared with Gentaxane, patients receiving MPPT had a 31% reduction in hospitalization duration and a 39% reduction compared with iodine/DMSO.\nCONCLUSION: These findings demonstrate that MPPT represents a valuable new approach to wound care.","container-title":"Wounds: A Compendium of Clinical Research and Practice","issue":"8","journalAbbreviation":"Wounds","language":"eng","note":"PMID: 28570251","page":"1-9","title":"Comparative Clinical Study of the Wound Healing Effects of a Novel Micropore Particle Technology: Effects on Wounds, Venous Leg Ulcers, and Diabetic Foot Ulcers","volume":"29","author":[{"family":"Bilyayeva","given":"Olga O."},{"family":"Neshta","given":"Viacheslav V."},{"family":"Golub","given":"Alexander A."},{"family":"Sams-Dodd","given":"Frank"}],"issued":{"date-parts":[["2017"]]}}},{"id":51848,"uris":["http://zotero.org/users/5328021/items/H9E9LESJ"],"uri":["http://zotero.org/users/5328021/items/H9E9LESJ"],"itemData":{"id":51848,"type":"article-journal","abstract":"BACKGROUND: India is fast becoming world diabetes capital. Diabetic foot infections are major problems among innumerable complications associated with diabetes.\nMATERIAL AND METHODS: A randomized control study was conducted to evaluate the effect of topical phenytoin on healing in diabetic foot ulcers. One hundred patients with grade I/ II diabetic foot ulcers were randomly divided into two equal groups. Patients subjected to topical phenytoin dressing were classified under study and those who underwent normal salinewound dressings were classified as control. Both the groups were compared in terms of discharge, slough, wound area reduction and duration of hospital stay.\nRESULTS: Discharge and slough from wound reduced significantly by day 14 in phenytoin group and within 21 days in control group. Mean duration of hospital stay in phenytoin group was 20 days, whereas in control group, it was 26 days. This difference was statistically significant (p value &lt;0.005,df 1).\nCONCLUSION: Hence, Phenytoin proved to be useful as a topical agent in promoting healing and in controlling infections in diabetic foot ulcers.","container-title":"Journal of clinical and diagnostic research: JCDR","issue":"10","journalAbbreviation":"J Clin Diagn Res","language":"eng","note":"PMID: 24298485\nPMCID: PMC3843440","page":"2238-2240","title":"Topical Phenytoin Application in Grade I and II Diabetic Foot Ulcers: A Prospective Study","volume":"7","author":[{"family":"Patil","given":"Vijaya"},{"family":"Patil","given":"Rashmi"},{"family":"Kariholu","given":"P. L."},{"family":"Patil","given":"L. S."},{"family":"Shahapur","given":"Praveeen"}],"issued":{"date-parts":[["2013",10]]}}}],"schema":"https://github.com/citation-style-language/schema/raw/master/csl-citation.json"}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(72,73)</w:t>
            </w:r>
            <w:r w:rsidRPr="00CA32B9">
              <w:rPr>
                <w:rFonts w:asciiTheme="minorHAnsi" w:hAnsiTheme="minorHAnsi" w:cstheme="minorHAnsi"/>
                <w:szCs w:val="20"/>
                <w:lang w:val="en-US"/>
              </w:rPr>
              <w:fldChar w:fldCharType="end"/>
            </w:r>
          </w:p>
        </w:tc>
      </w:tr>
      <w:tr w:rsidR="00E84D1C" w14:paraId="6E552813" w14:textId="77777777" w:rsidTr="004E4612">
        <w:tc>
          <w:tcPr>
            <w:tcW w:w="3213" w:type="dxa"/>
            <w:vAlign w:val="center"/>
          </w:tcPr>
          <w:p w14:paraId="1004177F" w14:textId="3D31882B" w:rsidR="00E84D1C" w:rsidRDefault="00E84D1C" w:rsidP="004E4612">
            <w:pPr>
              <w:jc w:val="center"/>
              <w:rPr>
                <w:lang w:val="en-US"/>
              </w:rPr>
            </w:pPr>
            <w:r w:rsidRPr="00CA32B9">
              <w:rPr>
                <w:rFonts w:asciiTheme="minorHAnsi" w:hAnsiTheme="minorHAnsi" w:cstheme="minorHAnsi"/>
                <w:color w:val="9A9B9D" w:themeColor="text1" w:themeTint="99"/>
                <w:szCs w:val="20"/>
                <w:lang w:val="en-US"/>
              </w:rPr>
              <w:t>1 study (III)</w:t>
            </w:r>
          </w:p>
        </w:tc>
        <w:tc>
          <w:tcPr>
            <w:tcW w:w="1653" w:type="dxa"/>
          </w:tcPr>
          <w:p w14:paraId="08060C0D" w14:textId="30419E2F" w:rsidR="00E84D1C" w:rsidRDefault="00E84D1C" w:rsidP="00E84D1C">
            <w:pPr>
              <w:jc w:val="center"/>
              <w:rPr>
                <w:lang w:val="en-US"/>
              </w:rPr>
            </w:pPr>
            <w:r w:rsidRPr="00CA32B9">
              <w:rPr>
                <w:rFonts w:asciiTheme="minorHAnsi" w:hAnsiTheme="minorHAnsi" w:cstheme="minorHAnsi"/>
                <w:color w:val="9A9B9D" w:themeColor="text1" w:themeTint="99"/>
                <w:szCs w:val="20"/>
                <w:lang w:val="en-US"/>
              </w:rPr>
              <w:t>2</w:t>
            </w:r>
          </w:p>
        </w:tc>
        <w:tc>
          <w:tcPr>
            <w:tcW w:w="2218" w:type="dxa"/>
            <w:vMerge/>
          </w:tcPr>
          <w:p w14:paraId="6B0908F1" w14:textId="77777777" w:rsidR="00E84D1C" w:rsidRDefault="00E84D1C" w:rsidP="003D0488">
            <w:pPr>
              <w:rPr>
                <w:lang w:val="en-US"/>
              </w:rPr>
            </w:pPr>
          </w:p>
        </w:tc>
        <w:tc>
          <w:tcPr>
            <w:tcW w:w="2840" w:type="dxa"/>
          </w:tcPr>
          <w:p w14:paraId="54A8E48F" w14:textId="605E2C44"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jE0rcD56","properties":{"formattedCitation":"(72)","plainCitation":"(72)","noteIndex":0},"citationItems":[{"id":47428,"uris":["http://zotero.org/users/5328021/items/T7BFIMLW"],"uri":["http://zotero.org/users/5328021/items/T7BFIMLW"],"itemData":{"id":47428,"type":"article-journal","abstract":"OBJECTIVE: The purpose of this study was to determine the wound healing effects of Acapsil, a white, odorless powder based on micropore particle technology (MPPT) (Willingsford Ltd, Southampton, UK) by comparing it to Gentaxane (Gentaksan, Borshchagovsky CCP, Kyiv, Ukraine) (polydimethylsiloxane powder with gentamicin antibiotic) and Ioddicerin (Farmak, Kyiv, Ukraine) (iodine with dimethyl sulfoxide [DMSO]).\nMATERIALS AND METHODS: The study included 266 patients with primarily trophic ulcers caused by pancreatic diabetes and venous insufficiency of the lower extremities, carbuncles, phlegmons, infected third- or fourth-degree heat burns, and infiltrations of postoperative wounds. The products were applied once daily to the wound until it was clean (ie, free from necrosis, pus, and fibrinogenous thickenings).\nRESULTS: The number of days (mean ± standard deviation) to a clean wound was 3.0 ± 0.9 for MPPT (n = 88) compared with 7.0 ± 1.2 and 8.0 ± 1.1 for Gentaxane (n = 90) and iodine/DMSO (n = 88), respectively. Thus, MPPT reduced the time to reach a clean wound by 57% and 62%, respectively. Products were used once daily until a clean wound was reached, which also reflects the number of applications. Days to onset of granulation for MPPT, Gentaxane, and iodine/DMSO were 4.5 ± 0.8, 9.2 ± 1.4, and 10.3 ± 1.5 days, respectively; and days to onset of epithelialization were 7.8 ± 1.1, 14.1 ± 1.9, and 16.4 ± 2.7 days, respectively. Subgroup analysis of patients with diabetic foot and venous leg ulcers found that each of these demonstrated the same pattern of healing as the overall study. The number of hospitalization days was 14.6 ± 5.6 for MPPT, 21.0 ± 10.7 for Gentaxane, and 24.0 ± 7.9 for iodine/DMSO. Compared with Gentaxane, patients receiving MPPT had a 31% reduction in hospitalization duration and a 39% reduction compared with iodine/DMSO.\nCONCLUSION: These findings demonstrate that MPPT represents a valuable new approach to wound care.","container-title":"Wounds: A Compendium of Clinical Research and Practice","issue":"8","journalAbbreviation":"Wounds","language":"eng","note":"PMID: 28570251","page":"1-9","title":"Comparative Clinical Study of the Wound Healing Effects of a Novel Micropore Particle Technology: Effects on Wounds, Venous Leg Ulcers, and Diabetic Foot Ulcers","volume":"29","author":[{"family":"Bilyayeva","given":"Olga O."},{"family":"Neshta","given":"Viacheslav V."},{"family":"Golub","given":"Alexander A."},{"family":"Sams-Dodd","given":"Frank"}],"issued":{"date-parts":[["2017"]]}}}],"schema":"https://github.com/citation-style-language/schema/raw/master/csl-citation.json"}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asciiTheme="minorHAnsi" w:hAnsiTheme="minorHAnsi" w:cstheme="minorHAnsi"/>
                <w:szCs w:val="20"/>
                <w:lang w:val="en-US"/>
              </w:rPr>
              <w:t>(72)</w:t>
            </w:r>
            <w:r w:rsidRPr="00CA32B9">
              <w:rPr>
                <w:rFonts w:asciiTheme="minorHAnsi" w:hAnsiTheme="minorHAnsi" w:cstheme="minorHAnsi"/>
                <w:szCs w:val="20"/>
                <w:lang w:val="en-US"/>
              </w:rPr>
              <w:fldChar w:fldCharType="end"/>
            </w:r>
          </w:p>
        </w:tc>
      </w:tr>
      <w:tr w:rsidR="00E84D1C" w:rsidRPr="00166EC2" w14:paraId="65DD1870" w14:textId="77777777" w:rsidTr="004E4612">
        <w:tc>
          <w:tcPr>
            <w:tcW w:w="9924" w:type="dxa"/>
            <w:gridSpan w:val="4"/>
            <w:shd w:val="clear" w:color="auto" w:fill="D4F1D3" w:themeFill="background2" w:themeFillTint="33"/>
            <w:vAlign w:val="center"/>
          </w:tcPr>
          <w:p w14:paraId="4D5C37FF" w14:textId="4EE2CEF3" w:rsidR="00E84D1C" w:rsidRDefault="00E84D1C" w:rsidP="003F3795">
            <w:pPr>
              <w:keepNext/>
              <w:jc w:val="center"/>
              <w:rPr>
                <w:lang w:val="en-US"/>
              </w:rPr>
            </w:pPr>
            <w:r w:rsidRPr="00CA32B9">
              <w:rPr>
                <w:rFonts w:asciiTheme="minorHAnsi" w:hAnsiTheme="minorHAnsi" w:cstheme="minorHAnsi"/>
                <w:b/>
                <w:bCs/>
                <w:color w:val="56575A"/>
                <w:szCs w:val="20"/>
                <w:lang w:val="en-US"/>
              </w:rPr>
              <w:t>Treatment with bioengineered skin substitute</w:t>
            </w:r>
            <w:r w:rsidR="00723E8E">
              <w:rPr>
                <w:rFonts w:asciiTheme="minorHAnsi" w:hAnsiTheme="minorHAnsi" w:cstheme="minorHAnsi"/>
                <w:b/>
                <w:bCs/>
                <w:color w:val="56575A"/>
                <w:szCs w:val="20"/>
                <w:lang w:val="en-US"/>
              </w:rPr>
              <w:t>s</w:t>
            </w:r>
            <w:r w:rsidRPr="00CA32B9">
              <w:rPr>
                <w:rFonts w:asciiTheme="minorHAnsi" w:hAnsiTheme="minorHAnsi" w:cstheme="minorHAnsi"/>
                <w:b/>
                <w:bCs/>
                <w:color w:val="56575A"/>
                <w:szCs w:val="20"/>
                <w:lang w:val="en-US"/>
              </w:rPr>
              <w:t>: acellular dermal matrix</w:t>
            </w:r>
          </w:p>
        </w:tc>
      </w:tr>
      <w:tr w:rsidR="003F3795" w14:paraId="3320A937" w14:textId="77777777" w:rsidTr="004E4612">
        <w:tc>
          <w:tcPr>
            <w:tcW w:w="9924" w:type="dxa"/>
            <w:gridSpan w:val="4"/>
            <w:vAlign w:val="center"/>
          </w:tcPr>
          <w:p w14:paraId="4D82EF3C" w14:textId="573C4F84" w:rsidR="003F3795" w:rsidRDefault="003F3795" w:rsidP="00E84D1C">
            <w:pPr>
              <w:keepNext/>
              <w:rPr>
                <w:lang w:val="en-US"/>
              </w:rPr>
            </w:pPr>
            <w:r w:rsidRPr="00CA32B9">
              <w:rPr>
                <w:rFonts w:asciiTheme="minorHAnsi" w:hAnsiTheme="minorHAnsi" w:cstheme="minorHAnsi"/>
                <w:b/>
                <w:szCs w:val="20"/>
                <w:lang w:val="en-US"/>
              </w:rPr>
              <w:t xml:space="preserve">Ulcer </w:t>
            </w:r>
            <w:proofErr w:type="spellStart"/>
            <w:r w:rsidRPr="00CA32B9">
              <w:rPr>
                <w:rFonts w:asciiTheme="minorHAnsi" w:hAnsiTheme="minorHAnsi" w:cstheme="minorHAnsi"/>
                <w:b/>
                <w:szCs w:val="20"/>
                <w:lang w:val="en-US"/>
              </w:rPr>
              <w:t>healing</w:t>
            </w:r>
            <w:r w:rsidRPr="00240DFC">
              <w:rPr>
                <w:rFonts w:asciiTheme="minorHAnsi" w:hAnsiTheme="minorHAnsi" w:cstheme="minorHAnsi"/>
                <w:b/>
                <w:szCs w:val="20"/>
                <w:vertAlign w:val="superscript"/>
                <w:lang w:val="en-US"/>
              </w:rPr>
              <w:t>a</w:t>
            </w:r>
            <w:proofErr w:type="spellEnd"/>
          </w:p>
        </w:tc>
      </w:tr>
      <w:tr w:rsidR="00E84D1C" w14:paraId="13BB1764" w14:textId="77777777" w:rsidTr="004E4612">
        <w:tc>
          <w:tcPr>
            <w:tcW w:w="3213" w:type="dxa"/>
            <w:vAlign w:val="center"/>
          </w:tcPr>
          <w:p w14:paraId="2E1DFD6A" w14:textId="1CD3B1F0" w:rsidR="00E84D1C" w:rsidRDefault="00E84D1C" w:rsidP="003F3795">
            <w:pPr>
              <w:jc w:val="center"/>
              <w:rPr>
                <w:lang w:val="en-US"/>
              </w:rPr>
            </w:pPr>
            <w:r w:rsidRPr="00CA32B9">
              <w:rPr>
                <w:rFonts w:asciiTheme="minorHAnsi" w:eastAsia="Times New Roman" w:hAnsiTheme="minorHAnsi" w:cstheme="minorHAnsi"/>
                <w:szCs w:val="20"/>
                <w:lang w:val="en-US"/>
              </w:rPr>
              <w:t>2 studies (I)</w:t>
            </w:r>
            <w:r w:rsidRPr="00CA32B9">
              <w:rPr>
                <w:rFonts w:asciiTheme="minorHAnsi" w:hAnsiTheme="minorHAnsi" w:cstheme="minorHAnsi"/>
                <w:szCs w:val="20"/>
                <w:lang w:val="en-US"/>
              </w:rPr>
              <w:t xml:space="preserve"> - 3 studies (</w:t>
            </w:r>
            <w:r w:rsidRPr="00CA32B9">
              <w:rPr>
                <w:rFonts w:asciiTheme="minorHAnsi" w:eastAsia="Times New Roman" w:hAnsiTheme="minorHAnsi" w:cstheme="minorHAnsi"/>
                <w:szCs w:val="20"/>
                <w:lang w:val="en-US"/>
              </w:rPr>
              <w:t>II)</w:t>
            </w:r>
          </w:p>
        </w:tc>
        <w:tc>
          <w:tcPr>
            <w:tcW w:w="1653" w:type="dxa"/>
          </w:tcPr>
          <w:p w14:paraId="4F8F910A" w14:textId="005E11F8" w:rsidR="00E84D1C" w:rsidRDefault="00E84D1C" w:rsidP="00E84D1C">
            <w:pPr>
              <w:jc w:val="center"/>
              <w:rPr>
                <w:lang w:val="en-US"/>
              </w:rPr>
            </w:pPr>
            <w:r w:rsidRPr="00CA32B9">
              <w:rPr>
                <w:rFonts w:asciiTheme="minorHAnsi" w:hAnsiTheme="minorHAnsi" w:cstheme="minorHAnsi"/>
                <w:szCs w:val="20"/>
                <w:lang w:val="en-US"/>
              </w:rPr>
              <w:t>7,2</w:t>
            </w:r>
          </w:p>
        </w:tc>
        <w:tc>
          <w:tcPr>
            <w:tcW w:w="2218" w:type="dxa"/>
            <w:vMerge w:val="restart"/>
            <w:vAlign w:val="center"/>
          </w:tcPr>
          <w:p w14:paraId="51BC1C0D" w14:textId="33E3F90A" w:rsidR="00E84D1C" w:rsidRDefault="00E84D1C" w:rsidP="00E84D1C">
            <w:pPr>
              <w:jc w:val="center"/>
              <w:rPr>
                <w:lang w:val="en-US"/>
              </w:rPr>
            </w:pPr>
            <w:r w:rsidRPr="00CA32B9">
              <w:rPr>
                <w:rFonts w:asciiTheme="minorHAnsi" w:hAnsiTheme="minorHAnsi" w:cstheme="minorHAnsi"/>
                <w:szCs w:val="20"/>
                <w:lang w:val="en-US"/>
              </w:rPr>
              <w:t>Moderate</w:t>
            </w:r>
          </w:p>
        </w:tc>
        <w:tc>
          <w:tcPr>
            <w:tcW w:w="2840" w:type="dxa"/>
          </w:tcPr>
          <w:p w14:paraId="388CFC62" w14:textId="4BD5B2F9"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EtFci8TH","properties":{"formattedCitation":"(74\\uc0\\u8211{}78)","plainCitation":"(74–78)","noteIndex":0},"citationItems":[{"id":73297,"uris":["http://zotero.org/users/5328021/items/AGPMPEBE"],"uri":["http://zotero.org/users/5328021/items/AGPMPEBE"],"itemData":{"id":73297,"type":"article-journal","abstract":"Diabetic foot ulcers (DFUs) are one of the major complications of diabetes, representing a leading cause of hospitalisation and non-traumatic lower limb amputations. Multidisciplinary management, patient education, glucose control, debridement, off-loading, infection control, and adequate perfusion are the mainstays of standard care. Despite all these, at least 30% of DFUs fail to heal  within 20 weeks. Therefore, dermoepidermal skin substitutes (DSS) have been used  as a new therapeutic adjunct for DFUs. This brief review outlines the recent advances in DSS for the treatment of DFUs. PubMed and Cochrane databases were systematically searched in May to July 2018 for systematic reviews published after 2013 and for randomised controlled trials (RCTs). A retrospective evaluation of 28 RCTs was performed. Rates of complete wound closure and time to  healing were examined for 17 commonly available DSS. Healing rates after 12 weeks and time to complete closure in DFUs are heterogeneous among the 28 RCT. The best healing rates at 12 weeks were accomplished with dermal cellular substitutes (Epifix(R), 100% and Amnioband(R), 85%) and with dermal acellular substitutes (Allopatch(R), 80% and Hyalograft(R), 78.8%). Based on these studies, DSS used in conjunction with standard care appear to improve the healing rates of DFUs, as compared with standard care alone. Nonetheless, new studies with more homogeneous samples are needed to ascertain the role of ulcer size, duration, depth and/or type in the efficacy of DSS. Moreover, future RCTs should include patients with severe comorbidities, in order to be more representative of clinical reality.","container-title":"Current vascular pharmacology","issue":"2","journalAbbreviation":"Curr Vasc Pharmacol","language":"eng","note":"PMID: 30963977","page":"182-192","title":"Advances in Dermoepidermal Skin Substitutes for Diabetic Foot Ulcers.","volume":"18","author":[{"family":"Alvaro-Afonso","given":"Francisco Javier"},{"family":"Garcia-Alvarez","given":"Yolanda"},{"family":"Lazaro-Martinez","given":"Jose Luis"},{"family":"Kakagia","given":"Despoina"},{"family":"Papanas","given":"Nikolaos"}],"issued":{"date-parts":[["2020"]]}}},{"id":47466,"uris":["http://zotero.org/users/5328021/items/ME8QQ7Y8"],"uri":["http://zotero.org/users/5328021/items/ME8QQ7Y8"],"itemData":{"id":47466,"type":"article-journal","abstract":"The authors aimed to evaluate the efficacy of an advanced wound matrix (Integra Flowable Wound Matrix, Integra LifeScience Corp, Plainsboro, NJ, USA) for treating wounds with irregular geometries versus a wet dressing in patients with diabetic foot ulcers. Sixty patients with diabetic foot ulcers (Grades 3 Wagner) were included in this randomized clinical trial. The study was conducted in the General Surgery Unit and Geriatric of the Second University of Naples, Italy, in the last 12 months. Forty-six cases of diabetic foot ulcers were equally and randomly divided into control and test groups. The first group treated with Integra Flowable Wound Matrix, while the control group with a wet dressing. Both groups were evaluated once a week for 6 weeks to value the degree of epithelialization and granulation tissue of the wound. The complete healing rate in the whole study population was 69.56% (Integra Flowable Wound Matrix group, 86.95%, control group, 52.17%; p = 0.001). Amputation and rehospitalization rates were higher in the control group compared to the first group, therefore, the difference was statistically significant (p = 0.0019; p = 0.028, respectively). The Integra Flowable Wound Matrix, was significantly superior, compared to the wet dressing, by promoting the complete healing of diabetic foot ulcers. Ease of use, absence of adverse effects, and a facilitated wound healing process are among the properties of the matrix. These characteristics make it appropriate in the management of diabetic foot ulcers. Additional research will shed more light on the promising advantages of this material in healing diabetic foot ulcers.","container-title":"Updates in Surgery","issue":"4","journalAbbreviation":"Updates Surg","language":"eng","note":"PMID: 28497218","page":"523-529","title":"To evaluate the efficacy of an acellular Flowable matrix in comparison with a wet dressing for the treatment of patients with diabetic foot ulcers: a randomized clinical trial","volume":"69","author":[{"family":"Campitiello","given":"F."},{"family":"Mancone","given":"M."},{"family":"Della Corte","given":"A."},{"family":"Guerniero","given":"R."},{"family":"Canonico","given":"S."}],"issued":{"date-parts":[["2017",12]]}}},{"id":47643,"uris":["http://zotero.org/users/5328021/items/MYATISEK"],"uri":["http://zotero.org/users/5328021/items/MYATISEK"],"itemData":{"id":47643,"type":"article-journal","abstract":"BACKGROUND: Diabetic foot ulcer(DFU) is a chronic, refractory disease in need of multidisciplinary endeavour, miscellaneous strategies have been adopted to address this annoying issue, including acellular dermal matrix(ADM)/negative pressure wound therapy/standard of care (SOC) etc. However, consensus has not been reached. As a promising procedure, the efficacy and safety of ADM remains controversial. We therefore performed a meta-analysis of randomized controlled trials (RCTs) to compare the efficacy and safety of acellular dermal matrix to standard of care in DFU.\nMETHODS: Databases, including Pubmed, Medline, Embase and Cochrane library were searched to identify RCTs comparing ADM to SOC in DFU patients. The outcomes mainly included complete wound healing, mean time to heal and adverse events.\nRESULTS: A total of 632 DFU patients from 6 RCTs were subjected to meta-analysis. The results showed that compared with the merely SOC, the complete healing rate in ADM group was higher both at 12 weeks [risk ratio (RR) 2.31, 95% confidence interval (CI) 1.42 to 3.76] and 16 weeks [RR 1.57, 95% CI 1.28 to 1.93]. The mean time to complete wound healing was shorter in ADM group [MD = -2.98, 95% CI: -5.15 to -0.82]. The occurrence of adverse event in both groups showed no significant difference [RR 0.98, 95%CI 0.58 to 1.67].\nCONCLUSION: Compared with standard of care, acellular dermal matrix may accelerate the healing velocity of uninfected, non-ischemic, full-thickness diabetic foot ulcer. Acellular dermal matrix showed superiority compared with standard of care alone, while generating no more complications.","container-title":"International Journal of Surgery (London, England)","journalAbbreviation":"Int J Surg","language":"eng","note":"PMID: 28232031","page":"1-7","title":"Efficacy and safety of acellular dermal matrix in diabetic foot ulcer treatment: A systematic review and meta-analysis","volume":"40","author":[{"family":"Guo","given":"Xiaoshuang"},{"family":"Mu","given":"Dali"},{"family":"Gao","given":"Fuqiang"}],"issued":{"date-parts":[["2017",4]]}}},{"id":47408,"uris":["http://zotero.org/users/5328021/items/UUX6L249"],"uri":["http://zotero.org/users/5328021/items/UUX6L249"],"itemData":{"id":47408,"type":"article-journal","abstract":"Diabetic foot ulcer (DFU) is a frequent complication in diabetic patients, occurring in up to 25% of those affected. Among the treatments available to clinicians, the use of bioengineered skin substitutes is an attractive alternative. Artificial dermis functions as a matrix, covering the wound and supporting healing and reconstruction of the lost tissue. This study was aimed at reviewing the use of five regeneration matrices (namely, Integra, Nevelia, Matriderm, Pelnac, and Renoskin) as reported by clinical trials. We searched Medline, Embase, ISI Web of Science, Scopus, and Cochrane Central Register of Controlled Trials databases for relevant studies. Risk of failure rates was analysed by relative risk ratio method and complete ulcer healing was studied using network meta-analysis. Thirteen studies (12 randomized clinical trials and one cohort study) were eligible for analysis. The network meta-analysis based on a single study for Matriderm and 12 studies for other products showed that Matriderm was statistically inferior in achieving complete ulcer healing, as compared to all other products combined. In the second phase analysis, which was limited to three studies using artificial dermis products, there was a 57% reduction in the risk of reepithelialization failure for DFU patients who used Matriderm or Pelnac, compared to those who used Pelnac with basic fibroblast growth factor spray or skin grafting. The data showed an overall low failure rate suggesting that these bioengineered skin products provide a suitable support and microenvironment for healing of DFUs with low ulcer recurrence rates. This systematic review with meta-analysis highlights the pressing need for more studies investigating the safety, efficacy and failure rates of regeneration matrices in the treatment of DFUs.","container-title":"Wound Repair and Regeneration: Official Publication of the Wound Healing Society [and] the European Tissue Repair Society","issue":"4","journalAbbreviation":"Wound Repair Regen","language":"eng","note":"PMID: 28597935","page":"691-696","title":"Failure rates of artificial dermis products in treatment of diabetic foot ulcer: A systematic review and network meta-analysis","volume":"25","author":[{"family":"Tchero","given":"Huidi"},{"family":"Herlin","given":"Christian"},{"family":"Bekara","given":"Farid"},{"family":"Kangambega","given":"Pauline"},{"family":"Sergiu","given":"Fluieraru"},{"family":"Teot","given":"Luc"}],"issued":{"date-parts":[["2017"]]}}},{"id":47435,"uris":["http://zotero.org/users/5328021/items/FW5MIFY8"],"uri":["http://zotero.org/users/5328021/items/FW5MIFY8"],"itemData":{"id":47435,"type":"article-journal","abstract":"This study compared the efficacy and safety of a human acellular dermal matrix (ADM), D-ADM, with a conventional care arm and an active comparator human ADM arm, GJ-ADM, for the treatment of chronic diabetic foot ulcers. The study design was a prospective, randomized controlled trial that enrolled 168 diabetic foot ulcer subjects in 13 centers across 9 states. Subjects in the ADM arms received one application but could receive one additional application of ADM if deemed necessary. Screen failures and early withdrawals left 53 subjects in the D-ADM arm, 56 in the conventional care arm, and 23 in the GJ-ADM arm (2:2:1 ratio). Subjects were followed through 24 weeks with major endpoints at Weeks 12, 16, and 24. Single application D-ADM subjects showed significantly greater wound closure rates than conventional care at all three endpoints while all applications D-ADM displayed a significantly higher healing rate than conventional care at Week 16 and Week 24. GJ-ADM did not show a significantly greater healing rate over conventional care at any of these time points. A blinded, third party adjudicator analyzed healing at Week 12 and expressed \"strong\" agreement (κ = 0.837). Closed ulcers in the single application D-ADM arm remained healed at a significantly greater rate than the conventional care arm at 4 weeks posttermination (100% vs. 86.7%; p = 0.0435). There was no significant difference between GJ-ADM and conventional care for healed wounds remaining closed. Single application D-ADM demonstrated significantly greater average percent wound area reduction than conventional care for Weeks 2-24 while single application GJ-ADM showed significantly greater wound area reduction over conventional care for Weeks 4-6, 9, and 11-12. D-ADM demonstrated significantly greater wound healing, larger wound area reduction, and a better capability of keeping healed wounds closed than conventional care in the treatment of chronic DFUs.","container-title":"Wound Repair and Regeneration: Official Publication of the Wound Healing Society [and] the European Tissue Repair Society","issue":"3","journalAbbreviation":"Wound Repair Regen","language":"eng","note":"PMID: 28544150","page":"483-497","title":"A randomized clinical trial of a human acellular dermal matrix demonstrated superior healing rates for chronic diabetic foot ulcers over conventional care and an active acellular dermal matrix comparator","volume":"25","author":[{"family":"Cazzell","given":"Shawn"},{"family":"Vayser","given":"Dean"},{"family":"Pham","given":"Hau"},{"family":"Walters","given":"Jodi"},{"family":"Reyzelman","given":"Alexander"},{"family":"Samsell","given":"Brian"},{"family":"Dorsch","given":"Kimberly"},{"family":"Moore","given":"Mark"}],"issued":{"date-parts":[["2017"]]}}}],"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(74–78)</w:t>
            </w:r>
            <w:r w:rsidRPr="00CA32B9">
              <w:rPr>
                <w:rFonts w:asciiTheme="minorHAnsi" w:hAnsiTheme="minorHAnsi" w:cstheme="minorHAnsi"/>
                <w:szCs w:val="20"/>
                <w:lang w:val="en-US"/>
              </w:rPr>
              <w:fldChar w:fldCharType="end"/>
            </w:r>
          </w:p>
        </w:tc>
      </w:tr>
      <w:tr w:rsidR="00E84D1C" w14:paraId="0EA8D1DE" w14:textId="77777777" w:rsidTr="004E4612">
        <w:tc>
          <w:tcPr>
            <w:tcW w:w="3213" w:type="dxa"/>
            <w:vAlign w:val="center"/>
          </w:tcPr>
          <w:p w14:paraId="1B98CB4B" w14:textId="603FE77A" w:rsidR="00E84D1C" w:rsidRDefault="00E84D1C" w:rsidP="003F3795">
            <w:pPr>
              <w:jc w:val="center"/>
              <w:rPr>
                <w:lang w:val="en-US"/>
              </w:rPr>
            </w:pPr>
            <w:r w:rsidRPr="00CA32B9">
              <w:rPr>
                <w:rFonts w:asciiTheme="minorHAnsi" w:hAnsiTheme="minorHAnsi" w:cstheme="minorHAnsi"/>
                <w:color w:val="9A9B9D" w:themeColor="text1" w:themeTint="99"/>
                <w:szCs w:val="20"/>
                <w:lang w:val="en-US"/>
              </w:rPr>
              <w:t>1 studies (I) -</w:t>
            </w:r>
            <w:r w:rsidRPr="00CA32B9">
              <w:rPr>
                <w:rFonts w:asciiTheme="minorHAnsi" w:hAnsiTheme="minorHAnsi" w:cstheme="minorHAnsi"/>
                <w:szCs w:val="20"/>
                <w:lang w:val="en-US"/>
              </w:rPr>
              <w:t xml:space="preserve"> </w:t>
            </w:r>
            <w:r w:rsidRPr="00CA32B9">
              <w:rPr>
                <w:rFonts w:asciiTheme="minorHAnsi" w:hAnsiTheme="minorHAnsi" w:cstheme="minorHAnsi"/>
                <w:color w:val="9A9B9D" w:themeColor="text1" w:themeTint="99"/>
                <w:szCs w:val="20"/>
                <w:lang w:val="en-US"/>
              </w:rPr>
              <w:t>2 studies (II)</w:t>
            </w:r>
          </w:p>
        </w:tc>
        <w:tc>
          <w:tcPr>
            <w:tcW w:w="1653" w:type="dxa"/>
          </w:tcPr>
          <w:p w14:paraId="4FBBC154" w14:textId="0EA0182D" w:rsidR="00E84D1C" w:rsidRDefault="00E84D1C" w:rsidP="00E84D1C">
            <w:pPr>
              <w:jc w:val="center"/>
              <w:rPr>
                <w:lang w:val="en-US"/>
              </w:rPr>
            </w:pPr>
            <w:r w:rsidRPr="00CA32B9">
              <w:rPr>
                <w:rFonts w:asciiTheme="minorHAnsi" w:hAnsiTheme="minorHAnsi" w:cstheme="minorHAnsi"/>
                <w:color w:val="9A9B9D" w:themeColor="text1" w:themeTint="99"/>
                <w:szCs w:val="20"/>
                <w:lang w:val="en-US"/>
              </w:rPr>
              <w:t>7,6</w:t>
            </w:r>
          </w:p>
        </w:tc>
        <w:tc>
          <w:tcPr>
            <w:tcW w:w="2218" w:type="dxa"/>
            <w:vMerge/>
            <w:vAlign w:val="center"/>
          </w:tcPr>
          <w:p w14:paraId="70F49F7C" w14:textId="77777777" w:rsidR="00E84D1C" w:rsidRDefault="00E84D1C" w:rsidP="00E84D1C">
            <w:pPr>
              <w:jc w:val="center"/>
              <w:rPr>
                <w:lang w:val="en-US"/>
              </w:rPr>
            </w:pPr>
          </w:p>
        </w:tc>
        <w:tc>
          <w:tcPr>
            <w:tcW w:w="2840" w:type="dxa"/>
          </w:tcPr>
          <w:p w14:paraId="73974E6E" w14:textId="2ECC3C8F"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Qj9rABdk","properties":{"formattedCitation":"(79\\uc0\\u8211{}81)","plainCitation":"(79–81)","noteIndex":0},"citationItems":[{"id":74280,"uris":["http://zotero.org/users/5328021/items/DAJ2RDQZ"],"uri":["http://zotero.org/users/5328021/items/DAJ2RDQZ"],"itemData":{"id":74280,"type":"article-journal","abstract":"Objective: To compare outcomes of diabetic foot ulcers (DFUs) treated with a collagen Wound Conforming Matrix (WCM) or standard of care (SOC). Approach: WCM,  a highly purified homogenate of 2.6% fibrillar bovine dermal collagen that conforms to the wound surface, was evaluated in comparison to daily saline-moistened gauze dressing changes (SOC) as part of a retrospective subset analysis of a randomized controlled trial in DFU. Following a 2-week run-in period during which patients received SOC, patients whose wounds did not reduce in area by &gt;30% during run-in were randomly assigned to receive WCM (one or two applications) or SOC. Results: Statistically significant acceleration of early healing rates was observed following a single application of WCM with weekly outer dressing changes compared with daily saline-moistened gauze dressing changes (SOC). Over a 4-week period, 50% of patients receiving a single application of WCM achieved &gt;/=75% reduction in wound area compared with 13% for  SOC. WCM appeared to be safe and well tolerated, with no adverse events related to treatment and no evidence of an immunologic reaction to bovine collagen. Innovation: WCM is unique in its intimate contact with the wound bed and its ability to progress a wound toward healing with a single application. Conclusion: WCM is a treatment modality to accelerate DFU healing rates, with the potential to reduce the likelihood of infection and other complications, and cost of care.","container-title":"Advances in wound care","issue":"2","journalAbbreviation":"Adv Wound Care (New Rochelle)","language":"eng","note":"PMID: 31903299 \nPMCID: PMC6940589","page":"61-67","title":"Wound Conforming Matrix Containing Purified Homogenate of Dermal Collagen Promotes Healing of Diabetic Neuropathic Foot Ulcers: Comparative Analysis Versus Standard of Care.","volume":"9","author":[{"family":"Chandler","given":"Lois A."},{"family":"Alvarez","given":"Oscar M."},{"family":"Blume","given":"Peter A."},{"family":"Kim","given":"Paul J."},{"family":"Kirsner","given":"Robert S."},{"family":"Lantis","given":"John C."},{"family":"Marston","given":"William A."}],"issued":{"date-parts":[["2020",2,1]]}}},{"id":49281,"uris":["http://zotero.org/users/5328021/items/4IUMLJV7"],"uri":["http://zotero.org/users/5328021/items/4IUMLJV7"],"itemData":{"id":49281,"type":"article-journal","abstract":"Skin substitutes are increasingly used in the treatment of various types of acute and chronic wounds. The aim of this study was to perform a systematic review and meta-analysis to evaluate the effectiveness of skin substitutes on ulcer healing and limb salvage in the treatment of diabetic foot ulcers. Randomized clinical trials were searched and assessed following the methodology of The Cochrane Collaboration. We included 17 trials, totaling 1655 randomized participants. Risk of bias was variable among included trials. Thirteen trials compared the skin substitutes with standard care. The pooled results showed that that skin substitutes can, in addition to standard care, increase the likelihood of achieving complete ulcer closure compared with standard care alone after 6-16 weeks (risk ratio 1.55, 95% confidence interval [CI] 1.30-1.85). Four of the included trials compared two types of skin substitutes but no particular product showed a superior effect over another. Two trials reported on total incidence of lower limb amputations. Pooling the results of these two trials yielded a statistically significantly lower amputation rate among patients treated with skin substitutes (risk ratio 0.43, 95% CI 0.23-0.81), although the absolute risk difference was small (-0.06, 95% CI -0.10 to -0.01). This systematic review provides evidence that skin substitutes can, in addition to standard care, increase the likelihood of achieving complete ulcer closure compared with standard care alone in the treatment of diabetic foot ulcers. However, effectiveness on the long term, including lower limb salvage and recurrence, is currently lacking and cost-effectiveness is unclear.","container-title":"Wound Repair and Regeneration: Official Publication of the Wound Healing Society [and] the European Tissue Repair Society","issue":"4","journalAbbreviation":"Wound Repair Regen","language":"eng","note":"PMID: 27062201","page":"737-744","title":"Systematic review and meta-analysis of skin substitutes in the treatment of diabetic foot ulcers: Highlights of a Cochrane systematic review","volume":"24","author":[{"family":"Santema","given":"T. B. Katrien"},{"family":"Poyck","given":"Paul P. C."},{"family":"Ubbink","given":"Dirk T."}],"issued":{"date-parts":[["2016"]]}}},{"id":49277,"uris":["http://zotero.org/users/5328021/items/SCMGBZTR"],"uri":["http://zotero.org/users/5328021/items/SCMGBZTR"],"itemData":{"id":49277,"type":"article-journal","abstract":"BACKGROUND: Composite split-thickness skin grafting (STSG) with acellular dermal matrix (ADM) has been used successfully in burn injuries and trauma, but its use in treating diabetic foot ulcers (DFUs) has not been reported to date. This study investigated the efficacy and safety of composite STSG with ADM in the treatment of DFUs.\nSTUDY DESIGN: Fifty-two patients with DFUs were randomized into experimental and control groups. Patients in the experimental group received composite STSG over ADM; the control group received STSG alone. The primary end point was recurrence rate 12 months after grafting. Secondary end points were the healing quality of the grafted site according to Manchester Scar Scale and complete wound closure and complication rates.\nRESULTS: The number of patients that experienced recurrence was significantly less in the experimental group compared with the control group (4.3% vs 22.7%; p = 0.02). The autografted sites of the experimental group had better appearance and lower Manchester Scar Scale scores (median 9 [interquartile range 8 to 10.25] vs median 11 [interquartile range 10 to 12]; p = 0.006). Rates of complete wound closure by weeks 2, 4, and 8 were similar, as were the rates of complications by post-grafting week 4 (38.5% vs 26.9%; p = 0.38).\nCONCLUSIONS: Composite STSG over an ADM scaffold provides an effective method to treat DFUs, with lower recurrence rates and better physical attributes compared with the traditional STSG method. Complete wound closure and complication rates were comparable between these methods.","container-title":"Journal of the American College of Surgeons","issue":"6","journalAbbreviation":"J. Am. Coll. Surg.","language":"eng","note":"PMID: 27068845","page":"1171-1179","title":"Composite Skin Grafting with Human Acellular Dermal Matrix Scaffold for Treatment of Diabetic Foot Ulcers: A Randomized Controlled Trial","volume":"222","author":[{"family":"Hu","given":"Zhicheng"},{"family":"Zhu","given":"Jiayuan"},{"family":"Cao","given":"Xiaoling"},{"family":"Chen","given":"Chufen"},{"family":"Li","given":"Shuting"},{"family":"Guo","given":"Dong"},{"family":"Zhang","given":"Jian"},{"family":"Liu","given":"Peng"},{"family":"Shi","given":"Fen"},{"family":"Tang","given":"Bing"}],"issued":{"date-parts":[["2016"]]}}}],"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(79–81)</w:t>
            </w:r>
            <w:r w:rsidRPr="00CA32B9">
              <w:rPr>
                <w:rFonts w:asciiTheme="minorHAnsi" w:hAnsiTheme="minorHAnsi" w:cstheme="minorHAnsi"/>
                <w:szCs w:val="20"/>
                <w:lang w:val="en-US"/>
              </w:rPr>
              <w:fldChar w:fldCharType="end"/>
            </w:r>
          </w:p>
        </w:tc>
      </w:tr>
      <w:tr w:rsidR="003F3795" w14:paraId="0AC2180D" w14:textId="77777777" w:rsidTr="004E4612">
        <w:tc>
          <w:tcPr>
            <w:tcW w:w="9924" w:type="dxa"/>
            <w:gridSpan w:val="4"/>
            <w:vAlign w:val="center"/>
          </w:tcPr>
          <w:p w14:paraId="7CD176A8" w14:textId="4F1996B7" w:rsidR="003F3795" w:rsidRDefault="003F3795" w:rsidP="003F3795">
            <w:pPr>
              <w:keepNext/>
              <w:jc w:val="left"/>
              <w:rPr>
                <w:lang w:val="en-US"/>
              </w:rPr>
            </w:pPr>
            <w:r w:rsidRPr="00CA32B9">
              <w:rPr>
                <w:rFonts w:asciiTheme="minorHAnsi" w:hAnsiTheme="minorHAnsi" w:cstheme="minorHAnsi"/>
                <w:b/>
                <w:szCs w:val="20"/>
                <w:lang w:val="en-US"/>
              </w:rPr>
              <w:t>Ulcer healing at 6 weeks</w:t>
            </w:r>
          </w:p>
        </w:tc>
      </w:tr>
      <w:tr w:rsidR="00E84D1C" w14:paraId="4BEF74E9" w14:textId="77777777" w:rsidTr="004E4612">
        <w:tc>
          <w:tcPr>
            <w:tcW w:w="3213" w:type="dxa"/>
            <w:vAlign w:val="center"/>
          </w:tcPr>
          <w:p w14:paraId="18970AF0" w14:textId="53329335" w:rsidR="00E84D1C" w:rsidRDefault="00E84D1C" w:rsidP="003F3795">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w:t>
            </w:r>
          </w:p>
        </w:tc>
        <w:tc>
          <w:tcPr>
            <w:tcW w:w="1653" w:type="dxa"/>
          </w:tcPr>
          <w:p w14:paraId="758B5C3F" w14:textId="5646377D" w:rsidR="00E84D1C" w:rsidRDefault="00E84D1C" w:rsidP="00E84D1C">
            <w:pPr>
              <w:jc w:val="center"/>
              <w:rPr>
                <w:lang w:val="en-US"/>
              </w:rPr>
            </w:pPr>
            <w:r w:rsidRPr="00CA32B9">
              <w:rPr>
                <w:rFonts w:asciiTheme="minorHAnsi" w:hAnsiTheme="minorHAnsi" w:cstheme="minorHAnsi"/>
                <w:szCs w:val="20"/>
                <w:lang w:val="en-US"/>
              </w:rPr>
              <w:t>9</w:t>
            </w:r>
          </w:p>
        </w:tc>
        <w:tc>
          <w:tcPr>
            <w:tcW w:w="2218" w:type="dxa"/>
            <w:vAlign w:val="center"/>
          </w:tcPr>
          <w:p w14:paraId="7E5ECC87" w14:textId="5ECB8B14" w:rsidR="00E84D1C" w:rsidRDefault="00E84D1C" w:rsidP="00E84D1C">
            <w:pPr>
              <w:jc w:val="center"/>
              <w:rPr>
                <w:lang w:val="en-US"/>
              </w:rPr>
            </w:pPr>
            <w:r w:rsidRPr="00CA32B9">
              <w:rPr>
                <w:rFonts w:asciiTheme="minorHAnsi" w:hAnsiTheme="minorHAnsi" w:cstheme="minorHAnsi"/>
                <w:szCs w:val="20"/>
                <w:lang w:val="en-US"/>
              </w:rPr>
              <w:t>Very high</w:t>
            </w:r>
          </w:p>
        </w:tc>
        <w:tc>
          <w:tcPr>
            <w:tcW w:w="2840" w:type="dxa"/>
          </w:tcPr>
          <w:p w14:paraId="15D949C3" w14:textId="41A361D8"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6Of3nQgD","properties":{"formattedCitation":"(82)","plainCitation":"(82)","noteIndex":0},"citationItems":[{"id":73598,"uris":["http://zotero.org/users/5328021/items/YJI9ZKI8"],"uri":["http://zotero.org/users/5328021/items/YJI9ZKI8"],"itemData":{"id":73598,"type":"article-journal","abstract":"Background: Acellular matrix (AM) therapy has shown promise in the treatment of diabetic foot ulcers (DFUs) in several studies. The clinical effects of AM therapy were not well established. Therefore, we conducted a meta-analysis of randomized clinical trials (RCTs) to examine the efficacy and safety of AM therapy for patients with DFUs. Methods: A literature search of 5 databases was performed to identify RCTs comparing AM therapy to standard therapy (ST) in patients with DFUs. The primary outcome was the complete healing rate and the secondary outcomes mainly included time to complete healing and adverse events. Results: Nine RCTs involving 897 patients were included. Compared with ST group,  patients allocated to AM group had a higher complete healing rate both at 12 weeks (risk ratio (RR) = 1.73, 95% confidence interval (CI): 1.31 to 2.30) and 16 weeks (RR = 1.56, 95% CI: 1.28 to 1.91), a shorter time to complete healing (mean difference (MD) = -2.41; 95% CI: -3.49 to -1.32), and fewer adverse events (RR =  0.64, 95% CI: 0.44 to 0.93). Conclusion: The present study suggests that AM therapy as an adjuvant treatment could further promote the healing of full-thickness, noninfected, and nonischemia DFUs. AM therapy also has a safety profile. More large well-designed randomized clinical trials with long follow-up  duration are needed to further explore the efficacy and safety of AM therapy for  DFUs.","container-title":"Journal of diabetes research","journalAbbreviation":"J Diabetes Res","language":"eng","note":"PMID: 32090122 \nPMCID: PMC7016477","page":"6245758","title":"The Efficacy and Safety of Acellular Matrix Therapy for Diabetic Foot Ulcers: A Meta-Analysis of Randomized Clinical Trials.","volume":"2020","author":[{"family":"Huang","given":"Wentao"},{"family":"Chen","given":"Yongsong"},{"family":"Wang","given":"Nasui"},{"family":"Yin","given":"Guoshu"},{"family":"Wei","given":"Chiju"},{"family":"Xu","given":"Wencan"}],"issued":{"date-parts":[["2020"]]}}}],"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(82)</w:t>
            </w:r>
            <w:r w:rsidRPr="00CA32B9">
              <w:rPr>
                <w:rFonts w:asciiTheme="minorHAnsi" w:hAnsiTheme="minorHAnsi" w:cstheme="minorHAnsi"/>
                <w:szCs w:val="20"/>
                <w:lang w:val="en-US"/>
              </w:rPr>
              <w:fldChar w:fldCharType="end"/>
            </w:r>
          </w:p>
        </w:tc>
      </w:tr>
      <w:tr w:rsidR="003F3795" w14:paraId="49678B19" w14:textId="77777777" w:rsidTr="004E4612">
        <w:tc>
          <w:tcPr>
            <w:tcW w:w="9924" w:type="dxa"/>
            <w:gridSpan w:val="4"/>
            <w:vAlign w:val="center"/>
          </w:tcPr>
          <w:p w14:paraId="05D7F891" w14:textId="0D3F0A75" w:rsidR="003F3795" w:rsidRDefault="003F3795" w:rsidP="003F3795">
            <w:pPr>
              <w:keepNext/>
              <w:jc w:val="left"/>
              <w:rPr>
                <w:lang w:val="en-US"/>
              </w:rPr>
            </w:pPr>
            <w:r w:rsidRPr="00CA32B9">
              <w:rPr>
                <w:rFonts w:asciiTheme="minorHAnsi" w:hAnsiTheme="minorHAnsi" w:cstheme="minorHAnsi"/>
                <w:b/>
                <w:szCs w:val="20"/>
                <w:lang w:val="en-US"/>
              </w:rPr>
              <w:t>Ulcer healing at 12 weeks</w:t>
            </w:r>
          </w:p>
        </w:tc>
      </w:tr>
      <w:tr w:rsidR="00E84D1C" w14:paraId="5692A68B" w14:textId="77777777" w:rsidTr="004E4612">
        <w:tc>
          <w:tcPr>
            <w:tcW w:w="3213" w:type="dxa"/>
            <w:vAlign w:val="center"/>
          </w:tcPr>
          <w:p w14:paraId="7EB028FB" w14:textId="3A076EDC" w:rsidR="00E84D1C" w:rsidRDefault="00E84D1C" w:rsidP="003F3795">
            <w:pPr>
              <w:jc w:val="center"/>
              <w:rPr>
                <w:lang w:val="en-US"/>
              </w:rPr>
            </w:pPr>
            <w:r w:rsidRPr="00CA32B9">
              <w:rPr>
                <w:rFonts w:asciiTheme="minorHAnsi" w:hAnsiTheme="minorHAnsi" w:cstheme="minorHAnsi"/>
                <w:szCs w:val="20"/>
                <w:lang w:val="en-US"/>
              </w:rPr>
              <w:t>1</w:t>
            </w:r>
            <w:r w:rsidRPr="00CA32B9">
              <w:rPr>
                <w:rFonts w:asciiTheme="minorHAnsi" w:eastAsia="Times New Roman" w:hAnsiTheme="minorHAnsi" w:cstheme="minorHAnsi"/>
                <w:szCs w:val="20"/>
                <w:lang w:val="en-US"/>
              </w:rPr>
              <w:t xml:space="preserve"> study (I)</w:t>
            </w:r>
            <w:r w:rsidRPr="00CA32B9">
              <w:rPr>
                <w:rFonts w:asciiTheme="minorHAnsi" w:hAnsiTheme="minorHAnsi" w:cstheme="minorHAnsi"/>
                <w:szCs w:val="20"/>
                <w:lang w:val="en-US"/>
              </w:rPr>
              <w:t xml:space="preserve"> - 2 studies (</w:t>
            </w:r>
            <w:r w:rsidRPr="00CA32B9">
              <w:rPr>
                <w:rFonts w:asciiTheme="minorHAnsi" w:eastAsia="Times New Roman" w:hAnsiTheme="minorHAnsi" w:cstheme="minorHAnsi"/>
                <w:szCs w:val="20"/>
                <w:lang w:val="en-US"/>
              </w:rPr>
              <w:t>II)</w:t>
            </w:r>
          </w:p>
        </w:tc>
        <w:tc>
          <w:tcPr>
            <w:tcW w:w="1653" w:type="dxa"/>
          </w:tcPr>
          <w:p w14:paraId="472112F4" w14:textId="4A34C67D" w:rsidR="00E84D1C" w:rsidRDefault="00E84D1C" w:rsidP="00E84D1C">
            <w:pPr>
              <w:jc w:val="center"/>
              <w:rPr>
                <w:lang w:val="en-US"/>
              </w:rPr>
            </w:pPr>
            <w:r w:rsidRPr="00CA32B9">
              <w:rPr>
                <w:rFonts w:asciiTheme="minorHAnsi" w:hAnsiTheme="minorHAnsi" w:cstheme="minorHAnsi"/>
                <w:szCs w:val="20"/>
                <w:lang w:val="en-US"/>
              </w:rPr>
              <w:t>7</w:t>
            </w:r>
          </w:p>
        </w:tc>
        <w:tc>
          <w:tcPr>
            <w:tcW w:w="2218" w:type="dxa"/>
            <w:vAlign w:val="center"/>
          </w:tcPr>
          <w:p w14:paraId="5AE0F886" w14:textId="65AF77B5" w:rsidR="00E84D1C" w:rsidRDefault="00E84D1C" w:rsidP="00E84D1C">
            <w:pPr>
              <w:jc w:val="center"/>
              <w:rPr>
                <w:lang w:val="en-US"/>
              </w:rPr>
            </w:pPr>
            <w:r w:rsidRPr="00CA32B9">
              <w:rPr>
                <w:rFonts w:asciiTheme="minorHAnsi" w:hAnsiTheme="minorHAnsi" w:cstheme="minorHAnsi"/>
                <w:szCs w:val="20"/>
                <w:lang w:val="en-US"/>
              </w:rPr>
              <w:t>Good</w:t>
            </w:r>
          </w:p>
        </w:tc>
        <w:tc>
          <w:tcPr>
            <w:tcW w:w="2840" w:type="dxa"/>
          </w:tcPr>
          <w:p w14:paraId="03AB1D60" w14:textId="179053D7"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f3BpgdEh","properties":{"formattedCitation":"(82\\uc0\\u8211{}84)","plainCitation":"(82–84)","noteIndex":0},"citationItems":[{"id":73598,"uris":["http://zotero.org/users/5328021/items/YJI9ZKI8"],"uri":["http://zotero.org/users/5328021/items/YJI9ZKI8"],"itemData":{"id":73598,"type":"article-journal","abstract":"Background: Acellular matrix (AM) therapy has shown promise in the treatment of diabetic foot ulcers (DFUs) in several studies. The clinical effects of AM therapy were not well established. Therefore, we conducted a meta-analysis of randomized clinical trials (RCTs) to examine the efficacy and safety of AM therapy for patients with DFUs. Methods: A literature search of 5 databases was performed to identify RCTs comparing AM therapy to standard therapy (ST) in patients with DFUs. The primary outcome was the complete healing rate and the secondary outcomes mainly included time to complete healing and adverse events. Results: Nine RCTs involving 897 patients were included. Compared with ST group,  patients allocated to AM group had a higher complete healing rate both at 12 weeks (risk ratio (RR) = 1.73, 95% confidence interval (CI): 1.31 to 2.30) and 16 weeks (RR = 1.56, 95% CI: 1.28 to 1.91), a shorter time to complete healing (mean difference (MD) = -2.41; 95% CI: -3.49 to -1.32), and fewer adverse events (RR =  0.64, 95% CI: 0.44 to 0.93). Conclusion: The present study suggests that AM therapy as an adjuvant treatment could further promote the healing of full-thickness, noninfected, and nonischemia DFUs. AM therapy also has a safety profile. More large well-designed randomized clinical trials with long follow-up  duration are needed to further explore the efficacy and safety of AM therapy for  DFUs.","container-title":"Journal of diabetes research","journalAbbreviation":"J Diabetes Res","language":"eng","note":"PMID: 32090122 \nPMCID: PMC7016477","page":"6245758","title":"The Efficacy and Safety of Acellular Matrix Therapy for Diabetic Foot Ulcers: A Meta-Analysis of Randomized Clinical Trials.","volume":"2020","author":[{"family":"Huang","given":"Wentao"},{"family":"Chen","given":"Yongsong"},{"family":"Wang","given":"Nasui"},{"family":"Yin","given":"Guoshu"},{"family":"Wei","given":"Chiju"},{"family":"Xu","given":"Wencan"}],"issued":{"date-parts":[["2020"]]}}},{"id":73429,"uris":["http://zotero.org/users/5328021/items/ULPLE4AR"],"uri":["http://zotero.org/users/5328021/items/ULPLE4AR"],"itemData":{"id":73429,"type":"article-journal","abstract":"AIMS: Because collagen is fundamental to wound healing and skin formation, collagen-containing dressing materials might be beneficial in treating diabetic foot ulcers (DFU), but supporting evidence is needed. Here, we examined the effectiveness and safety of collagen dressing material in DFU treatment. METHODS: This prospective, randomized, placebo-controlled, single-center study included patients with type 1 or 2 diabetes and palpable foot pulse who had Wagner grade 1 or 2 ulcers &gt;/=1.0cm(2) with no signs of healing for &gt;/=6weeks. Patients were treated with foam dressing alone (control group) or with a porcine type I collagen dressing material (collagen group). Complete ulcer healing rate was the  primary endpoint, and healing velocity and time to 50% size reduction were secondary endpoints. RESULTS: Thirty patients were included (collagen group: 17,  control group: 13). There were no significant differences in demographic factors  or baseline DFU characteristics. Compared to the control group, the collagen group presented a higher rate of complete healing [82.4% vs. 38.5%, P=.022], faster healing velocity (P&lt;.05), and shorter median time to 50% size reduction (21 versus 42days; hazard ratio=1.94, P&lt;.05). CONCLUSIONS: Wound management using collagen materials in DFUs showed faster and complete healing rate.","container-title":"Diabetes research and clinical practice","journalAbbreviation":"Diabetes Res Clin Pract","language":"eng","note":"PMID: 31536746","page":"107861","title":"Collagen dressing in the treatment of diabetic foot ulcer: A prospective, randomized, placebo-controlled, single-center study.","volume":"156","author":[{"family":"Park","given":"Kwang Hwan"},{"family":"Kwon","given":"Jae Bum"},{"family":"Park","given":"Jae Han"},{"family":"Shin","given":"Ju Cheol"},{"family":"Han","given":"Seung Hwan"},{"family":"Lee","given":"Jin Woo"}],"issued":{"date-parts":[["2019",10]]}}},{"id":47618,"uris":["http://zotero.org/users/5328021/items/NMEZDU83"],"uri":["http://zotero.org/users/5328021/items/NMEZDU83"],"itemData":{"id":47618,"type":"article-journal","container-title":"Wounds: A Compendium of Clinical Research and Practice","issue":"5","journalAbbreviation":"Wounds","language":"eng","note":"PMID: 28267677","page":"140-146","title":"Diabetic Foot Ulcers Treated With Porcine Urinary Bladder Extracellular Matrix and Total Contact Cast: Interim Analysis of a Randomized, Controlled Trial","volume":"29","author":[{"family":"Alvarez","given":"Oscar M."},{"family":"Smith","given":"Tashara"},{"family":"Gilbert","given":"Thomas W."},{"family":"Onumah","given":"Neh J."},{"family":"Wendelken","given":"Martin E."},{"family":"Parker","given":"Rachelle"},{"family":"Markowitz","given":"Lee"}],"issued":{"date-parts":[["2017"]]}}}],"schema":"https://github.com/citation-style-language/schema/raw/master/csl-citation.json"}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(82–84)</w:t>
            </w:r>
            <w:r w:rsidRPr="00CA32B9">
              <w:rPr>
                <w:rFonts w:asciiTheme="minorHAnsi" w:hAnsiTheme="minorHAnsi" w:cstheme="minorHAnsi"/>
                <w:szCs w:val="20"/>
                <w:lang w:val="en-US"/>
              </w:rPr>
              <w:fldChar w:fldCharType="end"/>
            </w:r>
          </w:p>
        </w:tc>
      </w:tr>
      <w:tr w:rsidR="003F3795" w14:paraId="6EF46FD6" w14:textId="77777777" w:rsidTr="004E4612">
        <w:tc>
          <w:tcPr>
            <w:tcW w:w="9924" w:type="dxa"/>
            <w:gridSpan w:val="4"/>
            <w:vAlign w:val="center"/>
          </w:tcPr>
          <w:p w14:paraId="77436130" w14:textId="0448BC64" w:rsidR="003F3795" w:rsidRDefault="003F3795" w:rsidP="003F3795">
            <w:pPr>
              <w:keepNext/>
              <w:jc w:val="left"/>
              <w:rPr>
                <w:lang w:val="en-US"/>
              </w:rPr>
            </w:pPr>
            <w:r w:rsidRPr="00CA32B9">
              <w:rPr>
                <w:rFonts w:asciiTheme="minorHAnsi" w:hAnsiTheme="minorHAnsi" w:cstheme="minorHAnsi"/>
                <w:b/>
                <w:szCs w:val="20"/>
                <w:lang w:val="en-US"/>
              </w:rPr>
              <w:t>Ulcer healing at 16 weeks</w:t>
            </w:r>
          </w:p>
        </w:tc>
      </w:tr>
      <w:tr w:rsidR="00E84D1C" w14:paraId="0C3B12FB" w14:textId="77777777" w:rsidTr="004E4612">
        <w:tc>
          <w:tcPr>
            <w:tcW w:w="3213" w:type="dxa"/>
            <w:vAlign w:val="center"/>
          </w:tcPr>
          <w:p w14:paraId="6C422107" w14:textId="22FC8CA0" w:rsidR="00E84D1C" w:rsidRDefault="00E84D1C" w:rsidP="003F3795">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w:t>
            </w:r>
            <w:r w:rsidRPr="00CA32B9">
              <w:rPr>
                <w:rFonts w:asciiTheme="minorHAnsi" w:hAnsiTheme="minorHAnsi" w:cstheme="minorHAnsi"/>
                <w:szCs w:val="20"/>
                <w:lang w:val="en-US"/>
              </w:rPr>
              <w:t xml:space="preserve"> - 2 studies (</w:t>
            </w:r>
            <w:r w:rsidRPr="00CA32B9">
              <w:rPr>
                <w:rFonts w:asciiTheme="minorHAnsi" w:eastAsia="Times New Roman" w:hAnsiTheme="minorHAnsi" w:cstheme="minorHAnsi"/>
                <w:szCs w:val="20"/>
                <w:lang w:val="en-US"/>
              </w:rPr>
              <w:t>II)</w:t>
            </w:r>
          </w:p>
        </w:tc>
        <w:tc>
          <w:tcPr>
            <w:tcW w:w="1653" w:type="dxa"/>
          </w:tcPr>
          <w:p w14:paraId="3FF9E807" w14:textId="4DABA71F" w:rsidR="00E84D1C" w:rsidRDefault="00E84D1C" w:rsidP="00E84D1C">
            <w:pPr>
              <w:jc w:val="center"/>
              <w:rPr>
                <w:lang w:val="en-US"/>
              </w:rPr>
            </w:pPr>
            <w:r w:rsidRPr="00CA32B9">
              <w:rPr>
                <w:rFonts w:asciiTheme="minorHAnsi" w:hAnsiTheme="minorHAnsi" w:cstheme="minorHAnsi"/>
                <w:szCs w:val="20"/>
                <w:lang w:val="en-US"/>
              </w:rPr>
              <w:t>7</w:t>
            </w:r>
          </w:p>
        </w:tc>
        <w:tc>
          <w:tcPr>
            <w:tcW w:w="2218" w:type="dxa"/>
            <w:vAlign w:val="center"/>
          </w:tcPr>
          <w:p w14:paraId="71473054" w14:textId="4D3737AA" w:rsidR="00E84D1C" w:rsidRDefault="00E84D1C" w:rsidP="00E84D1C">
            <w:pPr>
              <w:jc w:val="center"/>
              <w:rPr>
                <w:lang w:val="en-US"/>
              </w:rPr>
            </w:pPr>
            <w:r w:rsidRPr="00CA32B9">
              <w:rPr>
                <w:rFonts w:asciiTheme="minorHAnsi" w:hAnsiTheme="minorHAnsi" w:cstheme="minorHAnsi"/>
                <w:szCs w:val="20"/>
                <w:lang w:val="en-US"/>
              </w:rPr>
              <w:t>Good</w:t>
            </w:r>
          </w:p>
        </w:tc>
        <w:tc>
          <w:tcPr>
            <w:tcW w:w="2840" w:type="dxa"/>
          </w:tcPr>
          <w:p w14:paraId="5315F3E9" w14:textId="5A5F41B5"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97RzlIvC","properties":{"formattedCitation":"(82,85,86)","plainCitation":"(82,85,86)","noteIndex":0},"citationItems":[{"id":73598,"uris":["http://zotero.org/users/5328021/items/YJI9ZKI8"],"uri":["http://zotero.org/users/5328021/items/YJI9ZKI8"],"itemData":{"id":73598,"type":"article-journal","abstract":"Background: Acellular matrix (AM) therapy has shown promise in the treatment of diabetic foot ulcers (DFUs) in several studies. The clinical effects of AM therapy were not well established. Therefore, we conducted a meta-analysis of randomized clinical trials (RCTs) to examine the efficacy and safety of AM therapy for patients with DFUs. Methods: A literature search of 5 databases was performed to identify RCTs comparing AM therapy to standard therapy (ST) in patients with DFUs. The primary outcome was the complete healing rate and the secondary outcomes mainly included time to complete healing and adverse events. Results: Nine RCTs involving 897 patients were included. Compared with ST group,  patients allocated to AM group had a higher complete healing rate both at 12 weeks (risk ratio (RR) = 1.73, 95% confidence interval (CI): 1.31 to 2.30) and 16 weeks (RR = 1.56, 95% CI: 1.28 to 1.91), a shorter time to complete healing (mean difference (MD) = -2.41; 95% CI: -3.49 to -1.32), and fewer adverse events (RR =  0.64, 95% CI: 0.44 to 0.93). Conclusion: The present study suggests that AM therapy as an adjuvant treatment could further promote the healing of full-thickness, noninfected, and nonischemia DFUs. AM therapy also has a safety profile. More large well-designed randomized clinical trials with long follow-up  duration are needed to further explore the efficacy and safety of AM therapy for  DFUs.","container-title":"Journal of diabetes research","journalAbbreviation":"J Diabetes Res","language":"eng","note":"PMID: 32090122 \nPMCID: PMC7016477","page":"6245758","title":"The Efficacy and Safety of Acellular Matrix Therapy for Diabetic Foot Ulcers: A Meta-Analysis of Randomized Clinical Trials.","volume":"2020","author":[{"family":"Huang","given":"Wentao"},{"family":"Chen","given":"Yongsong"},{"family":"Wang","given":"Nasui"},{"family":"Yin","given":"Guoshu"},{"family":"Wei","given":"Chiju"},{"family":"Xu","given":"Wencan"}],"issued":{"date-parts":[["2020"]]}}},{"id":49353,"uris":["http://zotero.org/users/5328021/items/KEB6MBSQ"],"uri":["http://zotero.org/users/5328021/items/KEB6MBSQ"],"itemData":{"id":49353,"type":"article-journal","abstract":"OBJECTIVE: The purpose of this 16-week, multicenter, randomized, controlled trial was to assess the healed ulcer rate of a human acellular dermal matrix, DermACELL, compared with conventional care and a second acellular dermal matrix, Graftjacket, in the treatment of full-thickness diabetic foot ulcers.\nMETHODS: One hundred sixty-eight patients were randomized into DermACELL, conventional care, and Graftjacket treatment arms in a 2:2:1 ratio. Patients in the acellular dermal matrix groups received either 1 or 2 applications of the graft at the discretion of the investigator. Weekly follow-up visits were conducted until the ulcer healed or the endpoint was reached.\nRESULTS: At 16 weeks, the DermACELL arm had a significantly higher proportion of completely healed ulcers than the conventional care arm (67.9% vs 48.1%; P = .0385) and a nonsignificantly higher proportion than the Graftjacket arm (67.9% vs 47.8%; P = .1149). The DermACELL arm also exhibited a greater average percent reduction in wound area than the conventional care arm (91.4% vs 80.3%; P = .0791) and the Graftjacket arm (91.4% vs 73.5%; P = .0762). The proportion of severe adverse events and the proportion of overall early withdrawals were similar among the 3 groups based on relative population size (P ≥ .05).\nCONCLUSIONS: The results presented here indicate that DermACELL is an appropriate clinical option in the treatment of diabetic foot ulcers, with significant increases in healing rates and rate of percentage wound closure as compared with conventional care options.","container-title":"Eplasty","journalAbbreviation":"Eplasty","language":"eng","note":"PMID: 26933467\nPMCID: PMC4750365","page":"e10","title":"Healing Rates in a Multicenter Assessment of a Sterile, Room Temperature, Acellular Dermal Matrix Versus Conventional Care Wound Management and an Active Comparator in the Treatment of Full-Thickness Diabetic Foot Ulcers","volume":"16","author":[{"family":"Walters","given":"Jodi"},{"family":"Cazzell","given":"Shawn"},{"family":"Pham","given":"Hau"},{"family":"Vayser","given":"Dean"},{"family":"Reyzelman","given":"Alexander"}],"issued":{"date-parts":[["2016"]]}}},{"id":12618,"uris":["http://zotero.org/users/5328021/items/4JG5LWDV"],"uri":["http://zotero.org/users/5328021/items/4JG5LWDV"],"itemData":{"id":12618,"type":"article-journal","abstract":"Individuals with diabetes mellitus are at an increased risk of developing a diabetic foot ulcer (DFU). This study evaluated the safety and efficacy of Integra Dermal Regeneration Template (IDRT) for the treatment of nonhealing DFUs. The Foot Ulcer New Dermal Replacement Study was a multicenter, randomized, controlled, parallel group clinical trial conducted under an Investigational Device Exemption. Thirty-two sites enrolled and randomized 307 subjects with at least one DFU. Consented patients were entered into the 14-day run-in phase where they were treated with the standard of care (0.9% sodium chloride gel) plus a secondary dressing and an offloading/protective device. Patients with less than 30% reepithelialization of the study ulcer after the run-in phase were randomized into the treatment phase. The subjects were randomized to the control treatment group (0.9% sodium chloride gel; n = 153) or the active treatment group (IDRT, n = 154). The treatment phase was 16 weeks or until confirmation of complete wound closure (100% reepithelialization of the wound surface), whichever occurred first. Following the treatment phase, all subjects were followed for 12 weeks. Complete DFU closure during the treatment phase was significantly greater with IDRT treatment (51%) than control treatment (32%; p = 0.001) at sixteen weeks. The median time to complete DFU closure was 43 days for IDRT subjects and 78 days for control subjects in wounds that healed. The rate of wound size reduction was 7.2% per week for IDRT subjects vs. 4.8% per week for control subjects (p = 0.012). For the treatment of chronic DFUs, IDRT treatment decreased the time to complete wound closure, increased the rate of wound closure, improved components of quality of life and had less adverse events compared with the standard of care treatment. IDRT could greatly enhance the treatment of nonhealing DFUs.","archive":"Embase","container-title":"Wound Repair and Regeneration","issue":"6","journalAbbreviation":"Wound Repair Regen.","language":"English","note":"PMID: 26297933","page":"891-900","title":"A clinical trial of Integra Template for diabetic foot ulcer treatment","volume":"23","author":[{"literal":"Driver V.R."},{"literal":"Lavery L.A."},{"literal":"Reyzelman A.M."},{"literal":"Dutra T.G."},{"literal":"Dove C.R."},{"literal":"Kotsis S.V."},{"literal":"Kim H.M."},{"literal":"Chung K.C."}],"issued":{"date-parts":[["2015"]]}}}],"schema":"https://github.com/citation-style-language/schema/raw/master/csl-citation.json"}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(82,85,86)</w:t>
            </w:r>
            <w:r w:rsidRPr="00CA32B9">
              <w:rPr>
                <w:rFonts w:asciiTheme="minorHAnsi" w:hAnsiTheme="minorHAnsi" w:cstheme="minorHAnsi"/>
                <w:szCs w:val="20"/>
                <w:lang w:val="en-US"/>
              </w:rPr>
              <w:fldChar w:fldCharType="end"/>
            </w:r>
          </w:p>
        </w:tc>
      </w:tr>
      <w:tr w:rsidR="003F3795" w14:paraId="5AAFF06D" w14:textId="77777777" w:rsidTr="004E4612">
        <w:tc>
          <w:tcPr>
            <w:tcW w:w="4866" w:type="dxa"/>
            <w:gridSpan w:val="2"/>
            <w:vAlign w:val="center"/>
          </w:tcPr>
          <w:p w14:paraId="75BE6FE6" w14:textId="17CCC46E" w:rsidR="003F3795" w:rsidRDefault="003F3795" w:rsidP="004E4612">
            <w:pPr>
              <w:jc w:val="left"/>
              <w:rPr>
                <w:lang w:val="en-US"/>
              </w:rPr>
            </w:pPr>
            <w:r w:rsidRPr="00CA32B9">
              <w:rPr>
                <w:rFonts w:asciiTheme="minorHAnsi" w:hAnsiTheme="minorHAnsi" w:cstheme="minorHAnsi"/>
                <w:b/>
                <w:szCs w:val="20"/>
                <w:lang w:val="en-US"/>
              </w:rPr>
              <w:t>Ulcer area reduction</w:t>
            </w:r>
          </w:p>
        </w:tc>
        <w:tc>
          <w:tcPr>
            <w:tcW w:w="5058" w:type="dxa"/>
            <w:gridSpan w:val="2"/>
          </w:tcPr>
          <w:p w14:paraId="5E7F74C7" w14:textId="77777777" w:rsidR="003F3795" w:rsidRDefault="003F3795" w:rsidP="00E84D1C">
            <w:pPr>
              <w:keepNext/>
              <w:jc w:val="center"/>
              <w:rPr>
                <w:lang w:val="en-US"/>
              </w:rPr>
            </w:pPr>
          </w:p>
        </w:tc>
      </w:tr>
      <w:tr w:rsidR="00E84D1C" w14:paraId="41CB5875" w14:textId="77777777" w:rsidTr="004E4612">
        <w:tc>
          <w:tcPr>
            <w:tcW w:w="3213" w:type="dxa"/>
            <w:vAlign w:val="center"/>
          </w:tcPr>
          <w:p w14:paraId="26001456" w14:textId="318812CF" w:rsidR="00E84D1C" w:rsidRDefault="00E84D1C" w:rsidP="003F3795">
            <w:pPr>
              <w:jc w:val="center"/>
              <w:rPr>
                <w:lang w:val="en-US"/>
              </w:rPr>
            </w:pPr>
            <w:r>
              <w:rPr>
                <w:rFonts w:asciiTheme="minorHAnsi" w:hAnsiTheme="minorHAnsi" w:cstheme="minorHAnsi"/>
                <w:szCs w:val="20"/>
                <w:lang w:val="en-US"/>
              </w:rPr>
              <w:t>3</w:t>
            </w:r>
            <w:r w:rsidRPr="00CA32B9">
              <w:rPr>
                <w:rFonts w:asciiTheme="minorHAnsi" w:hAnsiTheme="minorHAnsi" w:cstheme="minorHAnsi"/>
                <w:szCs w:val="20"/>
                <w:lang w:val="en-US"/>
              </w:rPr>
              <w:t xml:space="preserve"> studies (</w:t>
            </w:r>
            <w:r w:rsidRPr="00CA32B9">
              <w:rPr>
                <w:rFonts w:asciiTheme="minorHAnsi" w:eastAsia="Times New Roman" w:hAnsiTheme="minorHAnsi" w:cstheme="minorHAnsi"/>
                <w:szCs w:val="20"/>
                <w:lang w:val="en-US"/>
              </w:rPr>
              <w:t>II)</w:t>
            </w:r>
          </w:p>
        </w:tc>
        <w:tc>
          <w:tcPr>
            <w:tcW w:w="1653" w:type="dxa"/>
          </w:tcPr>
          <w:p w14:paraId="6C18E368" w14:textId="4C4669B6" w:rsidR="00E84D1C" w:rsidRDefault="00E84D1C" w:rsidP="00E84D1C">
            <w:pPr>
              <w:jc w:val="center"/>
              <w:rPr>
                <w:lang w:val="en-US"/>
              </w:rPr>
            </w:pPr>
            <w:r w:rsidRPr="00CA32B9">
              <w:rPr>
                <w:rFonts w:asciiTheme="minorHAnsi" w:hAnsiTheme="minorHAnsi" w:cstheme="minorHAnsi"/>
                <w:szCs w:val="20"/>
                <w:lang w:val="en-US"/>
              </w:rPr>
              <w:t>6</w:t>
            </w:r>
          </w:p>
        </w:tc>
        <w:tc>
          <w:tcPr>
            <w:tcW w:w="2218" w:type="dxa"/>
            <w:vAlign w:val="center"/>
          </w:tcPr>
          <w:p w14:paraId="11D90784" w14:textId="44525524" w:rsidR="00E84D1C" w:rsidRDefault="00E84D1C" w:rsidP="00E84D1C">
            <w:pPr>
              <w:jc w:val="center"/>
              <w:rPr>
                <w:lang w:val="en-US"/>
              </w:rPr>
            </w:pPr>
            <w:r w:rsidRPr="00CA32B9">
              <w:rPr>
                <w:rFonts w:asciiTheme="minorHAnsi" w:hAnsiTheme="minorHAnsi" w:cstheme="minorHAnsi"/>
                <w:szCs w:val="20"/>
                <w:lang w:val="en-US"/>
              </w:rPr>
              <w:t>Moderate</w:t>
            </w:r>
          </w:p>
        </w:tc>
        <w:tc>
          <w:tcPr>
            <w:tcW w:w="2840" w:type="dxa"/>
          </w:tcPr>
          <w:p w14:paraId="4E021ACF" w14:textId="259920BE"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vOxErFoC","properties":{"formattedCitation":"(78,79,87)","plainCitation":"(78,79,87)","noteIndex":0},"citationItems":[{"id":47435,"uris":["http://zotero.org/users/5328021/items/FW5MIFY8"],"uri":["http://zotero.org/users/5328021/items/FW5MIFY8"],"itemData":{"id":47435,"type":"article-journal","abstract":"This study compared the efficacy and safety of a human acellular dermal matrix (ADM), D-ADM, with a conventional care arm and an active comparator human ADM arm, GJ-ADM, for the treatment of chronic diabetic foot ulcers. The study design was a prospective, randomized controlled trial that enrolled 168 diabetic foot ulcer subjects in 13 centers across 9 states. Subjects in the ADM arms received one application but could receive one additional application of ADM if deemed necessary. Screen failures and early withdrawals left 53 subjects in the D-ADM arm, 56 in the conventional care arm, and 23 in the GJ-ADM arm (2:2:1 ratio). Subjects were followed through 24 weeks with major endpoints at Weeks 12, 16, and 24. Single application D-ADM subjects showed significantly greater wound closure rates than conventional care at all three endpoints while all applications D-ADM displayed a significantly higher healing rate than conventional care at Week 16 and Week 24. GJ-ADM did not show a significantly greater healing rate over conventional care at any of these time points. A blinded, third party adjudicator analyzed healing at Week 12 and expressed \"strong\" agreement (κ = 0.837). Closed ulcers in the single application D-ADM arm remained healed at a significantly greater rate than the conventional care arm at 4 weeks posttermination (100% vs. 86.7%; p = 0.0435). There was no significant difference between GJ-ADM and conventional care for healed wounds remaining closed. Single application D-ADM demonstrated significantly greater average percent wound area reduction than conventional care for Weeks 2-24 while single application GJ-ADM showed significantly greater wound area reduction over conventional care for Weeks 4-6, 9, and 11-12. D-ADM demonstrated significantly greater wound healing, larger wound area reduction, and a better capability of keeping healed wounds closed than conventional care in the treatment of chronic DFUs.","container-title":"Wound Repair and Regeneration: Official Publication of the Wound Healing Society [and] the European Tissue Repair Society","issue":"3","journalAbbreviation":"Wound Repair Regen","language":"eng","note":"PMID: 28544150","page":"483-497","title":"A randomized clinical trial of a human acellular dermal matrix demonstrated superior healing rates for chronic diabetic foot ulcers over conventional care and an active acellular dermal matrix comparator","volume":"25","author":[{"family":"Cazzell","given":"Shawn"},{"family":"Vayser","given":"Dean"},{"family":"Pham","given":"Hau"},{"family":"Walters","given":"Jodi"},{"family":"Reyzelman","given":"Alexander"},{"family":"Samsell","given":"Brian"},{"family":"Dorsch","given":"Kimberly"},{"family":"Moore","given":"Mark"}],"issued":{"date-parts":[["2017"]]}}},{"id":74280,"uris":["http://zotero.org/users/5328021/items/DAJ2RDQZ"],"uri":["http://zotero.org/users/5328021/items/DAJ2RDQZ"],"itemData":{"id":74280,"type":"article-journal","abstract":"Objective: To compare outcomes of diabetic foot ulcers (DFUs) treated with a collagen Wound Conforming Matrix (WCM) or standard of care (SOC). Approach: WCM,  a highly purified homogenate of 2.6% fibrillar bovine dermal collagen that conforms to the wound surface, was evaluated in comparison to daily saline-moistened gauze dressing changes (SOC) as part of a retrospective subset analysis of a randomized controlled trial in DFU. Following a 2-week run-in period during which patients received SOC, patients whose wounds did not reduce in area by &gt;30% during run-in were randomly assigned to receive WCM (one or two applications) or SOC. Results: Statistically significant acceleration of early healing rates was observed following a single application of WCM with weekly outer dressing changes compared with daily saline-moistened gauze dressing changes (SOC). Over a 4-week period, 50% of patients receiving a single application of WCM achieved &gt;/=75% reduction in wound area compared with 13% for  SOC. WCM appeared to be safe and well tolerated, with no adverse events related to treatment and no evidence of an immunologic reaction to bovine collagen. Innovation: WCM is unique in its intimate contact with the wound bed and its ability to progress a wound toward healing with a single application. Conclusion: WCM is a treatment modality to accelerate DFU healing rates, with the potential to reduce the likelihood of infection and other complications, and cost of care.","container-title":"Advances in wound care","issue":"2","journalAbbreviation":"Adv Wound Care (New Rochelle)","language":"eng","note":"PMID: 31903299 \nPMCID: PMC6940589","page":"61-67","title":"Wound Conforming Matrix Containing Purified Homogenate of Dermal Collagen Promotes Healing of Diabetic Neuropathic Foot Ulcers: Comparative Analysis Versus Standard of Care.","volume":"9","author":[{"family":"Chandler","given":"Lois A."},{"family":"Alvarez","given":"Oscar M."},{"family":"Blume","given":"Peter A."},{"family":"Kim","given":"Paul J."},{"family":"Kirsner","given":"Robert S."},{"family":"Lantis","given":"John C."},{"family":"Marston","given":"William A."}],"issued":{"date-parts":[["2020",2,1]]}}},{"id":82433,"uris":["http://zotero.org/users/5328021/items/JJ6CDGHW"],"uri":["http://zotero.org/users/5328021/items/JJ6CDGHW"],"itemData":{"id":82433,"type":"article-journal","abstract":"(DERMALIX) (Patent number: PCT/TR2014/000251) is a bioactive wound dressing that was developed by Ege University School of Pharmacy Department of Pharmaceutical Technology. This dressing has been categorised as Class III medical device. This clinical study will be conducted in patients with diabetic foot ulcers.","archive_location":"CN-01580859","container-title":"https://clinicaltrials.gov/show/NCT03136822","DOI":"https://doi.org/10.1177/1534734620907773","journalAbbreviation":"The International Journal of Lower Extremity Wounds","title":"Comparative Evaluation of Clinical Efficacy and Safety of Collagen Laminin–Based Dermal Matrix Combined With Resveratrol Microparticles (Dermalix) and Standard Wound Care for Diabetic Foot Ulcers - NCT03136822","URL":"https://www.cochranelibrary.com/central/doi/10.1002/central/CN-01580859/full","author":[{"literal":"Şevki Çetinkalp"},{"family":"Evren Homan Gökçe,","given":""},{"family":"IlgınYıldırım Şimşir","given":""},{"family":"Sakine Tuncay Tanrıverdi","given":""}],"issued":{"date-parts":[["2020"]]}}}],"schema":"https://github.com/citation-style-language/schema/raw/master/csl-citation.json"}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(78,79,87)</w:t>
            </w:r>
            <w:r w:rsidRPr="00CA32B9">
              <w:rPr>
                <w:rFonts w:asciiTheme="minorHAnsi" w:hAnsiTheme="minorHAnsi" w:cstheme="minorHAnsi"/>
                <w:szCs w:val="20"/>
                <w:lang w:val="en-US"/>
              </w:rPr>
              <w:fldChar w:fldCharType="end"/>
            </w:r>
          </w:p>
        </w:tc>
      </w:tr>
      <w:tr w:rsidR="003F3795" w14:paraId="0FA58C4C" w14:textId="77777777" w:rsidTr="004E4612">
        <w:tc>
          <w:tcPr>
            <w:tcW w:w="9924" w:type="dxa"/>
            <w:gridSpan w:val="4"/>
            <w:vAlign w:val="center"/>
          </w:tcPr>
          <w:p w14:paraId="7DADCD2F" w14:textId="51D067D5" w:rsidR="003F3795" w:rsidRDefault="003F3795" w:rsidP="003F3795">
            <w:pPr>
              <w:keepNext/>
              <w:jc w:val="left"/>
              <w:rPr>
                <w:lang w:val="en-US"/>
              </w:rPr>
            </w:pPr>
            <w:r w:rsidRPr="00CA32B9">
              <w:rPr>
                <w:rFonts w:asciiTheme="minorHAnsi" w:hAnsiTheme="minorHAnsi" w:cstheme="minorHAnsi"/>
                <w:b/>
                <w:szCs w:val="20"/>
                <w:lang w:val="en-US"/>
              </w:rPr>
              <w:t>Time to healing</w:t>
            </w:r>
          </w:p>
        </w:tc>
      </w:tr>
      <w:tr w:rsidR="003F3795" w14:paraId="50FB0560" w14:textId="77777777" w:rsidTr="004E4612">
        <w:tc>
          <w:tcPr>
            <w:tcW w:w="3213" w:type="dxa"/>
            <w:vAlign w:val="center"/>
          </w:tcPr>
          <w:p w14:paraId="0F1BEBEE" w14:textId="0BFAA830" w:rsidR="003F3795" w:rsidRDefault="003F3795" w:rsidP="003F3795">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w:t>
            </w:r>
            <w:r w:rsidRPr="00CA32B9">
              <w:rPr>
                <w:rFonts w:asciiTheme="minorHAnsi" w:hAnsiTheme="minorHAnsi" w:cstheme="minorHAnsi"/>
                <w:szCs w:val="20"/>
                <w:lang w:val="en-US"/>
              </w:rPr>
              <w:t xml:space="preserve"> - 1 study (</w:t>
            </w:r>
            <w:r w:rsidRPr="00CA32B9">
              <w:rPr>
                <w:rFonts w:asciiTheme="minorHAnsi" w:eastAsia="Times New Roman" w:hAnsiTheme="minorHAnsi" w:cstheme="minorHAnsi"/>
                <w:szCs w:val="20"/>
                <w:lang w:val="en-US"/>
              </w:rPr>
              <w:t>II)</w:t>
            </w:r>
          </w:p>
        </w:tc>
        <w:tc>
          <w:tcPr>
            <w:tcW w:w="1653" w:type="dxa"/>
          </w:tcPr>
          <w:p w14:paraId="3D36B478" w14:textId="2A12E56C" w:rsidR="003F3795" w:rsidRDefault="003F3795" w:rsidP="00E84D1C">
            <w:pPr>
              <w:jc w:val="center"/>
              <w:rPr>
                <w:lang w:val="en-US"/>
              </w:rPr>
            </w:pPr>
            <w:r w:rsidRPr="00CA32B9">
              <w:rPr>
                <w:rFonts w:asciiTheme="minorHAnsi" w:hAnsiTheme="minorHAnsi" w:cstheme="minorHAnsi"/>
                <w:szCs w:val="20"/>
                <w:lang w:val="en-US"/>
              </w:rPr>
              <w:t>8</w:t>
            </w:r>
          </w:p>
        </w:tc>
        <w:tc>
          <w:tcPr>
            <w:tcW w:w="2218" w:type="dxa"/>
            <w:vMerge w:val="restart"/>
            <w:vAlign w:val="center"/>
          </w:tcPr>
          <w:p w14:paraId="76B64378" w14:textId="6C271006" w:rsidR="003F3795" w:rsidRDefault="003F3795" w:rsidP="00E84D1C">
            <w:pPr>
              <w:jc w:val="center"/>
              <w:rPr>
                <w:lang w:val="en-US"/>
              </w:rPr>
            </w:pPr>
            <w:r w:rsidRPr="00CA32B9">
              <w:rPr>
                <w:rFonts w:asciiTheme="minorHAnsi" w:hAnsiTheme="minorHAnsi" w:cstheme="minorHAnsi"/>
                <w:szCs w:val="20"/>
                <w:lang w:val="en-US"/>
              </w:rPr>
              <w:t>High</w:t>
            </w:r>
          </w:p>
        </w:tc>
        <w:tc>
          <w:tcPr>
            <w:tcW w:w="2840" w:type="dxa"/>
          </w:tcPr>
          <w:p w14:paraId="494757AB" w14:textId="18ADF589" w:rsidR="003F3795" w:rsidRDefault="003F3795"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fix1lUm3","properties":{"formattedCitation":"(82,83)","plainCitation":"(82,83)","noteIndex":0},"citationItems":[{"id":73598,"uris":["http://zotero.org/users/5328021/items/YJI9ZKI8"],"uri":["http://zotero.org/users/5328021/items/YJI9ZKI8"],"itemData":{"id":73598,"type":"article-journal","abstract":"Background: Acellular matrix (AM) therapy has shown promise in the treatment of diabetic foot ulcers (DFUs) in several studies. The clinical effects of AM therapy were not well established. Therefore, we conducted a meta-analysis of randomized clinical trials (RCTs) to examine the efficacy and safety of AM therapy for patients with DFUs. Methods: A literature search of 5 databases was performed to identify RCTs comparing AM therapy to standard therapy (ST) in patients with DFUs. The primary outcome was the complete healing rate and the secondary outcomes mainly included time to complete healing and adverse events. Results: Nine RCTs involving 897 patients were included. Compared with ST group,  patients allocated to AM group had a higher complete healing rate both at 12 weeks (risk ratio (RR) = 1.73, 95% confidence interval (CI): 1.31 to 2.30) and 16 weeks (RR = 1.56, 95% CI: 1.28 to 1.91), a shorter time to complete healing (mean difference (MD) = -2.41; 95% CI: -3.49 to -1.32), and fewer adverse events (RR =  0.64, 95% CI: 0.44 to 0.93). Conclusion: The present study suggests that AM therapy as an adjuvant treatment could further promote the healing of full-thickness, noninfected, and nonischemia DFUs. AM therapy also has a safety profile. More large well-designed randomized clinical trials with long follow-up  duration are needed to further explore the efficacy and safety of AM therapy for  DFUs.","container-title":"Journal of diabetes research","journalAbbreviation":"J Diabetes Res","language":"eng","note":"PMID: 32090122 \nPMCID: PMC7016477","page":"6245758","title":"The Efficacy and Safety of Acellular Matrix Therapy for Diabetic Foot Ulcers: A Meta-Analysis of Randomized Clinical Trials.","volume":"2020","author":[{"family":"Huang","given":"Wentao"},{"family":"Chen","given":"Yongsong"},{"family":"Wang","given":"Nasui"},{"family":"Yin","given":"Guoshu"},{"family":"Wei","given":"Chiju"},{"family":"Xu","given":"Wencan"}],"issued":{"date-parts":[["2020"]]}}},{"id":73429,"uris":["http://zotero.org/users/5328021/items/ULPLE4AR"],"uri":["http://zotero.org/users/5328021/items/ULPLE4AR"],"itemData":{"id":73429,"type":"article-journal","abstract":"AIMS: Because collagen is fundamental to wound healing and skin formation, collagen-containing dressing materials might be beneficial in treating diabetic foot ulcers (DFU), but supporting evidence is needed. Here, we examined the effectiveness and safety of collagen dressing material in DFU treatment. METHODS: This prospective, randomized, placebo-controlled, single-center study included patients with type 1 or 2 diabetes and palpable foot pulse who had Wagner grade 1 or 2 ulcers &gt;/=1.0cm(2) with no signs of healing for &gt;/=6weeks. Patients were treated with foam dressing alone (control group) or with a porcine type I collagen dressing material (collagen group). Complete ulcer healing rate was the  primary endpoint, and healing velocity and time to 50% size reduction were secondary endpoints. RESULTS: Thirty patients were included (collagen group: 17,  control group: 13). There were no significant differences in demographic factors  or baseline DFU characteristics. Compared to the control group, the collagen group presented a higher rate of complete healing [82.4% vs. 38.5%, P=.022], faster healing velocity (P&lt;.05), and shorter median time to 50% size reduction (21 versus 42days; hazard ratio=1.94, P&lt;.05). CONCLUSIONS: Wound management using collagen materials in DFUs showed faster and complete healing rate.","container-title":"Diabetes research and clinical practice","journalAbbreviation":"Diabetes Res Clin Pract","language":"eng","note":"PMID: 31536746","page":"107861","title":"Collagen dressing in the treatment of diabetic foot ulcer: A prospective, randomized, placebo-controlled, single-center study.","volume":"156","author":[{"family":"Park","given":"Kwang Hwan"},{"family":"Kwon","given":"Jae Bum"},{"family":"Park","given":"Jae Han"},{"family":"Shin","given":"Ju Cheol"},{"family":"Han","given":"Seung Hwan"},{"family":"Lee","given":"Jin Woo"}],"issued":{"date-parts":[["2019",10]]}}}],"schema":"https://github.com/citation-style-language/schema/raw/master/csl-citation.json"}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(82,83)</w:t>
            </w:r>
            <w:r w:rsidRPr="00CA32B9">
              <w:rPr>
                <w:rFonts w:asciiTheme="minorHAnsi" w:hAnsiTheme="minorHAnsi" w:cstheme="minorHAnsi"/>
                <w:szCs w:val="20"/>
                <w:lang w:val="en-US"/>
              </w:rPr>
              <w:fldChar w:fldCharType="end"/>
            </w:r>
          </w:p>
        </w:tc>
      </w:tr>
      <w:tr w:rsidR="003F3795" w14:paraId="2CFEBFD2" w14:textId="77777777" w:rsidTr="004E4612">
        <w:tc>
          <w:tcPr>
            <w:tcW w:w="3213" w:type="dxa"/>
            <w:vAlign w:val="center"/>
          </w:tcPr>
          <w:p w14:paraId="3FF30492" w14:textId="64B157E4" w:rsidR="003F3795" w:rsidRDefault="003F3795" w:rsidP="003F3795">
            <w:pPr>
              <w:jc w:val="center"/>
              <w:rPr>
                <w:lang w:val="en-US"/>
              </w:rPr>
            </w:pPr>
            <w:r w:rsidRPr="00CA32B9">
              <w:rPr>
                <w:rFonts w:asciiTheme="minorHAnsi" w:hAnsiTheme="minorHAnsi" w:cstheme="minorHAnsi"/>
                <w:color w:val="9A9B9D" w:themeColor="text1" w:themeTint="99"/>
                <w:szCs w:val="20"/>
                <w:lang w:val="en-US"/>
              </w:rPr>
              <w:t>1</w:t>
            </w:r>
            <w:r w:rsidRPr="00CA32B9">
              <w:rPr>
                <w:rFonts w:asciiTheme="minorHAnsi" w:hAnsiTheme="minorHAnsi" w:cstheme="minorHAnsi"/>
                <w:szCs w:val="20"/>
                <w:lang w:val="en-US"/>
              </w:rPr>
              <w:t xml:space="preserve"> </w:t>
            </w:r>
            <w:r w:rsidRPr="00CA32B9">
              <w:rPr>
                <w:rFonts w:asciiTheme="minorHAnsi" w:hAnsiTheme="minorHAnsi" w:cstheme="minorHAnsi"/>
                <w:color w:val="9A9B9D" w:themeColor="text1" w:themeTint="99"/>
                <w:szCs w:val="20"/>
                <w:lang w:val="en-US"/>
              </w:rPr>
              <w:t>study (II)</w:t>
            </w:r>
          </w:p>
        </w:tc>
        <w:tc>
          <w:tcPr>
            <w:tcW w:w="1653" w:type="dxa"/>
          </w:tcPr>
          <w:p w14:paraId="69032F8D" w14:textId="0285BED7" w:rsidR="003F3795" w:rsidRDefault="003F3795" w:rsidP="00E84D1C">
            <w:pPr>
              <w:jc w:val="center"/>
              <w:rPr>
                <w:lang w:val="en-US"/>
              </w:rPr>
            </w:pPr>
            <w:r w:rsidRPr="00CA32B9">
              <w:rPr>
                <w:rFonts w:asciiTheme="minorHAnsi" w:hAnsiTheme="minorHAnsi" w:cstheme="minorHAnsi"/>
                <w:color w:val="9A9B9D" w:themeColor="text1" w:themeTint="99"/>
                <w:szCs w:val="20"/>
                <w:lang w:val="en-US"/>
              </w:rPr>
              <w:t>7</w:t>
            </w:r>
          </w:p>
        </w:tc>
        <w:tc>
          <w:tcPr>
            <w:tcW w:w="2218" w:type="dxa"/>
            <w:vMerge/>
            <w:vAlign w:val="center"/>
          </w:tcPr>
          <w:p w14:paraId="3A441E3F" w14:textId="77777777" w:rsidR="003F3795" w:rsidRDefault="003F3795" w:rsidP="00E84D1C">
            <w:pPr>
              <w:jc w:val="center"/>
              <w:rPr>
                <w:lang w:val="en-US"/>
              </w:rPr>
            </w:pPr>
          </w:p>
        </w:tc>
        <w:tc>
          <w:tcPr>
            <w:tcW w:w="2840" w:type="dxa"/>
          </w:tcPr>
          <w:p w14:paraId="6249318C" w14:textId="5FF6FEFE" w:rsidR="003F3795" w:rsidRDefault="003F3795"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A743RwsI","properties":{"formattedCitation":"(81)","plainCitation":"(81)","noteIndex":0},"citationItems":[{"id":49277,"uris":["http://zotero.org/users/5328021/items/SCMGBZTR"],"uri":["http://zotero.org/users/5328021/items/SCMGBZTR"],"itemData":{"id":49277,"type":"article-journal","abstract":"BACKGROUND: Composite split-thickness skin grafting (STSG) with acellular dermal matrix (ADM) has been used successfully in burn injuries and trauma, but its use in treating diabetic foot ulcers (DFUs) has not been reported to date. This study investigated the efficacy and safety of composite STSG with ADM in the treatment of DFUs.\nSTUDY DESIGN: Fifty-two patients with DFUs were randomized into experimental and control groups. Patients in the experimental group received composite STSG over ADM; the control group received STSG alone. The primary end point was recurrence rate 12 months after grafting. Secondary end points were the healing quality of the grafted site according to Manchester Scar Scale and complete wound closure and complication rates.\nRESULTS: The number of patients that experienced recurrence was significantly less in the experimental group compared with the control group (4.3% vs 22.7%; p = 0.02). The autografted sites of the experimental group had better appearance and lower Manchester Scar Scale scores (median 9 [interquartile range 8 to 10.25] vs median 11 [interquartile range 10 to 12]; p = 0.006). Rates of complete wound closure by weeks 2, 4, and 8 were similar, as were the rates of complications by post-grafting week 4 (38.5% vs 26.9%; p = 0.38).\nCONCLUSIONS: Composite STSG over an ADM scaffold provides an effective method to treat DFUs, with lower recurrence rates and better physical attributes compared with the traditional STSG method. Complete wound closure and complication rates were comparable between these methods.","container-title":"Journal of the American College of Surgeons","issue":"6","journalAbbreviation":"J. Am. Coll. Surg.","language":"eng","note":"PMID: 27068845","page":"1171-1179","title":"Composite Skin Grafting with Human Acellular Dermal Matrix Scaffold for Treatment of Diabetic Foot Ulcers: A Randomized Controlled Trial","volume":"222","author":[{"family":"Hu","given":"Zhicheng"},{"family":"Zhu","given":"Jiayuan"},{"family":"Cao","given":"Xiaoling"},{"family":"Chen","given":"Chufen"},{"family":"Li","given":"Shuting"},{"family":"Guo","given":"Dong"},{"family":"Zhang","given":"Jian"},{"family":"Liu","given":"Peng"},{"family":"Shi","given":"Fen"},{"family":"Tang","given":"Bing"}],"issued":{"date-parts":[["2016"]]}}}],"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(81)</w:t>
            </w:r>
            <w:r w:rsidRPr="00CA32B9">
              <w:rPr>
                <w:rFonts w:asciiTheme="minorHAnsi" w:hAnsiTheme="minorHAnsi" w:cstheme="minorHAnsi"/>
                <w:szCs w:val="20"/>
                <w:lang w:val="en-US"/>
              </w:rPr>
              <w:fldChar w:fldCharType="end"/>
            </w:r>
          </w:p>
        </w:tc>
      </w:tr>
      <w:tr w:rsidR="003F3795" w14:paraId="0A65D010" w14:textId="77777777" w:rsidTr="004E4612">
        <w:tc>
          <w:tcPr>
            <w:tcW w:w="9924" w:type="dxa"/>
            <w:gridSpan w:val="4"/>
            <w:vAlign w:val="center"/>
          </w:tcPr>
          <w:p w14:paraId="2F708332" w14:textId="246F0888" w:rsidR="003F3795" w:rsidRDefault="003F3795" w:rsidP="003F3795">
            <w:pPr>
              <w:keepNext/>
              <w:jc w:val="left"/>
              <w:rPr>
                <w:lang w:val="en-US"/>
              </w:rPr>
            </w:pPr>
            <w:r w:rsidRPr="00CA32B9">
              <w:rPr>
                <w:rFonts w:asciiTheme="minorHAnsi" w:hAnsiTheme="minorHAnsi" w:cstheme="minorHAnsi"/>
                <w:b/>
                <w:szCs w:val="20"/>
                <w:lang w:val="en-US"/>
              </w:rPr>
              <w:t>Ulcer recurrence</w:t>
            </w:r>
          </w:p>
        </w:tc>
      </w:tr>
      <w:tr w:rsidR="003F3795" w14:paraId="3804B2D8" w14:textId="77777777" w:rsidTr="004E4612">
        <w:tc>
          <w:tcPr>
            <w:tcW w:w="3213" w:type="dxa"/>
            <w:vAlign w:val="center"/>
          </w:tcPr>
          <w:p w14:paraId="562E7F97" w14:textId="417A5D4B" w:rsidR="003F3795" w:rsidRDefault="003F3795" w:rsidP="003F3795">
            <w:pPr>
              <w:jc w:val="center"/>
              <w:rPr>
                <w:lang w:val="en-US"/>
              </w:rPr>
            </w:pP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653" w:type="dxa"/>
          </w:tcPr>
          <w:p w14:paraId="50E1B06D" w14:textId="0E59E81B" w:rsidR="003F3795" w:rsidRDefault="003F3795" w:rsidP="00E84D1C">
            <w:pPr>
              <w:jc w:val="center"/>
              <w:rPr>
                <w:lang w:val="en-US"/>
              </w:rPr>
            </w:pPr>
            <w:r w:rsidRPr="00CA32B9">
              <w:rPr>
                <w:rFonts w:asciiTheme="minorHAnsi" w:hAnsiTheme="minorHAnsi" w:cstheme="minorHAnsi"/>
                <w:szCs w:val="20"/>
                <w:lang w:val="en-US"/>
              </w:rPr>
              <w:t>7</w:t>
            </w:r>
          </w:p>
        </w:tc>
        <w:tc>
          <w:tcPr>
            <w:tcW w:w="2218" w:type="dxa"/>
            <w:vMerge w:val="restart"/>
            <w:vAlign w:val="center"/>
          </w:tcPr>
          <w:p w14:paraId="7D3A2700" w14:textId="2A2A0FD4" w:rsidR="003F3795" w:rsidRDefault="003F3795" w:rsidP="00E84D1C">
            <w:pPr>
              <w:jc w:val="center"/>
              <w:rPr>
                <w:lang w:val="en-US"/>
              </w:rPr>
            </w:pPr>
            <w:r w:rsidRPr="00CA32B9">
              <w:rPr>
                <w:rFonts w:asciiTheme="minorHAnsi" w:hAnsiTheme="minorHAnsi" w:cstheme="minorHAnsi"/>
                <w:szCs w:val="20"/>
                <w:lang w:val="en-US"/>
              </w:rPr>
              <w:t>Moderate</w:t>
            </w:r>
          </w:p>
        </w:tc>
        <w:tc>
          <w:tcPr>
            <w:tcW w:w="2840" w:type="dxa"/>
          </w:tcPr>
          <w:p w14:paraId="3AF7304C" w14:textId="2AADFE73" w:rsidR="003F3795" w:rsidRDefault="003F3795"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rJqEwd4J","properties":{"formattedCitation":"(81)","plainCitation":"(81)","noteIndex":0},"citationItems":[{"id":49277,"uris":["http://zotero.org/users/5328021/items/SCMGBZTR"],"uri":["http://zotero.org/users/5328021/items/SCMGBZTR"],"itemData":{"id":49277,"type":"article-journal","abstract":"BACKGROUND: Composite split-thickness skin grafting (STSG) with acellular dermal matrix (ADM) has been used successfully in burn injuries and trauma, but its use in treating diabetic foot ulcers (DFUs) has not been reported to date. This study investigated the efficacy and safety of composite STSG with ADM in the treatment of DFUs.\nSTUDY DESIGN: Fifty-two patients with DFUs were randomized into experimental and control groups. Patients in the experimental group received composite STSG over ADM; the control group received STSG alone. The primary end point was recurrence rate 12 months after grafting. Secondary end points were the healing quality of the grafted site according to Manchester Scar Scale and complete wound closure and complication rates.\nRESULTS: The number of patients that experienced recurrence was significantly less in the experimental group compared with the control group (4.3% vs 22.7%; p = 0.02). The autografted sites of the experimental group had better appearance and lower Manchester Scar Scale scores (median 9 [interquartile range 8 to 10.25] vs median 11 [interquartile range 10 to 12]; p = 0.006). Rates of complete wound closure by weeks 2, 4, and 8 were similar, as were the rates of complications by post-grafting week 4 (38.5% vs 26.9%; p = 0.38).\nCONCLUSIONS: Composite STSG over an ADM scaffold provides an effective method to treat DFUs, with lower recurrence rates and better physical attributes compared with the traditional STSG method. Complete wound closure and complication rates were comparable between these methods.","container-title":"Journal of the American College of Surgeons","issue":"6","journalAbbreviation":"J. Am. Coll. Surg.","language":"eng","note":"PMID: 27068845","page":"1171-1179","title":"Composite Skin Grafting with Human Acellular Dermal Matrix Scaffold for Treatment of Diabetic Foot Ulcers: A Randomized Controlled Trial","volume":"222","author":[{"family":"Hu","given":"Zhicheng"},{"family":"Zhu","given":"Jiayuan"},{"family":"Cao","given":"Xiaoling"},{"family":"Chen","given":"Chufen"},{"family":"Li","given":"Shuting"},{"family":"Guo","given":"Dong"},{"family":"Zhang","given":"Jian"},{"family":"Liu","given":"Peng"},{"family":"Shi","given":"Fen"},{"family":"Tang","given":"Bing"}],"issued":{"date-parts":[["2016"]]}}}],"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(81)</w:t>
            </w:r>
            <w:r w:rsidRPr="00CA32B9">
              <w:rPr>
                <w:rFonts w:asciiTheme="minorHAnsi" w:hAnsiTheme="minorHAnsi" w:cstheme="minorHAnsi"/>
                <w:szCs w:val="20"/>
                <w:lang w:val="en-US"/>
              </w:rPr>
              <w:fldChar w:fldCharType="end"/>
            </w:r>
          </w:p>
        </w:tc>
      </w:tr>
      <w:tr w:rsidR="003F3795" w14:paraId="2E04301B" w14:textId="77777777" w:rsidTr="004E4612">
        <w:tc>
          <w:tcPr>
            <w:tcW w:w="3213" w:type="dxa"/>
            <w:vAlign w:val="center"/>
          </w:tcPr>
          <w:p w14:paraId="79025FC6" w14:textId="700751B9" w:rsidR="003F3795" w:rsidRDefault="003F3795" w:rsidP="003F3795">
            <w:pPr>
              <w:jc w:val="center"/>
              <w:rPr>
                <w:lang w:val="en-US"/>
              </w:rPr>
            </w:pPr>
            <w:r w:rsidRPr="00CA32B9">
              <w:rPr>
                <w:rFonts w:asciiTheme="minorHAnsi" w:hAnsiTheme="minorHAnsi" w:cstheme="minorHAnsi"/>
                <w:color w:val="9A9B9D" w:themeColor="text1" w:themeTint="99"/>
                <w:szCs w:val="20"/>
                <w:lang w:val="en-US"/>
              </w:rPr>
              <w:t>1 study (II)</w:t>
            </w:r>
          </w:p>
        </w:tc>
        <w:tc>
          <w:tcPr>
            <w:tcW w:w="1653" w:type="dxa"/>
          </w:tcPr>
          <w:p w14:paraId="6B2134AD" w14:textId="63D71F24" w:rsidR="003F3795" w:rsidRDefault="003F3795" w:rsidP="00E84D1C">
            <w:pPr>
              <w:jc w:val="center"/>
              <w:rPr>
                <w:lang w:val="en-US"/>
              </w:rPr>
            </w:pPr>
            <w:r w:rsidRPr="00CA32B9">
              <w:rPr>
                <w:rFonts w:asciiTheme="minorHAnsi" w:hAnsiTheme="minorHAnsi" w:cstheme="minorHAnsi"/>
                <w:color w:val="9A9B9D" w:themeColor="text1" w:themeTint="99"/>
                <w:szCs w:val="20"/>
                <w:lang w:val="en-US"/>
              </w:rPr>
              <w:t>7</w:t>
            </w:r>
          </w:p>
        </w:tc>
        <w:tc>
          <w:tcPr>
            <w:tcW w:w="2218" w:type="dxa"/>
            <w:vMerge/>
            <w:vAlign w:val="center"/>
          </w:tcPr>
          <w:p w14:paraId="73EEB386" w14:textId="77777777" w:rsidR="003F3795" w:rsidRDefault="003F3795" w:rsidP="00E84D1C">
            <w:pPr>
              <w:jc w:val="center"/>
              <w:rPr>
                <w:lang w:val="en-US"/>
              </w:rPr>
            </w:pPr>
          </w:p>
        </w:tc>
        <w:tc>
          <w:tcPr>
            <w:tcW w:w="2840" w:type="dxa"/>
          </w:tcPr>
          <w:p w14:paraId="276A246D" w14:textId="4ED28883" w:rsidR="003F3795" w:rsidRDefault="003F3795"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6VFx5lKl","properties":{"formattedCitation":"(86)","plainCitation":"(86)","noteIndex":0},"citationItems":[{"id":12618,"uris":["http://zotero.org/users/5328021/items/4JG5LWDV"],"uri":["http://zotero.org/users/5328021/items/4JG5LWDV"],"itemData":{"id":12618,"type":"article-journal","abstract":"Individuals with diabetes mellitus are at an increased risk of developing a diabetic foot ulcer (DFU). This study evaluated the safety and efficacy of Integra Dermal Regeneration Template (IDRT) for the treatment of nonhealing DFUs. The Foot Ulcer New Dermal Replacement Study was a multicenter, randomized, controlled, parallel group clinical trial conducted under an Investigational Device Exemption. Thirty-two sites enrolled and randomized 307 subjects with at least one DFU. Consented patients were entered into the 14-day run-in phase where they were treated with the standard of care (0.9% sodium chloride gel) plus a secondary dressing and an offloading/protective device. Patients with less than 30% reepithelialization of the study ulcer after the run-in phase were randomized into the treatment phase. The subjects were randomized to the control treatment group (0.9% sodium chloride gel; n = 153) or the active treatment group (IDRT, n = 154). The treatment phase was 16 weeks or until confirmation of complete wound closure (100% reepithelialization of the wound surface), whichever occurred first. Following the treatment phase, all subjects were followed for 12 weeks. Complete DFU closure during the treatment phase was significantly greater with IDRT treatment (51%) than control treatment (32%; p = 0.001) at sixteen weeks. The median time to complete DFU closure was 43 days for IDRT subjects and 78 days for control subjects in wounds that healed. The rate of wound size reduction was 7.2% per week for IDRT subjects vs. 4.8% per week for control subjects (p = 0.012). For the treatment of chronic DFUs, IDRT treatment decreased the time to complete wound closure, increased the rate of wound closure, improved components of quality of life and had less adverse events compared with the standard of care treatment. IDRT could greatly enhance the treatment of nonhealing DFUs.","archive":"Embase","container-title":"Wound Repair and Regeneration","issue":"6","journalAbbreviation":"Wound Repair Regen.","language":"English","note":"PMID: 26297933","page":"891-900","title":"A clinical trial of Integra Template for diabetic foot ulcer treatment","volume":"23","author":[{"literal":"Driver V.R."},{"literal":"Lavery L.A."},{"literal":"Reyzelman A.M."},{"literal":"Dutra T.G."},{"literal":"Dove C.R."},{"literal":"Kotsis S.V."},{"literal":"Kim H.M."},{"literal":"Chung K.C."}],"issued":{"date-parts":[["2015"]]}}}],"schema":"https://github.com/citation-style-language/schema/raw/master/csl-citation.json"}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(86)</w:t>
            </w:r>
            <w:r w:rsidRPr="00CA32B9">
              <w:rPr>
                <w:rFonts w:asciiTheme="minorHAnsi" w:hAnsiTheme="minorHAnsi" w:cstheme="minorHAnsi"/>
                <w:szCs w:val="20"/>
                <w:lang w:val="en-US"/>
              </w:rPr>
              <w:fldChar w:fldCharType="end"/>
            </w:r>
          </w:p>
        </w:tc>
      </w:tr>
      <w:tr w:rsidR="003F3795" w14:paraId="3CD03115" w14:textId="77777777" w:rsidTr="004E4612">
        <w:tc>
          <w:tcPr>
            <w:tcW w:w="9924" w:type="dxa"/>
            <w:gridSpan w:val="4"/>
            <w:vAlign w:val="center"/>
          </w:tcPr>
          <w:p w14:paraId="12575E7A" w14:textId="3714E8FD" w:rsidR="003F3795" w:rsidRDefault="003F3795" w:rsidP="003F3795">
            <w:pPr>
              <w:keepNext/>
              <w:jc w:val="left"/>
              <w:rPr>
                <w:lang w:val="en-US"/>
              </w:rPr>
            </w:pPr>
            <w:r w:rsidRPr="00CA32B9">
              <w:rPr>
                <w:rFonts w:asciiTheme="minorHAnsi" w:hAnsiTheme="minorHAnsi" w:cstheme="minorHAnsi"/>
                <w:b/>
                <w:szCs w:val="20"/>
                <w:lang w:val="en-US"/>
              </w:rPr>
              <w:t>Amputation events</w:t>
            </w:r>
          </w:p>
        </w:tc>
      </w:tr>
      <w:tr w:rsidR="00E84D1C" w14:paraId="0FB09B70" w14:textId="77777777" w:rsidTr="004E4612">
        <w:tc>
          <w:tcPr>
            <w:tcW w:w="3213" w:type="dxa"/>
            <w:vAlign w:val="center"/>
          </w:tcPr>
          <w:p w14:paraId="3ACB52E1" w14:textId="109073C4" w:rsidR="00E84D1C" w:rsidRDefault="00E84D1C" w:rsidP="003F3795">
            <w:pPr>
              <w:jc w:val="center"/>
              <w:rPr>
                <w:lang w:val="en-US"/>
              </w:rPr>
            </w:pPr>
            <w:r w:rsidRPr="00CA32B9">
              <w:rPr>
                <w:rFonts w:asciiTheme="minorHAnsi" w:hAnsiTheme="minorHAnsi" w:cstheme="minorHAnsi"/>
                <w:szCs w:val="20"/>
                <w:lang w:val="en-US"/>
              </w:rPr>
              <w:t>1</w:t>
            </w:r>
            <w:r w:rsidRPr="00CA32B9">
              <w:rPr>
                <w:rFonts w:asciiTheme="minorHAnsi" w:eastAsia="Times New Roman" w:hAnsiTheme="minorHAnsi" w:cstheme="minorHAnsi"/>
                <w:szCs w:val="20"/>
                <w:lang w:val="en-US"/>
              </w:rPr>
              <w:t xml:space="preserve"> study (I)</w:t>
            </w:r>
            <w:r w:rsidRPr="00CA32B9">
              <w:rPr>
                <w:rFonts w:asciiTheme="minorHAnsi" w:hAnsiTheme="minorHAnsi" w:cstheme="minorHAnsi"/>
                <w:szCs w:val="20"/>
                <w:lang w:val="en-US"/>
              </w:rPr>
              <w:t xml:space="preserve"> - 1 study (</w:t>
            </w:r>
            <w:r w:rsidRPr="00CA32B9">
              <w:rPr>
                <w:rFonts w:asciiTheme="minorHAnsi" w:eastAsia="Times New Roman" w:hAnsiTheme="minorHAnsi" w:cstheme="minorHAnsi"/>
                <w:szCs w:val="20"/>
                <w:lang w:val="en-US"/>
              </w:rPr>
              <w:t>II)</w:t>
            </w:r>
          </w:p>
        </w:tc>
        <w:tc>
          <w:tcPr>
            <w:tcW w:w="1653" w:type="dxa"/>
          </w:tcPr>
          <w:p w14:paraId="2537592F" w14:textId="10B5EF1D" w:rsidR="00E84D1C" w:rsidRDefault="00E84D1C" w:rsidP="00E84D1C">
            <w:pPr>
              <w:jc w:val="center"/>
              <w:rPr>
                <w:lang w:val="en-US"/>
              </w:rPr>
            </w:pPr>
            <w:r w:rsidRPr="00CA32B9">
              <w:rPr>
                <w:rFonts w:asciiTheme="minorHAnsi" w:hAnsiTheme="minorHAnsi" w:cstheme="minorHAnsi"/>
                <w:szCs w:val="20"/>
                <w:lang w:val="en-US"/>
              </w:rPr>
              <w:t>7,5</w:t>
            </w:r>
          </w:p>
        </w:tc>
        <w:tc>
          <w:tcPr>
            <w:tcW w:w="2218" w:type="dxa"/>
            <w:vAlign w:val="center"/>
          </w:tcPr>
          <w:p w14:paraId="57652994" w14:textId="2EA2D4E6" w:rsidR="00E84D1C" w:rsidRDefault="00E84D1C" w:rsidP="00E84D1C">
            <w:pPr>
              <w:jc w:val="center"/>
              <w:rPr>
                <w:lang w:val="en-US"/>
              </w:rPr>
            </w:pPr>
            <w:r w:rsidRPr="00CA32B9">
              <w:rPr>
                <w:rFonts w:asciiTheme="minorHAnsi" w:hAnsiTheme="minorHAnsi" w:cstheme="minorHAnsi"/>
                <w:szCs w:val="20"/>
                <w:lang w:val="en-US"/>
              </w:rPr>
              <w:t>Good</w:t>
            </w:r>
          </w:p>
        </w:tc>
        <w:tc>
          <w:tcPr>
            <w:tcW w:w="2840" w:type="dxa"/>
          </w:tcPr>
          <w:p w14:paraId="5EF8F3DF" w14:textId="37CE3939"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se1wjq6m","properties":{"formattedCitation":"(75,80)","plainCitation":"(75,80)","noteIndex":0},"citationItems":[{"id":47466,"uris":["http://zotero.org/users/5328021/items/ME8QQ7Y8"],"uri":["http://zotero.org/users/5328021/items/ME8QQ7Y8"],"itemData":{"id":47466,"type":"article-journal","abstract":"The authors aimed to evaluate the efficacy of an advanced wound matrix (Integra Flowable Wound Matrix, Integra LifeScience Corp, Plainsboro, NJ, USA) for treating wounds with irregular geometries versus a wet dressing in patients with diabetic foot ulcers. Sixty patients with diabetic foot ulcers (Grades 3 Wagner) were included in this randomized clinical trial. The study was conducted in the General Surgery Unit and Geriatric of the Second University of Naples, Italy, in the last 12 months. Forty-six cases of diabetic foot ulcers were equally and randomly divided into control and test groups. The first group treated with Integra Flowable Wound Matrix, while the control group with a wet dressing. Both groups were evaluated once a week for 6 weeks to value the degree of epithelialization and granulation tissue of the wound. The complete healing rate in the whole study population was 69.56% (Integra Flowable Wound Matrix group, 86.95%, control group, 52.17%; p = 0.001). Amputation and rehospitalization rates were higher in the control group compared to the first group, therefore, the difference was statistically significant (p = 0.0019; p = 0.028, respectively). The Integra Flowable Wound Matrix, was significantly superior, compared to the wet dressing, by promoting the complete healing of diabetic foot ulcers. Ease of use, absence of adverse effects, and a facilitated wound healing process are among the properties of the matrix. These characteristics make it appropriate in the management of diabetic foot ulcers. Additional research will shed more light on the promising advantages of this material in healing diabetic foot ulcers.","container-title":"Updates in Surgery","issue":"4","journalAbbreviation":"Updates Surg","language":"eng","note":"PMID: 28497218","page":"523-529","title":"To evaluate the efficacy of an acellular Flowable matrix in comparison with a wet dressing for the treatment of patients with diabetic foot ulcers: a randomized clinical trial","volume":"69","author":[{"family":"Campitiello","given":"F."},{"family":"Mancone","given":"M."},{"family":"Della Corte","given":"A."},{"family":"Guerniero","given":"R."},{"family":"Canonico","given":"S."}],"issued":{"date-parts":[["2017",12]]}}},{"id":49281,"uris":["http://zotero.org/users/5328021/items/4IUMLJV7"],"uri":["http://zotero.org/users/5328021/items/4IUMLJV7"],"itemData":{"id":49281,"type":"article-journal","abstract":"Skin substitutes are increasingly used in the treatment of various types of acute and chronic wounds. The aim of this study was to perform a systematic review and meta-analysis to evaluate the effectiveness of skin substitutes on ulcer healing and limb salvage in the treatment of diabetic foot ulcers. Randomized clinical trials were searched and assessed following the methodology of The Cochrane Collaboration. We included 17 trials, totaling 1655 randomized participants. Risk of bias was variable among included trials. Thirteen trials compared the skin substitutes with standard care. The pooled results showed that that skin substitutes can, in addition to standard care, increase the likelihood of achieving complete ulcer closure compared with standard care alone after 6-16 weeks (risk ratio 1.55, 95% confidence interval [CI] 1.30-1.85). Four of the included trials compared two types of skin substitutes but no particular product showed a superior effect over another. Two trials reported on total incidence of lower limb amputations. Pooling the results of these two trials yielded a statistically significantly lower amputation rate among patients treated with skin substitutes (risk ratio 0.43, 95% CI 0.23-0.81), although the absolute risk difference was small (-0.06, 95% CI -0.10 to -0.01). This systematic review provides evidence that skin substitutes can, in addition to standard care, increase the likelihood of achieving complete ulcer closure compared with standard care alone in the treatment of diabetic foot ulcers. However, effectiveness on the long term, including lower limb salvage and recurrence, is currently lacking and cost-effectiveness is unclear.","container-title":"Wound Repair and Regeneration: Official Publication of the Wound Healing Society [and] the European Tissue Repair Society","issue":"4","journalAbbreviation":"Wound Repair Regen","language":"eng","note":"PMID: 27062201","page":"737-744","title":"Systematic review and meta-analysis of skin substitutes in the treatment of diabetic foot ulcers: Highlights of a Cochrane systematic review","volume":"24","author":[{"family":"Santema","given":"T. B. Katrien"},{"family":"Poyck","given":"Paul P. C."},{"family":"Ubbink","given":"Dirk T."}],"issued":{"date-parts":[["2016"]]}}}],"schema":"https://github.com/citation-style-language/schema/raw/master/csl-citation.json"} </w:instrText>
            </w:r>
            <w:r w:rsidRPr="00CA32B9">
              <w:rPr>
                <w:rFonts w:asciiTheme="minorHAnsi" w:hAnsiTheme="minorHAnsi" w:cstheme="minorHAnsi"/>
                <w:szCs w:val="20"/>
                <w:lang w:val="en-US"/>
              </w:rPr>
              <w:fldChar w:fldCharType="separate"/>
            </w:r>
            <w:r w:rsidRPr="00CA32B9">
              <w:rPr>
                <w:rFonts w:asciiTheme="minorHAnsi" w:hAnsiTheme="minorHAnsi" w:cstheme="minorHAnsi"/>
                <w:szCs w:val="20"/>
              </w:rPr>
              <w:t>(75,80)</w:t>
            </w:r>
            <w:r w:rsidRPr="00CA32B9">
              <w:rPr>
                <w:rFonts w:asciiTheme="minorHAnsi" w:hAnsiTheme="minorHAnsi" w:cstheme="minorHAnsi"/>
                <w:szCs w:val="20"/>
                <w:lang w:val="en-US"/>
              </w:rPr>
              <w:fldChar w:fldCharType="end"/>
            </w:r>
          </w:p>
        </w:tc>
      </w:tr>
      <w:tr w:rsidR="003F3795" w14:paraId="2BFE0E28" w14:textId="77777777" w:rsidTr="004E4612">
        <w:tc>
          <w:tcPr>
            <w:tcW w:w="9924" w:type="dxa"/>
            <w:gridSpan w:val="4"/>
            <w:vAlign w:val="center"/>
          </w:tcPr>
          <w:p w14:paraId="2F60B49F" w14:textId="23A6B951" w:rsidR="003F3795" w:rsidRDefault="003F3795" w:rsidP="003F3795">
            <w:pPr>
              <w:keepNext/>
              <w:jc w:val="left"/>
              <w:rPr>
                <w:lang w:val="en-US"/>
              </w:rPr>
            </w:pPr>
            <w:r w:rsidRPr="00CA32B9">
              <w:rPr>
                <w:rFonts w:asciiTheme="minorHAnsi" w:hAnsiTheme="minorHAnsi" w:cstheme="minorHAnsi"/>
                <w:b/>
                <w:szCs w:val="20"/>
                <w:lang w:val="en-US"/>
              </w:rPr>
              <w:t>Quality of life</w:t>
            </w:r>
          </w:p>
        </w:tc>
      </w:tr>
      <w:tr w:rsidR="00E84D1C" w14:paraId="75C78E46" w14:textId="77777777" w:rsidTr="004E4612">
        <w:tc>
          <w:tcPr>
            <w:tcW w:w="3213" w:type="dxa"/>
            <w:vAlign w:val="center"/>
          </w:tcPr>
          <w:p w14:paraId="0E7BE051" w14:textId="33D0A349" w:rsidR="00E84D1C" w:rsidRDefault="00E84D1C" w:rsidP="003F3795">
            <w:pPr>
              <w:jc w:val="center"/>
              <w:rPr>
                <w:lang w:val="en-US"/>
              </w:rPr>
            </w:pP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653" w:type="dxa"/>
          </w:tcPr>
          <w:p w14:paraId="41594BA8" w14:textId="66150268" w:rsidR="00E84D1C" w:rsidRDefault="00E84D1C" w:rsidP="00E84D1C">
            <w:pPr>
              <w:jc w:val="center"/>
              <w:rPr>
                <w:lang w:val="en-US"/>
              </w:rPr>
            </w:pPr>
            <w:r w:rsidRPr="00CA32B9">
              <w:rPr>
                <w:rFonts w:asciiTheme="minorHAnsi" w:hAnsiTheme="minorHAnsi" w:cstheme="minorHAnsi"/>
                <w:szCs w:val="20"/>
                <w:lang w:val="en-US"/>
              </w:rPr>
              <w:t>7</w:t>
            </w:r>
          </w:p>
        </w:tc>
        <w:tc>
          <w:tcPr>
            <w:tcW w:w="2218" w:type="dxa"/>
            <w:vAlign w:val="center"/>
          </w:tcPr>
          <w:p w14:paraId="19B849C5" w14:textId="4F0A3648" w:rsidR="00E84D1C" w:rsidRDefault="00E84D1C" w:rsidP="00E84D1C">
            <w:pPr>
              <w:jc w:val="center"/>
              <w:rPr>
                <w:lang w:val="en-US"/>
              </w:rPr>
            </w:pPr>
            <w:r w:rsidRPr="00CA32B9">
              <w:rPr>
                <w:rFonts w:asciiTheme="minorHAnsi" w:hAnsiTheme="minorHAnsi" w:cstheme="minorHAnsi"/>
                <w:szCs w:val="20"/>
                <w:lang w:val="en-US"/>
              </w:rPr>
              <w:t>Good</w:t>
            </w:r>
          </w:p>
        </w:tc>
        <w:tc>
          <w:tcPr>
            <w:tcW w:w="2840" w:type="dxa"/>
          </w:tcPr>
          <w:p w14:paraId="4DF2C6F5" w14:textId="55D15494" w:rsidR="00E84D1C" w:rsidRDefault="00E84D1C" w:rsidP="00E84D1C">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Vridqq9d","properties":{"formattedCitation":"(86)","plainCitation":"(86)","noteIndex":0},"citationItems":[{"id":12618,"uris":["http://zotero.org/users/5328021/items/4JG5LWDV"],"uri":["http://zotero.org/users/5328021/items/4JG5LWDV"],"itemData":{"id":12618,"type":"article-journal","abstract":"Individuals with diabetes mellitus are at an increased risk of developing a diabetic foot ulcer (DFU). This study evaluated the safety and efficacy of Integra Dermal Regeneration Template (IDRT) for the treatment of nonhealing DFUs. The Foot Ulcer New Dermal Replacement Study was a multicenter, randomized, controlled, parallel group clinical trial conducted under an Investigational Device Exemption. Thirty-two sites enrolled and randomized 307 subjects with at least one DFU. Consented patients were entered into the 14-day run-in phase where they were treated with the standard of care (0.9% sodium chloride gel) plus a secondary dressing and an offloading/protective device. Patients with less than 30% reepithelialization of the study ulcer after the run-in phase were randomized into the treatment phase. The subjects were randomized to the control treatment group (0.9% sodium chloride gel; n = 153) or the active treatment group (IDRT, n = 154). The treatment phase was 16 weeks or until confirmation of complete wound closure (100% reepithelialization of the wound surface), whichever occurred first. Following the treatment phase, all subjects were followed for 12 weeks. Complete DFU closure during the treatment phase was significantly greater with IDRT treatment (51%) than control treatment (32%; p = 0.001) at sixteen weeks. The median time to complete DFU closure was 43 days for IDRT subjects and 78 days for control subjects in wounds that healed. The rate of wound size reduction was 7.2% per week for IDRT subjects vs. 4.8% per week for control subjects (p = 0.012). For the treatment of chronic DFUs, IDRT treatment decreased the time to complete wound closure, increased the rate of wound closure, improved components of quality of life and had less adverse events compared with the standard of care treatment. IDRT could greatly enhance the treatment of nonhealing DFUs.","archive":"Embase","container-title":"Wound Repair and Regeneration","issue":"6","journalAbbreviation":"Wound Repair Regen.","language":"English","note":"PMID: 26297933","page":"891-900","title":"A clinical trial of Integra Template for diabetic foot ulcer treatment","volume":"23","author":[{"literal":"Driver V.R."},{"literal":"Lavery L.A."},{"literal":"Reyzelman A.M."},{"literal":"Dutra T.G."},{"literal":"Dove C.R."},{"literal":"Kotsis S.V."},{"literal":"Kim H.M."},{"literal":"Chung K.C."}],"issued":{"date-parts":[["2015"]]}}}],"schema":"https://github.com/citation-style-language/schema/raw/master/csl-citation.json"}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asciiTheme="minorHAnsi" w:hAnsiTheme="minorHAnsi" w:cstheme="minorHAnsi"/>
                <w:szCs w:val="20"/>
                <w:lang w:val="en-US"/>
              </w:rPr>
              <w:t>(86)</w:t>
            </w:r>
            <w:r w:rsidRPr="00CA32B9">
              <w:rPr>
                <w:rFonts w:asciiTheme="minorHAnsi" w:hAnsiTheme="minorHAnsi" w:cstheme="minorHAnsi"/>
                <w:szCs w:val="20"/>
                <w:lang w:val="en-US"/>
              </w:rPr>
              <w:fldChar w:fldCharType="end"/>
            </w:r>
          </w:p>
        </w:tc>
      </w:tr>
      <w:tr w:rsidR="003F3795" w:rsidRPr="00166EC2" w14:paraId="18C5C491" w14:textId="77777777" w:rsidTr="004E4612">
        <w:tc>
          <w:tcPr>
            <w:tcW w:w="9924" w:type="dxa"/>
            <w:gridSpan w:val="4"/>
            <w:shd w:val="clear" w:color="auto" w:fill="D4F1D3" w:themeFill="background2" w:themeFillTint="33"/>
            <w:vAlign w:val="center"/>
          </w:tcPr>
          <w:p w14:paraId="3ED1FC38" w14:textId="6E2A2295" w:rsidR="003F3795" w:rsidRDefault="003F3795" w:rsidP="003F3795">
            <w:pPr>
              <w:keepNext/>
              <w:jc w:val="center"/>
              <w:rPr>
                <w:lang w:val="en-US"/>
              </w:rPr>
            </w:pPr>
            <w:r w:rsidRPr="00CA32B9">
              <w:rPr>
                <w:rFonts w:asciiTheme="minorHAnsi" w:hAnsiTheme="minorHAnsi" w:cstheme="minorHAnsi"/>
                <w:b/>
                <w:bCs/>
                <w:color w:val="56575A"/>
                <w:szCs w:val="20"/>
                <w:lang w:val="en-US"/>
              </w:rPr>
              <w:t>Treatment with bioengineered skin substitute</w:t>
            </w:r>
            <w:r w:rsidR="00723E8E">
              <w:rPr>
                <w:rFonts w:asciiTheme="minorHAnsi" w:hAnsiTheme="minorHAnsi" w:cstheme="minorHAnsi"/>
                <w:b/>
                <w:bCs/>
                <w:color w:val="56575A"/>
                <w:szCs w:val="20"/>
                <w:lang w:val="en-US"/>
              </w:rPr>
              <w:t>s</w:t>
            </w:r>
            <w:r w:rsidRPr="00CA32B9">
              <w:rPr>
                <w:rFonts w:asciiTheme="minorHAnsi" w:hAnsiTheme="minorHAnsi" w:cstheme="minorHAnsi"/>
                <w:b/>
                <w:bCs/>
                <w:color w:val="56575A"/>
                <w:szCs w:val="20"/>
                <w:lang w:val="en-US"/>
              </w:rPr>
              <w:t>: allogenic skin substitute</w:t>
            </w:r>
          </w:p>
        </w:tc>
      </w:tr>
      <w:tr w:rsidR="003F3795" w14:paraId="284A090C" w14:textId="77777777" w:rsidTr="004E4612">
        <w:tc>
          <w:tcPr>
            <w:tcW w:w="9924" w:type="dxa"/>
            <w:gridSpan w:val="4"/>
            <w:vAlign w:val="center"/>
          </w:tcPr>
          <w:p w14:paraId="7BE200EA" w14:textId="50435088" w:rsidR="003F3795" w:rsidRDefault="003F3795" w:rsidP="003F3795">
            <w:pPr>
              <w:keepNext/>
              <w:rPr>
                <w:lang w:val="en-US"/>
              </w:rPr>
            </w:pPr>
            <w:r w:rsidRPr="00CA32B9">
              <w:rPr>
                <w:rFonts w:asciiTheme="minorHAnsi" w:hAnsiTheme="minorHAnsi" w:cstheme="minorHAnsi"/>
                <w:b/>
                <w:szCs w:val="20"/>
                <w:lang w:val="en-US"/>
              </w:rPr>
              <w:t xml:space="preserve">Ulcer </w:t>
            </w:r>
            <w:proofErr w:type="spellStart"/>
            <w:r w:rsidRPr="00CA32B9">
              <w:rPr>
                <w:rFonts w:asciiTheme="minorHAnsi" w:hAnsiTheme="minorHAnsi" w:cstheme="minorHAnsi"/>
                <w:b/>
                <w:szCs w:val="20"/>
                <w:lang w:val="en-US"/>
              </w:rPr>
              <w:t>healing</w:t>
            </w:r>
            <w:r w:rsidRPr="00240DFC">
              <w:rPr>
                <w:rFonts w:asciiTheme="minorHAnsi" w:hAnsiTheme="minorHAnsi" w:cstheme="minorHAnsi"/>
                <w:szCs w:val="20"/>
                <w:vertAlign w:val="superscript"/>
                <w:lang w:val="en-US"/>
              </w:rPr>
              <w:t>a</w:t>
            </w:r>
            <w:proofErr w:type="spellEnd"/>
          </w:p>
        </w:tc>
      </w:tr>
      <w:tr w:rsidR="003F3795" w14:paraId="4DC778EE" w14:textId="77777777" w:rsidTr="004E4612">
        <w:tc>
          <w:tcPr>
            <w:tcW w:w="3213" w:type="dxa"/>
            <w:vAlign w:val="center"/>
          </w:tcPr>
          <w:p w14:paraId="34FD8A5A" w14:textId="45C3D699" w:rsidR="003F3795" w:rsidRDefault="003F3795" w:rsidP="003F3795">
            <w:pPr>
              <w:jc w:val="center"/>
              <w:rPr>
                <w:lang w:val="en-US"/>
              </w:rPr>
            </w:pPr>
            <w:r w:rsidRPr="00CA32B9">
              <w:rPr>
                <w:rFonts w:asciiTheme="minorHAnsi" w:hAnsiTheme="minorHAnsi" w:cstheme="minorHAnsi"/>
                <w:szCs w:val="20"/>
                <w:lang w:val="en-US"/>
              </w:rPr>
              <w:t>4</w:t>
            </w:r>
            <w:r w:rsidRPr="00CA32B9">
              <w:rPr>
                <w:rFonts w:asciiTheme="minorHAnsi" w:eastAsia="Times New Roman" w:hAnsiTheme="minorHAnsi" w:cstheme="minorHAnsi"/>
                <w:szCs w:val="20"/>
                <w:lang w:val="en-US"/>
              </w:rPr>
              <w:t xml:space="preserve"> studies (I)</w:t>
            </w:r>
            <w:r w:rsidRPr="00CA32B9">
              <w:rPr>
                <w:rFonts w:asciiTheme="minorHAnsi" w:hAnsiTheme="minorHAnsi" w:cstheme="minorHAnsi"/>
                <w:szCs w:val="20"/>
                <w:lang w:val="en-US"/>
              </w:rPr>
              <w:t xml:space="preserve"> - 6 studies (</w:t>
            </w:r>
            <w:r w:rsidRPr="00CA32B9">
              <w:rPr>
                <w:rFonts w:asciiTheme="minorHAnsi" w:eastAsia="Times New Roman" w:hAnsiTheme="minorHAnsi" w:cstheme="minorHAnsi"/>
                <w:szCs w:val="20"/>
                <w:lang w:val="en-US"/>
              </w:rPr>
              <w:t>II)</w:t>
            </w:r>
          </w:p>
        </w:tc>
        <w:tc>
          <w:tcPr>
            <w:tcW w:w="1653" w:type="dxa"/>
            <w:vAlign w:val="center"/>
          </w:tcPr>
          <w:p w14:paraId="7DB15EE8" w14:textId="050C850D" w:rsidR="003F3795" w:rsidRDefault="003F3795" w:rsidP="003F3795">
            <w:pPr>
              <w:jc w:val="center"/>
              <w:rPr>
                <w:lang w:val="en-US"/>
              </w:rPr>
            </w:pPr>
            <w:r w:rsidRPr="00CA32B9">
              <w:rPr>
                <w:rFonts w:asciiTheme="minorHAnsi" w:hAnsiTheme="minorHAnsi" w:cstheme="minorHAnsi"/>
                <w:szCs w:val="20"/>
                <w:lang w:val="en-US"/>
              </w:rPr>
              <w:t>7</w:t>
            </w:r>
          </w:p>
        </w:tc>
        <w:tc>
          <w:tcPr>
            <w:tcW w:w="2218" w:type="dxa"/>
            <w:vMerge w:val="restart"/>
            <w:vAlign w:val="center"/>
          </w:tcPr>
          <w:p w14:paraId="1892DDAC" w14:textId="45AC5AE8" w:rsidR="003F3795" w:rsidRDefault="003F3795" w:rsidP="003F3795">
            <w:pPr>
              <w:jc w:val="center"/>
              <w:rPr>
                <w:lang w:val="en-US"/>
              </w:rPr>
            </w:pPr>
            <w:r w:rsidRPr="00CA32B9">
              <w:rPr>
                <w:rFonts w:asciiTheme="minorHAnsi" w:hAnsiTheme="minorHAnsi" w:cstheme="minorHAnsi"/>
                <w:szCs w:val="20"/>
                <w:lang w:val="en-US"/>
              </w:rPr>
              <w:t>Moderate</w:t>
            </w:r>
          </w:p>
        </w:tc>
        <w:tc>
          <w:tcPr>
            <w:tcW w:w="2840" w:type="dxa"/>
            <w:vAlign w:val="center"/>
          </w:tcPr>
          <w:p w14:paraId="554EDED5" w14:textId="0B5DF939"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p7yESQjM","properties":{"formattedCitation":"(74,80,88\\uc0\\u8211{}95)","plainCitation":"(74,80,88–95)","noteIndex":0},"citationItems":[{"id":73297,"uris":["http://zotero.org/users/5328021/items/AGPMPEBE"],"uri":["http://zotero.org/users/5328021/items/AGPMPEBE"],"itemData":{"id":73297,"type":"article-journal","abstract":"Diabetic foot ulcers (DFUs) are one of the major complications of diabetes, representing a leading cause of hospitalisation and non-traumatic lower limb amputations. Multidisciplinary management, patient education, glucose control, debridement, off-loading, infection control, and adequate perfusion are the mainstays of standard care. Despite all these, at least 30% of DFUs fail to heal  within 20 weeks. Therefore, dermoepidermal skin substitutes (DSS) have been used  as a new therapeutic adjunct for DFUs. This brief review outlines the recent advances in DSS for the treatment of DFUs. PubMed and Cochrane databases were systematically searched in May to July 2018 for systematic reviews published after 2013 and for randomised controlled trials (RCTs). A retrospective evaluation of 28 RCTs was performed. Rates of complete wound closure and time to  healing were examined for 17 commonly available DSS. Healing rates after 12 weeks and time to complete closure in DFUs are heterogeneous among the 28 RCT. The best healing rates at 12 weeks were accomplished with dermal cellular substitutes (Epifix(R), 100% and Amnioband(R), 85%) and with dermal acellular substitutes (Allopatch(R), 80% and Hyalograft(R), 78.8%). Based on these studies, DSS used in conjunction with standard care appear to improve the healing rates of DFUs, as compared with standard care alone. Nonetheless, new studies with more homogeneous samples are needed to ascertain the role of ulcer size, duration, depth and/or type in the efficacy of DSS. Moreover, future RCTs should include patients with severe comorbidities, in order to be more representative of clinical reality.","container-title":"Current vascular pharmacology","issue":"2","journalAbbreviation":"Curr Vasc Pharmacol","language":"eng","note":"PMID: 30963977","page":"182-192","title":"Advances in Dermoepidermal Skin Substitutes for Diabetic Foot Ulcers.","volume":"18","author":[{"family":"Alvaro-Afonso","given":"Francisco Javier"},{"family":"Garcia-Alvarez","given":"Yolanda"},{"family":"Lazaro-Martinez","given":"Jose Luis"},{"family":"Kakagia","given":"Despoina"},{"family":"Papanas","given":"Nikolaos"}],"issued":{"date-parts":[["2020"]]}}},{"id":49281,"uris":["http://zotero.org/users/5328021/items/4IUMLJV7"],"uri":["http://zotero.org/users/5328021/items/4IUMLJV7"],"itemData":{"id":49281,"type":"article-journal","abstract":"Skin substitutes are increasingly used in the treatment of various types of acute and chronic wounds. The aim of this study was to perform a systematic review and meta-analysis to evaluate the effectiveness of skin substitutes on ulcer healing and limb salvage in the treatment of diabetic foot ulcers. Randomized clinical trials were searched and assessed following the methodology of The Cochrane Collaboration. We included 17 trials, totaling 1655 randomized participants. Risk of bias was variable among included trials. Thirteen trials compared the skin substitutes with standard care. The pooled results showed that that skin substitutes can, in addition to standard care, increase the likelihood of achieving complete ulcer closure compared with standard care alone after 6-16 weeks (risk ratio 1.55, 95% confidence interval [CI] 1.30-1.85). Four of the included trials compared two types of skin substitutes but no particular product showed a superior effect over another. Two trials reported on total incidence of lower limb amputations. Pooling the results of these two trials yielded a statistically significantly lower amputation rate among patients treated with skin substitutes (risk ratio 0.43, 95% CI 0.23-0.81), although the absolute risk difference was small (-0.06, 95% CI -0.10 to -0.01). This systematic review provides evidence that skin substitutes can, in addition to standard care, increase the likelihood of achieving complete ulcer closure compared with standard care alone in the treatment of diabetic foot ulcers. However, effectiveness on the long term, including lower limb salvage and recurrence, is currently lacking and cost-effectiveness is unclear.","container-title":"Wound Repair and Regeneration: Official Publication of the Wound Healing Society [and] the European Tissue Repair Society","issue":"4","journalAbbreviation":"Wound Repair Regen","language":"eng","note":"PMID: 27062201","page":"737-744","title":"Systematic review and meta-analysis of skin substitutes in the treatment of diabetic foot ulcers: Highlights of a Cochrane systematic review","volume":"24","author":[{"family":"Santema","given":"T. B. Katrien"},{"family":"Poyck","given":"Paul P. C."},{"family":"Ubbink","given":"Dirk T."}],"issued":{"date-parts":[["2016"]]}}},{"id":74042,"uris":["http://zotero.org/users/5328021/items/46ZF5F2Y"],"uri":["http://zotero.org/users/5328021/items/46ZF5F2Y"],"itemData":{"id":74042,"type":"article-journal","abstract":"Aim: Determine the effectiveness of hypothermically stored amniotic membrane (HSAM) versus standard of care (SOC) in diabetic foot ulcers (DFUs). Methods: A randomized controlled trial was conducted on 76 DFUs analyzed digitally. Results: Cox wound closure for HSAM (38 wounds) was significantly greater (p = 0.04) at weeks 12 (60 vs 38%), and 16 (63 vs 38%). The probability of wound closure increased by 75% (Hazard Ratio = 1.75; 95% CI: 1.16-2.70). HSAM showed &gt;60% reductions in area (82 vs 58%; p = 0.02) and depth (65 vs 39%; p = 0.04) versus SOC. Conclusion: HSAM increased frequency and probability of wound closure in DFUs versus SOC.","container-title":"Journal of comparative effectiveness research","issue":"1","journalAbbreviation":"J Comp Eff Res","language":"eng","note":"PMID: 31691579","page":"23-34","title":"A randomized controlled clinical trial of a hypothermically stored amniotic membrane for use in diabetic foot ulcers.","volume":"9","author":[{"family":"Serena","given":"Thomas E."},{"family":"Yaakov","given":"Raphael"},{"family":"Moore","given":"Sarah"},{"family":"Cole","given":"Windy"},{"family":"Coe","given":"Stacey"},{"family":"Snyder","given":"Rob"},{"family":"Patel","given":"Keyur"},{"family":"Doner","given":"Bryan"},{"family":"Kasper","given":"Maria A."},{"family":"Hamil","given":"Rachel"},{"family":"Wendling","given":"Santina"},{"family":"Sabolinski","given":"Michael L."}],"issued":{"date-parts":[["2020",1]]}}},{"id":45014,"uris":["http://zotero.org/users/5328021/items/KDLXH7TV"],"uri":["http://zotero.org/users/5328021/items/KDLXH7TV"],"itemData":{"id":45014,"type":"article-journal","abstract":"Outcomes following standard wound care (SWC) for diabetic foot ulcers (DFUs) remain suboptimal. Supplementing SWC with tissue engineered allogeneic cellular wound therapies represents an emerging treatment strategy. This review aimed to evaluate the efficacy and safety of allogeneic skin substitutes and human placental membrane allografts in the management of DFUs. Ovid MEDLINE and Embase databases were searched from inception to October 2017. Any randomized controlled trial (RCT) with an allogeneic skin substitute or placental membrane allograft intervention group was included. Our primary outcome measure was the proportion of completely healed ulcers. Secondary outcome measures included time to complete wound healing and local adverse event rates. Each study was assessed for risk of bias and the quality of evidence was appraised using the GRADE (Grading of Recommendations, Assessment, Development, and Evaluation) approach. Moderate quality evidence from 11 included RCTs demonstrated that both allogeneic cellular approaches improve the proportion of completely healed ulcers at 6 and 12 weeks. One RCT showed that a placental membrane allograft was superior to an allogeneic skin substitute, although this has yet to be repeated in other studies. The addition of allogeneic cellular wound products to SWC improves DFU outcomes. Further studies are required to conclusively establish if placental membrane allografts are superior to allogeneic skin substitutes.","container-title":"The International Journal of Lower Extremity Wounds","issue":"1","journalAbbreviation":"Int J Low Extrem Wounds","language":"eng","note":"PMID: 30663450","page":"10-22","title":"Allogeneic Skin Substitutes Versus Human Placental Membrane Products in the Management of Diabetic Foot Ulcers: A Narrative Comparative Evaluation of the Literature","volume":"18","author":[{"family":"Luck","given":"Joshua"},{"family":"Rodi","given":"Timo"},{"family":"Geierlehner","given":"Alexander"},{"family":"Mosahebi","given":"Afshin"}],"issued":{"date-parts":[["2019",3]]}}},{"id":47455,"uris":["http://zotero.org/users/5328021/items/LPI6JNR6"],"uri":["http://zotero.org/users/5328021/items/LPI6JNR6"],"itemData":{"id":47455,"type":"article-journal","abstract":"BACKGROUND: Amniotic membrane is tissue obtained from human placenta rich in cytokines, growth factors, and stem cells that possess the ability to inhibit infection, improve healing, and stimulate regeneration.\nMETHODS: A meta-analysis was performed examining randomized controlled trials comparing amniotic tissue products with standard of care in nonhealing diabetic foot ulcers including PubMed, Cochrane Central Register of Controlled Trials, and the Cochrane Database of Systematic Reviews.\nRESULTS: A search of 3 databases identified 596 potentially relevant articles. Application of selection criteria led to the selection of 5 randomized controlled trials. The 5 selected randomized controlled trials represented a total of 311 patients. The pooled relative risk of healing with amniotic products compared with control was 2.7496 (2.05725-3.66524, P &lt; 0.001).\nCONCLUSIONS: The current meta-analysis indicates that the treatment of diabetic foot ulcers with amniotic membrane improves healing rates in diabetic foot ulcers. Further studies are needed to determine whether these products also decrease the incidence of subsequent complications, such as amputation or death, in diabetic patients.","container-title":"Plastic and Reconstructive Surgery. Global Open","issue":"4","journalAbbreviation":"Plast Reconstr Surg Glob Open","language":"eng","note":"PMID: 28507863\nPMCID: PMC5426882","page":"e1302","title":"Amnion Membrane in Diabetic Foot Wounds: A Meta-analysis","volume":"5","author":[{"family":"Haugh","given":"Alexandra M."},{"family":"Witt","given":"Jacqueline G."},{"family":"Hauch","given":"Adam"},{"family":"Darden","given":"Michael"},{"family":"Parker","given":"Geoffrey"},{"family":"Ellsworth","given":"Warren A."},{"family":"Buell","given":"Joseph F."}],"issued":{"date-parts":[["2017",4]]}}},{"id":49088,"uris":["http://zotero.org/users/5328021/items/U9GRW3RV"],"uri":["http://zotero.org/users/5328021/items/U9GRW3RV"],"itemData":{"id":49088,"type":"article-journal","abstract":"BACKGROUND: The authors aimed to evaluate the efficacy of a bioimplant dressing in comparison with a wet dressing in patients with diabetic foot ulcers (DFUs).\nMATERIALS AND METHODS: Fifty-seven patients with diabetes who had an ulcer of Wagner Grades 2-4 were included in this controlled clinical trial. The study was conducted in the outpatient diabetic foot clinic of Dr. Shariati Hospital, affiliated with the Endocrinology and Metabolism Research Institute, Tehran University of Medical Sciences, Tehran, Iran, from November 2010 to March 2012. Fifty-seven cases of DFUs were equally and randomly divided into control and test groups. The bioimplant group received an amniotic membrane dressing while the control group was treated with a wet dressing. Both groups were evaluated once a week for 6 weeks for the degree of epithelialization and granulation tissue of the wound.\nRESULTS: The complete healing rate (ie, wound closure) in the whole study population was 28.1% (control group, 16.7%; bioimplant group, 40.7%, P = 0.04). In 21 patients (77.77%) of the bioimplant group, granulation tissue was extended within the third visit. Amputation and hospitalization rates were higher in the control group compared to the bioimplant group; however, the difference was not statistically significant (relative risk [RR]: 1.11, 95% CI 0.91-1.34, P = 0.258; RR: 1.27, 95% CI 0.97-1.66, P = 0.076, respectively).\nCONCLUSION: The bioimplant dressing was significantly superior to the wet dressing in prompting the complete healing of DFUs. Ease of use, absence of adverse effects, and a facilitated wound healing process are among properties of amniotic membrane that make it an appropriate dressing in the management of DFUs. Additional research will shed more light on the promising advantages of this material in healing DFUs.","container-title":"Wounds: A Compendium of Clinical Research and Practice","issue":"7","journalAbbreviation":"Wounds","language":"eng","note":"PMID: 27428720","page":"248-254","title":"Comparison of a Bioimplant Dressing With a Wet Dressing for the Treatment of Diabetic Foot Ulcers: A Randomized, Controlled Clinical Trial","volume":"28","author":[{"family":"Mohajeri-Tehrani","given":"Mohammad Reza"},{"family":"Variji","given":"Zeinab"},{"family":"Mohseni","given":"Shahrzad"},{"family":"Firuz","given":"Alireza"},{"family":"Annabestani","given":"Zohreh"},{"family":"Zartab","given":"Hamed"},{"family":"Rad","given":"Maryam Aboee"},{"family":"Tootee","given":"Ali"},{"family":"Dowlati","given":"Yahya"},{"family":"Larijani","given":"Bagher"}],"issued":{"date-parts":[["2016",7]]}}},{"id":49332,"uris":["http://zotero.org/users/5328021/items/DZ3AFES2"],"uri":["http://zotero.org/users/5328021/items/DZ3AFES2"],"itemData":{"id":49332,"type":"article-journal","abstract":"Delayed closure of foot ulcers is a primary factor leading to lower extremity amputation in patients with diabetes, creating great demand for products or therapies to accelerate the rate of wound closure in this population. This study (ClinicalTrials.gov Identifier: NCT02209051) was designed to evaluate dehydrated amniotic membrane allograft (DAMA) (AMNIOEXCEL, Derma Sciences Inc, Princeton, NJ) plus standard of care (SOC) compared to SOC alone for the closure of chronic diabetic foot ulcers (DFUs).\nMATERIALS AND METHODS: This prospective, open-label, randomized, parallel group trial was implemented at 8 clinical sites in the United States. Eligibility criteria included adults with type 1 or type 2 diabetes mellitus who have 1 or more ulcers with a Wagner classification of grade 1 or superficial 2 measuring between 1 cm2 and 25 cm2 in area, presenting for more than 1 month with no signs of infection/osteomyelitis; ABI &gt; 0.7; HbA1c Less than 12%; and serum creatinine less than 3.0 mg/dL. Eligible subjects were randomized (1:1) to receive either SOC alone (n = 14) or DAMA+SOC (n = 15) until wound closure or 6 weeks, whichever occurred first. The endpoint was the proportion of subjects with complete wound closure (defined as complete reepithelialization without drainage or need for dressings).\nRESULTS: Thirty-five percent of subjects in the DAMA+SOC cohort achieved complete wound closure at or before week 6, compared with 0% of the SOC alone cohort (intent-to-treat population, P = 0.017). There was a more robust response noted in the per protocol population, with 45.5% of subjects in the DAMA+SOC cohort achieving complete wound closure, while 0% of SOC-alone subjects achieved complete closure (P = 0.0083). No treatment-related adverse events were reported.\nCONCLUSION: The results suggest DAMA is safe and effective in the management of DFUs, but additional research is needed.","container-title":"Wounds: A Compendium of Clinical Research and Practice","issue":"3","journalAbbreviation":"Wounds","language":"eng","note":"PMID: 26978860","page":"70-77","title":"A Prospective, Randomized, Multicenter, Controlled Evaluation of the Use of Dehydrated Amniotic Membrane Allograft Compared to Standard of Care for the Closure of Chronic Diabetic Foot Ulcer","volume":"28","author":[{"family":"Snyder","given":"Robert J."},{"family":"Shimozaki","given":"Kenneth"},{"family":"Tallis","given":"Arthur"},{"family":"Kerzner","given":"Michael"},{"family":"Reyzelman","given":"Alexander"},{"family":"Lintzeris","given":"Dimitrios"},{"family":"Bell","given":"Desmond"},{"family":"Rutan","given":"Randi L."},{"family":"Rosenblum","given":"Barry"}],"issued":{"date-parts":[["2016",3]]}}},{"id":51458,"uris":["http://zotero.org/users/5328021/items/3G9VLIQJ"],"uri":["http://zotero.org/users/5328021/items/3G9VLIQJ"],"itemData":{"id":51458,"type":"article-journal","abstract":"In a randomised, controlled study, we compared the efficacy of Grafix(®) , a human viable wound matrix (hVWM) (N = 50), to standard wound care (n = 47) to heal diabetic foot ulcers (DFUs). The primary endpoint was the proportion of patients with complete wound closure by 12 weeks. Secondary endpoints included the time to wound closure, adverse events and wound closure in the crossover phase. The proportion of patients who achieved complete wound closure was significantly higher in patients who received Grafix (62%) compared with controls (21%, P = 0·0001). The median time to healing was 42 days in Grafix patients compared with 69·5 days in controls (P = 0·019). There were fewer Grafix patients with adverse events (44% versus 66%, P = 0·031) and fewer Grafix patients with wound-related infections (18% versus 36·2%, P = 0·044). Among the study subjects that healed, ulcers remained closed in 82·1% of patients (23 of 28 patients) in the Grafix group versus 70% (7 of 10 patients) in the control group (P = 0·419). Treatment with Grafix significantly improved DFU healing compared with standard wound therapy. Importantly, Grafix also reduced DFU-related complications. The results of this well-controlled study showed that Grafix is a safe and more effective therapy for treating DFUs than standard wound therapy.","container-title":"International Wound Journal","issue":"5","journalAbbreviation":"Int Wound J","language":"eng","note":"PMID: 25048468","page":"554-560","title":"The efficacy and safety of Grafix(®) for the treatment of chronic diabetic foot ulcers: results of a multi-centre, controlled, randomised, blinded, clinical trial","volume":"11","author":[{"family":"Lavery","given":"Lawrence A."},{"family":"Fulmer","given":"James"},{"family":"Shebetka","given":"Karry Ann"},{"family":"Regulski","given":"Matthew"},{"family":"Vayser","given":"Dean"},{"family":"Fried","given":"David"},{"family":"Kashefsky","given":"Howard"},{"family":"Owings","given":"Tammy M."},{"family":"Nadarajah","given":"Janaki"},{"literal":"Grafix Diabetic Foot Ulcer Study Group"}],"issued":{"date-parts":[["2014",10]]}}},{"id":51697,"uris":["http://zotero.org/users/5328021/items/87SEQBIZ"],"uri":["http://zotero.org/users/5328021/items/87SEQBIZ"],"itemData":{"id":51697,"type":"article-journal","abstract":"The aim of this study is to determine if weekly application of dehydrated human amnion/chorion membrane allograft reduce time to heal more effectively than biweekly application for treatment of diabetic foot ulcers. This was an institutional review board-approved, registered, prospective, randomised, comparative, non-blinded, single-centre clinical trial. Patients with non-infected ulcers of ≥ 4 weeks duration were included for the study. They were randomised to receive weekly or biweekly application of allograft in addition to a non-adherent, moist dressing with compressive wrapping. All wounds were offloaded. The primary study outcome was mean time to healing. Overall, during the 12-week study period, 92·5% (37/40) ulcers completely healed. Mean time to complete healing was 4·1 ± 2·9 versus 2·4 ± 1·8 weeks (P = 0·039) in the biweekly versus weekly groups, respectively. Complete healing occurred in 50% versus 90% by 4 weeks in the biweekly and weekly groups, respectively (P = 0·014). Number of grafts applied to healed wounds was similar at 2·4 ± 1·5 and 2·3 ± 1·8 for biweekly versus weekly groups, respectively (P = 0·841). These results validate previous studies showing that the allograft is an effective treatment for diabetic ulcers and show that wounds treated with weekly application heal more rapidly than with biweekly application. More rapid healing may decrease clinical operational costs and prevent long-term medical complications.","container-title":"International Wound Journal","issue":"2","journalAbbreviation":"Int Wound J","language":"eng","note":"PMID: 24618401\nPMCID: PMC4235421","page":"122-128","title":"A prospective, randomised comparative study of weekly versus biweekly application of dehydrated human amnion/chorion membrane allograft in the management of diabetic foot ulcers","volume":"11","author":[{"family":"Zelen","given":"Charles M."},{"family":"Serena","given":"Thomas E."},{"family":"Snyder","given":"Robert J."}],"issued":{"date-parts":[["2014",4]]}}},{"id":21096,"uris":["http://zotero.org/users/5328021/items/LGC2FNST"],"uri":["http://zotero.org/users/5328021/items/LGC2FNST"],"itemData":{"id":21096,"type":"article-journal","abstract":"Background: Nonhealing ulcers affect patient quality of life and impose a substantial financial burden on the health care system. Purpose: To systematically evaluate benefits and harms of advanced wound care therapies for nonhealing diabetic, venous, and arterial ulcers. Data Sources: MEDLINE (1995 to June 2013), the Cochrane Library, and reference lists. Study Selection: English-language randomized trials reporting ulcer healing or time to complete healing in adults with nonhealing ulcers treated with advanced therapies. Data Extraction: Study characteristics, outcomes, adverse events, study quality, and strength of evidence were extracted by trained researchers and confirmed by the principal investigator. Data Synthesis: For diabetic ulcers, 35 trials (9 therapies) met eligibility criteria. There was moderate-strength evidence for improved healing with a biological skin equivalent (relative risk [RR], 1.58 [95% CI, 1.20 to 2.08]) and negative pressure wound therapy (RR, 1.49 [CI, 1.11 to 2.01]) compared with standard care and low-strength evidence for platelet-derived growth factors and silver cream compared with standard care. For venous ulcers, 20 trials (9 therapies) met eligibility criteria. There was moderate-strength evidence for improved healing with keratinocyte therapy (RR, 1.57 [CI, 1.16 to 2.11]) compared with standard care and low-strength evidence for biological dressing and a biological skin equivalent compared with standard care. One small trial of arterial ulcers reported improved healing with a biological skin equivalent compared with standard care. Overall, strength of evidence was low for ulcer healing and low or insufficient for time to complete healing. Limitations: Only studies of products approved by the U.S. Food and Drug Administration were reviewed. Studies were predominantly of fair or poor quality. Few trials compared 2 advanced therapies. Conclusion: Compared with standard care, some advanced wound care therapies may improve the proportion of ulcers healed and reduce time to healing, although evidence is limited. Primary Funding Source: Department of Veterans Affairs, Veterans Health Administration, Office of Research and Development, Quality Enhancement Research Initiative.","archive":"Embase","container-title":"Annals of Internal Medicine","issue":"8","journalAbbreviation":"Ann. Intern. Med.","language":"English","page":"532-542","title":"Advanced wound care therapies for nonhealing diabetic, venous, and arterial ulcers: A systematic review","volume":"159","author":[{"literal":"Greer N."},{"literal":"Foman N.A."},{"literal":"MacDonald R."},{"literal":"Dorrian J."},{"literal":"Fitzgerald P."},{"literal":"Rutks I."},{"literal":"Wilt T.J."}],"issued":{"date-parts":[["2013"]]}}}],"schema":"https://github.com/citation-style-language/schema/raw/master/csl-citation.json"}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(74,80,88–95)</w:t>
            </w:r>
            <w:r w:rsidRPr="00CA32B9">
              <w:rPr>
                <w:rFonts w:asciiTheme="minorHAnsi" w:hAnsiTheme="minorHAnsi" w:cstheme="minorHAnsi"/>
                <w:szCs w:val="20"/>
                <w:lang w:val="en-US"/>
              </w:rPr>
              <w:fldChar w:fldCharType="end"/>
            </w:r>
          </w:p>
        </w:tc>
      </w:tr>
      <w:tr w:rsidR="003F3795" w14:paraId="22C735DA" w14:textId="77777777" w:rsidTr="004E4612">
        <w:tc>
          <w:tcPr>
            <w:tcW w:w="3213" w:type="dxa"/>
            <w:vAlign w:val="center"/>
          </w:tcPr>
          <w:p w14:paraId="33BB0CE2" w14:textId="2F2EA5B2" w:rsidR="003F3795" w:rsidRDefault="003F3795" w:rsidP="003F3795">
            <w:pPr>
              <w:jc w:val="center"/>
              <w:rPr>
                <w:lang w:val="en-US"/>
              </w:rPr>
            </w:pPr>
            <w:r w:rsidRPr="00CA32B9">
              <w:rPr>
                <w:rFonts w:asciiTheme="minorHAnsi" w:hAnsiTheme="minorHAnsi" w:cstheme="minorHAnsi"/>
                <w:color w:val="9A9B9D" w:themeColor="text1" w:themeTint="99"/>
                <w:szCs w:val="20"/>
                <w:lang w:val="en-US"/>
              </w:rPr>
              <w:t>1 studies (I) - 1 study (II)</w:t>
            </w:r>
          </w:p>
        </w:tc>
        <w:tc>
          <w:tcPr>
            <w:tcW w:w="1653" w:type="dxa"/>
            <w:vAlign w:val="center"/>
          </w:tcPr>
          <w:p w14:paraId="29EA0794" w14:textId="2B977B07" w:rsidR="003F3795" w:rsidRDefault="003F3795" w:rsidP="003F3795">
            <w:pPr>
              <w:jc w:val="center"/>
              <w:rPr>
                <w:lang w:val="en-US"/>
              </w:rPr>
            </w:pPr>
            <w:r w:rsidRPr="00CA32B9">
              <w:rPr>
                <w:rFonts w:asciiTheme="minorHAnsi" w:hAnsiTheme="minorHAnsi" w:cstheme="minorHAnsi"/>
                <w:color w:val="9A9B9D" w:themeColor="text1" w:themeTint="99"/>
                <w:szCs w:val="20"/>
                <w:lang w:val="en-US"/>
              </w:rPr>
              <w:t>7,5</w:t>
            </w:r>
          </w:p>
        </w:tc>
        <w:tc>
          <w:tcPr>
            <w:tcW w:w="2218" w:type="dxa"/>
            <w:vMerge/>
            <w:vAlign w:val="center"/>
          </w:tcPr>
          <w:p w14:paraId="12318B91" w14:textId="77777777" w:rsidR="003F3795" w:rsidRDefault="003F3795" w:rsidP="003F3795">
            <w:pPr>
              <w:jc w:val="center"/>
              <w:rPr>
                <w:lang w:val="en-US"/>
              </w:rPr>
            </w:pPr>
          </w:p>
        </w:tc>
        <w:tc>
          <w:tcPr>
            <w:tcW w:w="2840" w:type="dxa"/>
            <w:vAlign w:val="center"/>
          </w:tcPr>
          <w:p w14:paraId="11C3E224" w14:textId="6D577B74"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GCcxqt8m","properties":{"formattedCitation":"(95,96)","plainCitation":"(95,96)","noteIndex":0},"citationItems":[{"id":21096,"uris":["http://zotero.org/users/5328021/items/LGC2FNST"],"uri":["http://zotero.org/users/5328021/items/LGC2FNST"],"itemData":{"id":21096,"type":"article-journal","abstract":"Background: Nonhealing ulcers affect patient quality of life and impose a substantial financial burden on the health care system. Purpose: To systematically evaluate benefits and harms of advanced wound care therapies for nonhealing diabetic, venous, and arterial ulcers. Data Sources: MEDLINE (1995 to June 2013), the Cochrane Library, and reference lists. Study Selection: English-language randomized trials reporting ulcer healing or time to complete healing in adults with nonhealing ulcers treated with advanced therapies. Data Extraction: Study characteristics, outcomes, adverse events, study quality, and strength of evidence were extracted by trained researchers and confirmed by the principal investigator. Data Synthesis: For diabetic ulcers, 35 trials (9 therapies) met eligibility criteria. There was moderate-strength evidence for improved healing with a biological skin equivalent (relative risk [RR], 1.58 [95% CI, 1.20 to 2.08]) and negative pressure wound therapy (RR, 1.49 [CI, 1.11 to 2.01]) compared with standard care and low-strength evidence for platelet-derived growth factors and silver cream compared with standard care. For venous ulcers, 20 trials (9 therapies) met eligibility criteria. There was moderate-strength evidence for improved healing with keratinocyte therapy (RR, 1.57 [CI, 1.16 to 2.11]) compared with standard care and low-strength evidence for biological dressing and a biological skin equivalent compared with standard care. One small trial of arterial ulcers reported improved healing with a biological skin equivalent compared with standard care. Overall, strength of evidence was low for ulcer healing and low or insufficient for time to complete healing. Limitations: Only studies of products approved by the U.S. Food and Drug Administration were reviewed. Studies were predominantly of fair or poor quality. Few trials compared 2 advanced therapies. Conclusion: Compared with standard care, some advanced wound care therapies may improve the proportion of ulcers healed and reduce time to healing, although evidence is limited. Primary Funding Source: Department of Veterans Affairs, Veterans Health Administration, Office of Research and Development, Quality Enhancement Research Initiative.","archive":"Embase","container-title":"Annals of Internal Medicine","issue":"8","journalAbbreviation":"Ann. Intern. Med.","language":"English","page":"532-542","title":"Advanced wound care therapies for nonhealing diabetic, venous, and arterial ulcers: A systematic review","volume":"159","author":[{"literal":"Greer N."},{"literal":"Foman N.A."},{"literal":"MacDonald R."},{"literal":"Dorrian J."},{"literal":"Fitzgerald P."},{"literal":"Rutks I."},{"literal":"Wilt T.J."}],"issued":{"date-parts":[["2013"]]}}},{"id":51268,"uris":["http://zotero.org/users/5328021/items/ACQQS98D"],"uri":["http://zotero.org/users/5328021/items/ACQQS98D"],"itemData":{"id":51268,"type":"article-journal","abstract":"OBJECTIVE: Diabetic foot ulcers (DFUs) often pose a treatment problem. Bioengineered skin substitutes have been reported to result in accelerated diabetic wound healing. The purpose of this clinical trial was to evaluate the efficacy and safety of the autologous fibroblast-hyaluronic acid complex for treating DFUs.\nMETHOD: A stratified, randomised, controlled, multicentre study was carried out. Patients with DFUs were allocated to either a treatment group with grafting of an autologous fibroblast-hyaluronic acid complex or a control group with non-adherent foam dressing. Except for application of the fibroblast complex, treatment of the study ulcers was identical for patients in both groups. The maximum follow-up period for each patient was 12 weeks.\nRESULTS: Complete ulcer healing was achieved in 84% (26/31 patients) of the treatment group and 34% (11/32 patients) of the control group (p&lt;0.05). The times required for complete healing were 36.4 ± 17.6 and 48.4 ± 13.1 days in the treatment and control groups, respectively (p&lt;0.05). No adverse events related to treatment occurred.\nCONCLUSION: These results indicate that autologous fibroblast-hyaluronic acid complex may offer a safe and effective treatment for DFUs.","container-title":"Journal of Wound Care","issue":"11","journalAbbreviation":"J Wound Care","language":"eng","note":"PMID: 25375400","page":"521-522, 524, 526-530","title":"Randomised controlled clinical trial for autologous fibroblast-hyaluronic acid complex in treating diabetic foot ulcers","volume":"23","author":[{"family":"You","given":"H. J."},{"family":"Han","given":"S. K."},{"family":"Rhie","given":"J. W."}],"issued":{"date-parts":[["2014",11]]}}}],"schema":"https://github.com/citation-style-language/schema/raw/master/csl-citation.json"}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(95,96)</w:t>
            </w:r>
            <w:r w:rsidRPr="00CA32B9">
              <w:rPr>
                <w:rFonts w:asciiTheme="minorHAnsi" w:hAnsiTheme="minorHAnsi" w:cstheme="minorHAnsi"/>
                <w:szCs w:val="20"/>
                <w:lang w:val="en-US"/>
              </w:rPr>
              <w:fldChar w:fldCharType="end"/>
            </w:r>
          </w:p>
        </w:tc>
      </w:tr>
      <w:tr w:rsidR="003F3795" w14:paraId="5898CEDA" w14:textId="77777777" w:rsidTr="004E4612">
        <w:tc>
          <w:tcPr>
            <w:tcW w:w="9924" w:type="dxa"/>
            <w:gridSpan w:val="4"/>
            <w:vAlign w:val="center"/>
          </w:tcPr>
          <w:p w14:paraId="5F6C4B7C" w14:textId="6F124127" w:rsidR="003F3795" w:rsidRDefault="003F3795" w:rsidP="003F3795">
            <w:pPr>
              <w:keepNext/>
              <w:jc w:val="left"/>
              <w:rPr>
                <w:lang w:val="en-US"/>
              </w:rPr>
            </w:pPr>
            <w:r w:rsidRPr="00CA32B9">
              <w:rPr>
                <w:rFonts w:asciiTheme="minorHAnsi" w:hAnsiTheme="minorHAnsi" w:cstheme="minorHAnsi"/>
                <w:b/>
                <w:szCs w:val="20"/>
                <w:lang w:val="en-US"/>
              </w:rPr>
              <w:t>Ulcer healing at 6 weeks</w:t>
            </w:r>
          </w:p>
        </w:tc>
      </w:tr>
      <w:tr w:rsidR="003F3795" w14:paraId="7D39520C" w14:textId="77777777" w:rsidTr="004E4612">
        <w:tc>
          <w:tcPr>
            <w:tcW w:w="3213" w:type="dxa"/>
            <w:vAlign w:val="center"/>
          </w:tcPr>
          <w:p w14:paraId="60C99639" w14:textId="2BD512A7" w:rsidR="003F3795" w:rsidRDefault="003F3795" w:rsidP="003F3795">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 xml:space="preserve">study (I) </w:t>
            </w:r>
            <w:r w:rsidRPr="00CA32B9">
              <w:rPr>
                <w:rFonts w:asciiTheme="minorHAnsi" w:hAnsiTheme="minorHAnsi" w:cstheme="minorHAnsi"/>
                <w:szCs w:val="20"/>
                <w:lang w:val="en-US"/>
              </w:rPr>
              <w:t>- 4 studies (</w:t>
            </w:r>
            <w:r w:rsidRPr="00CA32B9">
              <w:rPr>
                <w:rFonts w:asciiTheme="minorHAnsi" w:eastAsia="Times New Roman" w:hAnsiTheme="minorHAnsi" w:cstheme="minorHAnsi"/>
                <w:szCs w:val="20"/>
                <w:lang w:val="en-US"/>
              </w:rPr>
              <w:t>II)</w:t>
            </w:r>
          </w:p>
        </w:tc>
        <w:tc>
          <w:tcPr>
            <w:tcW w:w="1653" w:type="dxa"/>
            <w:vAlign w:val="center"/>
          </w:tcPr>
          <w:p w14:paraId="3094E039" w14:textId="2839505C" w:rsidR="003F3795" w:rsidRDefault="003F3795" w:rsidP="003F3795">
            <w:pPr>
              <w:jc w:val="center"/>
              <w:rPr>
                <w:lang w:val="en-US"/>
              </w:rPr>
            </w:pPr>
            <w:r w:rsidRPr="00CA32B9">
              <w:rPr>
                <w:rFonts w:asciiTheme="minorHAnsi" w:hAnsiTheme="minorHAnsi" w:cstheme="minorHAnsi"/>
                <w:szCs w:val="20"/>
                <w:lang w:val="en-US"/>
              </w:rPr>
              <w:t>7</w:t>
            </w:r>
          </w:p>
        </w:tc>
        <w:tc>
          <w:tcPr>
            <w:tcW w:w="2218" w:type="dxa"/>
            <w:vAlign w:val="center"/>
          </w:tcPr>
          <w:p w14:paraId="5A6ACA8A" w14:textId="00285AFD" w:rsidR="003F3795" w:rsidRDefault="003F3795" w:rsidP="003F3795">
            <w:pPr>
              <w:jc w:val="center"/>
              <w:rPr>
                <w:lang w:val="en-US"/>
              </w:rPr>
            </w:pPr>
            <w:r w:rsidRPr="00CA32B9">
              <w:rPr>
                <w:rFonts w:asciiTheme="minorHAnsi" w:hAnsiTheme="minorHAnsi" w:cstheme="minorHAnsi"/>
                <w:szCs w:val="20"/>
                <w:lang w:val="en-US"/>
              </w:rPr>
              <w:t>Good</w:t>
            </w:r>
          </w:p>
        </w:tc>
        <w:tc>
          <w:tcPr>
            <w:tcW w:w="2840" w:type="dxa"/>
            <w:vAlign w:val="center"/>
          </w:tcPr>
          <w:p w14:paraId="4DE8F62F" w14:textId="798ACB19"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Rt8TW9e5","properties":{"formattedCitation":"(97\\uc0\\u8211{}101)","plainCitation":"(97–101)","noteIndex":0},"citationItems":[{"id":73710,"uris":["http://zotero.org/users/5328021/items/GXPLRR4G"],"uri":["http://zotero.org/users/5328021/items/GXPLRR4G"],"itemData":{"id":73710,"type":"article-journal","abstract":"To evaluate the efficacy and safety of human amniotic membrane (HAM) allograft in treating chronic diabetic foot ulcers (DFUs), a comprehensive search of randomised controlled trials in MEDLINE, EMBASE, PubMed, CENTRAL and Web of Science was conducted to December 7, 2019. Two reviewers independently screened the studies, extracted data, and evaluated the quality of studies. The primary outcome was the proportion of complete healing. The secondary outcomes were mean  time to complete healing and adverse events. Statistical analyses were performed  using RevMan 5.3. We identified 257 articles, of which 7 articles (465 participants) were included in the meta-analysis. The proportion of complete wound healing in HAM plus standard of care (SOC) group was 3.88 times as high as  that in SOC alone (RR: 3.88 [95% CI: 2.34, 6.44]) at 6 weeks, and 2.01 times at 12 weeks (RR: 2.01 [95%CI: 1.45, 2.77]). The intervention group had a significantly shorter time to complete healing (MD: -30.33 days, [95% CI: -37.95, -22.72]). The number needed to treat within 6 weeks was 2.3 ([95% CI: 1.8, 3.1]). No significant difference was shown in adverse events. Results were consistent in a sensitivity analysis. Hence, HAM plus SOC is effective and safe in treating chronic DFUs.","container-title":"International wound journal","journalAbbreviation":"Int Wound J","language":"eng","note":"PMID: 32119765","title":"Human amniotic membrane allograft, a novel treatment for chronic diabetic foot ulcers: A systematic review and meta-analysis of randomised controlled trials.","author":[{"family":"Su","given":"Ya-Na"},{"family":"Zhao","given":"Ding-Yun"},{"family":"Li","given":"Yong-Hong"},{"family":"Yu","given":"Tian-Qi"},{"family":"Sun","given":"Huan"},{"family":"Wu","given":"Xin-Yu"},{"family":"Zhou","given":"Xiao-Qin"},{"family":"Li","given":"Jing"}],"issued":{"date-parts":[["2020",3,2]]}}},{"id":73642,"uris":["http://zotero.org/users/5328021/items/9VGLVD3N"],"uri":["http://zotero.org/users/5328021/items/9VGLVD3N"],"itemData":{"id":73642,"type":"article-journal","abstract":"BACKGROUND: Development of diabetic foot ulcers is a common complication of diabetes. Standard-of-care (SOC) therapy alone is often not sufficient to heal these wounds, resulting in application of adjuvant wound therapies including biologic skin substitutes. Although a variety of products exist, it has been difficult to formulate conclusions on their clinical efficacy. We therefore performed a systematic review and meta-analysis on the efficacy of healing diabetic foot ulcers with biologic skin substitutes. METHODS: A systematic review was conducted in accordance with PRISMA (Preferred Reporting Items for Systematic Reviews and Meta-Analyses). Four electronic databases (PubMed/MEDLINE, EMBASE [Ovid], Cochrane CENTRAL [Ovid], and Web of Science) were searched from inception through February 27, 2019. Searches included keywords and subject headings pertaining to 3 main concepts: biologic skin substitutes, wound healing, and diabetic foot ulcers. Cochrane randomized controlled trial filters were used to narrow results. Data were extracted from 54 included articles, and risk-of-bias assessments were conducted by 2 independent reviewers. The primary objective was  to calculate a pooled risk ratio for the proportion of wounds completely closed by 12 weeks. Secondary objectives included a pooled risk ratio for the proportion of wounds completely closed by 6 weeks and mean time to healing. RESULTS: Twenty-five studies were identified that assessed the proportion of complete wound closure by 12 weeks. We found that wounds treated with biologic dressings were 1.67 times more likely to heal by 12 weeks than those treated with SOC dressings (P &lt; 0.00001). Five studies assessed the proportion of complete wound closure by 6 weeks. Wounds treated with biologic dressings were 2.81 times more likely to heal by 6 weeks than those treated with SOC dressings (P = 0.0001). Descriptively, 29 of 31 studies that assessed time to healing favored biologic dressings over SOC dressings. CONCLUSIONS: This systematic review provides supporting evidence that biologic skin substitutes are more effective than SOC dressings at healing diabetic foot ulcers by 12 weeks. Future studies must address the relative benefits of different skin substitutes as well as the long-term implications of these products and their financial considerations.","container-title":"Annals of plastic surgery","issue":"4S Suppl 1","journalAbbreviation":"Ann Plast Surg","language":"eng","note":"PMID: 31513064","page":"S31-S44","title":"Evidence for Healing Diabetic Foot Ulcers With Biologic Skin Substitutes: A Systematic Review and Meta-Analysis.","volume":"83","author":[{"family":"Gordon","given":"Alex J."},{"family":"Alfonso","given":"Allyson R."},{"family":"Nicholson","given":"Joey"},{"family":"Chiu","given":"Ernest S."}],"issued":{"date-parts":[["2019",10]]}}},{"id":45467,"uris":["http://zotero.org/users/5328021/items/9676G9JT"],"uri":["http://zotero.org/users/5328021/items/9676G9JT"],"itemData":{"id":45467,"type":"article-journal","abstract":"Amnion and chorion allografts have shown great promise in healing diabetic foot ulcers (DFUs). Results from an interim analysis of 40 patients have demonstrated the accelerated healing ability of a novel aseptically processed, dehydrated human amnion and chorion allograft (dHACA). The goal of this study was to report on the full trial results of 80 patients where dHACA was compared with standard of care (SOC) in achieving wound closure in non-healing DFUs. After a 2-week screening period, during which patients with DFUs were unsuccessfully treated with SOC, patients were randomised to either SOC alone or SOC with dHACA applied weekly for up to 12 weeks. At 12 weeks, 85% (34/40) of the dHACA-treated DFUs healed, compared with 33% (13/40) treated with SOC alone. Mean time to heal within 12 weeks was significantly faster for the dHACA- treated group compared with SOC, 37 days vs 67 days in the SOC group (P = .000006). Mean number of grafts used per healed wound during the same time period was 4.0, and mean cost of the tissue to heal a DFU was $1771. The authors concluded that aseptically processed dHACA heals DFUs significantly faster than SOC at 12 weeks.","container-title":"International Wound Journal","issue":"6","journalAbbreviation":"Int Wound J","language":"eng","note":"PMID: 30019528","page":"950-957","title":"Use of an aseptically processed, dehydrated human amnion and chorion membrane improves likelihood and rate of healing in chronic diabetic foot ulcers: A prospective, randomised, multi-centre clinical trial in 80 patients","volume":"15","author":[{"family":"DiDomenico","given":"Lawrence A."},{"family":"Orgill","given":"Dennis P."},{"family":"Galiano","given":"Robert D."},{"family":"Serena","given":"Thomas E."},{"family":"Carter","given":"Marissa J."},{"family":"Kaufman","given":"Jarrod P."},{"family":"Young","given":"Nathan J."},{"family":"Jacobs","given":"Allen M."},{"family":"Zelen","given":"Charles M."}],"issued":{"date-parts":[["2018",12]]}}},{"id":45678,"uris":["http://zotero.org/users/5328021/items/DUDCDQG8"],"uri":["http://zotero.org/users/5328021/items/DUDCDQG8"],"itemData":{"id":45678,"type":"article-journal","abstract":"Aseptically processed human reticular acellular dermal matrix (HR-ADM) has been previously shown to improve wound closure in 40 diabetic patients with non-healing foot ulcers. The study was extended to 40 additional patients (80 in total) to validate and extend the original findings. The entire cohort of 80 patients underwent appropriate offloading and standard of care (SOC) during a 2-week screening period and, after meeting eligibility criteria, were randomised to receive weekly applications of HR-ADM plus SOC or SOC alone for up to 12 weeks. The primary outcome was the proportion of wounds closed at 6 weeks. Sixty-eight percent (27/40) in the HR-ADM group were completely healed at 6 weeks compared with 15% (6/40) in the SOC group. The proportions of wounds healed at 12 weeks were 80% (34/40) and 30% (12/40), respectively. The mean time to heal within 12 weeks was 38 days for the HR-ADM group and 72 days for the SOC group. There was no incidence of increased adverse or serious adverse events between groups or any graft-related adverse events. The mean and median HR-ADM product costs at 12 weeks were $1200 and $680, respectively. HR-ADM is clinically superior to SOC, is cost effective relative to other comparable treatment modalities, and is an efficacious treatment for chronic non-healing diabetic foot ulcers.","container-title":"International Wound Journal","issue":"5","journalAbbreviation":"Int Wound J","language":"eng","note":"PMID: 29682897","page":"731-739","title":"An aseptically processed, acellular, reticular, allogenic human dermis improves healing in diabetic foot ulcers: A prospective, randomised, controlled, multicentre follow-up trial","volume":"15","author":[{"family":"Zelen","given":"Charles M."},{"family":"Orgill","given":"Dennis P."},{"family":"Serena","given":"Thomas E."},{"family":"Galiano","given":"Robert E."},{"family":"Carter","given":"Marissa J."},{"family":"DiDomenico","given":"Lawrence A."},{"family":"Keller","given":"Jennifer"},{"family":"Kaufman","given":"Jarrod P."},{"family":"Li","given":"William W."}],"issued":{"date-parts":[["2018",10]]}}},{"id":53191,"uris":["http://zotero.org/users/5328021/items/D4R7JZ8Q"],"uri":["http://zotero.org/users/5328021/items/D4R7JZ8Q"],"itemData":{"id":53191,"type":"article-journal","abstract":"Our purpose was to compare healing characteristics of diabetic foot ulcers treated with dehydrated human amniotic membrane allografts (EpiFix®, MiMedx, Kennesaw, GA) versus standard of care. An IRB-approved, prospective, randomised, single-centre clinical trial was performed. Included were patients with a diabetic foot ulcer of at least 4-week duration without infection having adequate arterial perfusion. Patients were randomised to receive standard care alone or standard care with the addition of EpiFix. Wound size reduction and rates of complete healing after 4 and 6 weeks were evaluated. In the standard care group (n = 12) and the EpiFix group (n = 13) wounds reduced in size by a mean of 32.0% ± 47.3% versus 97.1% ± 7.0% (P &lt; 0.001) after 4 weeks, whereas at 6 weeks wounds were reduced by -1.8% ± 70.3% versus 98.4% ± 5.8% (P &lt; 0.001), standard care versus EpiFix, respectively. After 4 and 6 weeks of treatment the overall healing rate with application of EpiFix was shown to be 77% and 92%, respectively, whereas standard care healed 0% and 8% of the wounds (P &lt; 0.001), respectively. Patients treated with EpiFix achieved superior healing rates over standard treatment alone. These results show that using EpiFix in addition to standard care is efficacious for wound healing.","container-title":"International Wound Journal","issue":"5","journalAbbreviation":"Int Wound J","language":"eng","note":"PMID: 23742102\nPMCID: PMC4232235","page":"502-507","title":"A prospective randomised comparative parallel study of amniotic membrane wound graft in the management of diabetic foot ulcers","volume":"10","author":[{"family":"Zelen","given":"Charles M."},{"family":"Serena","given":"Thomas E."},{"family":"Denoziere","given":"Guilhem"},{"family":"Fetterolf","given":"Donald E."}],"issued":{"date-parts":[["2013",10]]}},"locator":"201"}],"schema":"https://github.com/citation-style-language/schema/raw/master/csl-citation.json"}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(97–101)</w:t>
            </w:r>
            <w:r w:rsidRPr="00CA32B9">
              <w:rPr>
                <w:rFonts w:asciiTheme="minorHAnsi" w:hAnsiTheme="minorHAnsi" w:cstheme="minorHAnsi"/>
                <w:szCs w:val="20"/>
                <w:lang w:val="en-US"/>
              </w:rPr>
              <w:fldChar w:fldCharType="end"/>
            </w:r>
          </w:p>
        </w:tc>
      </w:tr>
      <w:tr w:rsidR="003F3795" w14:paraId="64CEE8E9" w14:textId="77777777" w:rsidTr="004E4612">
        <w:tc>
          <w:tcPr>
            <w:tcW w:w="9924" w:type="dxa"/>
            <w:gridSpan w:val="4"/>
            <w:vAlign w:val="center"/>
          </w:tcPr>
          <w:p w14:paraId="5C4F2F1A" w14:textId="7181E1C2" w:rsidR="003F3795" w:rsidRDefault="003F3795" w:rsidP="003F3795">
            <w:pPr>
              <w:keepNext/>
              <w:jc w:val="left"/>
              <w:rPr>
                <w:lang w:val="en-US"/>
              </w:rPr>
            </w:pPr>
            <w:r w:rsidRPr="00CA32B9">
              <w:rPr>
                <w:rFonts w:asciiTheme="minorHAnsi" w:hAnsiTheme="minorHAnsi" w:cstheme="minorHAnsi"/>
                <w:b/>
                <w:szCs w:val="20"/>
                <w:lang w:val="en-US"/>
              </w:rPr>
              <w:t>Ulcer healing at 12 weeks</w:t>
            </w:r>
          </w:p>
        </w:tc>
      </w:tr>
      <w:tr w:rsidR="003F3795" w14:paraId="53F2A6C6" w14:textId="77777777" w:rsidTr="004E4612">
        <w:tc>
          <w:tcPr>
            <w:tcW w:w="3213" w:type="dxa"/>
            <w:vAlign w:val="center"/>
          </w:tcPr>
          <w:p w14:paraId="10BE22DA" w14:textId="4908F520" w:rsidR="003F3795" w:rsidRDefault="003F3795" w:rsidP="003F3795">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studies (I)</w:t>
            </w:r>
            <w:r w:rsidRPr="00CA32B9">
              <w:rPr>
                <w:rFonts w:asciiTheme="minorHAnsi" w:hAnsiTheme="minorHAnsi" w:cstheme="minorHAnsi"/>
                <w:szCs w:val="20"/>
                <w:lang w:val="en-US"/>
              </w:rPr>
              <w:t xml:space="preserve"> - 8 studies (</w:t>
            </w:r>
            <w:r w:rsidRPr="00CA32B9">
              <w:rPr>
                <w:rFonts w:asciiTheme="minorHAnsi" w:eastAsia="Times New Roman" w:hAnsiTheme="minorHAnsi" w:cstheme="minorHAnsi"/>
                <w:szCs w:val="20"/>
                <w:lang w:val="en-US"/>
              </w:rPr>
              <w:t>II)</w:t>
            </w:r>
          </w:p>
        </w:tc>
        <w:tc>
          <w:tcPr>
            <w:tcW w:w="1653" w:type="dxa"/>
            <w:vAlign w:val="center"/>
          </w:tcPr>
          <w:p w14:paraId="694BBE83" w14:textId="77B0B0E0" w:rsidR="003F3795" w:rsidRDefault="003F3795" w:rsidP="003F3795">
            <w:pPr>
              <w:jc w:val="center"/>
              <w:rPr>
                <w:lang w:val="en-US"/>
              </w:rPr>
            </w:pPr>
            <w:r w:rsidRPr="00CA32B9">
              <w:rPr>
                <w:rFonts w:asciiTheme="minorHAnsi" w:hAnsiTheme="minorHAnsi" w:cstheme="minorHAnsi"/>
                <w:szCs w:val="20"/>
                <w:lang w:val="en-US"/>
              </w:rPr>
              <w:t>7</w:t>
            </w:r>
          </w:p>
        </w:tc>
        <w:tc>
          <w:tcPr>
            <w:tcW w:w="2218" w:type="dxa"/>
            <w:vAlign w:val="center"/>
          </w:tcPr>
          <w:p w14:paraId="19D8A612" w14:textId="507E82ED" w:rsidR="003F3795" w:rsidRDefault="003F3795" w:rsidP="003F3795">
            <w:pPr>
              <w:jc w:val="center"/>
              <w:rPr>
                <w:lang w:val="en-US"/>
              </w:rPr>
            </w:pPr>
            <w:r w:rsidRPr="00CA32B9">
              <w:rPr>
                <w:rFonts w:asciiTheme="minorHAnsi" w:hAnsiTheme="minorHAnsi" w:cstheme="minorHAnsi"/>
                <w:szCs w:val="20"/>
                <w:lang w:val="en-US"/>
              </w:rPr>
              <w:t>Good</w:t>
            </w:r>
          </w:p>
        </w:tc>
        <w:tc>
          <w:tcPr>
            <w:tcW w:w="2840" w:type="dxa"/>
            <w:vAlign w:val="center"/>
          </w:tcPr>
          <w:p w14:paraId="2767CB65" w14:textId="20719A30"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QZtMD6DE","properties":{"formattedCitation":"(96\\uc0\\u8211{}100,102\\uc0\\u8211{}105)","plainCitation":"(96–100,102–105)","noteIndex":0},"citationItems":[{"id":51268,"uris":["http://zotero.org/users/5328021/items/ACQQS98D"],"uri":["http://zotero.org/users/5328021/items/ACQQS98D"],"itemData":{"id":51268,"type":"article-journal","abstract":"OBJECTIVE: Diabetic foot ulcers (DFUs) often pose a treatment problem. Bioengineered skin substitutes have been reported to result in accelerated diabetic wound healing. The purpose of this clinical trial was to evaluate the efficacy and safety of the autologous fibroblast-hyaluronic acid complex for treating DFUs.\nMETHOD: A stratified, randomised, controlled, multicentre study was carried out. Patients with DFUs were allocated to either a treatment group with grafting of an autologous fibroblast-hyaluronic acid complex or a control group with non-adherent foam dressing. Except for application of the fibroblast complex, treatment of the study ulcers was identical for patients in both groups. The maximum follow-up period for each patient was 12 weeks.\nRESULTS: Complete ulcer healing was achieved in 84% (26/31 patients) of the treatment group and 34% (11/32 patients) of the control group (p&lt;0.05). The times required for complete healing were 36.4 ± 17.6 and 48.4 ± 13.1 days in the treatment and control groups, respectively (p&lt;0.05). No adverse events related to treatment occurred.\nCONCLUSION: These results indicate that autologous fibroblast-hyaluronic acid complex may offer a safe and effective treatment for DFUs.","container-title":"Journal of Wound Care","issue":"11","journalAbbreviation":"J Wound Care","language":"eng","note":"PMID: 25375400","page":"521-522, 524, 526-530","title":"Randomised controlled clinical trial for autologous fibroblast-hyaluronic acid complex in treating diabetic foot ulcers","volume":"23","author":[{"family":"You","given":"H. J."},{"family":"Han","given":"S. K."},{"family":"Rhie","given":"J. W."}],"issued":{"date-parts":[["2014",11]]}}},{"id":73710,"uris":["http://zotero.org/users/5328021/items/GXPLRR4G"],"uri":["http://zotero.org/users/5328021/items/GXPLRR4G"],"itemData":{"id":73710,"type":"article-journal","abstract":"To evaluate the efficacy and safety of human amniotic membrane (HAM) allograft in treating chronic diabetic foot ulcers (DFUs), a comprehensive search of randomised controlled trials in MEDLINE, EMBASE, PubMed, CENTRAL and Web of Science was conducted to December 7, 2019. Two reviewers independently screened the studies, extracted data, and evaluated the quality of studies. The primary outcome was the proportion of complete healing. The secondary outcomes were mean  time to complete healing and adverse events. Statistical analyses were performed  using RevMan 5.3. We identified 257 articles, of which 7 articles (465 participants) were included in the meta-analysis. The proportion of complete wound healing in HAM plus standard of care (SOC) group was 3.88 times as high as  that in SOC alone (RR: 3.88 [95% CI: 2.34, 6.44]) at 6 weeks, and 2.01 times at 12 weeks (RR: 2.01 [95%CI: 1.45, 2.77]). The intervention group had a significantly shorter time to complete healing (MD: -30.33 days, [95% CI: -37.95, -22.72]). The number needed to treat within 6 weeks was 2.3 ([95% CI: 1.8, 3.1]). No significant difference was shown in adverse events. Results were consistent in a sensitivity analysis. Hence, HAM plus SOC is effective and safe in treating chronic DFUs.","container-title":"International wound journal","journalAbbreviation":"Int Wound J","language":"eng","note":"PMID: 32119765","title":"Human amniotic membrane allograft, a novel treatment for chronic diabetic foot ulcers: A systematic review and meta-analysis of randomised controlled trials.","author":[{"family":"Su","given":"Ya-Na"},{"family":"Zhao","given":"Ding-Yun"},{"family":"Li","given":"Yong-Hong"},{"family":"Yu","given":"Tian-Qi"},{"family":"Sun","given":"Huan"},{"family":"Wu","given":"Xin-Yu"},{"family":"Zhou","given":"Xiao-Qin"},{"family":"Li","given":"Jing"}],"issued":{"date-parts":[["2020",3,2]]}}},{"id":73642,"uris":["http://zotero.org/users/5328021/items/9VGLVD3N"],"uri":["http://zotero.org/users/5328021/items/9VGLVD3N"],"itemData":{"id":73642,"type":"article-journal","abstract":"BACKGROUND: Development of diabetic foot ulcers is a common complication of diabetes. Standard-of-care (SOC) therapy alone is often not sufficient to heal these wounds, resulting in application of adjuvant wound therapies including biologic skin substitutes. Although a variety of products exist, it has been difficult to formulate conclusions on their clinical efficacy. We therefore performed a systematic review and meta-analysis on the efficacy of healing diabetic foot ulcers with biologic skin substitutes. METHODS: A systematic review was conducted in accordance with PRISMA (Preferred Reporting Items for Systematic Reviews and Meta-Analyses). Four electronic databases (PubMed/MEDLINE, EMBASE [Ovid], Cochrane CENTRAL [Ovid], and Web of Science) were searched from inception through February 27, 2019. Searches included keywords and subject headings pertaining to 3 main concepts: biologic skin substitutes, wound healing, and diabetic foot ulcers. Cochrane randomized controlled trial filters were used to narrow results. Data were extracted from 54 included articles, and risk-of-bias assessments were conducted by 2 independent reviewers. The primary objective was  to calculate a pooled risk ratio for the proportion of wounds completely closed by 12 weeks. Secondary objectives included a pooled risk ratio for the proportion of wounds completely closed by 6 weeks and mean time to healing. RESULTS: Twenty-five studies were identified that assessed the proportion of complete wound closure by 12 weeks. We found that wounds treated with biologic dressings were 1.67 times more likely to heal by 12 weeks than those treated with SOC dressings (P &lt; 0.00001). Five studies assessed the proportion of complete wound closure by 6 weeks. Wounds treated with biologic dressings were 2.81 times more likely to heal by 6 weeks than those treated with SOC dressings (P = 0.0001). Descriptively, 29 of 31 studies that assessed time to healing favored biologic dressings over SOC dressings. CONCLUSIONS: This systematic review provides supporting evidence that biologic skin substitutes are more effective than SOC dressings at healing diabetic foot ulcers by 12 weeks. Future studies must address the relative benefits of different skin substitutes as well as the long-term implications of these products and their financial considerations.","container-title":"Annals of plastic surgery","issue":"4S Suppl 1","journalAbbreviation":"Ann Plast Surg","language":"eng","note":"PMID: 31513064","page":"S31-S44","title":"Evidence for Healing Diabetic Foot Ulcers With Biologic Skin Substitutes: A Systematic Review and Meta-Analysis.","volume":"83","author":[{"family":"Gordon","given":"Alex J."},{"family":"Alfonso","given":"Allyson R."},{"family":"Nicholson","given":"Joey"},{"family":"Chiu","given":"Ernest S."}],"issued":{"date-parts":[["2019",10]]}}},{"id":45467,"uris":["http://zotero.org/users/5328021/items/9676G9JT"],"uri":["http://zotero.org/users/5328021/items/9676G9JT"],"itemData":{"id":45467,"type":"article-journal","abstract":"Amnion and chorion allografts have shown great promise in healing diabetic foot ulcers (DFUs). Results from an interim analysis of 40 patients have demonstrated the accelerated healing ability of a novel aseptically processed, dehydrated human amnion and chorion allograft (dHACA). The goal of this study was to report on the full trial results of 80 patients where dHACA was compared with standard of care (SOC) in achieving wound closure in non-healing DFUs. After a 2-week screening period, during which patients with DFUs were unsuccessfully treated with SOC, patients were randomised to either SOC alone or SOC with dHACA applied weekly for up to 12 weeks. At 12 weeks, 85% (34/40) of the dHACA-treated DFUs healed, compared with 33% (13/40) treated with SOC alone. Mean time to heal within 12 weeks was significantly faster for the dHACA- treated group compared with SOC, 37 days vs 67 days in the SOC group (P = .000006). Mean number of grafts used per healed wound during the same time period was 4.0, and mean cost of the tissue to heal a DFU was $1771. The authors concluded that aseptically processed dHACA heals DFUs significantly faster than SOC at 12 weeks.","container-title":"International Wound Journal","issue":"6","journalAbbreviation":"Int Wound J","language":"eng","note":"PMID: 30019528","page":"950-957","title":"Use of an aseptically processed, dehydrated human amnion and chorion membrane improves likelihood and rate of healing in chronic diabetic foot ulcers: A prospective, randomised, multi-centre clinical trial in 80 patients","volume":"15","author":[{"family":"DiDomenico","given":"Lawrence A."},{"family":"Orgill","given":"Dennis P."},{"family":"Galiano","given":"Robert D."},{"family":"Serena","given":"Thomas E."},{"family":"Carter","given":"Marissa J."},{"family":"Kaufman","given":"Jarrod P."},{"family":"Young","given":"Nathan J."},{"family":"Jacobs","given":"Allen M."},{"family":"Zelen","given":"Charles M."}],"issued":{"date-parts":[["2018",12]]}}},{"id":45678,"uris":["http://zotero.org/users/5328021/items/DUDCDQG8"],"uri":["http://zotero.org/users/5328021/items/DUDCDQG8"],"itemData":{"id":45678,"type":"article-journal","abstract":"Aseptically processed human reticular acellular dermal matrix (HR-ADM) has been previously shown to improve wound closure in 40 diabetic patients with non-healing foot ulcers. The study was extended to 40 additional patients (80 in total) to validate and extend the original findings. The entire cohort of 80 patients underwent appropriate offloading and standard of care (SOC) during a 2-week screening period and, after meeting eligibility criteria, were randomised to receive weekly applications of HR-ADM plus SOC or SOC alone for up to 12 weeks. The primary outcome was the proportion of wounds closed at 6 weeks. Sixty-eight percent (27/40) in the HR-ADM group were completely healed at 6 weeks compared with 15% (6/40) in the SOC group. The proportions of wounds healed at 12 weeks were 80% (34/40) and 30% (12/40), respectively. The mean time to heal within 12 weeks was 38 days for the HR-ADM group and 72 days for the SOC group. There was no incidence of increased adverse or serious adverse events between groups or any graft-related adverse events. The mean and median HR-ADM product costs at 12 weeks were $1200 and $680, respectively. HR-ADM is clinically superior to SOC, is cost effective relative to other comparable treatment modalities, and is an efficacious treatment for chronic non-healing diabetic foot ulcers.","container-title":"International Wound Journal","issue":"5","journalAbbreviation":"Int Wound J","language":"eng","note":"PMID: 29682897","page":"731-739","title":"An aseptically processed, acellular, reticular, allogenic human dermis improves healing in diabetic foot ulcers: A prospective, randomised, controlled, multicentre follow-up trial","volume":"15","author":[{"family":"Zelen","given":"Charles M."},{"family":"Orgill","given":"Dennis P."},{"family":"Serena","given":"Thomas E."},{"family":"Galiano","given":"Robert E."},{"family":"Carter","given":"Marissa J."},{"family":"DiDomenico","given":"Lawrence A."},{"family":"Keller","given":"Jennifer"},{"family":"Kaufman","given":"Jarrod P."},{"family":"Li","given":"William W."}],"issued":{"date-parts":[["2018",10]]}}},{"id":73965,"uris":["http://zotero.org/users/5328021/items/L7PGG3S2"],"uri":["http://zotero.org/users/5328021/items/L7PGG3S2"],"itemData":{"id":73965,"type":"article-journal","abstract":"Aseptically processed dehydrated human amnion and chorion allograft (dHACA) (AmnioBand) has shown great promise in the treatment of recalcitrant diabetic foot ulcers (DFUs) when compared with standard wound care but has not yet been compared to any other tissue forms used in treating DFUs. The hypothesis was to conduct a randomized controlled trial in which dHACA was compared to one of the earliest and most commonly accepted tissue-engineered skin substitutes (TESS) (Apligraf) in the treatment of nonhealing DFUs over a period of 12 weeks to assess the superiority of healing. Methods: Following a 2-week screening period during which subjects with DFUs were treated with collagen alginate dressing, 60  subjects were randomized at 5 sites to receive either dHACA or TESS applied weekly, with weekly follow-up for up to 12 weeks. Results: The mean time to heal  within 6-week time period for the dHACA group was 24 days (95% CI, 18.9-29.2) versus 39 days (95% CI, 36.4-41.9) for the TESS group; the mean time to heal at 12 weeks was 32 days (95% CI, 22.3-41.0) for dHACA-treated wounds versus 63 days  (95% CI, 54.1-72.6) for TESS-treated wounds. The proportion of wounds healed at study completion (12 weeks) was 90% (27/30) for the dHACA group versus 40% (12/30) for the TESS group. The mean product cost for the dHACA group was significantly lower than that for the TESS group [dHACA: $2,200 (median: $1,300); TESS: $7,900 (median: $6,500)]. The mean wastage (%) at 12 weeks was also significantly lower for the dHACA group than that for the TESS group (36% vs 95%). Conclusions: It was concluded that aseptically processed dHACA heals diabetic foot wounds more reliably, statistically significantly faster than and at significantly lower cost than TESS.","container-title":"Plastic and reconstructive surgery. Global open","issue":"8","journalAbbreviation":"Plast Reconstr Surg Glob Open","language":"eng","note":"PMID: 31592387 \nPMCID: PMC6756673","page":"e2371","title":"Placental Membrane Provides Improved Healing Efficacy and Lower Cost Versus a Tissue-Engineered Human Skin in the Treatment of Diabetic Foot Ulcerations.","volume":"7","author":[{"family":"Glat","given":"Paul"},{"family":"Orgill","given":"Dennis P."},{"family":"Galiano","given":"Robert"},{"family":"Armstrong","given":"David"},{"family":"Serena","given":"Thomas"},{"family":"DiDomenico","given":"Lawrence A."},{"family":"Kaufman","given":"Jarrod"},{"family":"Carter","given":"Marissa J."},{"family":"Jacobs","given":"Alan M."},{"family":"Zelen","given":"Charles M."}],"issued":{"date-parts":[["2019",8]]}}},{"id":45321,"uris":["http://zotero.org/users/5328021/items/DRPE5GWZ"],"uri":["http://zotero.org/users/5328021/items/DRPE5GWZ"],"itemData":{"id":45321,"type":"article-journal","abstract":"The aim of this study was to determine the safety and effectiveness of dehydrated human umbilical cord allograft (EpiCord) compared with alginate wound dressings for the treatment of chronic, non-healing diabetic foot ulcers (DFU). A multicentre, randomised, controlled, clinical trial was conducted at 11 centres in the United States. Individuals with a confirmed diagnosis of Type 1 or Type 2 diabetes presenting with a 1 to 15 cm2 ulcer located below the ankle that had been persisting for at least 30 days were eligible for the 14-day study run-in phase. After 14 days of weekly debridement, moist wound therapy, and off-loading, those with ≤30% wound area reduction post-debridement (n = 155) were randomised in a 2:1 ratio to receive a weekly application of EpiCord (n = 101) or standardised therapy with alginate wound dressing, non-adherent silicone dressing, absorbent non-adhesive hydropolymer secondary dressing, and gauze bandage roll (n = 54). All wounds continued to have appropriate off-loading during the treatment phase of the study. Study visits were conducted for 12 weeks. At each weekly visit, the DFU was cleaned and debrided as necessary, with the wound photographed pre- and post-debridement and measured before the application of treatment group-specific dressings. A follow-up visit was performed at week 16. The primary study end point was the percentage of complete closure of the study ulcer within 12 weeks, as assessed by Silhouette camera. Data for randomised subjects meeting study inclusion criteria were included in an intent-to-treat (ITT) analysis. Additional analysis was conducted on a group of subjects (n = 134) who completed the study per protocol (PP) (EpiCord, n = 86, alginate, n = 48) and for those subjects receiving adequate debridement (EpiCord, n = 67, alginate, n = 40). ITT analysis showed that DFUs treated with EpiCord were more likely to heal within 12 weeks than those receiving alginate dressings, 71 of 101 (70%) vs 26 of 54 (48%) for EpiCord and alginate dressings, respectively, P = 0.0089. Healing rates at 12 weeks for subjects treated PP were 70 of 86 (81%) for EpiCord-treated and 26 of 48 (54%) for alginate-treated DFUs, P = 0.0013. For those DFUs that received adequate debridement (n = 107, ITT population), 64 of 67 (96%) of the EpiCord-treated ulcers healed completely within 12 weeks, compared with 26 of 40 (65%) of adequately debrided alginate-treated ulcers, P &lt; 0.0001. Seventy-five subjects experienced at least one adverse event, with a total of 160 adverse events recorded. There were no adverse events related to either EpiCord or alginate dressings. These results demonstrate the safety and efficacy of EpiCord as a treatment for non-healing DFUs.","container-title":"International Wound Journal","issue":"1","journalAbbreviation":"Int Wound J","language":"eng","note":"PMID: 30246926","page":"122-130","title":"A multicentre prospective randomised controlled comparative parallel study of dehydrated human umbilical cord (EpiCord) allograft for the treatment of diabetic foot ulcers","volume":"16","author":[{"family":"Tettelbach","given":"William"},{"family":"Cazzell","given":"Shawn"},{"family":"Sigal","given":"Felix"},{"family":"Caporusso","given":"Joseph M."},{"family":"Agnew","given":"Patrick S."},{"family":"Hanft","given":"Jason"},{"family":"Dove","given":"Cyaandi"}],"issued":{"date-parts":[["2019",2]]}}},{"id":49488,"uris":["http://zotero.org/users/5328021/items/RQVJSCJN"],"uri":["http://zotero.org/users/5328021/items/RQVJSCJN"],"itemData":{"id":49488,"type":"article-journal","abstract":"Advanced therapies such as bioengineered skin substitutes (BSS) and dehydrated human amnion/chorion membrane (dHACM) have been shown to promote healing of chronic diabetic ulcers. An interim analysis of data from 60 patients enrolled in a prospective, randomised, controlled, parallel group, multi-centre clinical trial showed that dHACM (EpiFix, MiMedx Group Inc., Marietta, GA) is superior to standard wound care (SWC) and BSS (Apligraf, Organogenesis, Inc., Canton, MA) in achieving complete wound closure within 4-6 weeks. Rates and time to closure at a longer time interval and factors influencing outcomes remained unassessed; therefore, the study was continued in order to achieve at least 100 patients. With the larger cohort, we compare clinical outcomes at 12 weeks in 100 patients with chronic lower extremity diabetic ulcers treated with weekly applications of Apligraf (n = 33), EpiFix (n = 32) or SWC (n = 35) with collagen-alginate dressing as controls. A Cox regression was performed to analyse the time to heal within 12 weeks, adjusting for all significant covariates. A Kaplan-Meier analysis was conducted to compare time-to-heal within 12 weeks for the three treatment groups. Clinical characteristics were well matched across study groups. The proportion of wounds achieving complete closure within the 12-week study period were 73% (24/33), 97% (31/32), and 51% (18/35) for Apligraf, EpiFix and SWC, respectively (adjusted P = 0·00019). Subjects treated with EpiFix had a very significant higher probability of their wounds healing [hazard ratio (HR: 5·66; adjusted P: 1·3 x 10(-7) ] compared to SWC alone. No difference in probability of healing was observed for the Apligraf and SWC groups. Patients treated with Apligraf were less likely to heal than those treated with EpiFix [HR: 0·30; 95% confidence interval (CI): 0·17-0·54; unadjusted P: 5·8 x 10(-5) ]. Increased wound size and presence of hypertension were significant factors that influenced healing. Mean time-to-heal within 12 weeks was 47·9 days (95% CI: 38·2-57·7) with Apligraf, 23·6 days (95% CI: 17·0-30·2) with EpiFix group and 57·4 days (95%CI: 48·2-66·6) with the SWC alone group (adjusted P = 3·2 x 10(-7) ). Median number of grafts used per healed wound were six (range 1-13) and 2·5 (range 1-12) for the Apligraf and EpiFix groups, respectively. Median graft cost was $8918 (range $1,486-19,323) per healed wound for the Apligraf group and $1,517 (range $434-25,710) per healed wound in the EpiFix group (P &lt; 0·0001). These results provide further evidence of the clinical and resource utilisation superiority of EpiFix compared to Apligraf for the treatment of lower extremity diabetic wounds.","container-title":"International Wound Journal","issue":"2","journalAbbreviation":"Int Wound J","language":"eng","note":"PMID: 26695998","page":"272-282","title":"Treatment of chronic diabetic lower extremity ulcers with advanced therapies: a prospective, randomised, controlled, multi-centre comparative study examining clinical efficacy and cost","volume":"13","author":[{"family":"Zelen","given":"Charles M."},{"family":"Serena","given":"Thomas E."},{"family":"Gould","given":"Lisa"},{"family":"Le","given":"Lam"},{"family":"Carter","given":"Marissa J."},{"family":"Keller","given":"Jennifer"},{"family":"Li","given":"William W."}],"issued":{"date-parts":[["2016",4]]}}},{"id":49518,"uris":["http://zotero.org/users/5328021/items/IRT4DUV9"],"uri":["http://zotero.org/users/5328021/items/IRT4DUV9"],"itemData":{"id":49518,"type":"article-journal","abstract":"Objective: This study demonstrates that superior outcomes are possible when diabetic foot ulcers (DFU) are managed with tri-layer porcine small intestine submucosa (SIS). Approach: Patients with DFU from 11 centers participated in this prospective randomized controlled trial. Qualified subjects were randomized (1:1) to either SIS or standard care (SC) selected at the discretion of the Investigator and followed for 12 weeks or complete ulcer closure. Results: Eighty-two subjects (41 in each group) were evaluable in the intent-to-treat analysis. Ulcers managed with SIS had a significantly greater proportion closed by 12 weeks than for the Control group (54% vs. 32%, p=0.021) and this proportion was numerically higher at all visits. Time to closure for ulcers achieving closure was 2 weeks earlier for the SIS group than for SC. Median reduction in ulcer area was significantly greater for SIS at each weekly visit (all p values&lt;0.05). Review of reported adverse events found no safety concerns. Innovation: These data support the use of tri-layer SIS for the effective management of DFU. Conclusion: In this randomized controlled trial, SIS was found to be associated with more rapid improvement, and a higher likelihood of achieving complete ulcer closure than those ulcers treated with SC.","container-title":"Advances in Wound Care","issue":"12","journalAbbreviation":"Adv Wound Care (New Rochelle)","language":"eng","note":"PMID: 26634183\nPMCID: PMC4651054","page":"711-718","title":"The Management of Diabetic Foot Ulcers with Porcine Small Intestine Submucosa Tri-Layer Matrix: A Randomized Controlled Trial","volume":"4","author":[{"family":"Cazzell","given":"Shawn M."},{"family":"Lange","given":"Darrell L."},{"family":"Dickerson","given":"Jaime E."},{"family":"Slade","given":"Herbert B."}],"issued":{"date-parts":[["2015",12,1]]}}}],"schema":"https://github.com/citation-style-language/schema/raw/master/csl-citation.json"}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(96–100,102–105)</w:t>
            </w:r>
            <w:r w:rsidRPr="00CA32B9">
              <w:rPr>
                <w:rFonts w:asciiTheme="minorHAnsi" w:hAnsiTheme="minorHAnsi" w:cstheme="minorHAnsi"/>
                <w:szCs w:val="20"/>
                <w:lang w:val="en-US"/>
              </w:rPr>
              <w:fldChar w:fldCharType="end"/>
            </w:r>
          </w:p>
        </w:tc>
      </w:tr>
      <w:tr w:rsidR="003F3795" w14:paraId="06E85A32" w14:textId="77777777" w:rsidTr="004E4612">
        <w:tc>
          <w:tcPr>
            <w:tcW w:w="9924" w:type="dxa"/>
            <w:gridSpan w:val="4"/>
            <w:vAlign w:val="center"/>
          </w:tcPr>
          <w:p w14:paraId="36DE3D74" w14:textId="55A6D541" w:rsidR="003F3795" w:rsidRDefault="003F3795" w:rsidP="003F3795">
            <w:pPr>
              <w:keepNext/>
              <w:jc w:val="left"/>
              <w:rPr>
                <w:lang w:val="en-US"/>
              </w:rPr>
            </w:pPr>
            <w:r w:rsidRPr="00CA32B9">
              <w:rPr>
                <w:rFonts w:asciiTheme="minorHAnsi" w:hAnsiTheme="minorHAnsi" w:cstheme="minorHAnsi"/>
                <w:b/>
                <w:szCs w:val="20"/>
                <w:lang w:val="en-US"/>
              </w:rPr>
              <w:t>Ulcer healing at 16 weeks</w:t>
            </w:r>
          </w:p>
        </w:tc>
      </w:tr>
      <w:tr w:rsidR="003F3795" w14:paraId="685AF8D4" w14:textId="77777777" w:rsidTr="004E4612">
        <w:tc>
          <w:tcPr>
            <w:tcW w:w="3213" w:type="dxa"/>
            <w:vAlign w:val="center"/>
          </w:tcPr>
          <w:p w14:paraId="094D3D56" w14:textId="24817109" w:rsidR="003F3795" w:rsidRDefault="003F3795" w:rsidP="003F3795">
            <w:pPr>
              <w:jc w:val="center"/>
              <w:rPr>
                <w:lang w:val="en-US"/>
              </w:rPr>
            </w:pP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653" w:type="dxa"/>
            <w:vAlign w:val="center"/>
          </w:tcPr>
          <w:p w14:paraId="7336B959" w14:textId="14DA1960" w:rsidR="003F3795" w:rsidRDefault="003F3795" w:rsidP="003F3795">
            <w:pPr>
              <w:jc w:val="center"/>
              <w:rPr>
                <w:lang w:val="en-US"/>
              </w:rPr>
            </w:pPr>
            <w:r w:rsidRPr="00CA32B9">
              <w:rPr>
                <w:rFonts w:asciiTheme="minorHAnsi" w:hAnsiTheme="minorHAnsi" w:cstheme="minorHAnsi"/>
                <w:szCs w:val="20"/>
                <w:lang w:val="en-US"/>
              </w:rPr>
              <w:t>7</w:t>
            </w:r>
          </w:p>
        </w:tc>
        <w:tc>
          <w:tcPr>
            <w:tcW w:w="2218" w:type="dxa"/>
            <w:vAlign w:val="center"/>
          </w:tcPr>
          <w:p w14:paraId="15717283" w14:textId="0E0C26B5" w:rsidR="003F3795" w:rsidRDefault="003F3795" w:rsidP="003F3795">
            <w:pPr>
              <w:jc w:val="center"/>
              <w:rPr>
                <w:lang w:val="en-US"/>
              </w:rPr>
            </w:pPr>
            <w:r w:rsidRPr="00CA32B9">
              <w:rPr>
                <w:rFonts w:asciiTheme="minorHAnsi" w:hAnsiTheme="minorHAnsi" w:cstheme="minorHAnsi"/>
                <w:szCs w:val="20"/>
                <w:lang w:val="en-US"/>
              </w:rPr>
              <w:t>Good</w:t>
            </w:r>
          </w:p>
        </w:tc>
        <w:tc>
          <w:tcPr>
            <w:tcW w:w="2840" w:type="dxa"/>
            <w:vAlign w:val="center"/>
          </w:tcPr>
          <w:p w14:paraId="3C42C3B6" w14:textId="0335B564"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IZLzHKpt","properties":{"formattedCitation":"(103)","plainCitation":"(103)","noteIndex":0},"citationItems":[{"id":45321,"uris":["http://zotero.org/users/5328021/items/DRPE5GWZ"],"uri":["http://zotero.org/users/5328021/items/DRPE5GWZ"],"itemData":{"id":45321,"type":"article-journal","abstract":"The aim of this study was to determine the safety and effectiveness of dehydrated human umbilical cord allograft (EpiCord) compared with alginate wound dressings for the treatment of chronic, non-healing diabetic foot ulcers (DFU). A multicentre, randomised, controlled, clinical trial was conducted at 11 centres in the United States. Individuals with a confirmed diagnosis of Type 1 or Type 2 diabetes presenting with a 1 to 15 cm2 ulcer located below the ankle that had been persisting for at least 30 days were eligible for the 14-day study run-in phase. After 14 days of weekly debridement, moist wound therapy, and off-loading, those with ≤30% wound area reduction post-debridement (n = 155) were randomised in a 2:1 ratio to receive a weekly application of EpiCord (n = 101) or standardised therapy with alginate wound dressing, non-adherent silicone dressing, absorbent non-adhesive hydropolymer secondary dressing, and gauze bandage roll (n = 54). All wounds continued to have appropriate off-loading during the treatment phase of the study. Study visits were conducted for 12 weeks. At each weekly visit, the DFU was cleaned and debrided as necessary, with the wound photographed pre- and post-debridement and measured before the application of treatment group-specific dressings. A follow-up visit was performed at week 16. The primary study end point was the percentage of complete closure of the study ulcer within 12 weeks, as assessed by Silhouette camera. Data for randomised subjects meeting study inclusion criteria were included in an intent-to-treat (ITT) analysis. Additional analysis was conducted on a group of subjects (n = 134) who completed the study per protocol (PP) (EpiCord, n = 86, alginate, n = 48) and for those subjects receiving adequate debridement (EpiCord, n = 67, alginate, n = 40). ITT analysis showed that DFUs treated with EpiCord were more likely to heal within 12 weeks than those receiving alginate dressings, 71 of 101 (70%) vs 26 of 54 (48%) for EpiCord and alginate dressings, respectively, P = 0.0089. Healing rates at 12 weeks for subjects treated PP were 70 of 86 (81%) for EpiCord-treated and 26 of 48 (54%) for alginate-treated DFUs, P = 0.0013. For those DFUs that received adequate debridement (n = 107, ITT population), 64 of 67 (96%) of the EpiCord-treated ulcers healed completely within 12 weeks, compared with 26 of 40 (65%) of adequately debrided alginate-treated ulcers, P &lt; 0.0001. Seventy-five subjects experienced at least one adverse event, with a total of 160 adverse events recorded. There were no adverse events related to either EpiCord or alginate dressings. These results demonstrate the safety and efficacy of EpiCord as a treatment for non-healing DFUs.","container-title":"International Wound Journal","issue":"1","journalAbbreviation":"Int Wound J","language":"eng","note":"PMID: 30246926","page":"122-130","title":"A multicentre prospective randomised controlled comparative parallel study of dehydrated human umbilical cord (EpiCord) allograft for the treatment of diabetic foot ulcers","volume":"16","author":[{"family":"Tettelbach","given":"William"},{"family":"Cazzell","given":"Shawn"},{"family":"Sigal","given":"Felix"},{"family":"Caporusso","given":"Joseph M."},{"family":"Agnew","given":"Patrick S."},{"family":"Hanft","given":"Jason"},{"family":"Dove","given":"Cyaandi"}],"issued":{"date-parts":[["2019",2]]}}}],"schema":"https://github.com/citation-style-language/schema/raw/master/csl-citation.json"}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(103)</w:t>
            </w:r>
            <w:r w:rsidRPr="00CA32B9">
              <w:rPr>
                <w:rFonts w:asciiTheme="minorHAnsi" w:hAnsiTheme="minorHAnsi" w:cstheme="minorHAnsi"/>
                <w:szCs w:val="20"/>
                <w:lang w:val="en-US"/>
              </w:rPr>
              <w:fldChar w:fldCharType="end"/>
            </w:r>
          </w:p>
        </w:tc>
      </w:tr>
      <w:tr w:rsidR="003F3795" w14:paraId="78D88D35" w14:textId="77777777" w:rsidTr="004E4612">
        <w:tc>
          <w:tcPr>
            <w:tcW w:w="9924" w:type="dxa"/>
            <w:gridSpan w:val="4"/>
            <w:vAlign w:val="center"/>
          </w:tcPr>
          <w:p w14:paraId="6CAE6153" w14:textId="768791B0" w:rsidR="003F3795" w:rsidRDefault="003F3795" w:rsidP="003F3795">
            <w:pPr>
              <w:keepNext/>
              <w:jc w:val="left"/>
              <w:rPr>
                <w:lang w:val="en-US"/>
              </w:rPr>
            </w:pPr>
            <w:r w:rsidRPr="00CA32B9">
              <w:rPr>
                <w:rFonts w:asciiTheme="minorHAnsi" w:hAnsiTheme="minorHAnsi" w:cstheme="minorHAnsi"/>
                <w:b/>
                <w:szCs w:val="20"/>
                <w:lang w:val="en-US"/>
              </w:rPr>
              <w:t>Probability of ulcer healing</w:t>
            </w:r>
          </w:p>
        </w:tc>
      </w:tr>
      <w:tr w:rsidR="003F3795" w14:paraId="7B62E0D6" w14:textId="77777777" w:rsidTr="004E4612">
        <w:tc>
          <w:tcPr>
            <w:tcW w:w="3213" w:type="dxa"/>
            <w:vAlign w:val="center"/>
          </w:tcPr>
          <w:p w14:paraId="11683867" w14:textId="44FAF7CA" w:rsidR="003F3795" w:rsidRDefault="003F3795" w:rsidP="003F3795">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w:t>
            </w:r>
            <w:r w:rsidRPr="00CA32B9">
              <w:rPr>
                <w:rFonts w:asciiTheme="minorHAnsi" w:hAnsiTheme="minorHAnsi" w:cstheme="minorHAnsi"/>
                <w:szCs w:val="20"/>
                <w:lang w:val="en-US"/>
              </w:rPr>
              <w:t xml:space="preserve"> - 5 studies (</w:t>
            </w:r>
            <w:r w:rsidRPr="00CA32B9">
              <w:rPr>
                <w:rFonts w:asciiTheme="minorHAnsi" w:eastAsia="Times New Roman" w:hAnsiTheme="minorHAnsi" w:cstheme="minorHAnsi"/>
                <w:szCs w:val="20"/>
                <w:lang w:val="en-US"/>
              </w:rPr>
              <w:t>II)</w:t>
            </w:r>
          </w:p>
        </w:tc>
        <w:tc>
          <w:tcPr>
            <w:tcW w:w="1653" w:type="dxa"/>
            <w:vAlign w:val="center"/>
          </w:tcPr>
          <w:p w14:paraId="6648950B" w14:textId="17C82FD6" w:rsidR="003F3795" w:rsidRDefault="003F3795" w:rsidP="003F3795">
            <w:pPr>
              <w:jc w:val="center"/>
              <w:rPr>
                <w:lang w:val="en-US"/>
              </w:rPr>
            </w:pPr>
            <w:r w:rsidRPr="00CA32B9">
              <w:rPr>
                <w:rFonts w:asciiTheme="minorHAnsi" w:hAnsiTheme="minorHAnsi" w:cstheme="minorHAnsi"/>
                <w:szCs w:val="20"/>
                <w:lang w:val="en-US"/>
              </w:rPr>
              <w:t>6,8</w:t>
            </w:r>
          </w:p>
        </w:tc>
        <w:tc>
          <w:tcPr>
            <w:tcW w:w="2218" w:type="dxa"/>
            <w:vAlign w:val="center"/>
          </w:tcPr>
          <w:p w14:paraId="098AA7BB" w14:textId="1A50736D" w:rsidR="003F3795" w:rsidRDefault="003F3795" w:rsidP="003F3795">
            <w:pPr>
              <w:jc w:val="center"/>
              <w:rPr>
                <w:lang w:val="en-US"/>
              </w:rPr>
            </w:pPr>
            <w:r w:rsidRPr="00CA32B9">
              <w:rPr>
                <w:rFonts w:asciiTheme="minorHAnsi" w:hAnsiTheme="minorHAnsi" w:cstheme="minorHAnsi"/>
                <w:szCs w:val="20"/>
                <w:lang w:val="en-US"/>
              </w:rPr>
              <w:t>Moderate</w:t>
            </w:r>
          </w:p>
        </w:tc>
        <w:tc>
          <w:tcPr>
            <w:tcW w:w="2840" w:type="dxa"/>
            <w:vAlign w:val="center"/>
          </w:tcPr>
          <w:p w14:paraId="27517785" w14:textId="1B68D6F8"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xHBVmIoa","properties":{"formattedCitation":"(88,93,103,104,106,107)","plainCitation":"(88,93,103,104,106,107)","noteIndex":0},"citationItems":[{"id":74042,"uris":["http://zotero.org/users/5328021/items/46ZF5F2Y"],"uri":["http://zotero.org/users/5328021/items/46ZF5F2Y"],"itemData":{"id":74042,"type":"article-journal","abstract":"Aim: Determine the effectiveness of hypothermically stored amniotic membrane (HSAM) versus standard of care (SOC) in diabetic foot ulcers (DFUs). Methods: A randomized controlled trial was conducted on 76 DFUs analyzed digitally. Results: Cox wound closure for HSAM (38 wounds) was significantly greater (p = 0.04) at weeks 12 (60 vs 38%), and 16 (63 vs 38%). The probability of wound closure increased by 75% (Hazard Ratio = 1.75; 95% CI: 1.16-2.70). HSAM showed &gt;60% reductions in area (82 vs 58%; p = 0.02) and depth (65 vs 39%; p = 0.04) versus SOC. Conclusion: HSAM increased frequency and probability of wound closure in DFUs versus SOC.","container-title":"Journal of comparative effectiveness research","issue":"1","journalAbbreviation":"J Comp Eff Res","language":"eng","note":"PMID: 31691579","page":"23-34","title":"A randomized controlled clinical trial of a hypothermically stored amniotic membrane for use in diabetic foot ulcers.","volume":"9","author":[{"family":"Serena","given":"Thomas E."},{"family":"Yaakov","given":"Raphael"},{"family":"Moore","given":"Sarah"},{"family":"Cole","given":"Windy"},{"family":"Coe","given":"Stacey"},{"family":"Snyder","given":"Rob"},{"family":"Patel","given":"Keyur"},{"family":"Doner","given":"Bryan"},{"family":"Kasper","given":"Maria A."},{"family":"Hamil","given":"Rachel"},{"family":"Wendling","given":"Santina"},{"family":"Sabolinski","given":"Michael L."}],"issued":{"date-parts":[["2020",1]]}}},{"id":51458,"uris":["http://zotero.org/users/5328021/items/3G9VLIQJ"],"uri":["http://zotero.org/users/5328021/items/3G9VLIQJ"],"itemData":{"id":51458,"type":"article-journal","abstract":"In a randomised, controlled study, we compared the efficacy of Grafix(®) , a human viable wound matrix (hVWM) (N = 50), to standard wound care (n = 47) to heal diabetic foot ulcers (DFUs). The primary endpoint was the proportion of patients with complete wound closure by 12 weeks. Secondary endpoints included the time to wound closure, adverse events and wound closure in the crossover phase. The proportion of patients who achieved complete wound closure was significantly higher in patients who received Grafix (62%) compared with controls (21%, P = 0·0001). The median time to healing was 42 days in Grafix patients compared with 69·5 days in controls (P = 0·019). There were fewer Grafix patients with adverse events (44% versus 66%, P = 0·031) and fewer Grafix patients with wound-related infections (18% versus 36·2%, P = 0·044). Among the study subjects that healed, ulcers remained closed in 82·1% of patients (23 of 28 patients) in the Grafix group versus 70% (7 of 10 patients) in the control group (P = 0·419). Treatment with Grafix significantly improved DFU healing compared with standard wound therapy. Importantly, Grafix also reduced DFU-related complications. The results of this well-controlled study showed that Grafix is a safe and more effective therapy for treating DFUs than standard wound therapy.","container-title":"International Wound Journal","issue":"5","journalAbbreviation":"Int Wound J","language":"eng","note":"PMID: 25048468","page":"554-560","title":"The efficacy and safety of Grafix(®) for the treatment of chronic diabetic foot ulcers: results of a multi-centre, controlled, randomised, blinded, clinical trial","volume":"11","author":[{"family":"Lavery","given":"Lawrence A."},{"family":"Fulmer","given":"James"},{"family":"Shebetka","given":"Karry Ann"},{"family":"Regulski","given":"Matthew"},{"family":"Vayser","given":"Dean"},{"family":"Fried","given":"David"},{"family":"Kashefsky","given":"Howard"},{"family":"Owings","given":"Tammy M."},{"family":"Nadarajah","given":"Janaki"},{"literal":"Grafix Diabetic Foot Ulcer Study Group"}],"issued":{"date-parts":[["2014",10]]}}},{"id":45321,"uris":["http://zotero.org/users/5328021/items/DRPE5GWZ"],"uri":["http://zotero.org/users/5328021/items/DRPE5GWZ"],"itemData":{"id":45321,"type":"article-journal","abstract":"The aim of this study was to determine the safety and effectiveness of dehydrated human umbilical cord allograft (EpiCord) compared with alginate wound dressings for the treatment of chronic, non-healing diabetic foot ulcers (DFU). A multicentre, randomised, controlled, clinical trial was conducted at 11 centres in the United States. Individuals with a confirmed diagnosis of Type 1 or Type 2 diabetes presenting with a 1 to 15 cm2 ulcer located below the ankle that had been persisting for at least 30 days were eligible for the 14-day study run-in phase. After 14 days of weekly debridement, moist wound therapy, and off-loading, those with ≤30% wound area reduction post-debridement (n = 155) were randomised in a 2:1 ratio to receive a weekly application of EpiCord (n = 101) or standardised therapy with alginate wound dressing, non-adherent silicone dressing, absorbent non-adhesive hydropolymer secondary dressing, and gauze bandage roll (n = 54). All wounds continued to have appropriate off-loading during the treatment phase of the study. Study visits were conducted for 12 weeks. At each weekly visit, the DFU was cleaned and debrided as necessary, with the wound photographed pre- and post-debridement and measured before the application of treatment group-specific dressings. A follow-up visit was performed at week 16. The primary study end point was the percentage of complete closure of the study ulcer within 12 weeks, as assessed by Silhouette camera. Data for randomised subjects meeting study inclusion criteria were included in an intent-to-treat (ITT) analysis. Additional analysis was conducted on a group of subjects (n = 134) who completed the study per protocol (PP) (EpiCord, n = 86, alginate, n = 48) and for those subjects receiving adequate debridement (EpiCord, n = 67, alginate, n = 40). ITT analysis showed that DFUs treated with EpiCord were more likely to heal within 12 weeks than those receiving alginate dressings, 71 of 101 (70%) vs 26 of 54 (48%) for EpiCord and alginate dressings, respectively, P = 0.0089. Healing rates at 12 weeks for subjects treated PP were 70 of 86 (81%) for EpiCord-treated and 26 of 48 (54%) for alginate-treated DFUs, P = 0.0013. For those DFUs that received adequate debridement (n = 107, ITT population), 64 of 67 (96%) of the EpiCord-treated ulcers healed completely within 12 weeks, compared with 26 of 40 (65%) of adequately debrided alginate-treated ulcers, P &lt; 0.0001. Seventy-five subjects experienced at least one adverse event, with a total of 160 adverse events recorded. There were no adverse events related to either EpiCord or alginate dressings. These results demonstrate the safety and efficacy of EpiCord as a treatment for non-healing DFUs.","container-title":"International Wound Journal","issue":"1","journalAbbreviation":"Int Wound J","language":"eng","note":"PMID: 30246926","page":"122-130","title":"A multicentre prospective randomised controlled comparative parallel study of dehydrated human umbilical cord (EpiCord) allograft for the treatment of diabetic foot ulcers","volume":"16","author":[{"family":"Tettelbach","given":"William"},{"family":"Cazzell","given":"Shawn"},{"family":"Sigal","given":"Felix"},{"family":"Caporusso","given":"Joseph M."},{"family":"Agnew","given":"Patrick S."},{"family":"Hanft","given":"Jason"},{"family":"Dove","given":"Cyaandi"}],"issued":{"date-parts":[["2019",2]]}}},{"id":49488,"uris":["http://zotero.org/users/5328021/items/RQVJSCJN"],"uri":["http://zotero.org/users/5328021/items/RQVJSCJN"],"itemData":{"id":49488,"type":"article-journal","abstract":"Advanced therapies such as bioengineered skin substitutes (BSS) and dehydrated human amnion/chorion membrane (dHACM) have been shown to promote healing of chronic diabetic ulcers. An interim analysis of data from 60 patients enrolled in a prospective, randomised, controlled, parallel group, multi-centre clinical trial showed that dHACM (EpiFix, MiMedx Group Inc., Marietta, GA) is superior to standard wound care (SWC) and BSS (Apligraf, Organogenesis, Inc., Canton, MA) in achieving complete wound closure within 4-6 weeks. Rates and time to closure at a longer time interval and factors influencing outcomes remained unassessed; therefore, the study was continued in order to achieve at least 100 patients. With the larger cohort, we compare clinical outcomes at 12 weeks in 100 patients with chronic lower extremity diabetic ulcers treated with weekly applications of Apligraf (n = 33), EpiFix (n = 32) or SWC (n = 35) with collagen-alginate dressing as controls. A Cox regression was performed to analyse the time to heal within 12 weeks, adjusting for all significant covariates. A Kaplan-Meier analysis was conducted to compare time-to-heal within 12 weeks for the three treatment groups. Clinical characteristics were well matched across study groups. The proportion of wounds achieving complete closure within the 12-week study period were 73% (24/33), 97% (31/32), and 51% (18/35) for Apligraf, EpiFix and SWC, respectively (adjusted P = 0·00019). Subjects treated with EpiFix had a very significant higher probability of their wounds healing [hazard ratio (HR: 5·66; adjusted P: 1·3 x 10(-7) ] compared to SWC alone. No difference in probability of healing was observed for the Apligraf and SWC groups. Patients treated with Apligraf were less likely to heal than those treated with EpiFix [HR: 0·30; 95% confidence interval (CI): 0·17-0·54; unadjusted P: 5·8 x 10(-5) ]. Increased wound size and presence of hypertension were significant factors that influenced healing. Mean time-to-heal within 12 weeks was 47·9 days (95% CI: 38·2-57·7) with Apligraf, 23·6 days (95% CI: 17·0-30·2) with EpiFix group and 57·4 days (95%CI: 48·2-66·6) with the SWC alone group (adjusted P = 3·2 x 10(-7) ). Median number of grafts used per healed wound were six (range 1-13) and 2·5 (range 1-12) for the Apligraf and EpiFix groups, respectively. Median graft cost was $8918 (range $1,486-19,323) per healed wound for the Apligraf group and $1,517 (range $434-25,710) per healed wound in the EpiFix group (P &lt; 0·0001). These results provide further evidence of the clinical and resource utilisation superiority of EpiFix compared to Apligraf for the treatment of lower extremity diabetic wounds.","container-title":"International Wound Journal","issue":"2","journalAbbreviation":"Int Wound J","language":"eng","note":"PMID: 26695998","page":"272-282","title":"Treatment of chronic diabetic lower extremity ulcers with advanced therapies: a prospective, randomised, controlled, multi-centre comparative study examining clinical efficacy and cost","volume":"13","author":[{"family":"Zelen","given":"Charles M."},{"family":"Serena","given":"Thomas E."},{"family":"Gould","given":"Lisa"},{"family":"Le","given":"Lam"},{"family":"Carter","given":"Marissa J."},{"family":"Keller","given":"Jennifer"},{"family":"Li","given":"William W."}],"issued":{"date-parts":[["2016",4]]}}},{"id":3047,"uris":["http://zotero.org/users/5328021/items/2ALASHQJ"],"uri":["http://zotero.org/users/5328021/items/2ALASHQJ"],"itemData":{"id":3047,"type":"article-journal","abstract":"A randomised, controlled multicentre clinical trial was conducted at 14 wound care centres in the United States to confirm the efficacy of dehydrated human amnion/chorion membrane allograft (dHACM) for the treatment of chronic lower extremity ulcers in persons with diabetes. Patients with a lower extremity ulcer of at least 4 weeks duration were entered into a 2-week study run-in phase and treated with alginate wound dressings and appropriate offloading. Those with less than or equal to 25% wound closure after run-in were randomly assigned to receive weekly dHACM application in addition to offloading or standard of care with alginate wound dressings, for 12 weeks. A total of 110 patients were included in the intent-to-treat (ITT) analysis, with n = 54 in the dHACM group and n = 56 in the no-dHACM group. Of the participants, 98 completed the study per protocol, with 47 receiving dHACM and 51 not receiving dHACM. The primary study outcome was percentage of study ulcers completely healed in 12 weeks, with both ITT and per-protocol participants receiving weekly dHACM significantly more likely to completely heal than those not receiving dHACM (ITT—70% versus 50%, P = 0.0338, per-protocol—81% versus 55%, P = 0.0093). A Kaplan–Meier analysis was performed to compare the time-to-healing performance with/without dHACM, showing a significantly improved time to healing with the use of allograft, log-rank P &lt; 0.0187. Cox regression analysis showed that dHACM-treated subjects were more than twice as likely to heal completely within 12 weeks than no-dHACM subjects (HR: 2.15, 95% confidence interval 1.30–3.57, P = 0.003). At the final follow up at 16 weeks, 95% of dHACM-healed ulcers and 86% of healed ulcers in the no-dHACM group remained closed. These results confirm that dHACM is an efficacious treatment for lower extremity ulcers in a heterogeneous patient population.","archive":"Embase","container-title":"International Wound Journal","issue":"1","journalAbbreviation":"Int. Wound J.","language":"English","note":"PMID: 30136445","page":"19-29","title":"A confirmatory study on the efficacy of dehydrated human amnion/chorion membrane dHACM allograft in the management of diabetic foot ulcers: A prospective, multicentre, randomised, controlled study of 110 patients from 14 wound clinics","volume":"16","author":[{"literal":"Tettelbach W."},{"literal":"Cazzell S."},{"literal":"Reyzelman A.M."},{"literal":"Sigal F."},{"literal":"Caporusso J.M."},{"literal":"Agnew P.S."}],"issued":{"date-parts":[["2018"]]}}},{"id":49451,"uris":["http://zotero.org/users/5328021/items/KX5SV8WX"],"uri":["http://zotero.org/users/5328021/items/KX5SV8WX"],"itemData":{"id":49451,"type":"article-journal","abstract":"To evaluate the effectiveness of tissue engineered skin in the management of diabetic foot ulcer. We searched PubMed, EMBASE and ISI Web of Science database in order to obtain the randomized controlled trial with interventions of tissue engineered skin. A meta-analysis was used to compare the effectiveness between tissue engineered skin and conventional treatment in the patients with diabetic foot ulcer. This meta-analysis was performed by STATA 11 software. The risk factor was analyzed by random effect model pooled odds ratio (OR) and 95% confidence interval (CI). Moreover, the funnel plot was used to assess the published bias of articles. Eight studies were included, and a total of 1060 cases were involved for this meta-analysis. The OR of tissue engineered skin for diabetic foot ulcers was 1.76 (95% CI: 1.35-2.30). A subgroup analysis was conducted for different types of tissue engineering skin, combined OR was 1.91 (95% CI: 1.12-3.27) for Derma graft, 2.05 (95% CI: 1.20-3.50) for Graft skin and 1.57 (95% CI: 0.91-2.70) for Hyalo graft 3D. Applying tissue engineered skin is more effective in the improvement of wound closure in patients with diabetic foot ulcers, compared with conventional treatment.","container-title":"International Journal of Clinical and Experimental Medicine","issue":"10","journalAbbreviation":"Int J Clin Exp Med","language":"eng","note":"PMID: 26770419\nPMCID: PMC4694319","page":"18191-18196","title":"Tissue engineered skin for diabetic foot ulcers: a meta-analysis","volume":"8","author":[{"family":"Li","given":"Xuedong"},{"family":"Xu","given":"Geliang"},{"family":"Chen","given":"Jianqiu"}],"issued":{"date-parts":[["2015"]]}}}],"schema":"https://github.com/citation-style-language/schema/raw/master/csl-citation.json"}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(88,93,103,104,106,107)</w:t>
            </w:r>
            <w:r w:rsidRPr="00CA32B9">
              <w:rPr>
                <w:rFonts w:asciiTheme="minorHAnsi" w:hAnsiTheme="minorHAnsi" w:cstheme="minorHAnsi"/>
                <w:szCs w:val="20"/>
                <w:lang w:val="en-US"/>
              </w:rPr>
              <w:fldChar w:fldCharType="end"/>
            </w:r>
          </w:p>
        </w:tc>
      </w:tr>
      <w:tr w:rsidR="003F3795" w14:paraId="145A845F" w14:textId="77777777" w:rsidTr="004E4612">
        <w:tc>
          <w:tcPr>
            <w:tcW w:w="4866" w:type="dxa"/>
            <w:gridSpan w:val="2"/>
            <w:vAlign w:val="center"/>
          </w:tcPr>
          <w:p w14:paraId="578F8098" w14:textId="129D8DF4" w:rsidR="003F3795" w:rsidRDefault="003F3795" w:rsidP="003F3795">
            <w:pPr>
              <w:jc w:val="left"/>
              <w:rPr>
                <w:lang w:val="en-US"/>
              </w:rPr>
            </w:pPr>
            <w:r w:rsidRPr="00CA32B9">
              <w:rPr>
                <w:rFonts w:asciiTheme="minorHAnsi" w:hAnsiTheme="minorHAnsi" w:cstheme="minorHAnsi"/>
                <w:b/>
                <w:szCs w:val="20"/>
                <w:lang w:val="en-US"/>
              </w:rPr>
              <w:t>Ulcer recurrence</w:t>
            </w:r>
          </w:p>
        </w:tc>
        <w:tc>
          <w:tcPr>
            <w:tcW w:w="5058" w:type="dxa"/>
            <w:gridSpan w:val="2"/>
            <w:vAlign w:val="center"/>
          </w:tcPr>
          <w:p w14:paraId="71B05284" w14:textId="77777777" w:rsidR="003F3795" w:rsidRDefault="003F3795" w:rsidP="003F3795">
            <w:pPr>
              <w:keepNext/>
              <w:jc w:val="center"/>
              <w:rPr>
                <w:lang w:val="en-US"/>
              </w:rPr>
            </w:pPr>
          </w:p>
        </w:tc>
      </w:tr>
      <w:tr w:rsidR="005F3357" w14:paraId="2279041C" w14:textId="77777777" w:rsidTr="00FC4B6F">
        <w:tc>
          <w:tcPr>
            <w:tcW w:w="3213" w:type="dxa"/>
            <w:vAlign w:val="center"/>
          </w:tcPr>
          <w:p w14:paraId="5BD3CADD" w14:textId="7B3900BB" w:rsidR="005F3357" w:rsidRDefault="005F3357" w:rsidP="003F3795">
            <w:pPr>
              <w:jc w:val="center"/>
              <w:rPr>
                <w:lang w:val="en-US"/>
              </w:rPr>
            </w:pP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653" w:type="dxa"/>
            <w:vAlign w:val="center"/>
          </w:tcPr>
          <w:p w14:paraId="671A6DFA" w14:textId="54DDF6A0" w:rsidR="005F3357" w:rsidRDefault="005F3357" w:rsidP="003F3795">
            <w:pPr>
              <w:jc w:val="center"/>
              <w:rPr>
                <w:lang w:val="en-US"/>
              </w:rPr>
            </w:pPr>
            <w:r w:rsidRPr="00CA32B9">
              <w:rPr>
                <w:rFonts w:asciiTheme="minorHAnsi" w:hAnsiTheme="minorHAnsi" w:cstheme="minorHAnsi"/>
                <w:szCs w:val="20"/>
                <w:lang w:val="en-US"/>
              </w:rPr>
              <w:t>6</w:t>
            </w:r>
          </w:p>
        </w:tc>
        <w:tc>
          <w:tcPr>
            <w:tcW w:w="2218" w:type="dxa"/>
            <w:vMerge w:val="restart"/>
            <w:vAlign w:val="center"/>
          </w:tcPr>
          <w:p w14:paraId="7BFA0D06" w14:textId="624B3928" w:rsidR="005F3357" w:rsidRDefault="005F3357" w:rsidP="003F3795">
            <w:pPr>
              <w:jc w:val="center"/>
              <w:rPr>
                <w:lang w:val="en-US"/>
              </w:rPr>
            </w:pPr>
            <w:r w:rsidRPr="00CA32B9">
              <w:rPr>
                <w:rFonts w:asciiTheme="minorHAnsi" w:hAnsiTheme="minorHAnsi" w:cstheme="minorHAnsi"/>
                <w:szCs w:val="20"/>
                <w:lang w:val="en-US"/>
              </w:rPr>
              <w:t>Low</w:t>
            </w:r>
          </w:p>
        </w:tc>
        <w:tc>
          <w:tcPr>
            <w:tcW w:w="2840" w:type="dxa"/>
            <w:vAlign w:val="center"/>
          </w:tcPr>
          <w:p w14:paraId="42D28D06" w14:textId="7ADC95FC" w:rsidR="005F3357" w:rsidRDefault="005F3357"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ECj82KIv","properties":{"formattedCitation":"(108)","plainCitation":"(108)","noteIndex":0},"citationItems":[{"id":73815,"uris":["http://zotero.org/users/5328021/items/832IQI2P"],"uri":["http://zotero.org/users/5328021/items/832IQI2P"],"itemData":{"id":73815,"type":"article-journal","abstract":"We first compared long-term clinical outcomes in treating critical limb ischemia  (CLI) and foot ulcer in patients with diabetes between autologous bone marrow mesenchymal stem cell (BMMSC) and bone-marrow-derived mononuclear cell (BMMNC) transplants. Forty-one patients were enrolled and followed up for 3 years. They received an 18-day standard treatment before stem cell transplantation. Patients  with bilateral CLI and foot ulcer were injected intramuscularly or basally with BMMSC, BMMNC, or normal saline (NS). Cox model analysis showed significant differences in the hazard ratio (HR) for amputation with treatment by BMMSC (HR 0.21 [95% CI (0.05, 0.95)], P = 0.043), infection of foot (HR 5.30 [95% CI (1.89, 14.92)], P = 0.002), and age &gt;/=64 (HR 3.01 [95% CI (1.11, 8.15)], P = 0.030), but no significant differences by BMMNC at 9 months after transplantation. Regarding ulcer healing and recurrence rate, the BMMSC group demonstrated a significant difference from the NS group during the 3-6 months after transplantation or healing, but the BMMNC group did not. This trial suggests that, compared with BMMNC treatment, BMMSC treatment leads to a longer time of limb salvage and blood flow improvement, and, when compared with conventional therapy, it can promote limb blood flow and ulcerative healing, and reduce ulcer  recurrence and amputation within 9 months.","container-title":"Cell transplantation","issue":"5","journalAbbreviation":"Cell Transplant","language":"eng","note":"PMID: 30917698","page":"645-652","title":"Long-Term Outcomes of BMMSC Compared with BMMNC for Treatment of Critical Limb Ischemia and Foot Ulcer in Patients with Diabetes.","volume":"28","author":[{"family":"Lu","given":"Debin"},{"family":"Jiang","given":"Youzhao"},{"family":"Deng","given":"Wuquan"},{"family":"Zhang","given":"Yan"},{"family":"Liang","given":"Ziwen"},{"family":"Wu","given":"Qinan"},{"family":"Jiang","given":"Xiaoyan"},{"family":"Zhang","given":"Ling"},{"family":"Gao","given":"Fang"},{"family":"Cao","given":"Ying"},{"family":"Chen","given":"Bing"},{"family":"Xue","given":"Yaoming"}],"issued":{"date-parts":[["2019",5]]}}}],"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(108)</w:t>
            </w:r>
            <w:r w:rsidRPr="00CA32B9">
              <w:rPr>
                <w:rFonts w:asciiTheme="minorHAnsi" w:hAnsiTheme="minorHAnsi" w:cstheme="minorHAnsi"/>
                <w:szCs w:val="20"/>
                <w:lang w:val="en-US"/>
              </w:rPr>
              <w:fldChar w:fldCharType="end"/>
            </w:r>
          </w:p>
        </w:tc>
      </w:tr>
      <w:tr w:rsidR="005F3357" w14:paraId="25784E8B" w14:textId="77777777" w:rsidTr="00FC4B6F">
        <w:tc>
          <w:tcPr>
            <w:tcW w:w="3213" w:type="dxa"/>
            <w:vAlign w:val="center"/>
          </w:tcPr>
          <w:p w14:paraId="7B753063" w14:textId="7B72D84F" w:rsidR="005F3357" w:rsidRDefault="005F3357" w:rsidP="003F3795">
            <w:pPr>
              <w:jc w:val="center"/>
              <w:rPr>
                <w:lang w:val="en-US"/>
              </w:rPr>
            </w:pPr>
            <w:r w:rsidRPr="00CA32B9">
              <w:rPr>
                <w:rFonts w:asciiTheme="minorHAnsi" w:hAnsiTheme="minorHAnsi" w:cstheme="minorHAnsi"/>
                <w:color w:val="9A9B9D" w:themeColor="text1" w:themeTint="99"/>
                <w:szCs w:val="20"/>
                <w:lang w:val="en-US"/>
              </w:rPr>
              <w:t>1 study (II)</w:t>
            </w:r>
          </w:p>
        </w:tc>
        <w:tc>
          <w:tcPr>
            <w:tcW w:w="1653" w:type="dxa"/>
            <w:vAlign w:val="center"/>
          </w:tcPr>
          <w:p w14:paraId="59CE4112" w14:textId="7FE140F6" w:rsidR="005F3357" w:rsidRDefault="005F3357" w:rsidP="003F3795">
            <w:pPr>
              <w:jc w:val="center"/>
              <w:rPr>
                <w:lang w:val="en-US"/>
              </w:rPr>
            </w:pPr>
            <w:r w:rsidRPr="00CA32B9">
              <w:rPr>
                <w:rFonts w:asciiTheme="minorHAnsi" w:hAnsiTheme="minorHAnsi" w:cstheme="minorHAnsi"/>
                <w:color w:val="9A9B9D" w:themeColor="text1" w:themeTint="99"/>
                <w:szCs w:val="20"/>
                <w:lang w:val="en-US"/>
              </w:rPr>
              <w:t>7</w:t>
            </w:r>
          </w:p>
        </w:tc>
        <w:tc>
          <w:tcPr>
            <w:tcW w:w="2218" w:type="dxa"/>
            <w:vMerge/>
            <w:vAlign w:val="center"/>
          </w:tcPr>
          <w:p w14:paraId="58A33A29" w14:textId="77777777" w:rsidR="005F3357" w:rsidRDefault="005F3357" w:rsidP="003F3795">
            <w:pPr>
              <w:jc w:val="center"/>
              <w:rPr>
                <w:lang w:val="en-US"/>
              </w:rPr>
            </w:pPr>
          </w:p>
        </w:tc>
        <w:tc>
          <w:tcPr>
            <w:tcW w:w="2840" w:type="dxa"/>
            <w:vAlign w:val="center"/>
          </w:tcPr>
          <w:p w14:paraId="08FB22F2" w14:textId="7F861DB7" w:rsidR="005F3357" w:rsidRDefault="005F3357"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FduVdB4q","properties":{"formattedCitation":"(93)","plainCitation":"(93)","noteIndex":0},"citationItems":[{"id":51458,"uris":["http://zotero.org/users/5328021/items/3G9VLIQJ"],"uri":["http://zotero.org/users/5328021/items/3G9VLIQJ"],"itemData":{"id":51458,"type":"article-journal","abstract":"In a randomised, controlled study, we compared the efficacy of Grafix(®) , a human viable wound matrix (hVWM) (N = 50), to standard wound care (n = 47) to heal diabetic foot ulcers (DFUs). The primary endpoint was the proportion of patients with complete wound closure by 12 weeks. Secondary endpoints included the time to wound closure, adverse events and wound closure in the crossover phase. The proportion of patients who achieved complete wound closure was significantly higher in patients who received Grafix (62%) compared with controls (21%, P = 0·0001). The median time to healing was 42 days in Grafix patients compared with 69·5 days in controls (P = 0·019). There were fewer Grafix patients with adverse events (44% versus 66%, P = 0·031) and fewer Grafix patients with wound-related infections (18% versus 36·2%, P = 0·044). Among the study subjects that healed, ulcers remained closed in 82·1% of patients (23 of 28 patients) in the Grafix group versus 70% (7 of 10 patients) in the control group (P = 0·419). Treatment with Grafix significantly improved DFU healing compared with standard wound therapy. Importantly, Grafix also reduced DFU-related complications. The results of this well-controlled study showed that Grafix is a safe and more effective therapy for treating DFUs than standard wound therapy.","container-title":"International Wound Journal","issue":"5","journalAbbreviation":"Int Wound J","language":"eng","note":"PMID: 25048468","page":"554-560","title":"The efficacy and safety of Grafix(®) for the treatment of chronic diabetic foot ulcers: results of a multi-centre, controlled, randomised, blinded, clinical trial","volume":"11","author":[{"family":"Lavery","given":"Lawrence A."},{"family":"Fulmer","given":"James"},{"family":"Shebetka","given":"Karry Ann"},{"family":"Regulski","given":"Matthew"},{"family":"Vayser","given":"Dean"},{"family":"Fried","given":"David"},{"family":"Kashefsky","given":"Howard"},{"family":"Owings","given":"Tammy M."},{"family":"Nadarajah","given":"Janaki"},{"literal":"Grafix Diabetic Foot Ulcer Study Group"}],"issued":{"date-parts":[["2014",10]]}}}],"schema":"https://github.com/citation-style-language/schema/raw/master/csl-citation.json"}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(93)</w:t>
            </w:r>
            <w:r w:rsidRPr="00CA32B9">
              <w:rPr>
                <w:rFonts w:asciiTheme="minorHAnsi" w:hAnsiTheme="minorHAnsi" w:cstheme="minorHAnsi"/>
                <w:szCs w:val="20"/>
                <w:lang w:val="en-US"/>
              </w:rPr>
              <w:fldChar w:fldCharType="end"/>
            </w:r>
          </w:p>
        </w:tc>
      </w:tr>
      <w:tr w:rsidR="003F3795" w:rsidRPr="00166EC2" w14:paraId="1608F2A6" w14:textId="77777777" w:rsidTr="004E4612">
        <w:tc>
          <w:tcPr>
            <w:tcW w:w="9924" w:type="dxa"/>
            <w:gridSpan w:val="4"/>
            <w:vAlign w:val="center"/>
          </w:tcPr>
          <w:p w14:paraId="75389069" w14:textId="17A98241" w:rsidR="003F3795" w:rsidRDefault="003F3795" w:rsidP="003F3795">
            <w:pPr>
              <w:keepNext/>
              <w:jc w:val="left"/>
              <w:rPr>
                <w:lang w:val="en-US"/>
              </w:rPr>
            </w:pPr>
            <w:r w:rsidRPr="00CA32B9">
              <w:rPr>
                <w:rFonts w:asciiTheme="minorHAnsi" w:hAnsiTheme="minorHAnsi" w:cstheme="minorHAnsi"/>
                <w:b/>
                <w:szCs w:val="20"/>
                <w:lang w:val="en-US"/>
              </w:rPr>
              <w:t>Ulcer area reduction at 16 weeks</w:t>
            </w:r>
          </w:p>
        </w:tc>
      </w:tr>
      <w:tr w:rsidR="003F3795" w14:paraId="75E4AEBF" w14:textId="77777777" w:rsidTr="004E4612">
        <w:tc>
          <w:tcPr>
            <w:tcW w:w="3213" w:type="dxa"/>
            <w:vAlign w:val="center"/>
          </w:tcPr>
          <w:p w14:paraId="04B742A0" w14:textId="4074423C" w:rsidR="003F3795" w:rsidRDefault="003F3795" w:rsidP="003F3795">
            <w:pPr>
              <w:jc w:val="center"/>
              <w:rPr>
                <w:lang w:val="en-US"/>
              </w:rPr>
            </w:pPr>
            <w:r w:rsidRPr="00CA32B9">
              <w:rPr>
                <w:rFonts w:asciiTheme="minorHAnsi" w:hAnsiTheme="minorHAnsi" w:cstheme="minorHAnsi"/>
                <w:szCs w:val="20"/>
                <w:lang w:val="en-US"/>
              </w:rPr>
              <w:t>5 studies (</w:t>
            </w:r>
            <w:r w:rsidRPr="00CA32B9">
              <w:rPr>
                <w:rFonts w:asciiTheme="minorHAnsi" w:eastAsia="Times New Roman" w:hAnsiTheme="minorHAnsi" w:cstheme="minorHAnsi"/>
                <w:szCs w:val="20"/>
                <w:lang w:val="en-US"/>
              </w:rPr>
              <w:t>II)</w:t>
            </w:r>
          </w:p>
        </w:tc>
        <w:tc>
          <w:tcPr>
            <w:tcW w:w="1653" w:type="dxa"/>
            <w:vAlign w:val="center"/>
          </w:tcPr>
          <w:p w14:paraId="0583A0A3" w14:textId="471DC99E" w:rsidR="003F3795" w:rsidRDefault="003F3795" w:rsidP="003F3795">
            <w:pPr>
              <w:jc w:val="center"/>
              <w:rPr>
                <w:lang w:val="en-US"/>
              </w:rPr>
            </w:pPr>
            <w:r w:rsidRPr="00CA32B9">
              <w:rPr>
                <w:rFonts w:asciiTheme="minorHAnsi" w:hAnsiTheme="minorHAnsi" w:cstheme="minorHAnsi"/>
                <w:szCs w:val="20"/>
                <w:lang w:val="en-US"/>
              </w:rPr>
              <w:t>6,2</w:t>
            </w:r>
          </w:p>
        </w:tc>
        <w:tc>
          <w:tcPr>
            <w:tcW w:w="2218" w:type="dxa"/>
            <w:vMerge w:val="restart"/>
            <w:vAlign w:val="center"/>
          </w:tcPr>
          <w:p w14:paraId="25B63CA5" w14:textId="5CCC99B9" w:rsidR="003F3795" w:rsidRDefault="003F3795" w:rsidP="003F3795">
            <w:pPr>
              <w:jc w:val="center"/>
              <w:rPr>
                <w:lang w:val="en-US"/>
              </w:rPr>
            </w:pPr>
            <w:r w:rsidRPr="00CA32B9">
              <w:rPr>
                <w:rFonts w:asciiTheme="minorHAnsi" w:hAnsiTheme="minorHAnsi" w:cstheme="minorHAnsi"/>
                <w:szCs w:val="20"/>
                <w:lang w:val="en-US"/>
              </w:rPr>
              <w:t>Moderate</w:t>
            </w:r>
          </w:p>
        </w:tc>
        <w:tc>
          <w:tcPr>
            <w:tcW w:w="2840" w:type="dxa"/>
            <w:vAlign w:val="center"/>
          </w:tcPr>
          <w:p w14:paraId="5B415EF4" w14:textId="30323A8E"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tqq9NNba","properties":{"formattedCitation":"(91,94,100,105,109)","plainCitation":"(91,94,100,105,109)","noteIndex":0},"citationItems":[{"id":49088,"uris":["http://zotero.org/users/5328021/items/U9GRW3RV"],"uri":["http://zotero.org/users/5328021/items/U9GRW3RV"],"itemData":{"id":49088,"type":"article-journal","abstract":"BACKGROUND: The authors aimed to evaluate the efficacy of a bioimplant dressing in comparison with a wet dressing in patients with diabetic foot ulcers (DFUs).\nMATERIALS AND METHODS: Fifty-seven patients with diabetes who had an ulcer of Wagner Grades 2-4 were included in this controlled clinical trial. The study was conducted in the outpatient diabetic foot clinic of Dr. Shariati Hospital, affiliated with the Endocrinology and Metabolism Research Institute, Tehran University of Medical Sciences, Tehran, Iran, from November 2010 to March 2012. Fifty-seven cases of DFUs were equally and randomly divided into control and test groups. The bioimplant group received an amniotic membrane dressing while the control group was treated with a wet dressing. Both groups were evaluated once a week for 6 weeks for the degree of epithelialization and granulation tissue of the wound.\nRESULTS: The complete healing rate (ie, wound closure) in the whole study population was 28.1% (control group, 16.7%; bioimplant group, 40.7%, P = 0.04). In 21 patients (77.77%) of the bioimplant group, granulation tissue was extended within the third visit. Amputation and hospitalization rates were higher in the control group compared to the bioimplant group; however, the difference was not statistically significant (relative risk [RR]: 1.11, 95% CI 0.91-1.34, P = 0.258; RR: 1.27, 95% CI 0.97-1.66, P = 0.076, respectively).\nCONCLUSION: The bioimplant dressing was significantly superior to the wet dressing in prompting the complete healing of DFUs. Ease of use, absence of adverse effects, and a facilitated wound healing process are among properties of amniotic membrane that make it an appropriate dressing in the management of DFUs. Additional research will shed more light on the promising advantages of this material in healing DFUs.","container-title":"Wounds: A Compendium of Clinical Research and Practice","issue":"7","journalAbbreviation":"Wounds","language":"eng","note":"PMID: 27428720","page":"248-254","title":"Comparison of a Bioimplant Dressing With a Wet Dressing for the Treatment of Diabetic Foot Ulcers: A Randomized, Controlled Clinical Trial","volume":"28","author":[{"family":"Mohajeri-Tehrani","given":"Mohammad Reza"},{"family":"Variji","given":"Zeinab"},{"family":"Mohseni","given":"Shahrzad"},{"family":"Firuz","given":"Alireza"},{"family":"Annabestani","given":"Zohreh"},{"family":"Zartab","given":"Hamed"},{"family":"Rad","given":"Maryam Aboee"},{"family":"Tootee","given":"Ali"},{"family":"Dowlati","given":"Yahya"},{"family":"Larijani","given":"Bagher"}],"issued":{"date-parts":[["2016",7]]}}},{"id":51697,"uris":["http://zotero.org/users/5328021/items/87SEQBIZ"],"uri":["http://zotero.org/users/5328021/items/87SEQBIZ"],"itemData":{"id":51697,"type":"article-journal","abstract":"The aim of this study is to determine if weekly application of dehydrated human amnion/chorion membrane allograft reduce time to heal more effectively than biweekly application for treatment of diabetic foot ulcers. This was an institutional review board-approved, registered, prospective, randomised, comparative, non-blinded, single-centre clinical trial. Patients with non-infected ulcers of ≥ 4 weeks duration were included for the study. They were randomised to receive weekly or biweekly application of allograft in addition to a non-adherent, moist dressing with compressive wrapping. All wounds were offloaded. The primary study outcome was mean time to healing. Overall, during the 12-week study period, 92·5% (37/40) ulcers completely healed. Mean time to complete healing was 4·1 ± 2·9 versus 2·4 ± 1·8 weeks (P = 0·039) in the biweekly versus weekly groups, respectively. Complete healing occurred in 50% versus 90% by 4 weeks in the biweekly and weekly groups, respectively (P = 0·014). Number of grafts applied to healed wounds was similar at 2·4 ± 1·5 and 2·3 ± 1·8 for biweekly versus weekly groups, respectively (P = 0·841). These results validate previous studies showing that the allograft is an effective treatment for diabetic ulcers and show that wounds treated with weekly application heal more rapidly than with biweekly application. More rapid healing may decrease clinical operational costs and prevent long-term medical complications.","container-title":"International Wound Journal","issue":"2","journalAbbreviation":"Int Wound J","language":"eng","note":"PMID: 24618401\nPMCID: PMC4235421","page":"122-128","title":"A prospective, randomised comparative study of weekly versus biweekly application of dehydrated human amnion/chorion membrane allograft in the management of diabetic foot ulcers","volume":"11","author":[{"family":"Zelen","given":"Charles M."},{"family":"Serena","given":"Thomas E."},{"family":"Snyder","given":"Robert J."}],"issued":{"date-parts":[["2014",4]]}}},{"id":45678,"uris":["http://zotero.org/users/5328021/items/DUDCDQG8"],"uri":["http://zotero.org/users/5328021/items/DUDCDQG8"],"itemData":{"id":45678,"type":"article-journal","abstract":"Aseptically processed human reticular acellular dermal matrix (HR-ADM) has been previously shown to improve wound closure in 40 diabetic patients with non-healing foot ulcers. The study was extended to 40 additional patients (80 in total) to validate and extend the original findings. The entire cohort of 80 patients underwent appropriate offloading and standard of care (SOC) during a 2-week screening period and, after meeting eligibility criteria, were randomised to receive weekly applications of HR-ADM plus SOC or SOC alone for up to 12 weeks. The primary outcome was the proportion of wounds closed at 6 weeks. Sixty-eight percent (27/40) in the HR-ADM group were completely healed at 6 weeks compared with 15% (6/40) in the SOC group. The proportions of wounds healed at 12 weeks were 80% (34/40) and 30% (12/40), respectively. The mean time to heal within 12 weeks was 38 days for the HR-ADM group and 72 days for the SOC group. There was no incidence of increased adverse or serious adverse events between groups or any graft-related adverse events. The mean and median HR-ADM product costs at 12 weeks were $1200 and $680, respectively. HR-ADM is clinically superior to SOC, is cost effective relative to other comparable treatment modalities, and is an efficacious treatment for chronic non-healing diabetic foot ulcers.","container-title":"International Wound Journal","issue":"5","journalAbbreviation":"Int Wound J","language":"eng","note":"PMID: 29682897","page":"731-739","title":"An aseptically processed, acellular, reticular, allogenic human dermis improves healing in diabetic foot ulcers: A prospective, randomised, controlled, multicentre follow-up trial","volume":"15","author":[{"family":"Zelen","given":"Charles M."},{"family":"Orgill","given":"Dennis P."},{"family":"Serena","given":"Thomas E."},{"family":"Galiano","given":"Robert E."},{"family":"Carter","given":"Marissa J."},{"family":"DiDomenico","given":"Lawrence A."},{"family":"Keller","given":"Jennifer"},{"family":"Kaufman","given":"Jarrod P."},{"family":"Li","given":"William W."}],"issued":{"date-parts":[["2018",10]]}}},{"id":49518,"uris":["http://zotero.org/users/5328021/items/IRT4DUV9"],"uri":["http://zotero.org/users/5328021/items/IRT4DUV9"],"itemData":{"id":49518,"type":"article-journal","abstract":"Objective: This study demonstrates that superior outcomes are possible when diabetic foot ulcers (DFU) are managed with tri-layer porcine small intestine submucosa (SIS). Approach: Patients with DFU from 11 centers participated in this prospective randomized controlled trial. Qualified subjects were randomized (1:1) to either SIS or standard care (SC) selected at the discretion of the Investigator and followed for 12 weeks or complete ulcer closure. Results: Eighty-two subjects (41 in each group) were evaluable in the intent-to-treat analysis. Ulcers managed with SIS had a significantly greater proportion closed by 12 weeks than for the Control group (54% vs. 32%, p=0.021) and this proportion was numerically higher at all visits. Time to closure for ulcers achieving closure was 2 weeks earlier for the SIS group than for SC. Median reduction in ulcer area was significantly greater for SIS at each weekly visit (all p values&lt;0.05). Review of reported adverse events found no safety concerns. Innovation: These data support the use of tri-layer SIS for the effective management of DFU. Conclusion: In this randomized controlled trial, SIS was found to be associated with more rapid improvement, and a higher likelihood of achieving complete ulcer closure than those ulcers treated with SC.","container-title":"Advances in Wound Care","issue":"12","journalAbbreviation":"Adv Wound Care (New Rochelle)","language":"eng","note":"PMID: 26634183\nPMCID: PMC4651054","page":"711-718","title":"The Management of Diabetic Foot Ulcers with Porcine Small Intestine Submucosa Tri-Layer Matrix: A Randomized Controlled Trial","volume":"4","author":[{"family":"Cazzell","given":"Shawn M."},{"family":"Lange","given":"Darrell L."},{"family":"Dickerson","given":"Jaime E."},{"family":"Slade","given":"Herbert B."}],"issued":{"date-parts":[["2015",12,1]]}}},{"id":53777,"uris":["http://zotero.org/users/5328021/items/8QQ7N7HC"],"uri":["http://zotero.org/users/5328021/items/8QQ7N7HC"],"itemData":{"id":53777,"type":"article-journal","abstract":"Diabetic foot ulcers often pose a difficult treatment problem. Repeated applications of cell-based products have been reported to result in acceleration of diabetic wound healing. The purpose of this clinical trial study was to report preliminary findings of the efficacy and safety of the cultured allogeneic keratinocyte sheets in the treatment of diabetic foot ulcers. Fifty-nine patients with diabetic foot ulcers were randomized to either the keratinocyte treatment group (n = 27) or the control group treated with vaseline gauze (n = 32). Except for the application of keratinocytes, treatment of study ulcers was identical for patients in both groups. Either keratinocyte sheet or vaseline gauze was applied at the beginning of the study and weekly thereafter for a maximum of 11 weeks. The maximum follow-up period for each patient was 12 weeks. Complete ulcer healing was achieved in 100% of the treatment group and 69% of the control group (p &lt; 0.05). The Kaplan-Meier median times to complete closure were 35 and 57 days for the keratinocyte and control groups, respectively. No adverse events related to the treatment occurred. These results indicate that cultured allogeneic keratinocytes may offer a safe and effective treatment for diabetic foot ulcers.","container-title":"Wound Repair and Regeneration: Official Publication of the Wound Healing Society [and] the European Tissue Repair Society","issue":"4","journalAbbreviation":"Wound Repair Regen","language":"eng","note":"PMID: 22672334","page":"491-499","title":"Treatment of diabetic foot ulcers using cultured allogeneic keratinocytes--a pilot study","volume":"20","author":[{"family":"You","given":"Hi-Jin"},{"family":"Han","given":"Seung-Kyu"},{"family":"Lee","given":"Jin-Woo"},{"family":"Chang","given":"Hak"}],"issued":{"date-parts":[["2012",8]]}}}],"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(91,94,100,105,109)</w:t>
            </w:r>
            <w:r w:rsidRPr="00CA32B9">
              <w:rPr>
                <w:rFonts w:asciiTheme="minorHAnsi" w:hAnsiTheme="minorHAnsi" w:cstheme="minorHAnsi"/>
                <w:szCs w:val="20"/>
                <w:lang w:val="en-US"/>
              </w:rPr>
              <w:fldChar w:fldCharType="end"/>
            </w:r>
          </w:p>
        </w:tc>
      </w:tr>
      <w:tr w:rsidR="003F3795" w14:paraId="65356282" w14:textId="77777777" w:rsidTr="004E4612">
        <w:tc>
          <w:tcPr>
            <w:tcW w:w="3213" w:type="dxa"/>
            <w:vAlign w:val="center"/>
          </w:tcPr>
          <w:p w14:paraId="0FCA7A83" w14:textId="11FD2617" w:rsidR="003F3795" w:rsidRDefault="003F3795" w:rsidP="003F3795">
            <w:pPr>
              <w:jc w:val="center"/>
              <w:rPr>
                <w:lang w:val="en-US"/>
              </w:rPr>
            </w:pPr>
            <w:r w:rsidRPr="00CA32B9">
              <w:rPr>
                <w:rFonts w:asciiTheme="minorHAnsi" w:hAnsiTheme="minorHAnsi" w:cstheme="minorHAnsi"/>
                <w:color w:val="9A9B9D" w:themeColor="text1" w:themeTint="99"/>
                <w:szCs w:val="20"/>
                <w:lang w:val="en-US"/>
              </w:rPr>
              <w:t>1 study (II)</w:t>
            </w:r>
          </w:p>
        </w:tc>
        <w:tc>
          <w:tcPr>
            <w:tcW w:w="1653" w:type="dxa"/>
            <w:vAlign w:val="center"/>
          </w:tcPr>
          <w:p w14:paraId="65CAB141" w14:textId="37AB054A" w:rsidR="003F3795" w:rsidRDefault="003F3795" w:rsidP="003F3795">
            <w:pPr>
              <w:jc w:val="center"/>
              <w:rPr>
                <w:lang w:val="en-US"/>
              </w:rPr>
            </w:pPr>
            <w:r w:rsidRPr="00CA32B9">
              <w:rPr>
                <w:rFonts w:asciiTheme="minorHAnsi" w:hAnsiTheme="minorHAnsi" w:cstheme="minorHAnsi"/>
                <w:color w:val="9A9B9D" w:themeColor="text1" w:themeTint="99"/>
                <w:szCs w:val="20"/>
                <w:lang w:val="en-US"/>
              </w:rPr>
              <w:t>6</w:t>
            </w:r>
          </w:p>
        </w:tc>
        <w:tc>
          <w:tcPr>
            <w:tcW w:w="2218" w:type="dxa"/>
            <w:vMerge/>
            <w:vAlign w:val="center"/>
          </w:tcPr>
          <w:p w14:paraId="2BFEF743" w14:textId="77777777" w:rsidR="003F3795" w:rsidRDefault="003F3795" w:rsidP="003F3795">
            <w:pPr>
              <w:jc w:val="center"/>
              <w:rPr>
                <w:lang w:val="en-US"/>
              </w:rPr>
            </w:pPr>
          </w:p>
        </w:tc>
        <w:tc>
          <w:tcPr>
            <w:tcW w:w="2840" w:type="dxa"/>
            <w:vAlign w:val="center"/>
          </w:tcPr>
          <w:p w14:paraId="6F608759" w14:textId="36F6C5EB"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7UoJu5qD","properties":{"formattedCitation":"(110)","plainCitation":"(110)","noteIndex":0},"citationItems":[{"id":45421,"uris":["http://zotero.org/users/5328021/items/R6D2Y96Y"],"uri":["http://zotero.org/users/5328021/items/R6D2Y96Y"],"itemData":{"id":45421,"type":"article-journal","abstract":"Randomized controlled clinical trials, the gold standard to determine treatment efficacy against control, have demonstrated advantages of skin substitutes for the treatment of chronic diabetic foot ulcers in comparison to standard of care. However, randomized controlled clinical trials comparing efficacy between two or more skin substitutes are very limited. With growing numbers of new skin substitutes, such studies are essential for treatment and policy-making decisions by wound care providers and payers. In this study, we analyzed clinical outcomes and product cost between a viable cryopreserved placental membrane (vCPM) and a human fibroblast-derived dermal substitute (hFDS) for the treatment of chronic diabetic foot ulcers in a prospective, multicenter, single-blind study. The outcomes of 62 patients were analyzed: 31 patients in the vCPM treatment group and 31 patients in the hFDS treatment group. Utilizing a non-inferiority trial design and the established treatment regimen of 8 applications for hFDS, we demonstrated that vCPM was not inferior to hFDS for the proportion of patients achieving complete wound closure (9.68, 90% CI: [10.67, 28.94]). However, preliminary findings show that vCPM may have better outcomes for wounds ≤ 5 cm2 : 81.3% (13/16) of wounds in the vCPM group vs. 37.5% (6/16) of wounds in the hFDS group reached complete closure at the end of treatment (p = 0.0118). A preliminary product cost analysis for wounds ≤ 5 cm2 may show significant savings for patients treated with vCPM. Average per-patient costs during the course of treatment were $3,846 and $7,968 (p &lt; 0.0001) for vCPM and hFDS patients, respectively. These results may be used as guidance to wound care providers and payers.","container-title":"Wound Repair and Regeneration: Official Publication of the Wound Healing Society [and] the European Tissue Repair Society","issue":"3","journalAbbreviation":"Wound Repair Regen","language":"eng","note":"PMID: 30098272","page":"274-283","title":"A multicenter, randomized, single-blind trial comparing the efficacy of viable cryopreserved placental membrane to human fibroblast-derived dermal substitute for the treatment of chronic diabetic foot ulcers","volume":"26","author":[{"family":"Ananian","given":"Charles E."},{"family":"Dhillon","given":"Yadwinder S."},{"family":"Van Gils","given":"Carl C."},{"family":"Lindsey","given":"D. Craig"},{"family":"Otto","given":"Raymond J."},{"family":"Dove","given":"Cyaandi R."},{"family":"Pierce","given":"Jessica T."},{"family":"Saunders","given":"Molly C."}],"issued":{"date-parts":[["2018"]]}}}],"schema":"https://github.com/citation-style-language/schema/raw/master/csl-citation.json"}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(110)</w:t>
            </w:r>
            <w:r w:rsidRPr="00CA32B9">
              <w:rPr>
                <w:rFonts w:asciiTheme="minorHAnsi" w:hAnsiTheme="minorHAnsi" w:cstheme="minorHAnsi"/>
                <w:szCs w:val="20"/>
                <w:lang w:val="en-US"/>
              </w:rPr>
              <w:fldChar w:fldCharType="end"/>
            </w:r>
          </w:p>
        </w:tc>
      </w:tr>
      <w:tr w:rsidR="003F3795" w14:paraId="54DE5AD2" w14:textId="77777777" w:rsidTr="004E4612">
        <w:tc>
          <w:tcPr>
            <w:tcW w:w="9924" w:type="dxa"/>
            <w:gridSpan w:val="4"/>
            <w:vAlign w:val="center"/>
          </w:tcPr>
          <w:p w14:paraId="697BFE79" w14:textId="7295C737" w:rsidR="003F3795" w:rsidRDefault="003F3795" w:rsidP="003F3795">
            <w:pPr>
              <w:keepNext/>
              <w:rPr>
                <w:lang w:val="en-US"/>
              </w:rPr>
            </w:pPr>
            <w:r w:rsidRPr="00CA32B9">
              <w:rPr>
                <w:rFonts w:asciiTheme="minorHAnsi" w:hAnsiTheme="minorHAnsi" w:cstheme="minorHAnsi"/>
                <w:b/>
                <w:szCs w:val="20"/>
                <w:lang w:val="en-US"/>
              </w:rPr>
              <w:t>Amputation events</w:t>
            </w:r>
          </w:p>
        </w:tc>
      </w:tr>
      <w:tr w:rsidR="003F3795" w14:paraId="0096B483" w14:textId="77777777" w:rsidTr="004E4612">
        <w:tc>
          <w:tcPr>
            <w:tcW w:w="3213" w:type="dxa"/>
            <w:vAlign w:val="center"/>
          </w:tcPr>
          <w:p w14:paraId="29CEE1CB" w14:textId="47CD104D" w:rsidR="003F3795" w:rsidRDefault="003F3795" w:rsidP="003F3795">
            <w:pPr>
              <w:jc w:val="center"/>
              <w:rPr>
                <w:lang w:val="en-US"/>
              </w:rPr>
            </w:pPr>
            <w:r w:rsidRPr="00CA32B9">
              <w:rPr>
                <w:rFonts w:asciiTheme="minorHAnsi" w:hAnsiTheme="minorHAnsi" w:cstheme="minorHAnsi"/>
                <w:szCs w:val="20"/>
                <w:lang w:val="en-US"/>
              </w:rPr>
              <w:t>1</w:t>
            </w:r>
            <w:r w:rsidRPr="00CA32B9">
              <w:rPr>
                <w:rFonts w:asciiTheme="minorHAnsi" w:eastAsia="Times New Roman" w:hAnsiTheme="minorHAnsi" w:cstheme="minorHAnsi"/>
                <w:szCs w:val="20"/>
                <w:lang w:val="en-US"/>
              </w:rPr>
              <w:t xml:space="preserve"> study (I)</w:t>
            </w:r>
            <w:r w:rsidRPr="00CA32B9">
              <w:rPr>
                <w:rFonts w:asciiTheme="minorHAnsi" w:hAnsiTheme="minorHAnsi" w:cstheme="minorHAnsi"/>
                <w:szCs w:val="20"/>
                <w:lang w:val="en-US"/>
              </w:rPr>
              <w:t xml:space="preserve"> - 1 study (</w:t>
            </w:r>
            <w:r w:rsidRPr="00CA32B9">
              <w:rPr>
                <w:rFonts w:asciiTheme="minorHAnsi" w:eastAsia="Times New Roman" w:hAnsiTheme="minorHAnsi" w:cstheme="minorHAnsi"/>
                <w:szCs w:val="20"/>
                <w:lang w:val="en-US"/>
              </w:rPr>
              <w:t>II)</w:t>
            </w:r>
          </w:p>
        </w:tc>
        <w:tc>
          <w:tcPr>
            <w:tcW w:w="1653" w:type="dxa"/>
            <w:vAlign w:val="center"/>
          </w:tcPr>
          <w:p w14:paraId="00B8E538" w14:textId="20F7273A" w:rsidR="003F3795" w:rsidRDefault="003F3795" w:rsidP="003F3795">
            <w:pPr>
              <w:jc w:val="center"/>
              <w:rPr>
                <w:lang w:val="en-US"/>
              </w:rPr>
            </w:pPr>
            <w:r w:rsidRPr="00CA32B9">
              <w:rPr>
                <w:rFonts w:asciiTheme="minorHAnsi" w:hAnsiTheme="minorHAnsi" w:cstheme="minorHAnsi"/>
                <w:szCs w:val="20"/>
                <w:lang w:val="en-US"/>
              </w:rPr>
              <w:t>7,5</w:t>
            </w:r>
          </w:p>
        </w:tc>
        <w:tc>
          <w:tcPr>
            <w:tcW w:w="2218" w:type="dxa"/>
            <w:vMerge w:val="restart"/>
            <w:vAlign w:val="center"/>
          </w:tcPr>
          <w:p w14:paraId="503E38DC" w14:textId="44A899F6" w:rsidR="003F3795" w:rsidRDefault="003F3795" w:rsidP="003F3795">
            <w:pPr>
              <w:jc w:val="center"/>
              <w:rPr>
                <w:lang w:val="en-US"/>
              </w:rPr>
            </w:pPr>
            <w:r w:rsidRPr="00CA32B9">
              <w:rPr>
                <w:rFonts w:asciiTheme="minorHAnsi" w:hAnsiTheme="minorHAnsi" w:cstheme="minorHAnsi"/>
                <w:szCs w:val="20"/>
                <w:lang w:val="en-US"/>
              </w:rPr>
              <w:t>Good</w:t>
            </w:r>
          </w:p>
        </w:tc>
        <w:tc>
          <w:tcPr>
            <w:tcW w:w="2840" w:type="dxa"/>
            <w:vAlign w:val="center"/>
          </w:tcPr>
          <w:p w14:paraId="7E182D81" w14:textId="13274D8F"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pbQxerW8","properties":{"formattedCitation":"(80,108)","plainCitation":"(80,108)","noteIndex":0},"citationItems":[{"id":49281,"uris":["http://zotero.org/users/5328021/items/4IUMLJV7"],"uri":["http://zotero.org/users/5328021/items/4IUMLJV7"],"itemData":{"id":49281,"type":"article-journal","abstract":"Skin substitutes are increasingly used in the treatment of various types of acute and chronic wounds. The aim of this study was to perform a systematic review and meta-analysis to evaluate the effectiveness of skin substitutes on ulcer healing and limb salvage in the treatment of diabetic foot ulcers. Randomized clinical trials were searched and assessed following the methodology of The Cochrane Collaboration. We included 17 trials, totaling 1655 randomized participants. Risk of bias was variable among included trials. Thirteen trials compared the skin substitutes with standard care. The pooled results showed that that skin substitutes can, in addition to standard care, increase the likelihood of achieving complete ulcer closure compared with standard care alone after 6-16 weeks (risk ratio 1.55, 95% confidence interval [CI] 1.30-1.85). Four of the included trials compared two types of skin substitutes but no particular product showed a superior effect over another. Two trials reported on total incidence of lower limb amputations. Pooling the results of these two trials yielded a statistically significantly lower amputation rate among patients treated with skin substitutes (risk ratio 0.43, 95% CI 0.23-0.81), although the absolute risk difference was small (-0.06, 95% CI -0.10 to -0.01). This systematic review provides evidence that skin substitutes can, in addition to standard care, increase the likelihood of achieving complete ulcer closure compared with standard care alone in the treatment of diabetic foot ulcers. However, effectiveness on the long term, including lower limb salvage and recurrence, is currently lacking and cost-effectiveness is unclear.","container-title":"Wound Repair and Regeneration: Official Publication of the Wound Healing Society [and] the European Tissue Repair Society","issue":"4","journalAbbreviation":"Wound Repair Regen","language":"eng","note":"PMID: 27062201","page":"737-744","title":"Systematic review and meta-analysis of skin substitutes in the treatment of diabetic foot ulcers: Highlights of a Cochrane systematic review","volume":"24","author":[{"family":"Santema","given":"T. B. Katrien"},{"family":"Poyck","given":"Paul P. C."},{"family":"Ubbink","given":"Dirk T."}],"issued":{"date-parts":[["2016"]]}}},{"id":73815,"uris":["http://zotero.org/users/5328021/items/832IQI2P"],"uri":["http://zotero.org/users/5328021/items/832IQI2P"],"itemData":{"id":73815,"type":"article-journal","abstract":"We first compared long-term clinical outcomes in treating critical limb ischemia  (CLI) and foot ulcer in patients with diabetes between autologous bone marrow mesenchymal stem cell (BMMSC) and bone-marrow-derived mononuclear cell (BMMNC) transplants. Forty-one patients were enrolled and followed up for 3 years. They received an 18-day standard treatment before stem cell transplantation. Patients  with bilateral CLI and foot ulcer were injected intramuscularly or basally with BMMSC, BMMNC, or normal saline (NS). Cox model analysis showed significant differences in the hazard ratio (HR) for amputation with treatment by BMMSC (HR 0.21 [95% CI (0.05, 0.95)], P = 0.043), infection of foot (HR 5.30 [95% CI (1.89, 14.92)], P = 0.002), and age &gt;/=64 (HR 3.01 [95% CI (1.11, 8.15)], P = 0.030), but no significant differences by BMMNC at 9 months after transplantation. Regarding ulcer healing and recurrence rate, the BMMSC group demonstrated a significant difference from the NS group during the 3-6 months after transplantation or healing, but the BMMNC group did not. This trial suggests that, compared with BMMNC treatment, BMMSC treatment leads to a longer time of limb salvage and blood flow improvement, and, when compared with conventional therapy, it can promote limb blood flow and ulcerative healing, and reduce ulcer  recurrence and amputation within 9 months.","container-title":"Cell transplantation","issue":"5","journalAbbreviation":"Cell Transplant","language":"eng","note":"PMID: 30917698","page":"645-652","title":"Long-Term Outcomes of BMMSC Compared with BMMNC for Treatment of Critical Limb Ischemia and Foot Ulcer in Patients with Diabetes.","volume":"28","author":[{"family":"Lu","given":"Debin"},{"family":"Jiang","given":"Youzhao"},{"family":"Deng","given":"Wuquan"},{"family":"Zhang","given":"Yan"},{"family":"Liang","given":"Ziwen"},{"family":"Wu","given":"Qinan"},{"family":"Jiang","given":"Xiaoyan"},{"family":"Zhang","given":"Ling"},{"family":"Gao","given":"Fang"},{"family":"Cao","given":"Ying"},{"family":"Chen","given":"Bing"},{"family":"Xue","given":"Yaoming"}],"issued":{"date-parts":[["2019",5]]}}}],"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(80,108)</w:t>
            </w:r>
            <w:r w:rsidRPr="00CA32B9">
              <w:rPr>
                <w:rFonts w:asciiTheme="minorHAnsi" w:hAnsiTheme="minorHAnsi" w:cstheme="minorHAnsi"/>
                <w:szCs w:val="20"/>
                <w:lang w:val="en-US"/>
              </w:rPr>
              <w:fldChar w:fldCharType="end"/>
            </w:r>
          </w:p>
        </w:tc>
      </w:tr>
      <w:tr w:rsidR="003F3795" w:rsidRPr="00166EC2" w14:paraId="339320D9" w14:textId="77777777" w:rsidTr="004E4612">
        <w:tc>
          <w:tcPr>
            <w:tcW w:w="3213" w:type="dxa"/>
            <w:vAlign w:val="center"/>
          </w:tcPr>
          <w:p w14:paraId="5ABC8232" w14:textId="65D71C99" w:rsidR="003F3795" w:rsidRDefault="003F3795" w:rsidP="003F3795">
            <w:pPr>
              <w:jc w:val="center"/>
              <w:rPr>
                <w:lang w:val="en-US"/>
              </w:rPr>
            </w:pPr>
            <w:r>
              <w:rPr>
                <w:rFonts w:asciiTheme="minorHAnsi" w:hAnsiTheme="minorHAnsi" w:cstheme="minorHAnsi"/>
                <w:color w:val="9A9B9D" w:themeColor="text1" w:themeTint="99"/>
                <w:szCs w:val="20"/>
                <w:lang w:val="en-US"/>
              </w:rPr>
              <w:t>1 study (II)</w:t>
            </w:r>
            <w:r>
              <w:rPr>
                <w:rFonts w:asciiTheme="minorHAnsi" w:hAnsiTheme="minorHAnsi" w:cstheme="minorHAnsi"/>
                <w:color w:val="9A9B9D" w:themeColor="text1" w:themeTint="99"/>
                <w:szCs w:val="20"/>
                <w:vertAlign w:val="superscript"/>
                <w:lang w:val="en-US"/>
              </w:rPr>
              <w:t>b</w:t>
            </w:r>
          </w:p>
        </w:tc>
        <w:tc>
          <w:tcPr>
            <w:tcW w:w="1653" w:type="dxa"/>
            <w:vAlign w:val="center"/>
          </w:tcPr>
          <w:p w14:paraId="0CDB8D49" w14:textId="0870F586" w:rsidR="003F3795" w:rsidRDefault="003F3795" w:rsidP="003F3795">
            <w:pPr>
              <w:jc w:val="center"/>
              <w:rPr>
                <w:lang w:val="en-US"/>
              </w:rPr>
            </w:pPr>
            <w:r w:rsidRPr="00CA32B9">
              <w:rPr>
                <w:rFonts w:asciiTheme="minorHAnsi" w:hAnsiTheme="minorHAnsi" w:cstheme="minorHAnsi"/>
                <w:color w:val="9A9B9D" w:themeColor="text1" w:themeTint="99"/>
                <w:szCs w:val="20"/>
                <w:lang w:val="en-US"/>
              </w:rPr>
              <w:t>4</w:t>
            </w:r>
          </w:p>
        </w:tc>
        <w:tc>
          <w:tcPr>
            <w:tcW w:w="2218" w:type="dxa"/>
            <w:vMerge/>
            <w:vAlign w:val="center"/>
          </w:tcPr>
          <w:p w14:paraId="5DC7EA2E" w14:textId="77777777" w:rsidR="003F3795" w:rsidRDefault="003F3795" w:rsidP="003F3795">
            <w:pPr>
              <w:jc w:val="center"/>
              <w:rPr>
                <w:lang w:val="en-US"/>
              </w:rPr>
            </w:pPr>
          </w:p>
        </w:tc>
        <w:tc>
          <w:tcPr>
            <w:tcW w:w="2840" w:type="dxa"/>
            <w:vAlign w:val="center"/>
          </w:tcPr>
          <w:p w14:paraId="596FDD8C" w14:textId="7087C448" w:rsidR="003F3795" w:rsidRDefault="003F3795" w:rsidP="003F3795">
            <w:pPr>
              <w:keepNext/>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W5QnY0rD","properties":{"formattedCitation":"(91)","plainCitation":"(91)","noteIndex":0},"citationItems":[{"id":49088,"uris":["http://zotero.org/users/5328021/items/U9GRW3RV"],"uri":["http://zotero.org/users/5328021/items/U9GRW3RV"],"itemData":{"id":49088,"type":"article-journal","abstract":"BACKGROUND: The authors aimed to evaluate the efficacy of a bioimplant dressing in comparison with a wet dressing in patients with diabetic foot ulcers (DFUs).\nMATERIALS AND METHODS: Fifty-seven patients with diabetes who had an ulcer of Wagner Grades 2-4 were included in this controlled clinical trial. The study was conducted in the outpatient diabetic foot clinic of Dr. Shariati Hospital, affiliated with the Endocrinology and Metabolism Research Institute, Tehran University of Medical Sciences, Tehran, Iran, from November 2010 to March 2012. Fifty-seven cases of DFUs were equally and randomly divided into control and test groups. The bioimplant group received an amniotic membrane dressing while the control group was treated with a wet dressing. Both groups were evaluated once a week for 6 weeks for the degree of epithelialization and granulation tissue of the wound.\nRESULTS: The complete healing rate (ie, wound closure) in the whole study population was 28.1% (control group, 16.7%; bioimplant group, 40.7%, P = 0.04). In 21 patients (77.77%) of the bioimplant group, granulation tissue was extended within the third visit. Amputation and hospitalization rates were higher in the control group compared to the bioimplant group; however, the difference was not statistically significant (relative risk [RR]: 1.11, 95% CI 0.91-1.34, P = 0.258; RR: 1.27, 95% CI 0.97-1.66, P = 0.076, respectively).\nCONCLUSION: The bioimplant dressing was significantly superior to the wet dressing in prompting the complete healing of DFUs. Ease of use, absence of adverse effects, and a facilitated wound healing process are among properties of amniotic membrane that make it an appropriate dressing in the management of DFUs. Additional research will shed more light on the promising advantages of this material in healing DFUs.","container-title":"Wounds: A Compendium of Clinical Research and Practice","issue":"7","journalAbbreviation":"Wounds","language":"eng","note":"PMID: 27428720","page":"248-254","title":"Comparison of a Bioimplant Dressing With a Wet Dressing for the Treatment of Diabetic Foot Ulcers: A Randomized, Controlled Clinical Trial","volume":"28","author":[{"family":"Mohajeri-Tehrani","given":"Mohammad Reza"},{"family":"Variji","given":"Zeinab"},{"family":"Mohseni","given":"Shahrzad"},{"family":"Firuz","given":"Alireza"},{"family":"Annabestani","given":"Zohreh"},{"family":"Zartab","given":"Hamed"},{"family":"Rad","given":"Maryam Aboee"},{"family":"Tootee","given":"Ali"},{"family":"Dowlati","given":"Yahya"},{"family":"Larijani","given":"Bagher"}],"issued":{"date-parts":[["2016",7]]}}}],"schema":"https://github.com/citation-style-language/schema/raw/master/csl-citation.json"} </w:instrText>
            </w:r>
            <w:r w:rsidRPr="00CA32B9">
              <w:rPr>
                <w:rFonts w:asciiTheme="minorHAnsi" w:hAnsiTheme="minorHAnsi" w:cstheme="minorHAnsi"/>
                <w:szCs w:val="20"/>
                <w:lang w:val="en-US"/>
              </w:rPr>
              <w:fldChar w:fldCharType="separate"/>
            </w:r>
            <w:r w:rsidRPr="003F3795">
              <w:rPr>
                <w:rFonts w:cs="Arial"/>
                <w:lang w:val="en-US"/>
              </w:rPr>
              <w:t>(91)</w:t>
            </w:r>
            <w:r w:rsidRPr="00CA32B9">
              <w:rPr>
                <w:rFonts w:asciiTheme="minorHAnsi" w:hAnsiTheme="minorHAnsi" w:cstheme="minorHAnsi"/>
                <w:szCs w:val="20"/>
                <w:lang w:val="en-US"/>
              </w:rPr>
              <w:fldChar w:fldCharType="end"/>
            </w:r>
          </w:p>
        </w:tc>
      </w:tr>
    </w:tbl>
    <w:p w14:paraId="1B9AF7CF" w14:textId="2CEFB659" w:rsidR="003F3795" w:rsidRDefault="003F3795">
      <w:pPr>
        <w:rPr>
          <w:lang w:val="en-US"/>
        </w:rPr>
      </w:pPr>
    </w:p>
    <w:p w14:paraId="03334C74" w14:textId="77777777" w:rsidR="0075607B" w:rsidRDefault="0075607B">
      <w:pPr>
        <w:rPr>
          <w:lang w:val="en-US"/>
        </w:rPr>
      </w:pPr>
    </w:p>
    <w:p w14:paraId="047D1221" w14:textId="6390B928" w:rsidR="003F3795" w:rsidRPr="003F3795" w:rsidRDefault="003F3795" w:rsidP="003F3795">
      <w:pPr>
        <w:pStyle w:val="Caption"/>
        <w:keepNext/>
        <w:rPr>
          <w:bCs w:val="0"/>
          <w:color w:val="58595B" w:themeColor="text1"/>
          <w:szCs w:val="20"/>
          <w:lang w:val="en-US"/>
        </w:rPr>
      </w:pPr>
      <w:r w:rsidRPr="003F3795">
        <w:rPr>
          <w:bCs w:val="0"/>
          <w:color w:val="58595B" w:themeColor="text1"/>
          <w:szCs w:val="20"/>
          <w:lang w:val="en-US"/>
        </w:rPr>
        <w:t>Additional table 5 (continued)</w:t>
      </w:r>
    </w:p>
    <w:tbl>
      <w:tblPr>
        <w:tblStyle w:val="TableGridLight"/>
        <w:tblW w:w="0" w:type="auto"/>
        <w:tblLook w:val="04A0" w:firstRow="1" w:lastRow="0" w:firstColumn="1" w:lastColumn="0" w:noHBand="0" w:noVBand="1"/>
      </w:tblPr>
      <w:tblGrid>
        <w:gridCol w:w="2830"/>
        <w:gridCol w:w="1460"/>
        <w:gridCol w:w="2151"/>
        <w:gridCol w:w="2619"/>
      </w:tblGrid>
      <w:tr w:rsidR="003F3795" w:rsidRPr="00166EC2" w14:paraId="03A4DB6C" w14:textId="77777777" w:rsidTr="003F3795">
        <w:tc>
          <w:tcPr>
            <w:tcW w:w="9060" w:type="dxa"/>
            <w:gridSpan w:val="4"/>
            <w:vAlign w:val="center"/>
          </w:tcPr>
          <w:p w14:paraId="4B22730F" w14:textId="752D0ADB" w:rsidR="003F3795" w:rsidRDefault="003F3795" w:rsidP="003F3795">
            <w:pPr>
              <w:rPr>
                <w:lang w:val="en-US"/>
              </w:rPr>
            </w:pPr>
            <w:r w:rsidRPr="00CA32B9">
              <w:rPr>
                <w:rFonts w:asciiTheme="minorHAnsi" w:hAnsiTheme="minorHAnsi" w:cstheme="minorHAnsi"/>
                <w:b/>
                <w:szCs w:val="20"/>
                <w:lang w:val="en-US"/>
              </w:rPr>
              <w:t>Time to healing</w:t>
            </w:r>
          </w:p>
        </w:tc>
      </w:tr>
      <w:tr w:rsidR="003F3795" w14:paraId="2C0AF498" w14:textId="77777777" w:rsidTr="003F3795">
        <w:tc>
          <w:tcPr>
            <w:tcW w:w="2830" w:type="dxa"/>
            <w:vAlign w:val="center"/>
          </w:tcPr>
          <w:p w14:paraId="668270F5" w14:textId="764E3D14" w:rsidR="003F3795" w:rsidRDefault="003F3795" w:rsidP="003F3795">
            <w:pPr>
              <w:jc w:val="center"/>
              <w:rPr>
                <w:lang w:val="en-US"/>
              </w:rPr>
            </w:pPr>
            <w:r w:rsidRPr="00CA32B9">
              <w:rPr>
                <w:rFonts w:asciiTheme="minorHAnsi" w:hAnsiTheme="minorHAnsi" w:cstheme="minorHAnsi"/>
                <w:szCs w:val="20"/>
                <w:lang w:val="en-US"/>
              </w:rPr>
              <w:t xml:space="preserve">2 </w:t>
            </w:r>
            <w:r w:rsidRPr="00CA32B9">
              <w:rPr>
                <w:rFonts w:asciiTheme="minorHAnsi" w:eastAsia="Times New Roman" w:hAnsiTheme="minorHAnsi" w:cstheme="minorHAnsi"/>
                <w:szCs w:val="20"/>
                <w:lang w:val="en-US"/>
              </w:rPr>
              <w:t>studies (I)</w:t>
            </w:r>
            <w:r w:rsidRPr="00CA32B9">
              <w:rPr>
                <w:rFonts w:asciiTheme="minorHAnsi" w:hAnsiTheme="minorHAnsi" w:cstheme="minorHAnsi"/>
                <w:szCs w:val="20"/>
                <w:lang w:val="en-US"/>
              </w:rPr>
              <w:t xml:space="preserve"> - 9 studies (</w:t>
            </w:r>
            <w:r w:rsidRPr="00CA32B9">
              <w:rPr>
                <w:rFonts w:asciiTheme="minorHAnsi" w:eastAsia="Times New Roman" w:hAnsiTheme="minorHAnsi" w:cstheme="minorHAnsi"/>
                <w:szCs w:val="20"/>
                <w:lang w:val="en-US"/>
              </w:rPr>
              <w:t>II)</w:t>
            </w:r>
          </w:p>
        </w:tc>
        <w:tc>
          <w:tcPr>
            <w:tcW w:w="1460" w:type="dxa"/>
            <w:vAlign w:val="center"/>
          </w:tcPr>
          <w:p w14:paraId="35346615" w14:textId="328A1F2E" w:rsidR="003F3795" w:rsidRDefault="003F3795" w:rsidP="003F3795">
            <w:pPr>
              <w:jc w:val="center"/>
              <w:rPr>
                <w:lang w:val="en-US"/>
              </w:rPr>
            </w:pPr>
            <w:r w:rsidRPr="00CA32B9">
              <w:rPr>
                <w:rFonts w:asciiTheme="minorHAnsi" w:hAnsiTheme="minorHAnsi" w:cstheme="minorHAnsi"/>
                <w:szCs w:val="20"/>
                <w:lang w:val="en-US"/>
              </w:rPr>
              <w:t>6,7</w:t>
            </w:r>
          </w:p>
        </w:tc>
        <w:tc>
          <w:tcPr>
            <w:tcW w:w="2151" w:type="dxa"/>
            <w:vMerge w:val="restart"/>
            <w:vAlign w:val="center"/>
          </w:tcPr>
          <w:p w14:paraId="363D0FDE" w14:textId="77DAE560" w:rsidR="003F3795" w:rsidRDefault="003F3795" w:rsidP="003F3795">
            <w:pPr>
              <w:jc w:val="center"/>
              <w:rPr>
                <w:lang w:val="en-US"/>
              </w:rPr>
            </w:pPr>
            <w:r w:rsidRPr="00CA32B9">
              <w:rPr>
                <w:rFonts w:asciiTheme="minorHAnsi" w:hAnsiTheme="minorHAnsi" w:cstheme="minorHAnsi"/>
                <w:szCs w:val="20"/>
                <w:lang w:val="en-US"/>
              </w:rPr>
              <w:t>Moderate</w:t>
            </w:r>
          </w:p>
        </w:tc>
        <w:tc>
          <w:tcPr>
            <w:tcW w:w="2619" w:type="dxa"/>
            <w:vAlign w:val="center"/>
          </w:tcPr>
          <w:p w14:paraId="5F968220" w14:textId="239E8086" w:rsidR="003F3795" w:rsidRDefault="003F3795" w:rsidP="003F3795">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x4AhkbMZ","properties":{"formattedCitation":"(88,89,92\\uc0\\u8211{}94,97,99,100,104,106,111)","plainCitation":"(88,89,92–94,97,99,100,104,106,111)","noteIndex":0},"citationItems":[{"id":74042,"uris":["http://zotero.org/users/5328021/items/46ZF5F2Y"],"uri":["http://zotero.org/users/5328021/items/46ZF5F2Y"],"itemData":{"id":74042,"type":"article-journal","abstract":"Aim: Determine the effectiveness of hypothermically stored amniotic membrane (HSAM) versus standard of care (SOC) in diabetic foot ulcers (DFUs). Methods: A randomized controlled trial was conducted on 76 DFUs analyzed digitally. Results: Cox wound closure for HSAM (38 wounds) was significantly greater (p = 0.04) at weeks 12 (60 vs 38%), and 16 (63 vs 38%). The probability of wound closure increased by 75% (Hazard Ratio = 1.75; 95% CI: 1.16-2.70). HSAM showed &gt;60% reductions in area (82 vs 58%; p = 0.02) and depth (65 vs 39%; p = 0.04) versus SOC. Conclusion: HSAM increased frequency and probability of wound closure in DFUs versus SOC.","container-title":"Journal of comparative effectiveness research","issue":"1","journalAbbreviation":"J Comp Eff Res","language":"eng","note":"PMID: 31691579","page":"23-34","title":"A randomized controlled clinical trial of a hypothermically stored amniotic membrane for use in diabetic foot ulcers.","volume":"9","author":[{"family":"Serena","given":"Thomas E."},{"family":"Yaakov","given":"Raphael"},{"family":"Moore","given":"Sarah"},{"family":"Cole","given":"Windy"},{"family":"Coe","given":"Stacey"},{"family":"Snyder","given":"Rob"},{"family":"Patel","given":"Keyur"},{"family":"Doner","given":"Bryan"},{"family":"Kasper","given":"Maria A."},{"family":"Hamil","given":"Rachel"},{"family":"Wendling","given":"Santina"},{"family":"Sabolinski","given":"Michael L."}],"issued":{"date-parts":[["2020",1]]}}},{"id":45014,"uris":["http://zotero.org/users/5328021/items/KDLXH7TV"],"uri":["http://zotero.org/users/5328021/items/KDLXH7TV"],"itemData":{"id":45014,"type":"article-journal","abstract":"Outcomes following standard wound care (SWC) for diabetic foot ulcers (DFUs) remain suboptimal. Supplementing SWC with tissue engineered allogeneic cellular wound therapies represents an emerging treatment strategy. This review aimed to evaluate the efficacy and safety of allogeneic skin substitutes and human placental membrane allografts in the management of DFUs. Ovid MEDLINE and Embase databases were searched from inception to October 2017. Any randomized controlled trial (RCT) with an allogeneic skin substitute or placental membrane allograft intervention group was included. Our primary outcome measure was the proportion of completely healed ulcers. Secondary outcome measures included time to complete wound healing and local adverse event rates. Each study was assessed for risk of bias and the quality of evidence was appraised using the GRADE (Grading of Recommendations, Assessment, Development, and Evaluation) approach. Moderate quality evidence from 11 included RCTs demonstrated that both allogeneic cellular approaches improve the proportion of completely healed ulcers at 6 and 12 weeks. One RCT showed that a placental membrane allograft was superior to an allogeneic skin substitute, although this has yet to be repeated in other studies. The addition of allogeneic cellular wound products to SWC improves DFU outcomes. Further studies are required to conclusively establish if placental membrane allografts are superior to allogeneic skin substitutes.","container-title":"The International Journal of Lower Extremity Wounds","issue":"1","journalAbbreviation":"Int J Low Extrem Wounds","language":"eng","note":"PMID: 30663450","page":"10-22","title":"Allogeneic Skin Substitutes Versus Human Placental Membrane Products in the Management of Diabetic Foot Ulcers: A Narrative Comparative Evaluation of the Literature","volume":"18","author":[{"family":"Luck","given":"Joshua"},{"family":"Rodi","given":"Timo"},{"family":"Geierlehner","given":"Alexander"},{"family":"Mosahebi","given":"Afshin"}],"issued":{"date-parts":[["2019",3]]}}},{"id":49332,"uris":["http://zotero.org/users/5328021/items/DZ3AFES2"],"uri":["http://zotero.org/users/5328021/items/DZ3AFES2"],"itemData":{"id":49332,"type":"article-journal","abstract":"Delayed closure of foot ulcers is a primary factor leading to lower extremity amputation in patients with diabetes, creating great demand for products or therapies to accelerate the rate of wound closure in this population. This study (ClinicalTrials.gov Identifier: NCT02209051) was designed to evaluate dehydrated amniotic membrane allograft (DAMA) (AMNIOEXCEL, Derma Sciences Inc, Princeton, NJ) plus standard of care (SOC) compared to SOC alone for the closure of chronic diabetic foot ulcers (DFUs).\nMATERIALS AND METHODS: This prospective, open-label, randomized, parallel group trial was implemented at 8 clinical sites in the United States. Eligibility criteria included adults with type 1 or type 2 diabetes mellitus who have 1 or more ulcers with a Wagner classification of grade 1 or superficial 2 measuring between 1 cm2 and 25 cm2 in area, presenting for more than 1 month with no signs of infection/osteomyelitis; ABI &gt; 0.7; HbA1c Less than 12%; and serum creatinine less than 3.0 mg/dL. Eligible subjects were randomized (1:1) to receive either SOC alone (n = 14) or DAMA+SOC (n = 15) until wound closure or 6 weeks, whichever occurred first. The endpoint was the proportion of subjects with complete wound closure (defined as complete reepithelialization without drainage or need for dressings).\nRESULTS: Thirty-five percent of subjects in the DAMA+SOC cohort achieved complete wound closure at or before week 6, compared with 0% of the SOC alone cohort (intent-to-treat population, P = 0.017). There was a more robust response noted in the per protocol population, with 45.5% of subjects in the DAMA+SOC cohort achieving complete wound closure, while 0% of SOC-alone subjects achieved complete closure (P = 0.0083). No treatment-related adverse events were reported.\nCONCLUSION: The results suggest DAMA is safe and effective in the management of DFUs, but additional research is needed.","container-title":"Wounds: A Compendium of Clinical Research and Practice","issue":"3","journalAbbreviation":"Wounds","language":"eng","note":"PMID: 26978860","page":"70-77","title":"A Prospective, Randomized, Multicenter, Controlled Evaluation of the Use of Dehydrated Amniotic Membrane Allograft Compared to Standard of Care for the Closure of Chronic Diabetic Foot Ulcer","volume":"28","author":[{"family":"Snyder","given":"Robert J."},{"family":"Shimozaki","given":"Kenneth"},{"family":"Tallis","given":"Arthur"},{"family":"Kerzner","given":"Michael"},{"family":"Reyzelman","given":"Alexander"},{"family":"Lintzeris","given":"Dimitrios"},{"family":"Bell","given":"Desmond"},{"family":"Rutan","given":"Randi L."},{"family":"Rosenblum","given":"Barry"}],"issued":{"date-parts":[["2016",3]]}}},{"id":51458,"uris":["http://zotero.org/users/5328021/items/3G9VLIQJ"],"uri":["http://zotero.org/users/5328021/items/3G9VLIQJ"],"itemData":{"id":51458,"type":"article-journal","abstract":"In a randomised, controlled study, we compared the efficacy of Grafix(®) , a human viable wound matrix (hVWM) (N = 50), to standard wound care (n = 47) to heal diabetic foot ulcers (DFUs). The primary endpoint was the proportion of patients with complete wound closure by 12 weeks. Secondary endpoints included the time to wound closure, adverse events and wound closure in the crossover phase. The proportion of patients who achieved complete wound closure was significantly higher in patients who received Grafix (62%) compared with controls (21%, P = 0·0001). The median time to healing was 42 days in Grafix patients compared with 69·5 days in controls (P = 0·019). There were fewer Grafix patients with adverse events (44% versus 66%, P = 0·031) and fewer Grafix patients with wound-related infections (18% versus 36·2%, P = 0·044). Among the study subjects that healed, ulcers remained closed in 82·1% of patients (23 of 28 patients) in the Grafix group versus 70% (7 of 10 patients) in the control group (P = 0·419). Treatment with Grafix significantly improved DFU healing compared with standard wound therapy. Importantly, Grafix also reduced DFU-related complications. The results of this well-controlled study showed that Grafix is a safe and more effective therapy for treating DFUs than standard wound therapy.","container-title":"International Wound Journal","issue":"5","journalAbbreviation":"Int Wound J","language":"eng","note":"PMID: 25048468","page":"554-560","title":"The efficacy and safety of Grafix(®) for the treatment of chronic diabetic foot ulcers: results of a multi-centre, controlled, randomised, blinded, clinical trial","volume":"11","author":[{"family":"Lavery","given":"Lawrence A."},{"family":"Fulmer","given":"James"},{"family":"Shebetka","given":"Karry Ann"},{"family":"Regulski","given":"Matthew"},{"family":"Vayser","given":"Dean"},{"family":"Fried","given":"David"},{"family":"Kashefsky","given":"Howard"},{"family":"Owings","given":"Tammy M."},{"family":"Nadarajah","given":"Janaki"},{"literal":"Grafix Diabetic Foot Ulcer Study Group"}],"issued":{"date-parts":[["2014",10]]}}},{"id":51697,"uris":["http://zotero.org/users/5328021/items/87SEQBIZ"],"uri":["http://zotero.org/users/5328021/items/87SEQBIZ"],"itemData":{"id":51697,"type":"article-journal","abstract":"The aim of this study is to determine if weekly application of dehydrated human amnion/chorion membrane allograft reduce time to heal more effectively than biweekly application for treatment of diabetic foot ulcers. This was an institutional review board-approved, registered, prospective, randomised, comparative, non-blinded, single-centre clinical trial. Patients with non-infected ulcers of ≥ 4 weeks duration were included for the study. They were randomised to receive weekly or biweekly application of allograft in addition to a non-adherent, moist dressing with compressive wrapping. All wounds were offloaded. The primary study outcome was mean time to healing. Overall, during the 12-week study period, 92·5% (37/40) ulcers completely healed. Mean time to complete healing was 4·1 ± 2·9 versus 2·4 ± 1·8 weeks (P = 0·039) in the biweekly versus weekly groups, respectively. Complete healing occurred in 50% versus 90% by 4 weeks in the biweekly and weekly groups, respectively (P = 0·014). Number of grafts applied to healed wounds was similar at 2·4 ± 1·5 and 2·3 ± 1·8 for biweekly versus weekly groups, respectively (P = 0·841). These results validate previous studies showing that the allograft is an effective treatment for diabetic ulcers and show that wounds treated with weekly application heal more rapidly than with biweekly application. More rapid healing may decrease clinical operational costs and prevent long-term medical complications.","container-title":"International Wound Journal","issue":"2","journalAbbreviation":"Int Wound J","language":"eng","note":"PMID: 24618401\nPMCID: PMC4235421","page":"122-128","title":"A prospective, randomised comparative study of weekly versus biweekly application of dehydrated human amnion/chorion membrane allograft in the management of diabetic foot ulcers","volume":"11","author":[{"family":"Zelen","given":"Charles M."},{"family":"Serena","given":"Thomas E."},{"family":"Snyder","given":"Robert J."}],"issued":{"date-parts":[["2014",4]]}}},{"id":73710,"uris":["http://zotero.org/users/5328021/items/GXPLRR4G"],"uri":["http://zotero.org/users/5328021/items/GXPLRR4G"],"itemData":{"id":73710,"type":"article-journal","abstract":"To evaluate the efficacy and safety of human amniotic membrane (HAM) allograft in treating chronic diabetic foot ulcers (DFUs), a comprehensive search of randomised controlled trials in MEDLINE, EMBASE, PubMed, CENTRAL and Web of Science was conducted to December 7, 2019. Two reviewers independently screened the studies, extracted data, and evaluated the quality of studies. The primary outcome was the proportion of complete healing. The secondary outcomes were mean  time to complete healing and adverse events. Statistical analyses were performed  using RevMan 5.3. We identified 257 articles, of which 7 articles (465 participants) were included in the meta-analysis. The proportion of complete wound healing in HAM plus standard of care (SOC) group was 3.88 times as high as  that in SOC alone (RR: 3.88 [95% CI: 2.34, 6.44]) at 6 weeks, and 2.01 times at 12 weeks (RR: 2.01 [95%CI: 1.45, 2.77]). The intervention group had a significantly shorter time to complete healing (MD: -30.33 days, [95% CI: -37.95, -22.72]). The number needed to treat within 6 weeks was 2.3 ([95% CI: 1.8, 3.1]). No significant difference was shown in adverse events. Results were consistent in a sensitivity analysis. Hence, HAM plus SOC is effective and safe in treating chronic DFUs.","container-title":"International wound journal","journalAbbreviation":"Int Wound J","language":"eng","note":"PMID: 32119765","title":"Human amniotic membrane allograft, a novel treatment for chronic diabetic foot ulcers: A systematic review and meta-analysis of randomised controlled trials.","author":[{"family":"Su","given":"Ya-Na"},{"family":"Zhao","given":"Ding-Yun"},{"family":"Li","given":"Yong-Hong"},{"family":"Yu","given":"Tian-Qi"},{"family":"Sun","given":"Huan"},{"family":"Wu","given":"Xin-Yu"},{"family":"Zhou","given":"Xiao-Qin"},{"family":"Li","given":"Jing"}],"issued":{"date-parts":[["2020",3,2]]}}},{"id":45467,"uris":["http://zotero.org/users/5328021/items/9676G9JT"],"uri":["http://zotero.org/users/5328021/items/9676G9JT"],"itemData":{"id":45467,"type":"article-journal","abstract":"Amnion and chorion allografts have shown great promise in healing diabetic foot ulcers (DFUs). Results from an interim analysis of 40 patients have demonstrated the accelerated healing ability of a novel aseptically processed, dehydrated human amnion and chorion allograft (dHACA). The goal of this study was to report on the full trial results of 80 patients where dHACA was compared with standard of care (SOC) in achieving wound closure in non-healing DFUs. After a 2-week screening period, during which patients with DFUs were unsuccessfully treated with SOC, patients were randomised to either SOC alone or SOC with dHACA applied weekly for up to 12 weeks. At 12 weeks, 85% (34/40) of the dHACA-treated DFUs healed, compared with 33% (13/40) treated with SOC alone. Mean time to heal within 12 weeks was significantly faster for the dHACA- treated group compared with SOC, 37 days vs 67 days in the SOC group (P = .000006). Mean number of grafts used per healed wound during the same time period was 4.0, and mean cost of the tissue to heal a DFU was $1771. The authors concluded that aseptically processed dHACA heals DFUs significantly faster than SOC at 12 weeks.","container-title":"International Wound Journal","issue":"6","journalAbbreviation":"Int Wound J","language":"eng","note":"PMID: 30019528","page":"950-957","title":"Use of an aseptically processed, dehydrated human amnion and chorion membrane improves likelihood and rate of healing in chronic diabetic foot ulcers: A prospective, randomised, multi-centre clinical trial in 80 patients","volume":"15","author":[{"family":"DiDomenico","given":"Lawrence A."},{"family":"Orgill","given":"Dennis P."},{"family":"Galiano","given":"Robert D."},{"family":"Serena","given":"Thomas E."},{"family":"Carter","given":"Marissa J."},{"family":"Kaufman","given":"Jarrod P."},{"family":"Young","given":"Nathan J."},{"family":"Jacobs","given":"Allen M."},{"family":"Zelen","given":"Charles M."}],"issued":{"date-parts":[["2018",12]]}}},{"id":45678,"uris":["http://zotero.org/users/5328021/items/DUDCDQG8"],"uri":["http://zotero.org/users/5328021/items/DUDCDQG8"],"itemData":{"id":45678,"type":"article-journal","abstract":"Aseptically processed human reticular acellular dermal matrix (HR-ADM) has been previously shown to improve wound closure in 40 diabetic patients with non-healing foot ulcers. The study was extended to 40 additional patients (80 in total) to validate and extend the original findings. The entire cohort of 80 patients underwent appropriate offloading and standard of care (SOC) during a 2-week screening period and, after meeting eligibility criteria, were randomised to receive weekly applications of HR-ADM plus SOC or SOC alone for up to 12 weeks. The primary outcome was the proportion of wounds closed at 6 weeks. Sixty-eight percent (27/40) in the HR-ADM group were completely healed at 6 weeks compared with 15% (6/40) in the SOC group. The proportions of wounds healed at 12 weeks were 80% (34/40) and 30% (12/40), respectively. The mean time to heal within 12 weeks was 38 days for the HR-ADM group and 72 days for the SOC group. There was no incidence of increased adverse or serious adverse events between groups or any graft-related adverse events. The mean and median HR-ADM product costs at 12 weeks were $1200 and $680, respectively. HR-ADM is clinically superior to SOC, is cost effective relative to other comparable treatment modalities, and is an efficacious treatment for chronic non-healing diabetic foot ulcers.","container-title":"International Wound Journal","issue":"5","journalAbbreviation":"Int Wound J","language":"eng","note":"PMID: 29682897","page":"731-739","title":"An aseptically processed, acellular, reticular, allogenic human dermis improves healing in diabetic foot ulcers: A prospective, randomised, controlled, multicentre follow-up trial","volume":"15","author":[{"family":"Zelen","given":"Charles M."},{"family":"Orgill","given":"Dennis P."},{"family":"Serena","given":"Thomas E."},{"family":"Galiano","given":"Robert E."},{"family":"Carter","given":"Marissa J."},{"family":"DiDomenico","given":"Lawrence A."},{"family":"Keller","given":"Jennifer"},{"family":"Kaufman","given":"Jarrod P."},{"family":"Li","given":"William W."}],"issued":{"date-parts":[["2018",10]]}}},{"id":49488,"uris":["http://zotero.org/users/5328021/items/RQVJSCJN"],"uri":["http://zotero.org/users/5328021/items/RQVJSCJN"],"itemData":{"id":49488,"type":"article-journal","abstract":"Advanced therapies such as bioengineered skin substitutes (BSS) and dehydrated human amnion/chorion membrane (dHACM) have been shown to promote healing of chronic diabetic ulcers. An interim analysis of data from 60 patients enrolled in a prospective, randomised, controlled, parallel group, multi-centre clinical trial showed that dHACM (EpiFix, MiMedx Group Inc., Marietta, GA) is superior to standard wound care (SWC) and BSS (Apligraf, Organogenesis, Inc., Canton, MA) in achieving complete wound closure within 4-6 weeks. Rates and time to closure at a longer time interval and factors influencing outcomes remained unassessed; therefore, the study was continued in order to achieve at least 100 patients. With the larger cohort, we compare clinical outcomes at 12 weeks in 100 patients with chronic lower extremity diabetic ulcers treated with weekly applications of Apligraf (n = 33), EpiFix (n = 32) or SWC (n = 35) with collagen-alginate dressing as controls. A Cox regression was performed to analyse the time to heal within 12 weeks, adjusting for all significant covariates. A Kaplan-Meier analysis was conducted to compare time-to-heal within 12 weeks for the three treatment groups. Clinical characteristics were well matched across study groups. The proportion of wounds achieving complete closure within the 12-week study period were 73% (24/33), 97% (31/32), and 51% (18/35) for Apligraf, EpiFix and SWC, respectively (adjusted P = 0·00019). Subjects treated with EpiFix had a very significant higher probability of their wounds healing [hazard ratio (HR: 5·66; adjusted P: 1·3 x 10(-7) ] compared to SWC alone. No difference in probability of healing was observed for the Apligraf and SWC groups. Patients treated with Apligraf were less likely to heal than those treated with EpiFix [HR: 0·30; 95% confidence interval (CI): 0·17-0·54; unadjusted P: 5·8 x 10(-5) ]. Increased wound size and presence of hypertension were significant factors that influenced healing. Mean time-to-heal within 12 weeks was 47·9 days (95% CI: 38·2-57·7) with Apligraf, 23·6 days (95% CI: 17·0-30·2) with EpiFix group and 57·4 days (95%CI: 48·2-66·6) with the SWC alone group (adjusted P = 3·2 x 10(-7) ). Median number of grafts used per healed wound were six (range 1-13) and 2·5 (range 1-12) for the Apligraf and EpiFix groups, respectively. Median graft cost was $8918 (range $1,486-19,323) per healed wound for the Apligraf group and $1,517 (range $434-25,710) per healed wound in the EpiFix group (P &lt; 0·0001). These results provide further evidence of the clinical and resource utilisation superiority of EpiFix compared to Apligraf for the treatment of lower extremity diabetic wounds.","container-title":"International Wound Journal","issue":"2","journalAbbreviation":"Int Wound J","language":"eng","note":"PMID: 26695998","page":"272-282","title":"Treatment of chronic diabetic lower extremity ulcers with advanced therapies: a prospective, randomised, controlled, multi-centre comparative study examining clinical efficacy and cost","volume":"13","author":[{"family":"Zelen","given":"Charles M."},{"family":"Serena","given":"Thomas E."},{"family":"Gould","given":"Lisa"},{"family":"Le","given":"Lam"},{"family":"Carter","given":"Marissa J."},{"family":"Keller","given":"Jennifer"},{"family":"Li","given":"William W."}],"issued":{"date-parts":[["2016",4]]}}},{"id":3047,"uris":["http://zotero.org/users/5328021/items/2ALASHQJ"],"uri":["http://zotero.org/users/5328021/items/2ALASHQJ"],"itemData":{"id":3047,"type":"article-journal","abstract":"A randomised, controlled multicentre clinical trial was conducted at 14 wound care centres in the United States to confirm the efficacy of dehydrated human amnion/chorion membrane allograft (dHACM) for the treatment of chronic lower extremity ulcers in persons with diabetes. Patients with a lower extremity ulcer of at least 4 weeks duration were entered into a 2-week study run-in phase and treated with alginate wound dressings and appropriate offloading. Those with less than or equal to 25% wound closure after run-in were randomly assigned to receive weekly dHACM application in addition to offloading or standard of care with alginate wound dressings, for 12 weeks. A total of 110 patients were included in the intent-to-treat (ITT) analysis, with n = 54 in the dHACM group and n = 56 in the no-dHACM group. Of the participants, 98 completed the study per protocol, with 47 receiving dHACM and 51 not receiving dHACM. The primary study outcome was percentage of study ulcers completely healed in 12 weeks, with both ITT and per-protocol participants receiving weekly dHACM significantly more likely to completely heal than those not receiving dHACM (ITT—70% versus 50%, P = 0.0338, per-protocol—81% versus 55%, P = 0.0093). A Kaplan–Meier analysis was performed to compare the time-to-healing performance with/without dHACM, showing a significantly improved time to healing with the use of allograft, log-rank P &lt; 0.0187. Cox regression analysis showed that dHACM-treated subjects were more than twice as likely to heal completely within 12 weeks than no-dHACM subjects (HR: 2.15, 95% confidence interval 1.30–3.57, P = 0.003). At the final follow up at 16 weeks, 95% of dHACM-healed ulcers and 86% of healed ulcers in the no-dHACM group remained closed. These results confirm that dHACM is an efficacious treatment for lower extremity ulcers in a heterogeneous patient population.","archive":"Embase","container-title":"International Wound Journal","issue":"1","journalAbbreviation":"Int. Wound J.","language":"English","note":"PMID: 30136445","page":"19-29","title":"A confirmatory study on the efficacy of dehydrated human amnion/chorion membrane dHACM allograft in the management of diabetic foot ulcers: A prospective, multicentre, randomised, controlled study of 110 patients from 14 wound clinics","volume":"16","author":[{"literal":"Tettelbach W."},{"literal":"Cazzell S."},{"literal":"Reyzelman A.M."},{"literal":"Sigal F."},{"literal":"Caporusso J.M."},{"literal":"Agnew P.S."}],"issued":{"date-parts":[["2018"]]}}},{"id":47202,"uris":["http://zotero.org/users/5328021/items/MZK2BQ5G"],"uri":["http://zotero.org/users/5328021/items/MZK2BQ5G"],"itemData":{"id":47202,"type":"article-journal","abstract":"INTRODUCTION: Diabetic foot ulcers (DFUs) are complex chronic wounds which have a major long-term impact on the morbidity, mortality and quality of patients. The objective of this study was to assess the efficacy and time sensitivity of human amnion/chorion membrane treatment in patients with chronic DFUs.\nMETHODS: The Cochrane Library, PubMed, Embase and Web of Science databases were systematically searched to identify relevant articles up to 10 April 2017. All randomized controlled trials (RCTs) comparing human amnion/chorion membrane + standard therapy and standard therapy alone in patients with DFUs were included in the analysis. Eligible studies were reviewed and data extracted into standard form. The Cochrane Collaboration's tool for assessing the risk of bias was used. Review manager version 5.3 software was used for statistical analysis. Data were analyzed using a random effect model.\nRESULTS: Overall, the initial search of the four databases identified 352 published studies; of these, seven RCTS were ultimately included in the meta-analysis. The overall test effect in the group assessed at 4 weeks was Z = 4.14 [P &lt; 0.0001; odds ratio (OR) 0.05; 95% confidence interval (CI) 0.01-0.21]. The overall test effect in the group assessed at 6 weeks was Z = 4.28 (P &lt; 0.0001; OR 0.07; 95% CI 0.02-0.23). The overall effect in the group assessed at 12 weeks was Z = 4.96 (P &lt; 0.00001; OR 0.10; 95% CI 0.04-0.24. The results showed that patients receiving amniotic membrane + standard therapy had far fewer incomplete healing wounds than those receiving standard of care alone. Assessment of the wound healing state at 4 and 6 weeks revealed that the wound healing state was almost the same, but there was a net difference of wound healing state at 12 weeks.\nCONCLUSION: Human amnion/chorion membrane + standard of care treatment heals DFUs significantly faster than standard of care alone. When using the amnion in patients with DFUs, the optimal times to assess progress in wound healing should be 4 and 12 weeks.","container-title":"Diabetes Therapy: Research, Treatment and Education of Diabetes and Related Disorders","issue":"5","journalAbbreviation":"Diabetes Ther","language":"eng","note":"PMID: 28895073\nPMCID: PMC5630554","page":"967-979","title":"Efficacy and Time Sensitivity of Amniotic Membrane treatment in Patients with Diabetic Foot Ulcers: A Systematic Review and Meta-analysis","volume":"8","author":[{"family":"Laurent","given":"Irakoze"},{"family":"Astère","given":"Manirakiza"},{"family":"Wang","given":"Kan Ran"},{"family":"Cheng","given":"Qing-Feng"},{"family":"Li","given":"Qi Fu"}],"issued":{"date-parts":[["2017",10]]}}}],"schema":"https://github.com/citation-style-language/schema/raw/master/csl-citation.json"}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(88,89,92–94,97,99,100,104,106,111)</w:t>
            </w:r>
            <w:r w:rsidRPr="00CA32B9">
              <w:rPr>
                <w:rFonts w:asciiTheme="minorHAnsi" w:hAnsiTheme="minorHAnsi" w:cstheme="minorHAnsi"/>
                <w:szCs w:val="20"/>
                <w:lang w:val="en-US"/>
              </w:rPr>
              <w:fldChar w:fldCharType="end"/>
            </w:r>
          </w:p>
        </w:tc>
      </w:tr>
      <w:tr w:rsidR="003F3795" w14:paraId="7A15AD87" w14:textId="77777777" w:rsidTr="003F3795">
        <w:tc>
          <w:tcPr>
            <w:tcW w:w="2830" w:type="dxa"/>
            <w:vAlign w:val="center"/>
          </w:tcPr>
          <w:p w14:paraId="3B56456F" w14:textId="29A1F226" w:rsidR="003F3795" w:rsidRDefault="003F3795" w:rsidP="003F3795">
            <w:pPr>
              <w:jc w:val="center"/>
              <w:rPr>
                <w:lang w:val="en-US"/>
              </w:rPr>
            </w:pPr>
            <w:r w:rsidRPr="00CA32B9">
              <w:rPr>
                <w:rFonts w:asciiTheme="minorHAnsi" w:hAnsiTheme="minorHAnsi" w:cstheme="minorHAnsi"/>
                <w:color w:val="9A9B9D" w:themeColor="text1" w:themeTint="99"/>
                <w:szCs w:val="20"/>
                <w:lang w:val="en-US"/>
              </w:rPr>
              <w:t>1 study (II)</w:t>
            </w:r>
          </w:p>
        </w:tc>
        <w:tc>
          <w:tcPr>
            <w:tcW w:w="1460" w:type="dxa"/>
            <w:vAlign w:val="center"/>
          </w:tcPr>
          <w:p w14:paraId="77B28179" w14:textId="51D15EDB" w:rsidR="003F3795" w:rsidRDefault="003F3795" w:rsidP="003F3795">
            <w:pPr>
              <w:jc w:val="center"/>
              <w:rPr>
                <w:lang w:val="en-US"/>
              </w:rPr>
            </w:pPr>
            <w:r w:rsidRPr="00CA32B9">
              <w:rPr>
                <w:rFonts w:asciiTheme="minorHAnsi" w:hAnsiTheme="minorHAnsi" w:cstheme="minorHAnsi"/>
                <w:color w:val="9A9B9D" w:themeColor="text1" w:themeTint="99"/>
                <w:szCs w:val="20"/>
                <w:lang w:val="en-US"/>
              </w:rPr>
              <w:t>6</w:t>
            </w:r>
          </w:p>
        </w:tc>
        <w:tc>
          <w:tcPr>
            <w:tcW w:w="2151" w:type="dxa"/>
            <w:vMerge/>
            <w:vAlign w:val="center"/>
          </w:tcPr>
          <w:p w14:paraId="161DEA1B" w14:textId="77777777" w:rsidR="003F3795" w:rsidRDefault="003F3795" w:rsidP="003F3795">
            <w:pPr>
              <w:jc w:val="center"/>
              <w:rPr>
                <w:lang w:val="en-US"/>
              </w:rPr>
            </w:pPr>
          </w:p>
        </w:tc>
        <w:tc>
          <w:tcPr>
            <w:tcW w:w="2619" w:type="dxa"/>
            <w:vAlign w:val="center"/>
          </w:tcPr>
          <w:p w14:paraId="14AADE0F" w14:textId="6830CED9" w:rsidR="003F3795" w:rsidRDefault="003F3795" w:rsidP="003F3795">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L9evukoF","properties":{"formattedCitation":"(96)","plainCitation":"(96)","noteIndex":0},"citationItems":[{"id":51268,"uris":["http://zotero.org/users/5328021/items/ACQQS98D"],"uri":["http://zotero.org/users/5328021/items/ACQQS98D"],"itemData":{"id":51268,"type":"article-journal","abstract":"OBJECTIVE: Diabetic foot ulcers (DFUs) often pose a treatment problem. Bioengineered skin substitutes have been reported to result in accelerated diabetic wound healing. The purpose of this clinical trial was to evaluate the efficacy and safety of the autologous fibroblast-hyaluronic acid complex for treating DFUs.\nMETHOD: A stratified, randomised, controlled, multicentre study was carried out. Patients with DFUs were allocated to either a treatment group with grafting of an autologous fibroblast-hyaluronic acid complex or a control group with non-adherent foam dressing. Except for application of the fibroblast complex, treatment of the study ulcers was identical for patients in both groups. The maximum follow-up period for each patient was 12 weeks.\nRESULTS: Complete ulcer healing was achieved in 84% (26/31 patients) of the treatment group and 34% (11/32 patients) of the control group (p&lt;0.05). The times required for complete healing were 36.4 ± 17.6 and 48.4 ± 13.1 days in the treatment and control groups, respectively (p&lt;0.05). No adverse events related to treatment occurred.\nCONCLUSION: These results indicate that autologous fibroblast-hyaluronic acid complex may offer a safe and effective treatment for DFUs.","container-title":"Journal of Wound Care","issue":"11","journalAbbreviation":"J Wound Care","language":"eng","note":"PMID: 25375400","page":"521-522, 524, 526-530","title":"Randomised controlled clinical trial for autologous fibroblast-hyaluronic acid complex in treating diabetic foot ulcers","volume":"23","author":[{"family":"You","given":"H. J."},{"family":"Han","given":"S. K."},{"family":"Rhie","given":"J. W."}],"issued":{"date-parts":[["2014",11]]}}}],"schema":"https://github.com/citation-style-language/schema/raw/master/csl-citation.json"}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(96)</w:t>
            </w:r>
            <w:r w:rsidRPr="00CA32B9">
              <w:rPr>
                <w:rFonts w:asciiTheme="minorHAnsi" w:hAnsiTheme="minorHAnsi" w:cstheme="minorHAnsi"/>
                <w:szCs w:val="20"/>
                <w:lang w:val="en-US"/>
              </w:rPr>
              <w:fldChar w:fldCharType="end"/>
            </w:r>
          </w:p>
        </w:tc>
      </w:tr>
      <w:tr w:rsidR="003F3795" w14:paraId="26E4C3E4" w14:textId="77777777" w:rsidTr="003F3795">
        <w:tc>
          <w:tcPr>
            <w:tcW w:w="9060" w:type="dxa"/>
            <w:gridSpan w:val="4"/>
            <w:vAlign w:val="center"/>
          </w:tcPr>
          <w:p w14:paraId="55AB478D" w14:textId="011D5040" w:rsidR="003F3795" w:rsidRDefault="003F3795" w:rsidP="003F3795">
            <w:pPr>
              <w:jc w:val="left"/>
              <w:rPr>
                <w:lang w:val="en-US"/>
              </w:rPr>
            </w:pPr>
            <w:r w:rsidRPr="00CA32B9">
              <w:rPr>
                <w:rFonts w:asciiTheme="minorHAnsi" w:hAnsiTheme="minorHAnsi" w:cstheme="minorHAnsi"/>
                <w:b/>
                <w:szCs w:val="20"/>
                <w:lang w:val="en-US"/>
              </w:rPr>
              <w:t>Cost-effectiveness</w:t>
            </w:r>
          </w:p>
        </w:tc>
      </w:tr>
      <w:tr w:rsidR="003F3795" w:rsidRPr="00166EC2" w14:paraId="5BE57DAE" w14:textId="77777777" w:rsidTr="003F3795">
        <w:tc>
          <w:tcPr>
            <w:tcW w:w="2830" w:type="dxa"/>
            <w:vAlign w:val="center"/>
          </w:tcPr>
          <w:p w14:paraId="0105AA9A" w14:textId="00C29567" w:rsidR="003F3795" w:rsidRDefault="003F3795" w:rsidP="003F3795">
            <w:pPr>
              <w:jc w:val="center"/>
              <w:rPr>
                <w:rFonts w:asciiTheme="minorHAnsi" w:hAnsiTheme="minorHAnsi" w:cstheme="minorHAnsi"/>
                <w:szCs w:val="20"/>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w:t>
            </w:r>
            <w:r w:rsidRPr="00CA32B9">
              <w:rPr>
                <w:rFonts w:asciiTheme="minorHAnsi" w:hAnsiTheme="minorHAnsi" w:cstheme="minorHAnsi"/>
                <w:szCs w:val="20"/>
                <w:lang w:val="en-US"/>
              </w:rPr>
              <w:t xml:space="preserve"> - 3 studies (</w:t>
            </w:r>
            <w:r w:rsidRPr="00CA32B9">
              <w:rPr>
                <w:rFonts w:asciiTheme="minorHAnsi" w:eastAsia="Times New Roman" w:hAnsiTheme="minorHAnsi" w:cstheme="minorHAnsi"/>
                <w:szCs w:val="20"/>
                <w:lang w:val="en-US"/>
              </w:rPr>
              <w:t>II)</w:t>
            </w:r>
            <w:r w:rsidRPr="00CA32B9">
              <w:rPr>
                <w:rFonts w:asciiTheme="minorHAnsi" w:hAnsiTheme="minorHAnsi" w:cstheme="minorHAnsi"/>
                <w:szCs w:val="20"/>
                <w:lang w:val="en-US"/>
              </w:rPr>
              <w:t xml:space="preserve"> </w:t>
            </w:r>
            <w:r w:rsidR="007155CA">
              <w:rPr>
                <w:rFonts w:asciiTheme="minorHAnsi" w:hAnsiTheme="minorHAnsi" w:cstheme="minorHAnsi"/>
                <w:szCs w:val="20"/>
                <w:lang w:val="en-US"/>
              </w:rPr>
              <w:t>-</w:t>
            </w:r>
            <w:r w:rsidRPr="00CA32B9">
              <w:rPr>
                <w:rFonts w:asciiTheme="minorHAnsi" w:hAnsiTheme="minorHAnsi" w:cstheme="minorHAnsi"/>
                <w:szCs w:val="20"/>
                <w:lang w:val="en-US"/>
              </w:rPr>
              <w:t xml:space="preserve"> </w:t>
            </w:r>
          </w:p>
          <w:p w14:paraId="313BC93C" w14:textId="7C2A622F" w:rsidR="003F3795" w:rsidRDefault="003F3795" w:rsidP="003F3795">
            <w:pPr>
              <w:jc w:val="center"/>
              <w:rPr>
                <w:lang w:val="en-US"/>
              </w:rPr>
            </w:pPr>
            <w:r>
              <w:rPr>
                <w:rFonts w:asciiTheme="minorHAnsi" w:hAnsiTheme="minorHAnsi" w:cstheme="minorHAnsi"/>
                <w:szCs w:val="20"/>
                <w:lang w:val="en-US"/>
              </w:rPr>
              <w:t>2</w:t>
            </w:r>
            <w:r w:rsidRPr="00CA32B9">
              <w:rPr>
                <w:rFonts w:asciiTheme="minorHAnsi" w:hAnsiTheme="minorHAnsi" w:cstheme="minorHAnsi"/>
                <w:szCs w:val="20"/>
                <w:lang w:val="en-US"/>
              </w:rPr>
              <w:t xml:space="preserve"> </w:t>
            </w:r>
            <w:r w:rsidRPr="00CA32B9">
              <w:rPr>
                <w:rFonts w:asciiTheme="minorHAnsi" w:eastAsia="Times New Roman" w:hAnsiTheme="minorHAnsi" w:cstheme="minorHAnsi"/>
                <w:szCs w:val="20"/>
                <w:lang w:val="en-US"/>
              </w:rPr>
              <w:t>stud</w:t>
            </w:r>
            <w:r>
              <w:rPr>
                <w:rFonts w:asciiTheme="minorHAnsi" w:eastAsia="Times New Roman" w:hAnsiTheme="minorHAnsi" w:cstheme="minorHAnsi"/>
                <w:szCs w:val="20"/>
                <w:lang w:val="en-US"/>
              </w:rPr>
              <w:t>ies</w:t>
            </w:r>
            <w:r w:rsidRPr="00CA32B9">
              <w:rPr>
                <w:rFonts w:asciiTheme="minorHAnsi" w:eastAsia="Times New Roman" w:hAnsiTheme="minorHAnsi" w:cstheme="minorHAnsi"/>
                <w:szCs w:val="20"/>
                <w:lang w:val="en-US"/>
              </w:rPr>
              <w:t xml:space="preserve"> (III)</w:t>
            </w:r>
          </w:p>
        </w:tc>
        <w:tc>
          <w:tcPr>
            <w:tcW w:w="1460" w:type="dxa"/>
            <w:vAlign w:val="center"/>
          </w:tcPr>
          <w:p w14:paraId="5DA3E09B" w14:textId="71A85BB2" w:rsidR="003F3795" w:rsidRDefault="003F3795" w:rsidP="003F3795">
            <w:pPr>
              <w:jc w:val="center"/>
              <w:rPr>
                <w:lang w:val="en-US"/>
              </w:rPr>
            </w:pPr>
            <w:r w:rsidRPr="00CA32B9">
              <w:rPr>
                <w:rFonts w:asciiTheme="minorHAnsi" w:hAnsiTheme="minorHAnsi" w:cstheme="minorHAnsi"/>
                <w:szCs w:val="20"/>
                <w:lang w:val="en-US"/>
              </w:rPr>
              <w:t>5,8</w:t>
            </w:r>
          </w:p>
        </w:tc>
        <w:tc>
          <w:tcPr>
            <w:tcW w:w="2151" w:type="dxa"/>
            <w:vAlign w:val="center"/>
          </w:tcPr>
          <w:p w14:paraId="72EC8408" w14:textId="62D2B26C" w:rsidR="003F3795" w:rsidRDefault="003F3795" w:rsidP="003F3795">
            <w:pPr>
              <w:jc w:val="center"/>
              <w:rPr>
                <w:lang w:val="en-US"/>
              </w:rPr>
            </w:pPr>
            <w:r w:rsidRPr="00CA32B9">
              <w:rPr>
                <w:rFonts w:asciiTheme="minorHAnsi" w:hAnsiTheme="minorHAnsi" w:cstheme="minorHAnsi"/>
                <w:szCs w:val="20"/>
                <w:lang w:val="en-US"/>
              </w:rPr>
              <w:t>Low</w:t>
            </w:r>
          </w:p>
        </w:tc>
        <w:tc>
          <w:tcPr>
            <w:tcW w:w="2619" w:type="dxa"/>
            <w:vAlign w:val="center"/>
          </w:tcPr>
          <w:p w14:paraId="76920C0E" w14:textId="4813D5B1" w:rsidR="003F3795" w:rsidRDefault="003F3795" w:rsidP="003F3795">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Iz5IzvnK","properties":{"formattedCitation":"(102,104,110,112\\uc0\\u8211{}114)","plainCitation":"(102,104,110,112–114)","noteIndex":0},"citationItems":[{"id":73965,"uris":["http://zotero.org/users/5328021/items/L7PGG3S2"],"uri":["http://zotero.org/users/5328021/items/L7PGG3S2"],"itemData":{"id":73965,"type":"article-journal","abstract":"Aseptically processed dehydrated human amnion and chorion allograft (dHACA) (AmnioBand) has shown great promise in the treatment of recalcitrant diabetic foot ulcers (DFUs) when compared with standard wound care but has not yet been compared to any other tissue forms used in treating DFUs. The hypothesis was to conduct a randomized controlled trial in which dHACA was compared to one of the earliest and most commonly accepted tissue-engineered skin substitutes (TESS) (Apligraf) in the treatment of nonhealing DFUs over a period of 12 weeks to assess the superiority of healing. Methods: Following a 2-week screening period during which subjects with DFUs were treated with collagen alginate dressing, 60  subjects were randomized at 5 sites to receive either dHACA or TESS applied weekly, with weekly follow-up for up to 12 weeks. Results: The mean time to heal  within 6-week time period for the dHACA group was 24 days (95% CI, 18.9-29.2) versus 39 days (95% CI, 36.4-41.9) for the TESS group; the mean time to heal at 12 weeks was 32 days (95% CI, 22.3-41.0) for dHACA-treated wounds versus 63 days  (95% CI, 54.1-72.6) for TESS-treated wounds. The proportion of wounds healed at study completion (12 weeks) was 90% (27/30) for the dHACA group versus 40% (12/30) for the TESS group. The mean product cost for the dHACA group was significantly lower than that for the TESS group [dHACA: $2,200 (median: $1,300); TESS: $7,900 (median: $6,500)]. The mean wastage (%) at 12 weeks was also significantly lower for the dHACA group than that for the TESS group (36% vs 95%). Conclusions: It was concluded that aseptically processed dHACA heals diabetic foot wounds more reliably, statistically significantly faster than and at significantly lower cost than TESS.","container-title":"Plastic and reconstructive surgery. Global open","issue":"8","journalAbbreviation":"Plast Reconstr Surg Glob Open","language":"eng","note":"PMID: 31592387 \nPMCID: PMC6756673","page":"e2371","title":"Placental Membrane Provides Improved Healing Efficacy and Lower Cost Versus a Tissue-Engineered Human Skin in the Treatment of Diabetic Foot Ulcerations.","volume":"7","author":[{"family":"Glat","given":"Paul"},{"family":"Orgill","given":"Dennis P."},{"family":"Galiano","given":"Robert"},{"family":"Armstrong","given":"David"},{"family":"Serena","given":"Thomas"},{"family":"DiDomenico","given":"Lawrence A."},{"family":"Kaufman","given":"Jarrod"},{"family":"Carter","given":"Marissa J."},{"family":"Jacobs","given":"Alan M."},{"family":"Zelen","given":"Charles M."}],"issued":{"date-parts":[["2019",8]]}}},{"id":49488,"uris":["http://zotero.org/users/5328021/items/RQVJSCJN"],"uri":["http://zotero.org/users/5328021/items/RQVJSCJN"],"itemData":{"id":49488,"type":"article-journal","abstract":"Advanced therapies such as bioengineered skin substitutes (BSS) and dehydrated human amnion/chorion membrane (dHACM) have been shown to promote healing of chronic diabetic ulcers. An interim analysis of data from 60 patients enrolled in a prospective, randomised, controlled, parallel group, multi-centre clinical trial showed that dHACM (EpiFix, MiMedx Group Inc., Marietta, GA) is superior to standard wound care (SWC) and BSS (Apligraf, Organogenesis, Inc., Canton, MA) in achieving complete wound closure within 4-6 weeks. Rates and time to closure at a longer time interval and factors influencing outcomes remained unassessed; therefore, the study was continued in order to achieve at least 100 patients. With the larger cohort, we compare clinical outcomes at 12 weeks in 100 patients with chronic lower extremity diabetic ulcers treated with weekly applications of Apligraf (n = 33), EpiFix (n = 32) or SWC (n = 35) with collagen-alginate dressing as controls. A Cox regression was performed to analyse the time to heal within 12 weeks, adjusting for all significant covariates. A Kaplan-Meier analysis was conducted to compare time-to-heal within 12 weeks for the three treatment groups. Clinical characteristics were well matched across study groups. The proportion of wounds achieving complete closure within the 12-week study period were 73% (24/33), 97% (31/32), and 51% (18/35) for Apligraf, EpiFix and SWC, respectively (adjusted P = 0·00019). Subjects treated with EpiFix had a very significant higher probability of their wounds healing [hazard ratio (HR: 5·66; adjusted P: 1·3 x 10(-7) ] compared to SWC alone. No difference in probability of healing was observed for the Apligraf and SWC groups. Patients treated with Apligraf were less likely to heal than those treated with EpiFix [HR: 0·30; 95% confidence interval (CI): 0·17-0·54; unadjusted P: 5·8 x 10(-5) ]. Increased wound size and presence of hypertension were significant factors that influenced healing. Mean time-to-heal within 12 weeks was 47·9 days (95% CI: 38·2-57·7) with Apligraf, 23·6 days (95% CI: 17·0-30·2) with EpiFix group and 57·4 days (95%CI: 48·2-66·6) with the SWC alone group (adjusted P = 3·2 x 10(-7) ). Median number of grafts used per healed wound were six (range 1-13) and 2·5 (range 1-12) for the Apligraf and EpiFix groups, respectively. Median graft cost was $8918 (range $1,486-19,323) per healed wound for the Apligraf group and $1,517 (range $434-25,710) per healed wound in the EpiFix group (P &lt; 0·0001). These results provide further evidence of the clinical and resource utilisation superiority of EpiFix compared to Apligraf for the treatment of lower extremity diabetic wounds.","container-title":"International Wound Journal","issue":"2","journalAbbreviation":"Int Wound J","language":"eng","note":"PMID: 26695998","page":"272-282","title":"Treatment of chronic diabetic lower extremity ulcers with advanced therapies: a prospective, randomised, controlled, multi-centre comparative study examining clinical efficacy and cost","volume":"13","author":[{"family":"Zelen","given":"Charles M."},{"family":"Serena","given":"Thomas E."},{"family":"Gould","given":"Lisa"},{"family":"Le","given":"Lam"},{"family":"Carter","given":"Marissa J."},{"family":"Keller","given":"Jennifer"},{"family":"Li","given":"William W."}],"issued":{"date-parts":[["2016",4]]}}},{"id":45421,"uris":["http://zotero.org/users/5328021/items/R6D2Y96Y"],"uri":["http://zotero.org/users/5328021/items/R6D2Y96Y"],"itemData":{"id":45421,"type":"article-journal","abstract":"Randomized controlled clinical trials, the gold standard to determine treatment efficacy against control, have demonstrated advantages of skin substitutes for the treatment of chronic diabetic foot ulcers in comparison to standard of care. However, randomized controlled clinical trials comparing efficacy between two or more skin substitutes are very limited. With growing numbers of new skin substitutes, such studies are essential for treatment and policy-making decisions by wound care providers and payers. In this study, we analyzed clinical outcomes and product cost between a viable cryopreserved placental membrane (vCPM) and a human fibroblast-derived dermal substitute (hFDS) for the treatment of chronic diabetic foot ulcers in a prospective, multicenter, single-blind study. The outcomes of 62 patients were analyzed: 31 patients in the vCPM treatment group and 31 patients in the hFDS treatment group. Utilizing a non-inferiority trial design and the established treatment regimen of 8 applications for hFDS, we demonstrated that vCPM was not inferior to hFDS for the proportion of patients achieving complete wound closure (9.68, 90% CI: [10.67, 28.94]). However, preliminary findings show that vCPM may have better outcomes for wounds ≤ 5 cm2 : 81.3% (13/16) of wounds in the vCPM group vs. 37.5% (6/16) of wounds in the hFDS group reached complete closure at the end of treatment (p = 0.0118). A preliminary product cost analysis for wounds ≤ 5 cm2 may show significant savings for patients treated with vCPM. Average per-patient costs during the course of treatment were $3,846 and $7,968 (p &lt; 0.0001) for vCPM and hFDS patients, respectively. These results may be used as guidance to wound care providers and payers.","container-title":"Wound Repair and Regeneration: Official Publication of the Wound Healing Society [and] the European Tissue Repair Society","issue":"3","journalAbbreviation":"Wound Repair Regen","language":"eng","note":"PMID: 30098272","page":"274-283","title":"A multicenter, randomized, single-blind trial comparing the efficacy of viable cryopreserved placental membrane to human fibroblast-derived dermal substitute for the treatment of chronic diabetic foot ulcers","volume":"26","author":[{"family":"Ananian","given":"Charles E."},{"family":"Dhillon","given":"Yadwinder S."},{"family":"Van Gils","given":"Carl C."},{"family":"Lindsey","given":"D. Craig"},{"family":"Otto","given":"Raymond J."},{"family":"Dove","given":"Cyaandi R."},{"family":"Pierce","given":"Jessica T."},{"family":"Saunders","given":"Molly C."}],"issued":{"date-parts":[["2018"]]}}},{"id":47693,"uris":["http://zotero.org/users/5328021/items/MX5P2B6N"],"uri":["http://zotero.org/users/5328021/items/MX5P2B6N"],"itemData":{"id":47693,"type":"article-journal","abstract":"OBJECTIVE: To estimate the cost-effectiveness of using tri-layer porcine small intestine submucosa (SIS; Oasis Ultra) as an adjunct to standard care compared with standard care alone in managing diabetic foot ulcers (DFUs) in the US, from the perspective of Medicare.\nMETHOD: A Markov model was constructed to simulate the management of diabetic neuropathic lower extremity ulcers over a period of one year in the US. The model was used to estimate the cost-effectiveness of initially using adjunctive SIS compared with standard care alone to treat a DFU in the US at 2016 prices.\nRESULTS: At 12 months after the start of treatment, the use of adjunctive SIS instead of standard care alone is expected to lead to a 42 % increase in the number of ulcer-free months, 32 % increase in the probability of healing, a 3 % decrease in the probability of developing complicated ulcers and a 1 % decrease in the probability of undergoing an amputation. Health-care resource use is expected to be reduced by 11-14 % among patients who are initially managed with adjunctive SIS compared with those initially managed with standard care alone, with the exception of debridement, which is expected to be reduced by 35 %. Hence, the total health-care cost of starting treatment with adjunctive SIS instead of standard care alone was estimated to reduce payer costs by 1% (i.e. $105 per patient) over 12 months following the start of treatment.\nCONCLUSION: Within the study's limitations, the use of adjunctive SIS instead of standard care alone improves outcome for less cost and thereby affords a cost-effective use of Medicare-funded resources in the management of neuropathic foot ulcers among adult patients with type 1 or 2 diabetes mellitus in the US.","container-title":"Journal of Wound Care","issue":"Sup1","journalAbbreviation":"J Wound Care","language":"eng","note":"PMID: 28105902","page":"S12-S24","title":"Cost-effectiveness of using adjunctive porcine small intestine submucosa tri-layer matrix compared with standard care in managing diabetic foot ulcers in the US","volume":"26","author":[{"family":"Guest","given":"J. F."},{"family":"Weidlich","given":"D."},{"family":"Singh","given":"H."},{"family":"La Fontaine","given":"J."},{"family":"Garrett","given":"A."},{"family":"Abularrage","given":"C. J."},{"family":"Waycaster","given":"C. R."}],"issued":{"date-parts":[["2017"]],"season":"02"}}},{"id":81699,"uris":["http://zotero.org/users/5328021/items/BB7V7IFY"],"uri":["http://zotero.org/users/5328021/items/BB7V7IFY"],"itemData":{"id":81699,"type":"article-journal","archive":"cin20","container-title":"Foot &amp; Ankle Quarterly--The Seminar Journal","issue":"9","journalAbbreviation":"Foot &amp; Ankle Quarterly--The Seminar Journal","source":"EBSCOhost","title":"Systematic Review of Economic Evaluations of Human Cell-Derived Wound C are Products for the Treatment of Venous Leg and Diabetic Foot Ulcers.","URL":"http://search.ebscohost.com/login.aspx?direct=true&amp;db=cin20&amp;AN=114503321&amp;site=ehost-live&amp;scope=site","volume":"27","author":[{"family":"Langer","given":"A."},{"family":"Rogowski","given":"W."},{"family":"Heybeck","given":"Tyreen V."}],"issued":{"date-parts":[["2016"]]}}},{"id":51025,"uris":["http://zotero.org/users/5328021/items/QX8D29NH"],"uri":["http://zotero.org/users/5328021/items/QX8D29NH"],"itemData":{"id":51025,"type":"article-journal","abstract":"OBJECTIVE: To assess the real-world medical services utilization and associated costs of Medicare patients with diabetic foot ulcers (DFUs) treated with Apligraf (bioengineered living cellular construct (BLCC)) or Dermagraft (human fibroblast-derived dermal substitute (HFDS)) compared with those receiving conventional care (CC).\nMETHODS: DFU patients were selected from Medicare de-identified administrative claims using ICD-9-CM codes. The analysis followed an 'intent-to-treat' design, with cohorts assigned based on use of (1) BLCC, (2) HFDS, or (3) CC (i.e., ≥1 claim for a DFU-related treatment procedure or podiatrist visit and no evidence of skin substitute use) for treatment of DFU in 2006-2012. Propensity score models were used to separately match BLCC and HFDS patients to CC patients with similar baseline demographics, wound severity, and physician experience measures. Medical resource use, lower-limb amputation rates, and total healthcare costs (2012 USD; from payer perspective) during the 18 months following treatment initiation were compared among the resulting matched samples.\nRESULTS: Data for 502 matched BLCC-CC patient pairs and 222 matched HFDS-CC patient pairs were analyzed. Increased costs associated with outpatient service utilization relative to matched CC patients were offset by lower amputation rates (-27.6% BLCC, -22.2% HFDS), fewer days hospitalized (-33.3% BLCC, -42.4% HFDS), and fewer emergency department visits (-32.3% BLCC, -25.7% HFDS) among BLCC/HFDS patients. Consequently, BLCC and HFDS patients had per-patient average healthcare costs during the 18-month follow-up period that were lower than their respective matched CC counterparts (-$5253 BLCC, -$6991 HFDS).\nLIMITATIONS: Findings relied on accuracy of diagnosis and procedure codes contained in the claims data, and did not account for outcomes and costs beyond 18 months after treatment initiation.\nCONCLUSION: These findings suggest that use of BLCC and HFDS for treatment of DFU may lower overall medical costs through reduced utilization of costly healthcare services.","container-title":"Journal of Medical Economics","issue":"8","journalAbbreviation":"J Med Econ","language":"eng","note":"PMID: 25786331","page":"586-595","title":"Economic outcomes among Medicare patients receiving bioengineered cellular technologies for treatment of diabetic foot ulcers","volume":"18","author":[{"family":"Rice","given":"J. Bradford"},{"family":"Desai","given":"Urvi"},{"family":"Ristovska","given":"Ljubica"},{"family":"Cummings","given":"Alice Kate G."},{"family":"Birnbaum","given":"Howard G."},{"family":"Skornicki","given":"Michelle"},{"family":"Margolis","given":"David J."},{"family":"Parsons","given":"Nathan B."}],"issued":{"date-parts":[["2015"]]}}}],"schema":"https://github.com/citation-style-language/schema/raw/master/csl-citation.json"}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lang w:val="en-US"/>
              </w:rPr>
              <w:t>(102,104,110,112–114)</w:t>
            </w:r>
            <w:r w:rsidRPr="00CA32B9">
              <w:rPr>
                <w:rFonts w:asciiTheme="minorHAnsi" w:hAnsiTheme="minorHAnsi" w:cstheme="minorHAnsi"/>
                <w:szCs w:val="20"/>
                <w:lang w:val="en-US"/>
              </w:rPr>
              <w:fldChar w:fldCharType="end"/>
            </w:r>
          </w:p>
        </w:tc>
      </w:tr>
      <w:tr w:rsidR="00F64C02" w:rsidRPr="00166EC2" w14:paraId="2895FF68" w14:textId="77777777" w:rsidTr="00F64C02">
        <w:tc>
          <w:tcPr>
            <w:tcW w:w="9060" w:type="dxa"/>
            <w:gridSpan w:val="4"/>
            <w:shd w:val="clear" w:color="auto" w:fill="D4F1D3" w:themeFill="background2" w:themeFillTint="33"/>
          </w:tcPr>
          <w:p w14:paraId="20C45FA5" w14:textId="44D374F8" w:rsidR="00F64C02" w:rsidRDefault="00F64C02" w:rsidP="00F64C02">
            <w:pPr>
              <w:jc w:val="center"/>
              <w:rPr>
                <w:lang w:val="en-US"/>
              </w:rPr>
            </w:pPr>
            <w:r w:rsidRPr="00CA32B9">
              <w:rPr>
                <w:rFonts w:asciiTheme="minorHAnsi" w:hAnsiTheme="minorHAnsi" w:cstheme="minorHAnsi"/>
                <w:b/>
                <w:bCs/>
                <w:color w:val="56575A"/>
                <w:szCs w:val="20"/>
                <w:lang w:val="en-US"/>
              </w:rPr>
              <w:t>Treatment with bioengineered skin substitute</w:t>
            </w:r>
            <w:r w:rsidR="00723E8E">
              <w:rPr>
                <w:rFonts w:asciiTheme="minorHAnsi" w:hAnsiTheme="minorHAnsi" w:cstheme="minorHAnsi"/>
                <w:b/>
                <w:bCs/>
                <w:color w:val="56575A"/>
                <w:szCs w:val="20"/>
                <w:lang w:val="en-US"/>
              </w:rPr>
              <w:t>s</w:t>
            </w:r>
            <w:r w:rsidRPr="00CA32B9">
              <w:rPr>
                <w:rFonts w:asciiTheme="minorHAnsi" w:hAnsiTheme="minorHAnsi" w:cstheme="minorHAnsi"/>
                <w:b/>
                <w:bCs/>
                <w:color w:val="56575A"/>
                <w:szCs w:val="20"/>
                <w:lang w:val="en-US"/>
              </w:rPr>
              <w:t>: autologous skin substitute</w:t>
            </w:r>
          </w:p>
        </w:tc>
      </w:tr>
      <w:tr w:rsidR="00F64C02" w:rsidRPr="00166EC2" w14:paraId="3058615A" w14:textId="77777777" w:rsidTr="00F64C02">
        <w:tc>
          <w:tcPr>
            <w:tcW w:w="9060" w:type="dxa"/>
            <w:gridSpan w:val="4"/>
            <w:vAlign w:val="center"/>
          </w:tcPr>
          <w:p w14:paraId="0F00E4DB" w14:textId="5A02E342" w:rsidR="00F64C02" w:rsidRDefault="00F64C02" w:rsidP="00F64C02">
            <w:pPr>
              <w:rPr>
                <w:lang w:val="en-US"/>
              </w:rPr>
            </w:pPr>
            <w:r w:rsidRPr="00CA32B9">
              <w:rPr>
                <w:rFonts w:asciiTheme="minorHAnsi" w:hAnsiTheme="minorHAnsi" w:cstheme="minorHAnsi"/>
                <w:b/>
                <w:szCs w:val="20"/>
                <w:lang w:val="en-US"/>
              </w:rPr>
              <w:t xml:space="preserve">Ulcer </w:t>
            </w:r>
            <w:proofErr w:type="spellStart"/>
            <w:r w:rsidRPr="00CA32B9">
              <w:rPr>
                <w:rFonts w:asciiTheme="minorHAnsi" w:hAnsiTheme="minorHAnsi" w:cstheme="minorHAnsi"/>
                <w:b/>
                <w:szCs w:val="20"/>
                <w:lang w:val="en-US"/>
              </w:rPr>
              <w:t>healing</w:t>
            </w:r>
            <w:r w:rsidRPr="00240DFC">
              <w:rPr>
                <w:rFonts w:asciiTheme="minorHAnsi" w:hAnsiTheme="minorHAnsi" w:cstheme="minorHAnsi"/>
                <w:b/>
                <w:szCs w:val="20"/>
                <w:vertAlign w:val="superscript"/>
                <w:lang w:val="en-US"/>
              </w:rPr>
              <w:t>a</w:t>
            </w:r>
            <w:proofErr w:type="spellEnd"/>
          </w:p>
        </w:tc>
      </w:tr>
      <w:tr w:rsidR="00F64C02" w14:paraId="4D60FDD7" w14:textId="77777777" w:rsidTr="00F64C02">
        <w:tc>
          <w:tcPr>
            <w:tcW w:w="2830" w:type="dxa"/>
            <w:vAlign w:val="center"/>
          </w:tcPr>
          <w:p w14:paraId="7BA7606D" w14:textId="2C560756" w:rsidR="00F64C02" w:rsidRDefault="00F64C02" w:rsidP="00F64C02">
            <w:pPr>
              <w:jc w:val="center"/>
              <w:rPr>
                <w:lang w:val="en-US"/>
              </w:rPr>
            </w:pPr>
            <w:r w:rsidRPr="00CA32B9">
              <w:rPr>
                <w:rFonts w:asciiTheme="minorHAnsi" w:hAnsiTheme="minorHAnsi" w:cstheme="minorHAnsi"/>
                <w:szCs w:val="20"/>
                <w:lang w:val="en-US"/>
              </w:rPr>
              <w:t>3 studies (</w:t>
            </w:r>
            <w:r w:rsidRPr="00CA32B9">
              <w:rPr>
                <w:rFonts w:asciiTheme="minorHAnsi" w:eastAsia="Times New Roman" w:hAnsiTheme="minorHAnsi" w:cstheme="minorHAnsi"/>
                <w:szCs w:val="20"/>
                <w:lang w:val="en-US"/>
              </w:rPr>
              <w:t>II)</w:t>
            </w:r>
          </w:p>
        </w:tc>
        <w:tc>
          <w:tcPr>
            <w:tcW w:w="1460" w:type="dxa"/>
            <w:vAlign w:val="center"/>
          </w:tcPr>
          <w:p w14:paraId="5F2B21A5" w14:textId="7B6428D5" w:rsidR="00F64C02" w:rsidRDefault="00F64C02" w:rsidP="00F64C02">
            <w:pPr>
              <w:jc w:val="center"/>
              <w:rPr>
                <w:lang w:val="en-US"/>
              </w:rPr>
            </w:pPr>
            <w:r w:rsidRPr="00CA32B9">
              <w:rPr>
                <w:rFonts w:asciiTheme="minorHAnsi" w:hAnsiTheme="minorHAnsi" w:cstheme="minorHAnsi"/>
                <w:szCs w:val="20"/>
                <w:lang w:val="en-US"/>
              </w:rPr>
              <w:t>7,6</w:t>
            </w:r>
          </w:p>
        </w:tc>
        <w:tc>
          <w:tcPr>
            <w:tcW w:w="2151" w:type="dxa"/>
            <w:vMerge w:val="restart"/>
            <w:vAlign w:val="center"/>
          </w:tcPr>
          <w:p w14:paraId="14B68E16" w14:textId="4C7F753B" w:rsidR="00F64C02" w:rsidRDefault="00F64C02" w:rsidP="00F64C02">
            <w:pPr>
              <w:jc w:val="center"/>
              <w:rPr>
                <w:lang w:val="en-US"/>
              </w:rPr>
            </w:pPr>
            <w:r w:rsidRPr="00CA32B9">
              <w:rPr>
                <w:rFonts w:asciiTheme="minorHAnsi" w:hAnsiTheme="minorHAnsi" w:cstheme="minorHAnsi"/>
                <w:szCs w:val="20"/>
                <w:lang w:val="en-US"/>
              </w:rPr>
              <w:t>Good</w:t>
            </w:r>
          </w:p>
        </w:tc>
        <w:tc>
          <w:tcPr>
            <w:tcW w:w="2619" w:type="dxa"/>
            <w:vAlign w:val="center"/>
          </w:tcPr>
          <w:p w14:paraId="3A759EFC" w14:textId="50C12A08"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bVSr0xag","properties":{"formattedCitation":"(115\\uc0\\u8211{}117)","plainCitation":"(115–117)","noteIndex":0},"citationItems":[{"id":73352,"uris":["http://zotero.org/users/5328021/items/SJBPVD24"],"uri":["http://zotero.org/users/5328021/items/SJBPVD24"],"itemData":{"id":73352,"type":"article-journal","abstract":"BACKGROUND: The diabetic foot ulcer (DFU) is one of the most prevalent complications of diabetes mellitus and often develops severe effects that can lead to amputation. A non-healing \"minor\" amputation often precedes a major amputation resulting in a negative impact on the function and quality of life of  the patients. Stem cell-based therapies have emerged as a promising option to improve healing, and the adipose tissue is an abundant and easy to access source. The injection of autologous micro-fragmented adipose tissue at the amputation stump of a diabetic population undergoing a lower limb minor amputation was evaluated and compared with the standard care. METHODS: In this randomized controlled trial with two arms (parallel assignment) and no masking, 114 patients undergoing a lower limb minor amputation were randomized to standard of care or to micro-fragmented adipose tissue injection prepared using a minimal manipulation technique (Lipogems(R)) in a closed system. Clinical outcomes were determined monthly up to 6 months. Primary endpoint of the study was the evaluation of the healing rate and time after the minor amputation. Secondary endpoints included the assessment of safety, feasibility, technical success, relapse rate, skin tropism, and intensity of pain. RESULTS: At 6 months, 80% of the micro-fragmented adipose tissue-treated feet healed and 20% failed as compared with the control group where 46% healed and 54% failed (p = 0.0064). No  treatment-related adverse events nor relapses were documented, and technical success was achieved in all cases. The skin tropism was improved in the treatment group, and the pain scale did not differ between the two groups. CONCLUSION: The  results of this randomized controlled trial suggest that the local injection of autologous micro-fragmented adipose tissue is a safe and valid therapeutic option able to improve healing rate following minor amputations of irreversible DFU. The technique overcomes several stem cell therapy-related criticisms and its potential in wound care should be better evaluated and the therapeutic indications could be expanded. TRIAL REGISTRATION: ClinicalTrials.gov number: NCT03276312. Date of registration: September 8, 2017 (retrospectively registered).","container-title":"Stem cell research &amp; therapy","issue":"1","journalAbbreviation":"Stem Cell Res Ther","language":"eng","note":"PMID: 31358046 \nPMCID: PMC6664586","page":"223","title":"Autologous micro-fragmented adipose tissue for the treatment of diabetic foot minor amputations: a randomized controlled single-center clinical trial (MiFrAADiF).","volume":"10","author":[{"family":"Lonardi","given":"Roberto"},{"family":"Leone","given":"Nicola"},{"family":"Gennai","given":"Stefano"},{"family":"Trevisi Borsari","given":"Giulia"},{"family":"Covic","given":"Tea"},{"family":"Silingardi","given":"Roberto"}],"issued":{"date-parts":[["2019",7,29]]}}},{"id":50986,"uris":["http://zotero.org/users/5328021/items/QYT2JUPH"],"uri":["http://zotero.org/users/5328021/items/QYT2JUPH"],"itemData":{"id":50986,"type":"article-journal","abstract":"The purpose of the study is to examine the safety and effectiveness of topical autologous platelet-rich gel (APG) application on facilitating the healing of diabetic chronic refractory cutaneous ulcers. The study was designed as a prospective, randomized controlled trial between January 1, 2007 and December 31, 2011. Eligible inpatients at the Diabetic Foot Care Center of West China Hospital, Sichuan University (China) were randomly prescribed with a 12-week standard treatment of ulcers (the control group) or standard treatment plus topical application APG (the APG group). The wound healing grades (primary endpoint), time to complete healing, and healing velocity within 12 weeks were monitored as short-term effectiveness measurements, while side effects were documented safety endpoints. The rates of survival and recurrence within the follow up were recorded as long-term effectiveness endpoints. Analysis on total diabetic ulcers (DUs) (n = 117) and subgroup analysis on diabetic foot ulcers (DFUs) (n = 103) were both conducted. Standard treatment plus APG treatment was statistically more effective than standard treatment (p &lt; 0.05 in both total DUs and subgroup of DFUs). The subjects defined as healing grade 1 were 50/59 (84.8%) in total DUs and 41/48 (85.4%) in DFUs in the APG group compared with 40/58 (69.0%) and 37/55 (67.3%) in the control group from intent to treat population. The Kaplan-Meier time-to-healing were significantly different between the two groups (p &lt; 0.05 in both total DUs and subgroup of DFUs). No side effects were identified after topical APG application. The long-term survival and recurrence rates were comparative between groups (p &gt; 0.05). This study shows that topical APG application plus standard treatment is safe and quite effective on diabetic chronic refractory cutaneous ulcers, compared with standard treatment.","container-title":"Wound Repair and Regeneration: Official Publication of the Wound Healing Society [and] the European Tissue Repair Society","issue":"4","journalAbbreviation":"Wound Repair Regen","language":"eng","note":"PMID: 25847503","page":"495-505","title":"Autologous platelet-rich gel for treatment of diabetic chronic refractory cutaneous ulcers: A prospective, randomized clinical trial","volume":"23","author":[{"family":"Li","given":"Lan"},{"family":"Chen","given":"Dawei"},{"family":"Wang","given":"Chun"},{"family":"Yuan","given":"Nanbing"},{"family":"Wang","given":"Yan"},{"family":"He","given":"Liping"},{"family":"Yang","given":"Yanzhi"},{"family":"Chen","given":"Lihong"},{"family":"Liu","given":"Guanjian"},{"family":"Li","given":"Xiujun"},{"family":"Ran","given":"Xingwu"}],"issued":{"date-parts":[["2015",8]]}}},{"id":45324,"uris":["http://zotero.org/users/5328021/items/4S4RV8H5"],"uri":["http://zotero.org/users/5328021/items/4S4RV8H5"],"itemData":{"id":45324,"type":"article-journal","abstract":"BACKGROUND: The LeucoPatch device uses bedside centrifugation without additional reagents to generate a disc comprising autologous leucocytes, platelets, and fibrin, which is applied to the surface of the wound. We aimed to test the effectiveness of LeucoPatch on the healing of hard-to-heal foot ulcers in people with diabetes.\nMETHODS: This was a multicentre, international, observer-masked, randomised controlled trial of people with diabetes and a hard-to-heal foot ulcer done in 32 specialist diabetic foot clinics in three countries (UK, Denmark, and Sweden). After a 4-week run-in period, those with a reduction in ulcer area of less than 50% were randomly allocated (1:1) by computer-generated, web-based randomisation (block sizes of two, four, and six) to either prespecified good standard care alone or care plus weekly application of LeucoPatch. The primary outcome was the proportion of ulcers that healed within 20 weeks assessed in the intention-to-treat population (all participants with post-randomisation data collected), defined as complete epithelialisation (confirmed by an observer who was masked to randomisation group), and remained healed for 4 weeks. This trial is registered with the ISRCTN registry, number 27665670, and ClinicalTrials.gov, number NCT02224742.\nFINDINGS: Between Aug 30, 2013, and May 3, 2017, 269 participants were randomly allocated to receive treatment (137 to receive standard care and 132 to receive LeucoPatch). The mean age was 61·9 years (SD 11·6), 217 (82%) were men, and 222 (83%) had type 2 diabetes. In the LeucoPatch group, 45 (34%) of 132 ulcers healed within 20 weeks versus 29 (22%) of 134 ulcers in the standard care group (odds ratio 1·58, 96% CI 1·04-2·40; p=0·0235) by intention-to-treat analysis. Time to healing was shorter in the LeucoPatch group (p=0·0246) than in the standard care group. No difference in adverse events was seen between the groups. The most common serious adverse event (SAE) was diabetic foot infection (24 events in the LeucoPatch group [24% of all SAEs] and 20 in the standard care group [27% of all SAEs]. There were no device-related adverse events.\nINTERPRETATION: The use of LeucoPatch is associated with significant enhancement of healing of hard-to-heal foot ulcers in people with diabetes.\nFUNDING: Reapplix ApS.","container-title":"The Lancet. Diabetes &amp; Endocrinology","issue":"11","journalAbbreviation":"Lancet Diabetes Endocrinol","language":"eng","note":"PMID: 30243803","page":"870-878","title":"LeucoPatch system for the management of hard-to-heal diabetic foot ulcers in the UK, Denmark, and Sweden: an observer-masked, randomised controlled trial","volume":"6","author":[{"family":"Game","given":"Frances"},{"family":"Jeffcoate","given":"William"},{"family":"Tarnow","given":"Lise"},{"family":"Jacobsen","given":"Judith L."},{"family":"Whitham","given":"Diane J."},{"family":"Harrison","given":"Eleanor F."},{"family":"Ellender","given":"Sharon J."},{"family":"Fitzsimmons","given":"Deborah"},{"family":"Löndahl","given":"Magnus"},{"literal":"LeucoPatch II trial team"}],"issued":{"date-parts":[["2018"]]}}}],"schema":"https://github.com/citation-style-language/schema/raw/master/csl-citation.json"}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(115–117)</w:t>
            </w:r>
            <w:r w:rsidRPr="00CA32B9">
              <w:rPr>
                <w:rFonts w:asciiTheme="minorHAnsi" w:hAnsiTheme="minorHAnsi" w:cstheme="minorHAnsi"/>
                <w:szCs w:val="20"/>
                <w:lang w:val="en-US"/>
              </w:rPr>
              <w:fldChar w:fldCharType="end"/>
            </w:r>
          </w:p>
        </w:tc>
      </w:tr>
      <w:tr w:rsidR="00F64C02" w14:paraId="0B594398" w14:textId="77777777" w:rsidTr="00F64C02">
        <w:tc>
          <w:tcPr>
            <w:tcW w:w="2830" w:type="dxa"/>
            <w:vAlign w:val="center"/>
          </w:tcPr>
          <w:p w14:paraId="25793823" w14:textId="1D764754"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1 study (II)</w:t>
            </w:r>
          </w:p>
        </w:tc>
        <w:tc>
          <w:tcPr>
            <w:tcW w:w="1460" w:type="dxa"/>
            <w:vAlign w:val="center"/>
          </w:tcPr>
          <w:p w14:paraId="366B60BF" w14:textId="5D9B33DC"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6</w:t>
            </w:r>
          </w:p>
        </w:tc>
        <w:tc>
          <w:tcPr>
            <w:tcW w:w="2151" w:type="dxa"/>
            <w:vMerge/>
            <w:vAlign w:val="center"/>
          </w:tcPr>
          <w:p w14:paraId="506B448B" w14:textId="77777777" w:rsidR="00F64C02" w:rsidRDefault="00F64C02" w:rsidP="00F64C02">
            <w:pPr>
              <w:jc w:val="center"/>
              <w:rPr>
                <w:lang w:val="en-US"/>
              </w:rPr>
            </w:pPr>
          </w:p>
        </w:tc>
        <w:tc>
          <w:tcPr>
            <w:tcW w:w="2619" w:type="dxa"/>
            <w:vAlign w:val="center"/>
          </w:tcPr>
          <w:p w14:paraId="3E317B70" w14:textId="262170AA"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Yk4UboRy","properties":{"formattedCitation":"(118)","plainCitation":"(118)","noteIndex":0},"citationItems":[{"id":55305,"uris":["http://zotero.org/users/5328021/items/G4524A33"],"uri":["http://zotero.org/users/5328021/items/G4524A33"],"itemData":{"id":55305,"type":"article-journal","abstract":"This study evaluated the efficacy and tolerability of an autologous tissue-engineered graft--a 2-step HYAFF autograft--in the treatment of diabetic foot ulcers compared with standard care. In all, 180 patients with dorsal or plantar diabetic foot ulcers (unhealed for ≥1 month) were randomized to receive Hyalograft-3D autograft first and then Laserskin autograft after 2 weeks (n = 90; treatment group) or nonadherent paraffin gauze (n = 90; control group). Efficacy and adverse events were assessed weekly for 12 weeks, at 20 weeks, and at 18 months. The primary efficacy outcome was complete ulcer healing at 12 weeks. Wound debridement, adequate pressure relief, and infection control were provided to both groups. At 12 weeks, complete ulcer healing was similar in both groups (24% of treated vs 21% controls). A 50% reduction in ulcer area was achieved significantly faster in the treatment group (mean 40 vs 50 days; P = .018). Weekly percentage ulcer reduction was consistently higher in the treatment group. At 20 weeks, ulcer healing was achieved in 50% of the treated group as compared with 43% of controls. Dorsal ulcers had a 2.17-fold better chance of wound healing per unit time following autograft treatment (P = .047). In a subgroup with hard-to-heal ulcers, there was a 3.65-fold better chance of wound healing following autograft treatment of dorsal ulcers (P = .035). Adverse events were similar in both groups. The study results demonstrated the potential of this bioengineered substitutes to manage hard-to-heal dorsal foot ulcers.","container-title":"The International Journal of Lower Extremity Wounds","issue":"2","journalAbbreviation":"Int J Low Extrem Wounds","language":"eng","note":"PMID: 21693443","page":"80-85","title":"Two-step autologous grafting using HYAFF scaffolds in treating difficult diabetic foot ulcers: results of a multicenter, randomized controlled clinical trial with long-term follow-up","volume":"10","author":[{"family":"Uccioli","given":"Luigi"},{"family":"Giurato","given":"Laura"},{"family":"Ruotolo","given":"Valeria"},{"family":"Ciavarella","given":"Adolfo"},{"family":"Grimaldi","given":"Michele S."},{"family":"Piaggesi","given":"Alberto"},{"family":"Teobaldi","given":"Ilaria"},{"family":"Ricci","given":"Lucia"},{"family":"Scionti","given":"Luciano"},{"family":"Vermigli","given":"Cristiana"},{"family":"Seguro","given":"Roberto"},{"family":"Mancini","given":"Lorena"},{"family":"Ghirlanda","given":"Giovanni"}],"issued":{"date-parts":[["2011",6]]}}}],"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(118)</w:t>
            </w:r>
            <w:r w:rsidRPr="00CA32B9">
              <w:rPr>
                <w:rFonts w:asciiTheme="minorHAnsi" w:hAnsiTheme="minorHAnsi" w:cstheme="minorHAnsi"/>
                <w:szCs w:val="20"/>
                <w:lang w:val="en-US"/>
              </w:rPr>
              <w:fldChar w:fldCharType="end"/>
            </w:r>
          </w:p>
        </w:tc>
      </w:tr>
      <w:tr w:rsidR="00F64C02" w14:paraId="37DA6A62" w14:textId="77777777" w:rsidTr="00F64C02">
        <w:tc>
          <w:tcPr>
            <w:tcW w:w="9060" w:type="dxa"/>
            <w:gridSpan w:val="4"/>
            <w:vAlign w:val="center"/>
          </w:tcPr>
          <w:p w14:paraId="5FC8DD30" w14:textId="1C8DF6B8" w:rsidR="00F64C02" w:rsidRDefault="00F64C02" w:rsidP="00F64C02">
            <w:pPr>
              <w:jc w:val="left"/>
              <w:rPr>
                <w:lang w:val="en-US"/>
              </w:rPr>
            </w:pPr>
            <w:r w:rsidRPr="00CA32B9">
              <w:rPr>
                <w:rFonts w:asciiTheme="minorHAnsi" w:hAnsiTheme="minorHAnsi" w:cstheme="minorHAnsi"/>
                <w:b/>
                <w:szCs w:val="20"/>
                <w:lang w:val="en-US"/>
              </w:rPr>
              <w:t>Ulcer healing at 12 weeks</w:t>
            </w:r>
          </w:p>
        </w:tc>
      </w:tr>
      <w:tr w:rsidR="00F64C02" w14:paraId="6F28E0E2" w14:textId="77777777" w:rsidTr="00F64C02">
        <w:tc>
          <w:tcPr>
            <w:tcW w:w="2830" w:type="dxa"/>
            <w:vAlign w:val="center"/>
          </w:tcPr>
          <w:p w14:paraId="349CD3B0" w14:textId="56C6281A" w:rsidR="00F64C02" w:rsidRDefault="00F64C02" w:rsidP="00F64C02">
            <w:pPr>
              <w:jc w:val="center"/>
              <w:rPr>
                <w:lang w:val="en-US"/>
              </w:rPr>
            </w:pP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460" w:type="dxa"/>
            <w:vAlign w:val="center"/>
          </w:tcPr>
          <w:p w14:paraId="7F71CCB1" w14:textId="0AFD4018" w:rsidR="00F64C02" w:rsidRDefault="00F64C02" w:rsidP="00F64C02">
            <w:pPr>
              <w:jc w:val="center"/>
              <w:rPr>
                <w:lang w:val="en-US"/>
              </w:rPr>
            </w:pPr>
            <w:r w:rsidRPr="00CA32B9">
              <w:rPr>
                <w:rFonts w:asciiTheme="minorHAnsi" w:hAnsiTheme="minorHAnsi" w:cstheme="minorHAnsi"/>
                <w:szCs w:val="20"/>
                <w:lang w:val="en-US"/>
              </w:rPr>
              <w:t>5</w:t>
            </w:r>
          </w:p>
        </w:tc>
        <w:tc>
          <w:tcPr>
            <w:tcW w:w="2151" w:type="dxa"/>
            <w:vMerge w:val="restart"/>
            <w:vAlign w:val="center"/>
          </w:tcPr>
          <w:p w14:paraId="4BC6A6A0" w14:textId="3090999C" w:rsidR="00F64C02" w:rsidRDefault="00F64C02" w:rsidP="00F64C02">
            <w:pPr>
              <w:jc w:val="center"/>
              <w:rPr>
                <w:lang w:val="en-US"/>
              </w:rPr>
            </w:pPr>
            <w:r w:rsidRPr="00CA32B9">
              <w:rPr>
                <w:rFonts w:asciiTheme="minorHAnsi" w:hAnsiTheme="minorHAnsi" w:cstheme="minorHAnsi"/>
                <w:szCs w:val="20"/>
                <w:lang w:val="en-US"/>
              </w:rPr>
              <w:t>Low</w:t>
            </w:r>
          </w:p>
        </w:tc>
        <w:tc>
          <w:tcPr>
            <w:tcW w:w="2619" w:type="dxa"/>
            <w:vAlign w:val="center"/>
          </w:tcPr>
          <w:p w14:paraId="1EF31993" w14:textId="3661B4B0"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tEtpaJKg","properties":{"formattedCitation":"(96)","plainCitation":"(96)","noteIndex":0},"citationItems":[{"id":51268,"uris":["http://zotero.org/users/5328021/items/ACQQS98D"],"uri":["http://zotero.org/users/5328021/items/ACQQS98D"],"itemData":{"id":51268,"type":"article-journal","abstract":"OBJECTIVE: Diabetic foot ulcers (DFUs) often pose a treatment problem. Bioengineered skin substitutes have been reported to result in accelerated diabetic wound healing. The purpose of this clinical trial was to evaluate the efficacy and safety of the autologous fibroblast-hyaluronic acid complex for treating DFUs.\nMETHOD: A stratified, randomised, controlled, multicentre study was carried out. Patients with DFUs were allocated to either a treatment group with grafting of an autologous fibroblast-hyaluronic acid complex or a control group with non-adherent foam dressing. Except for application of the fibroblast complex, treatment of the study ulcers was identical for patients in both groups. The maximum follow-up period for each patient was 12 weeks.\nRESULTS: Complete ulcer healing was achieved in 84% (26/31 patients) of the treatment group and 34% (11/32 patients) of the control group (p&lt;0.05). The times required for complete healing were 36.4 ± 17.6 and 48.4 ± 13.1 days in the treatment and control groups, respectively (p&lt;0.05). No adverse events related to treatment occurred.\nCONCLUSION: These results indicate that autologous fibroblast-hyaluronic acid complex may offer a safe and effective treatment for DFUs.","container-title":"Journal of Wound Care","issue":"11","journalAbbreviation":"J Wound Care","language":"eng","note":"PMID: 25375400","page":"521-522, 524, 526-530","title":"Randomised controlled clinical trial for autologous fibroblast-hyaluronic acid complex in treating diabetic foot ulcers","volume":"23","author":[{"family":"You","given":"H. J."},{"family":"Han","given":"S. K."},{"family":"Rhie","given":"J. W."}],"issued":{"date-parts":[["2014",11]]}}}],"schema":"https://github.com/citation-style-language/schema/raw/master/csl-citation.json"}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(96)</w:t>
            </w:r>
            <w:r w:rsidRPr="00CA32B9">
              <w:rPr>
                <w:rFonts w:asciiTheme="minorHAnsi" w:hAnsiTheme="minorHAnsi" w:cstheme="minorHAnsi"/>
                <w:szCs w:val="20"/>
                <w:lang w:val="en-US"/>
              </w:rPr>
              <w:fldChar w:fldCharType="end"/>
            </w:r>
          </w:p>
        </w:tc>
      </w:tr>
      <w:tr w:rsidR="00F64C02" w14:paraId="75C218E8" w14:textId="77777777" w:rsidTr="00F64C02">
        <w:tc>
          <w:tcPr>
            <w:tcW w:w="2830" w:type="dxa"/>
            <w:vAlign w:val="center"/>
          </w:tcPr>
          <w:p w14:paraId="60DE94AE" w14:textId="5D5D948F"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1 study (II)</w:t>
            </w:r>
          </w:p>
        </w:tc>
        <w:tc>
          <w:tcPr>
            <w:tcW w:w="1460" w:type="dxa"/>
            <w:vAlign w:val="center"/>
          </w:tcPr>
          <w:p w14:paraId="55FAC2CF" w14:textId="6A191CDF"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6</w:t>
            </w:r>
          </w:p>
        </w:tc>
        <w:tc>
          <w:tcPr>
            <w:tcW w:w="2151" w:type="dxa"/>
            <w:vMerge/>
            <w:vAlign w:val="center"/>
          </w:tcPr>
          <w:p w14:paraId="101052BF" w14:textId="77777777" w:rsidR="00F64C02" w:rsidRDefault="00F64C02" w:rsidP="00F64C02">
            <w:pPr>
              <w:jc w:val="center"/>
              <w:rPr>
                <w:lang w:val="en-US"/>
              </w:rPr>
            </w:pPr>
          </w:p>
        </w:tc>
        <w:tc>
          <w:tcPr>
            <w:tcW w:w="2619" w:type="dxa"/>
            <w:vAlign w:val="center"/>
          </w:tcPr>
          <w:p w14:paraId="5D43312B" w14:textId="60757891"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glHxbt9Y","properties":{"formattedCitation":"(118)","plainCitation":"(118)","noteIndex":0},"citationItems":[{"id":55305,"uris":["http://zotero.org/users/5328021/items/G4524A33"],"uri":["http://zotero.org/users/5328021/items/G4524A33"],"itemData":{"id":55305,"type":"article-journal","abstract":"This study evaluated the efficacy and tolerability of an autologous tissue-engineered graft--a 2-step HYAFF autograft--in the treatment of diabetic foot ulcers compared with standard care. In all, 180 patients with dorsal or plantar diabetic foot ulcers (unhealed for ≥1 month) were randomized to receive Hyalograft-3D autograft first and then Laserskin autograft after 2 weeks (n = 90; treatment group) or nonadherent paraffin gauze (n = 90; control group). Efficacy and adverse events were assessed weekly for 12 weeks, at 20 weeks, and at 18 months. The primary efficacy outcome was complete ulcer healing at 12 weeks. Wound debridement, adequate pressure relief, and infection control were provided to both groups. At 12 weeks, complete ulcer healing was similar in both groups (24% of treated vs 21% controls). A 50% reduction in ulcer area was achieved significantly faster in the treatment group (mean 40 vs 50 days; P = .018). Weekly percentage ulcer reduction was consistently higher in the treatment group. At 20 weeks, ulcer healing was achieved in 50% of the treated group as compared with 43% of controls. Dorsal ulcers had a 2.17-fold better chance of wound healing per unit time following autograft treatment (P = .047). In a subgroup with hard-to-heal ulcers, there was a 3.65-fold better chance of wound healing following autograft treatment of dorsal ulcers (P = .035). Adverse events were similar in both groups. The study results demonstrated the potential of this bioengineered substitutes to manage hard-to-heal dorsal foot ulcers.","container-title":"The International Journal of Lower Extremity Wounds","issue":"2","journalAbbreviation":"Int J Low Extrem Wounds","language":"eng","note":"PMID: 21693443","page":"80-85","title":"Two-step autologous grafting using HYAFF scaffolds in treating difficult diabetic foot ulcers: results of a multicenter, randomized controlled clinical trial with long-term follow-up","volume":"10","author":[{"family":"Uccioli","given":"Luigi"},{"family":"Giurato","given":"Laura"},{"family":"Ruotolo","given":"Valeria"},{"family":"Ciavarella","given":"Adolfo"},{"family":"Grimaldi","given":"Michele S."},{"family":"Piaggesi","given":"Alberto"},{"family":"Teobaldi","given":"Ilaria"},{"family":"Ricci","given":"Lucia"},{"family":"Scionti","given":"Luciano"},{"family":"Vermigli","given":"Cristiana"},{"family":"Seguro","given":"Roberto"},{"family":"Mancini","given":"Lorena"},{"family":"Ghirlanda","given":"Giovanni"}],"issued":{"date-parts":[["2011",6]]}}}],"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(118)</w:t>
            </w:r>
            <w:r w:rsidRPr="00CA32B9">
              <w:rPr>
                <w:rFonts w:asciiTheme="minorHAnsi" w:hAnsiTheme="minorHAnsi" w:cstheme="minorHAnsi"/>
                <w:szCs w:val="20"/>
                <w:lang w:val="en-US"/>
              </w:rPr>
              <w:fldChar w:fldCharType="end"/>
            </w:r>
          </w:p>
        </w:tc>
      </w:tr>
      <w:tr w:rsidR="00F64C02" w14:paraId="30B07895" w14:textId="77777777" w:rsidTr="00F64C02">
        <w:tc>
          <w:tcPr>
            <w:tcW w:w="9060" w:type="dxa"/>
            <w:gridSpan w:val="4"/>
            <w:vAlign w:val="center"/>
          </w:tcPr>
          <w:p w14:paraId="74886C52" w14:textId="47A12AE4" w:rsidR="00F64C02" w:rsidRDefault="00F64C02" w:rsidP="00F64C02">
            <w:pPr>
              <w:jc w:val="left"/>
              <w:rPr>
                <w:lang w:val="en-US"/>
              </w:rPr>
            </w:pPr>
            <w:r w:rsidRPr="00CA32B9">
              <w:rPr>
                <w:rFonts w:asciiTheme="minorHAnsi" w:hAnsiTheme="minorHAnsi" w:cstheme="minorHAnsi"/>
                <w:b/>
                <w:szCs w:val="20"/>
                <w:lang w:val="en-US"/>
              </w:rPr>
              <w:t>Probability of ulcer healing</w:t>
            </w:r>
          </w:p>
        </w:tc>
      </w:tr>
      <w:tr w:rsidR="00F64C02" w14:paraId="62676C0B" w14:textId="77777777" w:rsidTr="00F64C02">
        <w:tc>
          <w:tcPr>
            <w:tcW w:w="2830" w:type="dxa"/>
            <w:vAlign w:val="center"/>
          </w:tcPr>
          <w:p w14:paraId="0B99A594" w14:textId="1955B4C7" w:rsidR="00F64C02" w:rsidRDefault="00F64C02" w:rsidP="00F64C02">
            <w:pPr>
              <w:jc w:val="center"/>
              <w:rPr>
                <w:lang w:val="en-US"/>
              </w:rPr>
            </w:pP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460" w:type="dxa"/>
            <w:vAlign w:val="center"/>
          </w:tcPr>
          <w:p w14:paraId="2071C85A" w14:textId="080504BF" w:rsidR="00F64C02" w:rsidRDefault="00F64C02" w:rsidP="00F64C02">
            <w:pPr>
              <w:jc w:val="center"/>
              <w:rPr>
                <w:lang w:val="en-US"/>
              </w:rPr>
            </w:pPr>
            <w:r w:rsidRPr="00CA32B9">
              <w:rPr>
                <w:rFonts w:asciiTheme="minorHAnsi" w:hAnsiTheme="minorHAnsi" w:cstheme="minorHAnsi"/>
                <w:szCs w:val="20"/>
                <w:lang w:val="en-US"/>
              </w:rPr>
              <w:t>8</w:t>
            </w:r>
          </w:p>
        </w:tc>
        <w:tc>
          <w:tcPr>
            <w:tcW w:w="2151" w:type="dxa"/>
            <w:vAlign w:val="center"/>
          </w:tcPr>
          <w:p w14:paraId="481FF744" w14:textId="366306F0" w:rsidR="00F64C02" w:rsidRDefault="00F64C02" w:rsidP="00F64C02">
            <w:pPr>
              <w:jc w:val="center"/>
              <w:rPr>
                <w:lang w:val="en-US"/>
              </w:rPr>
            </w:pPr>
            <w:r w:rsidRPr="00CA32B9">
              <w:rPr>
                <w:rFonts w:asciiTheme="minorHAnsi" w:hAnsiTheme="minorHAnsi" w:cstheme="minorHAnsi"/>
                <w:szCs w:val="20"/>
                <w:lang w:val="en-US"/>
              </w:rPr>
              <w:t>High</w:t>
            </w:r>
          </w:p>
        </w:tc>
        <w:tc>
          <w:tcPr>
            <w:tcW w:w="2619" w:type="dxa"/>
            <w:vAlign w:val="center"/>
          </w:tcPr>
          <w:p w14:paraId="0D5DCBFD" w14:textId="18467231"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JTa7uwDz","properties":{"formattedCitation":"(115)","plainCitation":"(115)","noteIndex":0},"citationItems":[{"id":73352,"uris":["http://zotero.org/users/5328021/items/SJBPVD24"],"uri":["http://zotero.org/users/5328021/items/SJBPVD24"],"itemData":{"id":73352,"type":"article-journal","abstract":"BACKGROUND: The diabetic foot ulcer (DFU) is one of the most prevalent complications of diabetes mellitus and often develops severe effects that can lead to amputation. A non-healing \"minor\" amputation often precedes a major amputation resulting in a negative impact on the function and quality of life of  the patients. Stem cell-based therapies have emerged as a promising option to improve healing, and the adipose tissue is an abundant and easy to access source. The injection of autologous micro-fragmented adipose tissue at the amputation stump of a diabetic population undergoing a lower limb minor amputation was evaluated and compared with the standard care. METHODS: In this randomized controlled trial with two arms (parallel assignment) and no masking, 114 patients undergoing a lower limb minor amputation were randomized to standard of care or to micro-fragmented adipose tissue injection prepared using a minimal manipulation technique (Lipogems(R)) in a closed system. Clinical outcomes were determined monthly up to 6 months. Primary endpoint of the study was the evaluation of the healing rate and time after the minor amputation. Secondary endpoints included the assessment of safety, feasibility, technical success, relapse rate, skin tropism, and intensity of pain. RESULTS: At 6 months, 80% of the micro-fragmented adipose tissue-treated feet healed and 20% failed as compared with the control group where 46% healed and 54% failed (p = 0.0064). No  treatment-related adverse events nor relapses were documented, and technical success was achieved in all cases. The skin tropism was improved in the treatment group, and the pain scale did not differ between the two groups. CONCLUSION: The  results of this randomized controlled trial suggest that the local injection of autologous micro-fragmented adipose tissue is a safe and valid therapeutic option able to improve healing rate following minor amputations of irreversible DFU. The technique overcomes several stem cell therapy-related criticisms and its potential in wound care should be better evaluated and the therapeutic indications could be expanded. TRIAL REGISTRATION: ClinicalTrials.gov number: NCT03276312. Date of registration: September 8, 2017 (retrospectively registered).","container-title":"Stem cell research &amp; therapy","issue":"1","journalAbbreviation":"Stem Cell Res Ther","language":"eng","note":"PMID: 31358046 \nPMCID: PMC6664586","page":"223","title":"Autologous micro-fragmented adipose tissue for the treatment of diabetic foot minor amputations: a randomized controlled single-center clinical trial (MiFrAADiF).","volume":"10","author":[{"family":"Lonardi","given":"Roberto"},{"family":"Leone","given":"Nicola"},{"family":"Gennai","given":"Stefano"},{"family":"Trevisi Borsari","given":"Giulia"},{"family":"Covic","given":"Tea"},{"family":"Silingardi","given":"Roberto"}],"issued":{"date-parts":[["2019",7,29]]}}}],"schema":"https://github.com/citation-style-language/schema/raw/master/csl-citation.json"}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(115)</w:t>
            </w:r>
            <w:r w:rsidRPr="00CA32B9">
              <w:rPr>
                <w:rFonts w:asciiTheme="minorHAnsi" w:hAnsiTheme="minorHAnsi" w:cstheme="minorHAnsi"/>
                <w:szCs w:val="20"/>
                <w:lang w:val="en-US"/>
              </w:rPr>
              <w:fldChar w:fldCharType="end"/>
            </w:r>
          </w:p>
        </w:tc>
      </w:tr>
      <w:tr w:rsidR="00F64C02" w14:paraId="232542B5" w14:textId="77777777" w:rsidTr="00F64C02">
        <w:tc>
          <w:tcPr>
            <w:tcW w:w="9060" w:type="dxa"/>
            <w:gridSpan w:val="4"/>
            <w:vAlign w:val="center"/>
          </w:tcPr>
          <w:p w14:paraId="3D9BF57B" w14:textId="18B804A7" w:rsidR="00F64C02" w:rsidRDefault="00F64C02" w:rsidP="00F64C02">
            <w:pPr>
              <w:jc w:val="left"/>
              <w:rPr>
                <w:lang w:val="en-US"/>
              </w:rPr>
            </w:pPr>
            <w:r w:rsidRPr="00CA32B9">
              <w:rPr>
                <w:rFonts w:asciiTheme="minorHAnsi" w:hAnsiTheme="minorHAnsi" w:cstheme="minorHAnsi"/>
                <w:b/>
                <w:szCs w:val="20"/>
                <w:lang w:val="en-US"/>
              </w:rPr>
              <w:t>Ulcer area reduction</w:t>
            </w:r>
          </w:p>
        </w:tc>
      </w:tr>
      <w:tr w:rsidR="00F64C02" w14:paraId="56A32F64" w14:textId="77777777" w:rsidTr="00F64C02">
        <w:tc>
          <w:tcPr>
            <w:tcW w:w="2830" w:type="dxa"/>
            <w:vAlign w:val="center"/>
          </w:tcPr>
          <w:p w14:paraId="56E4329B" w14:textId="0BB4485F" w:rsidR="00F64C02" w:rsidRDefault="00F64C02" w:rsidP="00F64C02">
            <w:pPr>
              <w:jc w:val="center"/>
              <w:rPr>
                <w:lang w:val="en-US"/>
              </w:rPr>
            </w:pPr>
            <w:r w:rsidRPr="00CA32B9">
              <w:rPr>
                <w:rFonts w:asciiTheme="minorHAnsi" w:hAnsiTheme="minorHAnsi" w:cstheme="minorHAnsi"/>
                <w:szCs w:val="20"/>
                <w:lang w:val="en-US"/>
              </w:rPr>
              <w:t>2 studies (</w:t>
            </w:r>
            <w:r w:rsidRPr="00CA32B9">
              <w:rPr>
                <w:rFonts w:asciiTheme="minorHAnsi" w:eastAsia="Times New Roman" w:hAnsiTheme="minorHAnsi" w:cstheme="minorHAnsi"/>
                <w:szCs w:val="20"/>
                <w:lang w:val="en-US"/>
              </w:rPr>
              <w:t>II)</w:t>
            </w:r>
          </w:p>
        </w:tc>
        <w:tc>
          <w:tcPr>
            <w:tcW w:w="1460" w:type="dxa"/>
            <w:vAlign w:val="center"/>
          </w:tcPr>
          <w:p w14:paraId="0B765AA0" w14:textId="1E4922B4" w:rsidR="00F64C02" w:rsidRDefault="00F64C02" w:rsidP="00F64C02">
            <w:pPr>
              <w:jc w:val="center"/>
              <w:rPr>
                <w:lang w:val="en-US"/>
              </w:rPr>
            </w:pPr>
            <w:r w:rsidRPr="00CA32B9">
              <w:rPr>
                <w:rFonts w:asciiTheme="minorHAnsi" w:hAnsiTheme="minorHAnsi" w:cstheme="minorHAnsi"/>
                <w:szCs w:val="20"/>
                <w:lang w:val="en-US"/>
              </w:rPr>
              <w:t>7</w:t>
            </w:r>
          </w:p>
        </w:tc>
        <w:tc>
          <w:tcPr>
            <w:tcW w:w="2151" w:type="dxa"/>
            <w:vMerge w:val="restart"/>
            <w:vAlign w:val="center"/>
          </w:tcPr>
          <w:p w14:paraId="567F5855" w14:textId="76C52416" w:rsidR="00F64C02" w:rsidRDefault="00F64C02" w:rsidP="00F64C02">
            <w:pPr>
              <w:jc w:val="center"/>
              <w:rPr>
                <w:lang w:val="en-US"/>
              </w:rPr>
            </w:pPr>
            <w:r w:rsidRPr="00CA32B9">
              <w:rPr>
                <w:rFonts w:asciiTheme="minorHAnsi" w:hAnsiTheme="minorHAnsi" w:cstheme="minorHAnsi"/>
                <w:szCs w:val="20"/>
                <w:lang w:val="en-US"/>
              </w:rPr>
              <w:t>Good</w:t>
            </w:r>
          </w:p>
        </w:tc>
        <w:tc>
          <w:tcPr>
            <w:tcW w:w="2619" w:type="dxa"/>
            <w:vAlign w:val="center"/>
          </w:tcPr>
          <w:p w14:paraId="6E6C9529" w14:textId="040651E3"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iJjA2VnW","properties":{"formattedCitation":"(117,118)","plainCitation":"(117,118)","noteIndex":0},"citationItems":[{"id":45324,"uris":["http://zotero.org/users/5328021/items/4S4RV8H5"],"uri":["http://zotero.org/users/5328021/items/4S4RV8H5"],"itemData":{"id":45324,"type":"article-journal","abstract":"BACKGROUND: The LeucoPatch device uses bedside centrifugation without additional reagents to generate a disc comprising autologous leucocytes, platelets, and fibrin, which is applied to the surface of the wound. We aimed to test the effectiveness of LeucoPatch on the healing of hard-to-heal foot ulcers in people with diabetes.\nMETHODS: This was a multicentre, international, observer-masked, randomised controlled trial of people with diabetes and a hard-to-heal foot ulcer done in 32 specialist diabetic foot clinics in three countries (UK, Denmark, and Sweden). After a 4-week run-in period, those with a reduction in ulcer area of less than 50% were randomly allocated (1:1) by computer-generated, web-based randomisation (block sizes of two, four, and six) to either prespecified good standard care alone or care plus weekly application of LeucoPatch. The primary outcome was the proportion of ulcers that healed within 20 weeks assessed in the intention-to-treat population (all participants with post-randomisation data collected), defined as complete epithelialisation (confirmed by an observer who was masked to randomisation group), and remained healed for 4 weeks. This trial is registered with the ISRCTN registry, number 27665670, and ClinicalTrials.gov, number NCT02224742.\nFINDINGS: Between Aug 30, 2013, and May 3, 2017, 269 participants were randomly allocated to receive treatment (137 to receive standard care and 132 to receive LeucoPatch). The mean age was 61·9 years (SD 11·6), 217 (82%) were men, and 222 (83%) had type 2 diabetes. In the LeucoPatch group, 45 (34%) of 132 ulcers healed within 20 weeks versus 29 (22%) of 134 ulcers in the standard care group (odds ratio 1·58, 96% CI 1·04-2·40; p=0·0235) by intention-to-treat analysis. Time to healing was shorter in the LeucoPatch group (p=0·0246) than in the standard care group. No difference in adverse events was seen between the groups. The most common serious adverse event (SAE) was diabetic foot infection (24 events in the LeucoPatch group [24% of all SAEs] and 20 in the standard care group [27% of all SAEs]. There were no device-related adverse events.\nINTERPRETATION: The use of LeucoPatch is associated with significant enhancement of healing of hard-to-heal foot ulcers in people with diabetes.\nFUNDING: Reapplix ApS.","container-title":"The Lancet. Diabetes &amp; Endocrinology","issue":"11","journalAbbreviation":"Lancet Diabetes Endocrinol","language":"eng","note":"PMID: 30243803","page":"870-878","title":"LeucoPatch system for the management of hard-to-heal diabetic foot ulcers in the UK, Denmark, and Sweden: an observer-masked, randomised controlled trial","volume":"6","author":[{"family":"Game","given":"Frances"},{"family":"Jeffcoate","given":"William"},{"family":"Tarnow","given":"Lise"},{"family":"Jacobsen","given":"Judith L."},{"family":"Whitham","given":"Diane J."},{"family":"Harrison","given":"Eleanor F."},{"family":"Ellender","given":"Sharon J."},{"family":"Fitzsimmons","given":"Deborah"},{"family":"Löndahl","given":"Magnus"},{"literal":"LeucoPatch II trial team"}],"issued":{"date-parts":[["2018"]]}}},{"id":55305,"uris":["http://zotero.org/users/5328021/items/G4524A33"],"uri":["http://zotero.org/users/5328021/items/G4524A33"],"itemData":{"id":55305,"type":"article-journal","abstract":"This study evaluated the efficacy and tolerability of an autologous tissue-engineered graft--a 2-step HYAFF autograft--in the treatment of diabetic foot ulcers compared with standard care. In all, 180 patients with dorsal or plantar diabetic foot ulcers (unhealed for ≥1 month) were randomized to receive Hyalograft-3D autograft first and then Laserskin autograft after 2 weeks (n = 90; treatment group) or nonadherent paraffin gauze (n = 90; control group). Efficacy and adverse events were assessed weekly for 12 weeks, at 20 weeks, and at 18 months. The primary efficacy outcome was complete ulcer healing at 12 weeks. Wound debridement, adequate pressure relief, and infection control were provided to both groups. At 12 weeks, complete ulcer healing was similar in both groups (24% of treated vs 21% controls). A 50% reduction in ulcer area was achieved significantly faster in the treatment group (mean 40 vs 50 days; P = .018). Weekly percentage ulcer reduction was consistently higher in the treatment group. At 20 weeks, ulcer healing was achieved in 50% of the treated group as compared with 43% of controls. Dorsal ulcers had a 2.17-fold better chance of wound healing per unit time following autograft treatment (P = .047). In a subgroup with hard-to-heal ulcers, there was a 3.65-fold better chance of wound healing following autograft treatment of dorsal ulcers (P = .035). Adverse events were similar in both groups. The study results demonstrated the potential of this bioengineered substitutes to manage hard-to-heal dorsal foot ulcers.","container-title":"The International Journal of Lower Extremity Wounds","issue":"2","journalAbbreviation":"Int J Low Extrem Wounds","language":"eng","note":"PMID: 21693443","page":"80-85","title":"Two-step autologous grafting using HYAFF scaffolds in treating difficult diabetic foot ulcers: results of a multicenter, randomized controlled clinical trial with long-term follow-up","volume":"10","author":[{"family":"Uccioli","given":"Luigi"},{"family":"Giurato","given":"Laura"},{"family":"Ruotolo","given":"Valeria"},{"family":"Ciavarella","given":"Adolfo"},{"family":"Grimaldi","given":"Michele S."},{"family":"Piaggesi","given":"Alberto"},{"family":"Teobaldi","given":"Ilaria"},{"family":"Ricci","given":"Lucia"},{"family":"Scionti","given":"Luciano"},{"family":"Vermigli","given":"Cristiana"},{"family":"Seguro","given":"Roberto"},{"family":"Mancini","given":"Lorena"},{"family":"Ghirlanda","given":"Giovanni"}],"issued":{"date-parts":[["2011",6]]}}}],"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(117,118)</w:t>
            </w:r>
            <w:r w:rsidRPr="00CA32B9">
              <w:rPr>
                <w:rFonts w:asciiTheme="minorHAnsi" w:hAnsiTheme="minorHAnsi" w:cstheme="minorHAnsi"/>
                <w:szCs w:val="20"/>
                <w:lang w:val="en-US"/>
              </w:rPr>
              <w:fldChar w:fldCharType="end"/>
            </w:r>
          </w:p>
        </w:tc>
      </w:tr>
      <w:tr w:rsidR="00F64C02" w14:paraId="1D5C9642" w14:textId="77777777" w:rsidTr="00F64C02">
        <w:tc>
          <w:tcPr>
            <w:tcW w:w="2830" w:type="dxa"/>
            <w:vAlign w:val="center"/>
          </w:tcPr>
          <w:p w14:paraId="5BF829C3" w14:textId="0180288B"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1 study (II)</w:t>
            </w:r>
          </w:p>
        </w:tc>
        <w:tc>
          <w:tcPr>
            <w:tcW w:w="1460" w:type="dxa"/>
            <w:vAlign w:val="center"/>
          </w:tcPr>
          <w:p w14:paraId="5A66F940" w14:textId="2C9FFD04"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5</w:t>
            </w:r>
          </w:p>
        </w:tc>
        <w:tc>
          <w:tcPr>
            <w:tcW w:w="2151" w:type="dxa"/>
            <w:vMerge/>
            <w:vAlign w:val="center"/>
          </w:tcPr>
          <w:p w14:paraId="3B74FD2B" w14:textId="77777777" w:rsidR="00F64C02" w:rsidRDefault="00F64C02" w:rsidP="00F64C02">
            <w:pPr>
              <w:jc w:val="center"/>
              <w:rPr>
                <w:lang w:val="en-US"/>
              </w:rPr>
            </w:pPr>
          </w:p>
        </w:tc>
        <w:tc>
          <w:tcPr>
            <w:tcW w:w="2619" w:type="dxa"/>
            <w:vAlign w:val="center"/>
          </w:tcPr>
          <w:p w14:paraId="12212A33" w14:textId="10BA55DA"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9wuUZur8","properties":{"formattedCitation":"(96)","plainCitation":"(96)","noteIndex":0},"citationItems":[{"id":51268,"uris":["http://zotero.org/users/5328021/items/ACQQS98D"],"uri":["http://zotero.org/users/5328021/items/ACQQS98D"],"itemData":{"id":51268,"type":"article-journal","abstract":"OBJECTIVE: Diabetic foot ulcers (DFUs) often pose a treatment problem. Bioengineered skin substitutes have been reported to result in accelerated diabetic wound healing. The purpose of this clinical trial was to evaluate the efficacy and safety of the autologous fibroblast-hyaluronic acid complex for treating DFUs.\nMETHOD: A stratified, randomised, controlled, multicentre study was carried out. Patients with DFUs were allocated to either a treatment group with grafting of an autologous fibroblast-hyaluronic acid complex or a control group with non-adherent foam dressing. Except for application of the fibroblast complex, treatment of the study ulcers was identical for patients in both groups. The maximum follow-up period for each patient was 12 weeks.\nRESULTS: Complete ulcer healing was achieved in 84% (26/31 patients) of the treatment group and 34% (11/32 patients) of the control group (p&lt;0.05). The times required for complete healing were 36.4 ± 17.6 and 48.4 ± 13.1 days in the treatment and control groups, respectively (p&lt;0.05). No adverse events related to treatment occurred.\nCONCLUSION: These results indicate that autologous fibroblast-hyaluronic acid complex may offer a safe and effective treatment for DFUs.","container-title":"Journal of Wound Care","issue":"11","journalAbbreviation":"J Wound Care","language":"eng","note":"PMID: 25375400","page":"521-522, 524, 526-530","title":"Randomised controlled clinical trial for autologous fibroblast-hyaluronic acid complex in treating diabetic foot ulcers","volume":"23","author":[{"family":"You","given":"H. J."},{"family":"Han","given":"S. K."},{"family":"Rhie","given":"J. W."}],"issued":{"date-parts":[["2014",11]]}}}],"schema":"https://github.com/citation-style-language/schema/raw/master/csl-citation.json"}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(96)</w:t>
            </w:r>
            <w:r w:rsidRPr="00CA32B9">
              <w:rPr>
                <w:rFonts w:asciiTheme="minorHAnsi" w:hAnsiTheme="minorHAnsi" w:cstheme="minorHAnsi"/>
                <w:szCs w:val="20"/>
                <w:lang w:val="en-US"/>
              </w:rPr>
              <w:fldChar w:fldCharType="end"/>
            </w:r>
          </w:p>
        </w:tc>
      </w:tr>
      <w:tr w:rsidR="00F64C02" w14:paraId="3DF7F7FD" w14:textId="77777777" w:rsidTr="00F64C02">
        <w:tc>
          <w:tcPr>
            <w:tcW w:w="9060" w:type="dxa"/>
            <w:gridSpan w:val="4"/>
            <w:vAlign w:val="center"/>
          </w:tcPr>
          <w:p w14:paraId="6AF46C9F" w14:textId="3ABED8BF" w:rsidR="00F64C02" w:rsidRDefault="00F64C02" w:rsidP="00F64C02">
            <w:pPr>
              <w:jc w:val="left"/>
              <w:rPr>
                <w:lang w:val="en-US"/>
              </w:rPr>
            </w:pPr>
            <w:r w:rsidRPr="00CA32B9">
              <w:rPr>
                <w:rFonts w:asciiTheme="minorHAnsi" w:hAnsiTheme="minorHAnsi" w:cstheme="minorHAnsi"/>
                <w:b/>
                <w:szCs w:val="20"/>
                <w:lang w:val="en-US"/>
              </w:rPr>
              <w:t>Time to healing</w:t>
            </w:r>
          </w:p>
        </w:tc>
      </w:tr>
      <w:tr w:rsidR="00F64C02" w14:paraId="57FC1C39" w14:textId="77777777" w:rsidTr="00F64C02">
        <w:tc>
          <w:tcPr>
            <w:tcW w:w="2830" w:type="dxa"/>
            <w:vAlign w:val="center"/>
          </w:tcPr>
          <w:p w14:paraId="2E4AA17D" w14:textId="57510C50" w:rsidR="00F64C02" w:rsidRDefault="00F64C02" w:rsidP="00F64C02">
            <w:pPr>
              <w:jc w:val="center"/>
              <w:rPr>
                <w:lang w:val="en-US"/>
              </w:rPr>
            </w:pPr>
            <w:r w:rsidRPr="00CA32B9">
              <w:rPr>
                <w:rFonts w:asciiTheme="minorHAnsi" w:hAnsiTheme="minorHAnsi" w:cstheme="minorHAnsi"/>
                <w:szCs w:val="20"/>
                <w:lang w:val="en-US"/>
              </w:rPr>
              <w:t>3 studies (</w:t>
            </w:r>
            <w:r w:rsidRPr="00CA32B9">
              <w:rPr>
                <w:rFonts w:asciiTheme="minorHAnsi" w:eastAsia="Times New Roman" w:hAnsiTheme="minorHAnsi" w:cstheme="minorHAnsi"/>
                <w:szCs w:val="20"/>
                <w:lang w:val="en-US"/>
              </w:rPr>
              <w:t>II)</w:t>
            </w:r>
          </w:p>
        </w:tc>
        <w:tc>
          <w:tcPr>
            <w:tcW w:w="1460" w:type="dxa"/>
            <w:vAlign w:val="center"/>
          </w:tcPr>
          <w:p w14:paraId="0021F15C" w14:textId="5B522DE1" w:rsidR="00F64C02" w:rsidRDefault="00F64C02" w:rsidP="00F64C02">
            <w:pPr>
              <w:jc w:val="center"/>
              <w:rPr>
                <w:lang w:val="en-US"/>
              </w:rPr>
            </w:pPr>
            <w:r w:rsidRPr="00CA32B9">
              <w:rPr>
                <w:rFonts w:asciiTheme="minorHAnsi" w:hAnsiTheme="minorHAnsi" w:cstheme="minorHAnsi"/>
                <w:szCs w:val="20"/>
                <w:lang w:val="en-US"/>
              </w:rPr>
              <w:t>6,6</w:t>
            </w:r>
          </w:p>
        </w:tc>
        <w:tc>
          <w:tcPr>
            <w:tcW w:w="2151" w:type="dxa"/>
            <w:vMerge w:val="restart"/>
            <w:vAlign w:val="center"/>
          </w:tcPr>
          <w:p w14:paraId="31350BB2" w14:textId="7AB70240" w:rsidR="00F64C02" w:rsidRDefault="00F64C02" w:rsidP="00F64C02">
            <w:pPr>
              <w:jc w:val="center"/>
              <w:rPr>
                <w:lang w:val="en-US"/>
              </w:rPr>
            </w:pPr>
            <w:r w:rsidRPr="00CA32B9">
              <w:rPr>
                <w:rFonts w:asciiTheme="minorHAnsi" w:hAnsiTheme="minorHAnsi" w:cstheme="minorHAnsi"/>
                <w:szCs w:val="20"/>
                <w:lang w:val="en-US"/>
              </w:rPr>
              <w:t>Moderate</w:t>
            </w:r>
          </w:p>
        </w:tc>
        <w:tc>
          <w:tcPr>
            <w:tcW w:w="2619" w:type="dxa"/>
            <w:vAlign w:val="center"/>
          </w:tcPr>
          <w:p w14:paraId="5B0E8B1F" w14:textId="59DE5892"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Ri4Bj5sX","properties":{"formattedCitation":"(96,116,117)","plainCitation":"(96,116,117)","noteIndex":0},"citationItems":[{"id":51268,"uris":["http://zotero.org/users/5328021/items/ACQQS98D"],"uri":["http://zotero.org/users/5328021/items/ACQQS98D"],"itemData":{"id":51268,"type":"article-journal","abstract":"OBJECTIVE: Diabetic foot ulcers (DFUs) often pose a treatment problem. Bioengineered skin substitutes have been reported to result in accelerated diabetic wound healing. The purpose of this clinical trial was to evaluate the efficacy and safety of the autologous fibroblast-hyaluronic acid complex for treating DFUs.\nMETHOD: A stratified, randomised, controlled, multicentre study was carried out. Patients with DFUs were allocated to either a treatment group with grafting of an autologous fibroblast-hyaluronic acid complex or a control group with non-adherent foam dressing. Except for application of the fibroblast complex, treatment of the study ulcers was identical for patients in both groups. The maximum follow-up period for each patient was 12 weeks.\nRESULTS: Complete ulcer healing was achieved in 84% (26/31 patients) of the treatment group and 34% (11/32 patients) of the control group (p&lt;0.05). The times required for complete healing were 36.4 ± 17.6 and 48.4 ± 13.1 days in the treatment and control groups, respectively (p&lt;0.05). No adverse events related to treatment occurred.\nCONCLUSION: These results indicate that autologous fibroblast-hyaluronic acid complex may offer a safe and effective treatment for DFUs.","container-title":"Journal of Wound Care","issue":"11","journalAbbreviation":"J Wound Care","language":"eng","note":"PMID: 25375400","page":"521-522, 524, 526-530","title":"Randomised controlled clinical trial for autologous fibroblast-hyaluronic acid complex in treating diabetic foot ulcers","volume":"23","author":[{"family":"You","given":"H. J."},{"family":"Han","given":"S. K."},{"family":"Rhie","given":"J. W."}],"issued":{"date-parts":[["2014",11]]}}},{"id":50986,"uris":["http://zotero.org/users/5328021/items/QYT2JUPH"],"uri":["http://zotero.org/users/5328021/items/QYT2JUPH"],"itemData":{"id":50986,"type":"article-journal","abstract":"The purpose of the study is to examine the safety and effectiveness of topical autologous platelet-rich gel (APG) application on facilitating the healing of diabetic chronic refractory cutaneous ulcers. The study was designed as a prospective, randomized controlled trial between January 1, 2007 and December 31, 2011. Eligible inpatients at the Diabetic Foot Care Center of West China Hospital, Sichuan University (China) were randomly prescribed with a 12-week standard treatment of ulcers (the control group) or standard treatment plus topical application APG (the APG group). The wound healing grades (primary endpoint), time to complete healing, and healing velocity within 12 weeks were monitored as short-term effectiveness measurements, while side effects were documented safety endpoints. The rates of survival and recurrence within the follow up were recorded as long-term effectiveness endpoints. Analysis on total diabetic ulcers (DUs) (n = 117) and subgroup analysis on diabetic foot ulcers (DFUs) (n = 103) were both conducted. Standard treatment plus APG treatment was statistically more effective than standard treatment (p &lt; 0.05 in both total DUs and subgroup of DFUs). The subjects defined as healing grade 1 were 50/59 (84.8%) in total DUs and 41/48 (85.4%) in DFUs in the APG group compared with 40/58 (69.0%) and 37/55 (67.3%) in the control group from intent to treat population. The Kaplan-Meier time-to-healing were significantly different between the two groups (p &lt; 0.05 in both total DUs and subgroup of DFUs). No side effects were identified after topical APG application. The long-term survival and recurrence rates were comparative between groups (p &gt; 0.05). This study shows that topical APG application plus standard treatment is safe and quite effective on diabetic chronic refractory cutaneous ulcers, compared with standard treatment.","container-title":"Wound Repair and Regeneration: Official Publication of the Wound Healing Society [and] the European Tissue Repair Society","issue":"4","journalAbbreviation":"Wound Repair Regen","language":"eng","note":"PMID: 25847503","page":"495-505","title":"Autologous platelet-rich gel for treatment of diabetic chronic refractory cutaneous ulcers: A prospective, randomized clinical trial","volume":"23","author":[{"family":"Li","given":"Lan"},{"family":"Chen","given":"Dawei"},{"family":"Wang","given":"Chun"},{"family":"Yuan","given":"Nanbing"},{"family":"Wang","given":"Yan"},{"family":"He","given":"Liping"},{"family":"Yang","given":"Yanzhi"},{"family":"Chen","given":"Lihong"},{"family":"Liu","given":"Guanjian"},{"family":"Li","given":"Xiujun"},{"family":"Ran","given":"Xingwu"}],"issued":{"date-parts":[["2015",8]]}}},{"id":45324,"uris":["http://zotero.org/users/5328021/items/4S4RV8H5"],"uri":["http://zotero.org/users/5328021/items/4S4RV8H5"],"itemData":{"id":45324,"type":"article-journal","abstract":"BACKGROUND: The LeucoPatch device uses bedside centrifugation without additional reagents to generate a disc comprising autologous leucocytes, platelets, and fibrin, which is applied to the surface of the wound. We aimed to test the effectiveness of LeucoPatch on the healing of hard-to-heal foot ulcers in people with diabetes.\nMETHODS: This was a multicentre, international, observer-masked, randomised controlled trial of people with diabetes and a hard-to-heal foot ulcer done in 32 specialist diabetic foot clinics in three countries (UK, Denmark, and Sweden). After a 4-week run-in period, those with a reduction in ulcer area of less than 50% were randomly allocated (1:1) by computer-generated, web-based randomisation (block sizes of two, four, and six) to either prespecified good standard care alone or care plus weekly application of LeucoPatch. The primary outcome was the proportion of ulcers that healed within 20 weeks assessed in the intention-to-treat population (all participants with post-randomisation data collected), defined as complete epithelialisation (confirmed by an observer who was masked to randomisation group), and remained healed for 4 weeks. This trial is registered with the ISRCTN registry, number 27665670, and ClinicalTrials.gov, number NCT02224742.\nFINDINGS: Between Aug 30, 2013, and May 3, 2017, 269 participants were randomly allocated to receive treatment (137 to receive standard care and 132 to receive LeucoPatch). The mean age was 61·9 years (SD 11·6), 217 (82%) were men, and 222 (83%) had type 2 diabetes. In the LeucoPatch group, 45 (34%) of 132 ulcers healed within 20 weeks versus 29 (22%) of 134 ulcers in the standard care group (odds ratio 1·58, 96% CI 1·04-2·40; p=0·0235) by intention-to-treat analysis. Time to healing was shorter in the LeucoPatch group (p=0·0246) than in the standard care group. No difference in adverse events was seen between the groups. The most common serious adverse event (SAE) was diabetic foot infection (24 events in the LeucoPatch group [24% of all SAEs] and 20 in the standard care group [27% of all SAEs]. There were no device-related adverse events.\nINTERPRETATION: The use of LeucoPatch is associated with significant enhancement of healing of hard-to-heal foot ulcers in people with diabetes.\nFUNDING: Reapplix ApS.","container-title":"The Lancet. Diabetes &amp; Endocrinology","issue":"11","journalAbbreviation":"Lancet Diabetes Endocrinol","language":"eng","note":"PMID: 30243803","page":"870-878","title":"LeucoPatch system for the management of hard-to-heal diabetic foot ulcers in the UK, Denmark, and Sweden: an observer-masked, randomised controlled trial","volume":"6","author":[{"family":"Game","given":"Frances"},{"family":"Jeffcoate","given":"William"},{"family":"Tarnow","given":"Lise"},{"family":"Jacobsen","given":"Judith L."},{"family":"Whitham","given":"Diane J."},{"family":"Harrison","given":"Eleanor F."},{"family":"Ellender","given":"Sharon J."},{"family":"Fitzsimmons","given":"Deborah"},{"family":"Löndahl","given":"Magnus"},{"literal":"LeucoPatch II trial team"}],"issued":{"date-parts":[["2018"]]}}}],"schema":"https://github.com/citation-style-language/schema/raw/master/csl-citation.json"}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(96,116,117)</w:t>
            </w:r>
            <w:r w:rsidRPr="00CA32B9">
              <w:rPr>
                <w:rFonts w:asciiTheme="minorHAnsi" w:hAnsiTheme="minorHAnsi" w:cstheme="minorHAnsi"/>
                <w:szCs w:val="20"/>
                <w:lang w:val="en-US"/>
              </w:rPr>
              <w:fldChar w:fldCharType="end"/>
            </w:r>
          </w:p>
        </w:tc>
      </w:tr>
      <w:tr w:rsidR="00F64C02" w14:paraId="123AB292" w14:textId="77777777" w:rsidTr="00F64C02">
        <w:tc>
          <w:tcPr>
            <w:tcW w:w="2830" w:type="dxa"/>
            <w:vAlign w:val="center"/>
          </w:tcPr>
          <w:p w14:paraId="3115CBFC" w14:textId="41F8B4AD"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1 study (II)</w:t>
            </w:r>
          </w:p>
        </w:tc>
        <w:tc>
          <w:tcPr>
            <w:tcW w:w="1460" w:type="dxa"/>
            <w:vAlign w:val="center"/>
          </w:tcPr>
          <w:p w14:paraId="2C3F62AE" w14:textId="7D38304E"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6</w:t>
            </w:r>
          </w:p>
        </w:tc>
        <w:tc>
          <w:tcPr>
            <w:tcW w:w="2151" w:type="dxa"/>
            <w:vMerge/>
            <w:vAlign w:val="center"/>
          </w:tcPr>
          <w:p w14:paraId="16B988C7" w14:textId="77777777" w:rsidR="00F64C02" w:rsidRDefault="00F64C02" w:rsidP="00F64C02">
            <w:pPr>
              <w:jc w:val="center"/>
              <w:rPr>
                <w:lang w:val="en-US"/>
              </w:rPr>
            </w:pPr>
          </w:p>
        </w:tc>
        <w:tc>
          <w:tcPr>
            <w:tcW w:w="2619" w:type="dxa"/>
            <w:vAlign w:val="center"/>
          </w:tcPr>
          <w:p w14:paraId="66C0EC6B" w14:textId="6FA209E8"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kgZNBsR9","properties":{"formattedCitation":"(118)","plainCitation":"(118)","noteIndex":0},"citationItems":[{"id":55305,"uris":["http://zotero.org/users/5328021/items/G4524A33"],"uri":["http://zotero.org/users/5328021/items/G4524A33"],"itemData":{"id":55305,"type":"article-journal","abstract":"This study evaluated the efficacy and tolerability of an autologous tissue-engineered graft--a 2-step HYAFF autograft--in the treatment of diabetic foot ulcers compared with standard care. In all, 180 patients with dorsal or plantar diabetic foot ulcers (unhealed for ≥1 month) were randomized to receive Hyalograft-3D autograft first and then Laserskin autograft after 2 weeks (n = 90; treatment group) or nonadherent paraffin gauze (n = 90; control group). Efficacy and adverse events were assessed weekly for 12 weeks, at 20 weeks, and at 18 months. The primary efficacy outcome was complete ulcer healing at 12 weeks. Wound debridement, adequate pressure relief, and infection control were provided to both groups. At 12 weeks, complete ulcer healing was similar in both groups (24% of treated vs 21% controls). A 50% reduction in ulcer area was achieved significantly faster in the treatment group (mean 40 vs 50 days; P = .018). Weekly percentage ulcer reduction was consistently higher in the treatment group. At 20 weeks, ulcer healing was achieved in 50% of the treated group as compared with 43% of controls. Dorsal ulcers had a 2.17-fold better chance of wound healing per unit time following autograft treatment (P = .047). In a subgroup with hard-to-heal ulcers, there was a 3.65-fold better chance of wound healing following autograft treatment of dorsal ulcers (P = .035). Adverse events were similar in both groups. The study results demonstrated the potential of this bioengineered substitutes to manage hard-to-heal dorsal foot ulcers.","container-title":"The International Journal of Lower Extremity Wounds","issue":"2","journalAbbreviation":"Int J Low Extrem Wounds","language":"eng","note":"PMID: 21693443","page":"80-85","title":"Two-step autologous grafting using HYAFF scaffolds in treating difficult diabetic foot ulcers: results of a multicenter, randomized controlled clinical trial with long-term follow-up","volume":"10","author":[{"family":"Uccioli","given":"Luigi"},{"family":"Giurato","given":"Laura"},{"family":"Ruotolo","given":"Valeria"},{"family":"Ciavarella","given":"Adolfo"},{"family":"Grimaldi","given":"Michele S."},{"family":"Piaggesi","given":"Alberto"},{"family":"Teobaldi","given":"Ilaria"},{"family":"Ricci","given":"Lucia"},{"family":"Scionti","given":"Luciano"},{"family":"Vermigli","given":"Cristiana"},{"family":"Seguro","given":"Roberto"},{"family":"Mancini","given":"Lorena"},{"family":"Ghirlanda","given":"Giovanni"}],"issued":{"date-parts":[["2011",6]]}}}],"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(118)</w:t>
            </w:r>
            <w:r w:rsidRPr="00CA32B9">
              <w:rPr>
                <w:rFonts w:asciiTheme="minorHAnsi" w:hAnsiTheme="minorHAnsi" w:cstheme="minorHAnsi"/>
                <w:szCs w:val="20"/>
                <w:lang w:val="en-US"/>
              </w:rPr>
              <w:fldChar w:fldCharType="end"/>
            </w:r>
          </w:p>
        </w:tc>
      </w:tr>
      <w:tr w:rsidR="00F64C02" w:rsidRPr="00166EC2" w14:paraId="6D2EA582" w14:textId="77777777" w:rsidTr="00F64C02">
        <w:tc>
          <w:tcPr>
            <w:tcW w:w="9060" w:type="dxa"/>
            <w:gridSpan w:val="4"/>
            <w:shd w:val="clear" w:color="auto" w:fill="D4F1D3" w:themeFill="background2" w:themeFillTint="33"/>
            <w:vAlign w:val="center"/>
          </w:tcPr>
          <w:p w14:paraId="4FB1A5B3" w14:textId="403C17CE" w:rsidR="00F64C02" w:rsidRDefault="00F64C02" w:rsidP="00F64C02">
            <w:pPr>
              <w:jc w:val="center"/>
              <w:rPr>
                <w:lang w:val="en-US"/>
              </w:rPr>
            </w:pPr>
            <w:r w:rsidRPr="00CA32B9">
              <w:rPr>
                <w:rFonts w:asciiTheme="minorHAnsi" w:hAnsiTheme="minorHAnsi" w:cstheme="minorHAnsi"/>
                <w:b/>
                <w:bCs/>
                <w:color w:val="56575A"/>
                <w:szCs w:val="20"/>
                <w:lang w:val="en-US"/>
              </w:rPr>
              <w:t>Treatment with isolated cellular therapy</w:t>
            </w:r>
          </w:p>
        </w:tc>
      </w:tr>
      <w:tr w:rsidR="00F64C02" w14:paraId="415D4225" w14:textId="77777777" w:rsidTr="00F64C02">
        <w:tc>
          <w:tcPr>
            <w:tcW w:w="9060" w:type="dxa"/>
            <w:gridSpan w:val="4"/>
            <w:vAlign w:val="center"/>
          </w:tcPr>
          <w:p w14:paraId="2FE36317" w14:textId="27D953FA" w:rsidR="00F64C02" w:rsidRDefault="00F64C02" w:rsidP="00F64C02">
            <w:pPr>
              <w:jc w:val="left"/>
              <w:rPr>
                <w:lang w:val="en-US"/>
              </w:rPr>
            </w:pPr>
            <w:r w:rsidRPr="00CA32B9">
              <w:rPr>
                <w:rFonts w:asciiTheme="minorHAnsi" w:hAnsiTheme="minorHAnsi" w:cstheme="minorHAnsi"/>
                <w:b/>
                <w:szCs w:val="20"/>
                <w:lang w:val="en-US"/>
              </w:rPr>
              <w:t>Ulcer healing</w:t>
            </w:r>
          </w:p>
        </w:tc>
      </w:tr>
      <w:tr w:rsidR="00F64C02" w14:paraId="4A7AA57B" w14:textId="77777777" w:rsidTr="00F64C02">
        <w:tc>
          <w:tcPr>
            <w:tcW w:w="2830" w:type="dxa"/>
            <w:vAlign w:val="center"/>
          </w:tcPr>
          <w:p w14:paraId="0176E6F8" w14:textId="14EFCAEE" w:rsidR="00F64C02" w:rsidRDefault="00F64C02" w:rsidP="00F64C02">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w:t>
            </w:r>
            <w:r w:rsidRPr="00CA32B9">
              <w:rPr>
                <w:rFonts w:asciiTheme="minorHAnsi" w:hAnsiTheme="minorHAnsi" w:cstheme="minorHAnsi"/>
                <w:szCs w:val="20"/>
                <w:lang w:val="en-US"/>
              </w:rPr>
              <w:t xml:space="preserve"> - </w:t>
            </w:r>
            <w:r>
              <w:rPr>
                <w:rFonts w:asciiTheme="minorHAnsi" w:hAnsiTheme="minorHAnsi" w:cstheme="minorHAnsi"/>
                <w:szCs w:val="20"/>
                <w:lang w:val="en-US"/>
              </w:rPr>
              <w:t>1</w:t>
            </w:r>
            <w:r w:rsidRPr="00CA32B9">
              <w:rPr>
                <w:rFonts w:asciiTheme="minorHAnsi" w:hAnsiTheme="minorHAnsi" w:cstheme="minorHAnsi"/>
                <w:szCs w:val="20"/>
                <w:lang w:val="en-US"/>
              </w:rPr>
              <w:t xml:space="preserve"> stud</w:t>
            </w:r>
            <w:r>
              <w:rPr>
                <w:rFonts w:asciiTheme="minorHAnsi" w:hAnsiTheme="minorHAnsi" w:cstheme="minorHAnsi"/>
                <w:szCs w:val="20"/>
                <w:lang w:val="en-US"/>
              </w:rPr>
              <w:t>y</w:t>
            </w:r>
            <w:r w:rsidRPr="00CA32B9">
              <w:rPr>
                <w:rFonts w:asciiTheme="minorHAnsi" w:hAnsiTheme="minorHAnsi" w:cstheme="minorHAnsi"/>
                <w:szCs w:val="20"/>
                <w:lang w:val="en-US"/>
              </w:rPr>
              <w:t xml:space="preserve"> (</w:t>
            </w:r>
            <w:r w:rsidRPr="00CA32B9">
              <w:rPr>
                <w:rFonts w:asciiTheme="minorHAnsi" w:eastAsia="Times New Roman" w:hAnsiTheme="minorHAnsi" w:cstheme="minorHAnsi"/>
                <w:szCs w:val="20"/>
                <w:lang w:val="en-US"/>
              </w:rPr>
              <w:t>II)</w:t>
            </w:r>
          </w:p>
        </w:tc>
        <w:tc>
          <w:tcPr>
            <w:tcW w:w="1460" w:type="dxa"/>
            <w:vAlign w:val="center"/>
          </w:tcPr>
          <w:p w14:paraId="49876127" w14:textId="4E48C39C" w:rsidR="00F64C02" w:rsidRDefault="00F64C02" w:rsidP="00F64C02">
            <w:pPr>
              <w:jc w:val="center"/>
              <w:rPr>
                <w:lang w:val="en-US"/>
              </w:rPr>
            </w:pPr>
            <w:r w:rsidRPr="00CA32B9">
              <w:rPr>
                <w:rFonts w:asciiTheme="minorHAnsi" w:hAnsiTheme="minorHAnsi" w:cstheme="minorHAnsi"/>
                <w:szCs w:val="20"/>
                <w:lang w:val="en-US"/>
              </w:rPr>
              <w:t>7,5</w:t>
            </w:r>
          </w:p>
        </w:tc>
        <w:tc>
          <w:tcPr>
            <w:tcW w:w="2151" w:type="dxa"/>
            <w:vMerge w:val="restart"/>
            <w:vAlign w:val="center"/>
          </w:tcPr>
          <w:p w14:paraId="69A703B0" w14:textId="58850585" w:rsidR="00F64C02" w:rsidRDefault="00F64C02" w:rsidP="00F64C02">
            <w:pPr>
              <w:jc w:val="center"/>
              <w:rPr>
                <w:lang w:val="en-US"/>
              </w:rPr>
            </w:pPr>
            <w:r w:rsidRPr="00CA32B9">
              <w:rPr>
                <w:rFonts w:asciiTheme="minorHAnsi" w:hAnsiTheme="minorHAnsi" w:cstheme="minorHAnsi"/>
                <w:szCs w:val="20"/>
                <w:lang w:val="en-US"/>
              </w:rPr>
              <w:t>Good</w:t>
            </w:r>
          </w:p>
        </w:tc>
        <w:tc>
          <w:tcPr>
            <w:tcW w:w="2619" w:type="dxa"/>
            <w:vAlign w:val="center"/>
          </w:tcPr>
          <w:p w14:paraId="4745592B" w14:textId="0231B4F5"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FgYMrETk","properties":{"formattedCitation":"(119,120)","plainCitation":"(119,120)","noteIndex":0},"citationItems":[{"id":45863,"uris":["http://zotero.org/users/5328021/items/QY55W75J"],"uri":["http://zotero.org/users/5328021/items/QY55W75J"],"itemData":{"id":45863,"type":"article-journal","abstract":"Diabetes mellitus is a widely spread chronic disease with growing incidence worldwide, and diabetic foot ulcer is one of the most serious complications of diabetes. Cellular therapy has shown promise in the management of diabetic foot ulcer in many preclinical experiments and clinical researches. Here, we performed a meta-analysis to evaluate the efficacy and safety of cellular therapy in the management of diabetic foot ulcer. We systematically searched PubMed, MEDLINE, EMBASE, and Cochrane Library databases from inception to May 2017 for randomized controlled trials assessing the efficacy of cellular therapy in diabetic foot ulcer, and a meta-analysis was conducted. A total of 6 randomized controlled clinical trials involving 241 individuals were included in this meta-analysis. The results suggested that cellular therapy could help accelerating the healing of diabetic foot ulcer, presented as higher ankle-brachial index (mean difference = 0.17, 95% confidence interval [CI] = 0.11 to 0.23), higher transcutaneous oxygen pressure (standardized mean difference [SMD] = 1.43; 95% CI, 1.09- to 1.78), higher ulcer healing rate (relative risk [RR] = 1.78; 95% CI, 1.41 to 2.25), higher amputation-free survival (RR = 1.25; 95% CI, 1.11 to 1.40), and lower scale of pain (SMD = -1.69; 95% CI, -2.05 to -1.33). Furthermore, cellular therapy seemed to be safe, with no serious complications and low risk of short-term slight complications. Cellular therapy could accelerate the rate of diabetic foot ulcer healing and may be more efficient than standard therapy for diabetic foot treatment.","container-title":"Cell Transplantation","issue":"12","journalAbbreviation":"Cell Transplant","language":"eng","note":"PMID: 29390881\nPMCID: PMC5802633","page":"1931-1939","title":"Efficacy of Cellular Therapy for Diabetic Foot Ulcer: A Meta-Analysis of Randomized Controlled Clinical Trials","volume":"26","author":[{"family":"Zhang","given":"Ye"},{"family":"Deng","given":"Hong"},{"family":"Tang","given":"Zhouping"}],"issued":{"date-parts":[["2017"]]}}},{"id":53383,"uris":["http://zotero.org/users/5328021/items/RTDWSJ82"],"uri":["http://zotero.org/users/5328021/items/RTDWSJ82"],"itemData":{"id":53383,"type":"article-journal","abstract":"BACKGROUND: The aim of our study was to compare the effect of bone marrow mononuclear cell and peripheral blood progenitor cell therapies in patients with diabetic foot disease and critical limb ischaemia unresponsive to revascularization with conservative therapy.\nMETHODS: Twenty-eight patients with diabetic foot disease (17 treated by bone marrow cells and 11 by peripheral blood cell) were included into an active group and 22 patients into a control group without cell treatment. Transcutaneous oxygen pressure and rate of major amputation, as the main outcome measures, were compared between bone marrow cells, peripheral blood cell and control groups over 6 months; both cell therapy methods were also compared by the characteristics of cell suspensions. Possible adverse events were evaluated by changes of serum levels of angiogenic cytokines and retinal fundoscopic examination.\nRESULTS: The transcutaneous oxygen pressure increased significantly (p &lt; 0.05) compared with baseline in both active groups after 6 months, with no significant differences between bone marrow cells and peripheral blood cell groups; however, no change of transcutaneous oxygen pressure in the control group was observed. The rate of major amputation by 6 months was significantly lower in the active cell therapy group compared with that in the control group (11.1% vs. 50%, p = 0.0032), with no difference between bone marrow cells and peripheral blood cell. A number of injected CD34+ cells and serum levels of angiogenic cytokines after treatment did not significantly differ between bone marrow cells and peripheral blood cell.\nCONCLUSIONS: Our study showed a superior benefit of bone marrow cells and peripheral blood cell treatments of critical limb ischaemia in patients with diabetic foot disease when compared with conservative therapy. There was no difference between both cell therapy groups, and no patient demonstrated signs of systemic vasculogenesis.","container-title":"Diabetes/Metabolism Research and Reviews","issue":"5","journalAbbreviation":"Diabetes Metab. Res. Rev.","language":"eng","note":"PMID: 23390092","page":"369-376","title":"Both autologous bone marrow mononuclear cell and peripheral blood progenitor cell therapies similarly improve ischaemia in patients with diabetic foot in comparison with control treatment","volume":"29","author":[{"family":"Dubsky","given":"M."},{"family":"Jirkovska","given":"A."},{"family":"Bem","given":"R."},{"family":"Fejfarova","given":"V."},{"family":"Pagacova","given":"L."},{"family":"Sixta","given":"B."},{"family":"Varga","given":"M."},{"family":"Langkramer","given":"S."},{"family":"Sykova","given":"E."},{"family":"Jude","given":"E. B."}],"issued":{"date-parts":[["2013",7]]}}}],"schema":"https://github.com/citation-style-language/schema/raw/master/csl-citation.json"} </w:instrText>
            </w:r>
            <w:r w:rsidRPr="00CA32B9">
              <w:rPr>
                <w:rFonts w:asciiTheme="minorHAnsi" w:hAnsiTheme="minorHAnsi" w:cstheme="minorHAnsi"/>
                <w:szCs w:val="20"/>
                <w:lang w:val="en-US"/>
              </w:rPr>
              <w:fldChar w:fldCharType="separate"/>
            </w:r>
            <w:r w:rsidRPr="008B0686">
              <w:rPr>
                <w:rFonts w:cs="Arial"/>
              </w:rPr>
              <w:t>(119,120)</w:t>
            </w:r>
            <w:r w:rsidRPr="00CA32B9">
              <w:rPr>
                <w:rFonts w:asciiTheme="minorHAnsi" w:hAnsiTheme="minorHAnsi" w:cstheme="minorHAnsi"/>
                <w:szCs w:val="20"/>
                <w:lang w:val="en-US"/>
              </w:rPr>
              <w:fldChar w:fldCharType="end"/>
            </w:r>
          </w:p>
        </w:tc>
      </w:tr>
      <w:tr w:rsidR="00F64C02" w14:paraId="3200E0D3" w14:textId="77777777" w:rsidTr="00F64C02">
        <w:tc>
          <w:tcPr>
            <w:tcW w:w="2830" w:type="dxa"/>
            <w:vAlign w:val="center"/>
          </w:tcPr>
          <w:p w14:paraId="499B9196" w14:textId="47F7D539"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1 study (II)</w:t>
            </w:r>
          </w:p>
        </w:tc>
        <w:tc>
          <w:tcPr>
            <w:tcW w:w="1460" w:type="dxa"/>
            <w:vAlign w:val="center"/>
          </w:tcPr>
          <w:p w14:paraId="702D03CD" w14:textId="09BBCAB9"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7</w:t>
            </w:r>
          </w:p>
        </w:tc>
        <w:tc>
          <w:tcPr>
            <w:tcW w:w="2151" w:type="dxa"/>
            <w:vMerge/>
            <w:vAlign w:val="center"/>
          </w:tcPr>
          <w:p w14:paraId="09F7C749" w14:textId="77777777" w:rsidR="00F64C02" w:rsidRDefault="00F64C02" w:rsidP="00F64C02">
            <w:pPr>
              <w:jc w:val="center"/>
              <w:rPr>
                <w:lang w:val="en-US"/>
              </w:rPr>
            </w:pPr>
          </w:p>
        </w:tc>
        <w:tc>
          <w:tcPr>
            <w:tcW w:w="2619" w:type="dxa"/>
            <w:vAlign w:val="center"/>
          </w:tcPr>
          <w:p w14:paraId="01A50015" w14:textId="045CCB9D"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1iYchGca","properties":{"formattedCitation":"(121)","plainCitation":"(121)","noteIndex":0},"citationItems":[{"id":45004,"uris":["http://zotero.org/users/5328021/items/APUHBJWK"],"uri":["http://zotero.org/users/5328021/items/APUHBJWK"],"itemData":{"id":45004,"type":"article-journal","abstract":"Mesenchymal stem cells (MSCs) may hold great promise for treating diabetic wounds. However, it is difficult for a clinician to use MSCs because they have not been commercialized. Meanwhile, a new commercial drug that contains adipose-derived stem cells (ASCs) has been developed. The purpose of this study was to examine the potential of allogeneic ASC sheets for treating diabetic foot ulcers. Fifty-nine patients with diabetic foot ulcers were randomized to either the ASC treatment group (n = 30) or a control group treated with polyurethane film (n = 29). Either an allogeneic ASC sheet or polyurethane film was applied on diabetic wounds weekly. These wounds were evaluated for a maximum of 12 weeks. Complete wound closure was achieved for 73% in the treatment group and 47% in the control group at week 8. Complete wound closure was achieved for 82% in the treatment group and 53% in the control group at week 12. The Kaplan-Meier median times to complete closure were 28.5 and 63.0 days for the treatment group and the control group, respectively. There were no serious adverse events related to allogeneic ASC treatment. Thus, allogeneic ASCs might be effective and safe to treat diabetic foot ulcers.","container-title":"Diabetes","issue":"4","journalAbbreviation":"Diabetes","language":"eng","note":"PMID: 30679183","page":"837-846","title":"Potential of Allogeneic Adipose-Derived Stem Cell-Hydrogel Complex for Treating Diabetic Foot Ulcers","volume":"68","author":[{"family":"Moon","given":"Kyung-Chul"},{"family":"Suh","given":"Hyun-Suk"},{"family":"Kim","given":"Ki-Bum"},{"family":"Han","given":"Seung-Kyu"},{"family":"Young","given":"Ki-Won"},{"family":"Lee","given":"Jin-Woo"},{"family":"Kim","given":"Mi-Hyung"}],"issued":{"date-parts":[["2019"]]}}}],"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(121)</w:t>
            </w:r>
            <w:r w:rsidRPr="00CA32B9">
              <w:rPr>
                <w:rFonts w:asciiTheme="minorHAnsi" w:hAnsiTheme="minorHAnsi" w:cstheme="minorHAnsi"/>
                <w:szCs w:val="20"/>
                <w:lang w:val="en-US"/>
              </w:rPr>
              <w:fldChar w:fldCharType="end"/>
            </w:r>
          </w:p>
        </w:tc>
      </w:tr>
      <w:tr w:rsidR="00F64C02" w14:paraId="0507C227" w14:textId="77777777" w:rsidTr="00F64C02">
        <w:tc>
          <w:tcPr>
            <w:tcW w:w="9060" w:type="dxa"/>
            <w:gridSpan w:val="4"/>
            <w:vAlign w:val="center"/>
          </w:tcPr>
          <w:p w14:paraId="593FF0DA" w14:textId="1C8624C6" w:rsidR="00F64C02" w:rsidRDefault="00F64C02" w:rsidP="00F64C02">
            <w:pPr>
              <w:jc w:val="left"/>
              <w:rPr>
                <w:lang w:val="en-US"/>
              </w:rPr>
            </w:pPr>
            <w:r w:rsidRPr="00CA32B9">
              <w:rPr>
                <w:rFonts w:asciiTheme="minorHAnsi" w:hAnsiTheme="minorHAnsi" w:cstheme="minorHAnsi"/>
                <w:b/>
                <w:szCs w:val="20"/>
                <w:lang w:val="en-US"/>
              </w:rPr>
              <w:t>Ulcer area reduction</w:t>
            </w:r>
          </w:p>
        </w:tc>
      </w:tr>
      <w:tr w:rsidR="00F64C02" w14:paraId="71A30B79" w14:textId="77777777" w:rsidTr="00F64C02">
        <w:tc>
          <w:tcPr>
            <w:tcW w:w="2830" w:type="dxa"/>
            <w:vAlign w:val="center"/>
          </w:tcPr>
          <w:p w14:paraId="54D7BAEF" w14:textId="3D9411C2" w:rsidR="00F64C02" w:rsidRDefault="00F64C02" w:rsidP="00F64C02">
            <w:pPr>
              <w:jc w:val="center"/>
              <w:rPr>
                <w:lang w:val="en-US"/>
              </w:rPr>
            </w:pP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460" w:type="dxa"/>
            <w:vAlign w:val="center"/>
          </w:tcPr>
          <w:p w14:paraId="732B5490" w14:textId="747A24B4" w:rsidR="00F64C02" w:rsidRDefault="00F64C02" w:rsidP="00F64C02">
            <w:pPr>
              <w:jc w:val="center"/>
              <w:rPr>
                <w:lang w:val="en-US"/>
              </w:rPr>
            </w:pPr>
            <w:r w:rsidRPr="00CA32B9">
              <w:rPr>
                <w:rFonts w:asciiTheme="minorHAnsi" w:hAnsiTheme="minorHAnsi" w:cstheme="minorHAnsi"/>
                <w:szCs w:val="20"/>
                <w:lang w:val="en-US"/>
              </w:rPr>
              <w:t>5</w:t>
            </w:r>
          </w:p>
        </w:tc>
        <w:tc>
          <w:tcPr>
            <w:tcW w:w="2151" w:type="dxa"/>
            <w:vAlign w:val="center"/>
          </w:tcPr>
          <w:p w14:paraId="60580E2C" w14:textId="0CDEF672" w:rsidR="00F64C02" w:rsidRDefault="00F64C02" w:rsidP="00F64C02">
            <w:pPr>
              <w:jc w:val="center"/>
              <w:rPr>
                <w:lang w:val="en-US"/>
              </w:rPr>
            </w:pPr>
            <w:r w:rsidRPr="00CA32B9">
              <w:rPr>
                <w:rFonts w:asciiTheme="minorHAnsi" w:hAnsiTheme="minorHAnsi" w:cstheme="minorHAnsi"/>
                <w:szCs w:val="20"/>
                <w:lang w:val="en-US"/>
              </w:rPr>
              <w:t>Low</w:t>
            </w:r>
          </w:p>
        </w:tc>
        <w:tc>
          <w:tcPr>
            <w:tcW w:w="2619" w:type="dxa"/>
            <w:vAlign w:val="center"/>
          </w:tcPr>
          <w:p w14:paraId="2D24A38C" w14:textId="60A11A00"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gawDllJZ","properties":{"formattedCitation":"(122)","plainCitation":"(122)","noteIndex":0},"citationItems":[{"id":45889,"uris":["http://zotero.org/users/5328021/items/U9TUWNZI"],"uri":["http://zotero.org/users/5328021/items/U9TUWNZI"],"itemData":{"id":45889,"type":"article-journal","abstract":"Diabetic foot ulcer is a chronic, refractory, frequent complication in diabetic patient. Its treatment often requires multidisciplinary joint efforts, diverse strategies have been adopted to address this annoying issue, including stem cell-based therapy/acellular dermal matrix/negative pressure wound therapy etc. However, consensus has not been reached. To assess the current evidence regarding the efficiency and potential advantages of stem cell-based therapy compared with conventional standard treatment and/or placebo in the treatment of diabetic foot ulcer. A comprehensive search in PubMed, EmBase, Cochrane Central and Web of Science databases was conducted during December 2016 and a systematic review and meta-analysis of all relevant studies were performed. A total of 7 studies that involved 224 diabetic foot patients, classified as Wagner grades 1-5, were analyzed. The pooled results confirmed the benefits of using the stem cell treatment. Partial and/or complete healing were significantly higher in the stem cell group compared with the control group (77.4% vs. 31.9%; RR: 2.22; 95% CI, 1.65-2.98). Subgroup analysis on ABI and TCP02 also confirmed the results. The present meta-analysis indicates that stem cell-based therapy can enhance the healing of diabetic foot ulcers and is associated with lesser pain, lower amputation rate and improved prognosis compared with normal treatment. Well-designed randomized controlled trials are required in the future in order to confirm and update these findings.","container-title":"Endocrine Journal","issue":"4","journalAbbreviation":"Endocr. J.","language":"eng","note":"PMID: 29353870","page":"403-413","title":"Efficiency of stem cell based therapy in the treatment of diabetic foot ulcer: a meta-analysis","volume":"65","author":[{"family":"Shu","given":"Xuan"},{"family":"Shu","given":"Shenyou"},{"family":"Tang","given":"Shijie"},{"family":"Yang","given":"Lvjun"},{"family":"Liu","given":"Dan"},{"family":"Li","given":"Ke"},{"family":"Dong","given":"Zejun"},{"family":"Ma","given":"Zhongchao"},{"family":"Zhu","given":"Zhensen"},{"family":"Din","given":"Jialong"}],"issued":{"date-parts":[["2018",4,26]]}}}],"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(122)</w:t>
            </w:r>
            <w:r w:rsidRPr="00CA32B9">
              <w:rPr>
                <w:rFonts w:asciiTheme="minorHAnsi" w:hAnsiTheme="minorHAnsi" w:cstheme="minorHAnsi"/>
                <w:szCs w:val="20"/>
                <w:lang w:val="en-US"/>
              </w:rPr>
              <w:fldChar w:fldCharType="end"/>
            </w:r>
          </w:p>
        </w:tc>
      </w:tr>
      <w:tr w:rsidR="00F64C02" w14:paraId="432D68CA" w14:textId="77777777" w:rsidTr="00F64C02">
        <w:tc>
          <w:tcPr>
            <w:tcW w:w="9060" w:type="dxa"/>
            <w:gridSpan w:val="4"/>
            <w:vAlign w:val="center"/>
          </w:tcPr>
          <w:p w14:paraId="136274F4" w14:textId="10CD3AAD" w:rsidR="00F64C02" w:rsidRDefault="00F64C02" w:rsidP="00F64C02">
            <w:pPr>
              <w:jc w:val="left"/>
              <w:rPr>
                <w:lang w:val="en-US"/>
              </w:rPr>
            </w:pPr>
            <w:r w:rsidRPr="00CA32B9">
              <w:rPr>
                <w:rFonts w:asciiTheme="minorHAnsi" w:hAnsiTheme="minorHAnsi" w:cstheme="minorHAnsi"/>
                <w:b/>
                <w:szCs w:val="20"/>
                <w:lang w:val="en-US"/>
              </w:rPr>
              <w:t>Time to healing</w:t>
            </w:r>
          </w:p>
        </w:tc>
      </w:tr>
      <w:tr w:rsidR="00F64C02" w14:paraId="4FFE335A" w14:textId="77777777" w:rsidTr="00F64C02">
        <w:tc>
          <w:tcPr>
            <w:tcW w:w="2830" w:type="dxa"/>
            <w:vAlign w:val="center"/>
          </w:tcPr>
          <w:p w14:paraId="5B00303C" w14:textId="0EDF44B3" w:rsidR="00F64C02" w:rsidRDefault="00F64C02" w:rsidP="00F64C02">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w:t>
            </w:r>
          </w:p>
        </w:tc>
        <w:tc>
          <w:tcPr>
            <w:tcW w:w="1460" w:type="dxa"/>
            <w:vAlign w:val="center"/>
          </w:tcPr>
          <w:p w14:paraId="314756FF" w14:textId="265B3B2E" w:rsidR="00F64C02" w:rsidRDefault="00F64C02" w:rsidP="00F64C02">
            <w:pPr>
              <w:jc w:val="center"/>
              <w:rPr>
                <w:lang w:val="en-US"/>
              </w:rPr>
            </w:pPr>
            <w:r w:rsidRPr="00CA32B9">
              <w:rPr>
                <w:rFonts w:asciiTheme="minorHAnsi" w:hAnsiTheme="minorHAnsi" w:cstheme="minorHAnsi"/>
                <w:szCs w:val="20"/>
                <w:lang w:val="en-US"/>
              </w:rPr>
              <w:t>9</w:t>
            </w:r>
          </w:p>
        </w:tc>
        <w:tc>
          <w:tcPr>
            <w:tcW w:w="2151" w:type="dxa"/>
            <w:vMerge w:val="restart"/>
            <w:vAlign w:val="center"/>
          </w:tcPr>
          <w:p w14:paraId="18E14F61" w14:textId="14FA1760" w:rsidR="00F64C02" w:rsidRDefault="00F64C02" w:rsidP="00F64C02">
            <w:pPr>
              <w:jc w:val="center"/>
              <w:rPr>
                <w:lang w:val="en-US"/>
              </w:rPr>
            </w:pPr>
            <w:r w:rsidRPr="00CA32B9">
              <w:rPr>
                <w:rFonts w:asciiTheme="minorHAnsi" w:hAnsiTheme="minorHAnsi" w:cstheme="minorHAnsi"/>
                <w:szCs w:val="20"/>
                <w:lang w:val="en-US"/>
              </w:rPr>
              <w:t>Very high</w:t>
            </w:r>
          </w:p>
        </w:tc>
        <w:tc>
          <w:tcPr>
            <w:tcW w:w="2619" w:type="dxa"/>
            <w:vAlign w:val="center"/>
          </w:tcPr>
          <w:p w14:paraId="16AEEE71" w14:textId="595F722C"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ypuMFpsK","properties":{"formattedCitation":"(123)","plainCitation":"(123)","noteIndex":0},"citationItems":[{"id":47131,"uris":["http://zotero.org/users/5328021/items/XPW8UNA2"],"uri":["http://zotero.org/users/5328021/items/XPW8UNA2"],"itemData":{"id":47131,"type":"article-journal","abstract":"Over the last decade, many studies have indicated a therapeutic potential for treating diabetic lower extremity ulcers with autologous stem cells. The aim of the current study was to conduct a systematic review and meta-analysis of the treatment of diabetic foot ulcers (DFUs) with autologous stem cells. The search strategy included the Pubmed, EMBASE, Web of Science, and Cochrane's Library databases. The endpoint measured was the healing of DFUs.Six eligible randomized controlled trial (RCT) studies were screened from related published studies and reviewed for meta-analysis. The overall meta-analysis showed that stem cell administration was significantly favorable for healing diabetic ulcers (mean difference (MD) 0.52, 95% confidence interval (CI) 0.38-0.65; p &lt; 0.00001). Subgroup analyses indicated that stem cells seemed to exert similar beneficial effects on patients with ulcer size ≥ 5 cm2 (MD 0.76, 95% CI 0.55-0.97; p &lt; 0.00001) and &lt; 5 cm2 (MD 0.43, 95% CI 0.31-0.54; p &lt; 0.00001). Furthermore, stem cells had similar effects on patients aged ≥ 70 years (MD 0.61, 95% CI 0.14-1.08; p = 0.01) and &lt; 70 years (MD 0.47, 95% CI 0.35-0.58; p &lt; 0.00001). This systematic review and meta-analysis suggests a promising role for stem cells in DFU treatment. This review will pave the way to further study on the long-term effects of stem cell-based therapy and large-scale RCTs.","container-title":"Stem Cell Research &amp; Therapy","issue":"1","journalAbbreviation":"Stem Cell Res Ther","language":"eng","note":"PMID: 29037219\nPMCID: PMC5644171","page":"228","title":"Meta-analysis on the treatment of diabetic foot ulcers with autologous stem cells","volume":"8","author":[{"family":"Guo","given":"Jianming"},{"family":"Dardik","given":"Alan"},{"family":"Fang","given":"Kacey"},{"family":"Huang","given":"Ruixue"},{"family":"Gu","given":"Yongquan"}],"issued":{"date-parts":[["2017"]],"season":"16"}}}],"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(123)</w:t>
            </w:r>
            <w:r w:rsidRPr="00CA32B9">
              <w:rPr>
                <w:rFonts w:asciiTheme="minorHAnsi" w:hAnsiTheme="minorHAnsi" w:cstheme="minorHAnsi"/>
                <w:szCs w:val="20"/>
                <w:lang w:val="en-US"/>
              </w:rPr>
              <w:fldChar w:fldCharType="end"/>
            </w:r>
          </w:p>
        </w:tc>
      </w:tr>
      <w:tr w:rsidR="00F64C02" w14:paraId="4E686978" w14:textId="77777777" w:rsidTr="00F64C02">
        <w:tc>
          <w:tcPr>
            <w:tcW w:w="2830" w:type="dxa"/>
            <w:vAlign w:val="center"/>
          </w:tcPr>
          <w:p w14:paraId="43EE97BF" w14:textId="3DABF9F2"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1 study (II)</w:t>
            </w:r>
          </w:p>
        </w:tc>
        <w:tc>
          <w:tcPr>
            <w:tcW w:w="1460" w:type="dxa"/>
            <w:vAlign w:val="center"/>
          </w:tcPr>
          <w:p w14:paraId="33405D5E" w14:textId="09A08B57"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7</w:t>
            </w:r>
          </w:p>
        </w:tc>
        <w:tc>
          <w:tcPr>
            <w:tcW w:w="2151" w:type="dxa"/>
            <w:vMerge/>
            <w:vAlign w:val="center"/>
          </w:tcPr>
          <w:p w14:paraId="474AB6F7" w14:textId="77777777" w:rsidR="00F64C02" w:rsidRDefault="00F64C02" w:rsidP="00F64C02">
            <w:pPr>
              <w:jc w:val="center"/>
              <w:rPr>
                <w:lang w:val="en-US"/>
              </w:rPr>
            </w:pPr>
          </w:p>
        </w:tc>
        <w:tc>
          <w:tcPr>
            <w:tcW w:w="2619" w:type="dxa"/>
            <w:vAlign w:val="center"/>
          </w:tcPr>
          <w:p w14:paraId="1859F714" w14:textId="6F0E3496"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uae6VCDP","properties":{"formattedCitation":"(124)","plainCitation":"(124)","noteIndex":0},"citationItems":[{"id":55010,"uris":["http://zotero.org/users/5328021/items/S9736IY3"],"uri":["http://zotero.org/users/5328021/items/S9736IY3"],"itemData":{"id":55010,"type":"article-journal","abstract":"BACKGROUND AND AIM: Despite improvements in surgical revascularisation, limitations like anatomical factors or atherosclerosis limit the success of revascularisation in diabetic patients with critical limb ischaemia. Stem cells were shown to improve microcirculation in published studies. The aim of this study was to evaluate safety, feasibility and efficacy of transplantation of bone marrow derived cellular products regarding improvement in microcirculation and lowering of amputation rate.\nMETHODS: Bone marrow mononuclear cells (BMCs) in comparison with expanded bone marrow cells enriched in CD90+ cells ('tissue repair cells', TRCs) were used in the treatment of diabetic ulcers to induce revascularisation. Diabetic foot patients with critical limb ischaemia without option for surgical or interventional revascularisation were eligible. Parameters examined were ABI, TcPO(2) , reactive hyperaemia and angiographic imaging before and after therapy.\nRESULTS: Of 30 patients included in this trial, 24 were randomised to receive either BMCs or TRCs. The high number of drop-outs in the control group (4 of 6) led to exclusion from evaluation. A total of 22 patients entered treatment; one patient in the TRC group and two in the BMC group did not show wound healing during follow up, one patient in each treatment group died before reaching the end of the study; one after having achieved wound healing (BMC group), the other one without having achieved wound healing (TRC group). Thus, 18 patients showed wound healing after 45 weeks. The total number of applicated cells was 3.8 times lower in the TRC group, but TRC patients received significantly higher amounts of CD90+ cells. Improvement in microvascularisation was detected in some, but not all patients by angiography, TcPO(2) improved significantly compared with baseline in both therapy groups.\nCONCLUSION: The transplantation of BMCs as well as TRCs proved to be safe and feasible. Improvements of microcirculation and complete wound healing were observed in the transplant groups.","container-title":"International Journal of Clinical Practice","issue":"4","journalAbbreviation":"Int. J. Clin. Pract.","language":"eng","note":"PMID: 22284892","page":"384-393","title":"Autologous stem cell therapy in the treatment of limb ischaemia induced chronic tissue ulcers of diabetic foot patients","volume":"66","author":[{"family":"Kirana","given":"S."},{"family":"Stratmann","given":"B."},{"family":"Prante","given":"C."},{"family":"Prohaska","given":"W."},{"family":"Koerperich","given":"H."},{"family":"Lammers","given":"D."},{"family":"Gastens","given":"M. H."},{"family":"Quast","given":"T."},{"family":"Negrean","given":"M."},{"family":"Stirban","given":"O. A."},{"family":"Nandrean","given":"S. G."},{"family":"Götting","given":"C."},{"family":"Minartz","given":"P."},{"family":"Kleesiek","given":"K."},{"family":"Tschoepe","given":"D."}],"issued":{"date-parts":[["2012",4]]}}}],"schema":"https://github.com/citation-style-language/schema/raw/master/csl-citation.json"}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(124)</w:t>
            </w:r>
            <w:r w:rsidRPr="00CA32B9">
              <w:rPr>
                <w:rFonts w:asciiTheme="minorHAnsi" w:hAnsiTheme="minorHAnsi" w:cstheme="minorHAnsi"/>
                <w:szCs w:val="20"/>
                <w:lang w:val="en-US"/>
              </w:rPr>
              <w:fldChar w:fldCharType="end"/>
            </w:r>
          </w:p>
        </w:tc>
      </w:tr>
      <w:tr w:rsidR="00F64C02" w14:paraId="53701920" w14:textId="77777777" w:rsidTr="00F64C02">
        <w:tc>
          <w:tcPr>
            <w:tcW w:w="9060" w:type="dxa"/>
            <w:gridSpan w:val="4"/>
            <w:vAlign w:val="center"/>
          </w:tcPr>
          <w:p w14:paraId="1618E0AD" w14:textId="0A69498F" w:rsidR="00F64C02" w:rsidRDefault="00F64C02" w:rsidP="00F64C02">
            <w:pPr>
              <w:jc w:val="left"/>
              <w:rPr>
                <w:lang w:val="en-US"/>
              </w:rPr>
            </w:pPr>
            <w:r w:rsidRPr="00CA32B9">
              <w:rPr>
                <w:rFonts w:asciiTheme="minorHAnsi" w:hAnsiTheme="minorHAnsi" w:cstheme="minorHAnsi"/>
                <w:b/>
                <w:szCs w:val="20"/>
                <w:lang w:val="en-US"/>
              </w:rPr>
              <w:t>Reduction of pain</w:t>
            </w:r>
          </w:p>
        </w:tc>
      </w:tr>
      <w:tr w:rsidR="00F64C02" w14:paraId="57893792" w14:textId="77777777" w:rsidTr="00F64C02">
        <w:tc>
          <w:tcPr>
            <w:tcW w:w="2830" w:type="dxa"/>
            <w:vAlign w:val="center"/>
          </w:tcPr>
          <w:p w14:paraId="36EBC3A5" w14:textId="3386DD72" w:rsidR="00F64C02" w:rsidRDefault="00F64C02" w:rsidP="00F64C02">
            <w:pPr>
              <w:jc w:val="center"/>
              <w:rPr>
                <w:lang w:val="en-US"/>
              </w:rPr>
            </w:pPr>
            <w:r w:rsidRPr="00CA32B9">
              <w:rPr>
                <w:rFonts w:asciiTheme="minorHAnsi" w:hAnsiTheme="minorHAnsi" w:cstheme="minorHAnsi"/>
                <w:szCs w:val="20"/>
                <w:lang w:val="en-US"/>
              </w:rPr>
              <w:t>1</w:t>
            </w:r>
            <w:r w:rsidRPr="00CA32B9">
              <w:rPr>
                <w:rFonts w:asciiTheme="minorHAnsi" w:eastAsia="Times New Roman" w:hAnsiTheme="minorHAnsi" w:cstheme="minorHAnsi"/>
                <w:szCs w:val="20"/>
                <w:lang w:val="en-US"/>
              </w:rPr>
              <w:t xml:space="preserve"> study (I)</w:t>
            </w:r>
          </w:p>
        </w:tc>
        <w:tc>
          <w:tcPr>
            <w:tcW w:w="1460" w:type="dxa"/>
            <w:vAlign w:val="center"/>
          </w:tcPr>
          <w:p w14:paraId="0DBD671D" w14:textId="57EA3B79" w:rsidR="00F64C02" w:rsidRDefault="00F64C02" w:rsidP="00F64C02">
            <w:pPr>
              <w:jc w:val="center"/>
              <w:rPr>
                <w:lang w:val="en-US"/>
              </w:rPr>
            </w:pPr>
            <w:r w:rsidRPr="00CA32B9">
              <w:rPr>
                <w:rFonts w:asciiTheme="minorHAnsi" w:hAnsiTheme="minorHAnsi" w:cstheme="minorHAnsi"/>
                <w:szCs w:val="20"/>
                <w:lang w:val="en-US"/>
              </w:rPr>
              <w:t>9</w:t>
            </w:r>
          </w:p>
        </w:tc>
        <w:tc>
          <w:tcPr>
            <w:tcW w:w="2151" w:type="dxa"/>
            <w:vAlign w:val="center"/>
          </w:tcPr>
          <w:p w14:paraId="362972AA" w14:textId="64CEC2E1" w:rsidR="00F64C02" w:rsidRDefault="00F64C02" w:rsidP="00F64C02">
            <w:pPr>
              <w:jc w:val="center"/>
              <w:rPr>
                <w:lang w:val="en-US"/>
              </w:rPr>
            </w:pPr>
            <w:r w:rsidRPr="00CA32B9">
              <w:rPr>
                <w:rFonts w:asciiTheme="minorHAnsi" w:hAnsiTheme="minorHAnsi" w:cstheme="minorHAnsi"/>
                <w:szCs w:val="20"/>
                <w:lang w:val="en-US"/>
              </w:rPr>
              <w:t>Very high</w:t>
            </w:r>
          </w:p>
        </w:tc>
        <w:tc>
          <w:tcPr>
            <w:tcW w:w="2619" w:type="dxa"/>
            <w:vAlign w:val="center"/>
          </w:tcPr>
          <w:p w14:paraId="6F20C743" w14:textId="0B957E36"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cmKVtt5X","properties":{"formattedCitation":"(119)","plainCitation":"(119)","noteIndex":0},"citationItems":[{"id":45863,"uris":["http://zotero.org/users/5328021/items/QY55W75J"],"uri":["http://zotero.org/users/5328021/items/QY55W75J"],"itemData":{"id":45863,"type":"article-journal","abstract":"Diabetes mellitus is a widely spread chronic disease with growing incidence worldwide, and diabetic foot ulcer is one of the most serious complications of diabetes. Cellular therapy has shown promise in the management of diabetic foot ulcer in many preclinical experiments and clinical researches. Here, we performed a meta-analysis to evaluate the efficacy and safety of cellular therapy in the management of diabetic foot ulcer. We systematically searched PubMed, MEDLINE, EMBASE, and Cochrane Library databases from inception to May 2017 for randomized controlled trials assessing the efficacy of cellular therapy in diabetic foot ulcer, and a meta-analysis was conducted. A total of 6 randomized controlled clinical trials involving 241 individuals were included in this meta-analysis. The results suggested that cellular therapy could help accelerating the healing of diabetic foot ulcer, presented as higher ankle-brachial index (mean difference = 0.17, 95% confidence interval [CI] = 0.11 to 0.23), higher transcutaneous oxygen pressure (standardized mean difference [SMD] = 1.43; 95% CI, 1.09- to 1.78), higher ulcer healing rate (relative risk [RR] = 1.78; 95% CI, 1.41 to 2.25), higher amputation-free survival (RR = 1.25; 95% CI, 1.11 to 1.40), and lower scale of pain (SMD = -1.69; 95% CI, -2.05 to -1.33). Furthermore, cellular therapy seemed to be safe, with no serious complications and low risk of short-term slight complications. Cellular therapy could accelerate the rate of diabetic foot ulcer healing and may be more efficient than standard therapy for diabetic foot treatment.","container-title":"Cell Transplantation","issue":"12","journalAbbreviation":"Cell Transplant","language":"eng","note":"PMID: 29390881\nPMCID: PMC5802633","page":"1931-1939","title":"Efficacy of Cellular Therapy for Diabetic Foot Ulcer: A Meta-Analysis of Randomized Controlled Clinical Trials","volume":"26","author":[{"family":"Zhang","given":"Ye"},{"family":"Deng","given":"Hong"},{"family":"Tang","given":"Zhouping"}],"issued":{"date-parts":[["2017"]]}}}],"schema":"https://github.com/citation-style-language/schema/raw/master/csl-citation.json"}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(119)</w:t>
            </w:r>
            <w:r w:rsidRPr="00CA32B9">
              <w:rPr>
                <w:rFonts w:asciiTheme="minorHAnsi" w:hAnsiTheme="minorHAnsi" w:cstheme="minorHAnsi"/>
                <w:szCs w:val="20"/>
                <w:lang w:val="en-US"/>
              </w:rPr>
              <w:fldChar w:fldCharType="end"/>
            </w:r>
          </w:p>
        </w:tc>
      </w:tr>
      <w:tr w:rsidR="00F64C02" w14:paraId="5217EAF2" w14:textId="77777777" w:rsidTr="00F64C02">
        <w:tc>
          <w:tcPr>
            <w:tcW w:w="9060" w:type="dxa"/>
            <w:gridSpan w:val="4"/>
            <w:vAlign w:val="center"/>
          </w:tcPr>
          <w:p w14:paraId="62EA5050" w14:textId="65390023" w:rsidR="00F64C02" w:rsidRDefault="00F64C02" w:rsidP="00F64C02">
            <w:pPr>
              <w:jc w:val="left"/>
              <w:rPr>
                <w:lang w:val="en-US"/>
              </w:rPr>
            </w:pPr>
            <w:r w:rsidRPr="00CA32B9">
              <w:rPr>
                <w:rFonts w:asciiTheme="minorHAnsi" w:hAnsiTheme="minorHAnsi" w:cstheme="minorHAnsi"/>
                <w:b/>
                <w:szCs w:val="20"/>
                <w:lang w:val="en-US"/>
              </w:rPr>
              <w:t>Reduction of amputation events</w:t>
            </w:r>
          </w:p>
        </w:tc>
      </w:tr>
      <w:tr w:rsidR="00F64C02" w:rsidRPr="00166EC2" w14:paraId="4AA48897" w14:textId="77777777" w:rsidTr="00F64C02">
        <w:tc>
          <w:tcPr>
            <w:tcW w:w="2830" w:type="dxa"/>
            <w:vAlign w:val="center"/>
          </w:tcPr>
          <w:p w14:paraId="0445488E" w14:textId="00D28FA3" w:rsidR="00F64C02" w:rsidRDefault="00F64C02" w:rsidP="00F64C02">
            <w:pPr>
              <w:jc w:val="center"/>
              <w:rPr>
                <w:lang w:val="en-US"/>
              </w:rPr>
            </w:pPr>
            <w:r w:rsidRPr="00CA32B9">
              <w:rPr>
                <w:rFonts w:asciiTheme="minorHAnsi" w:hAnsiTheme="minorHAnsi" w:cstheme="minorHAnsi"/>
                <w:szCs w:val="20"/>
                <w:lang w:val="en-US"/>
              </w:rPr>
              <w:t xml:space="preserve">1 </w:t>
            </w:r>
            <w:r w:rsidRPr="00CA32B9">
              <w:rPr>
                <w:rFonts w:asciiTheme="minorHAnsi" w:eastAsia="Times New Roman" w:hAnsiTheme="minorHAnsi" w:cstheme="minorHAnsi"/>
                <w:szCs w:val="20"/>
                <w:lang w:val="en-US"/>
              </w:rPr>
              <w:t>study (I)</w:t>
            </w:r>
            <w:r w:rsidRPr="00CA32B9">
              <w:rPr>
                <w:rFonts w:asciiTheme="minorHAnsi" w:hAnsiTheme="minorHAnsi" w:cstheme="minorHAnsi"/>
                <w:szCs w:val="20"/>
                <w:lang w:val="en-US"/>
              </w:rPr>
              <w:t xml:space="preserve"> - 1 study (</w:t>
            </w:r>
            <w:r w:rsidRPr="00CA32B9">
              <w:rPr>
                <w:rFonts w:asciiTheme="minorHAnsi" w:eastAsia="Times New Roman" w:hAnsiTheme="minorHAnsi" w:cstheme="minorHAnsi"/>
                <w:szCs w:val="20"/>
                <w:lang w:val="en-US"/>
              </w:rPr>
              <w:t>II)</w:t>
            </w:r>
          </w:p>
        </w:tc>
        <w:tc>
          <w:tcPr>
            <w:tcW w:w="1460" w:type="dxa"/>
            <w:vAlign w:val="center"/>
          </w:tcPr>
          <w:p w14:paraId="70FD1679" w14:textId="28DD0229" w:rsidR="00F64C02" w:rsidRDefault="00F64C02" w:rsidP="00F64C02">
            <w:pPr>
              <w:jc w:val="center"/>
              <w:rPr>
                <w:lang w:val="en-US"/>
              </w:rPr>
            </w:pPr>
            <w:r w:rsidRPr="00CA32B9">
              <w:rPr>
                <w:rFonts w:asciiTheme="minorHAnsi" w:hAnsiTheme="minorHAnsi" w:cstheme="minorHAnsi"/>
                <w:szCs w:val="20"/>
                <w:lang w:val="en-US"/>
              </w:rPr>
              <w:t>7,5</w:t>
            </w:r>
          </w:p>
        </w:tc>
        <w:tc>
          <w:tcPr>
            <w:tcW w:w="2151" w:type="dxa"/>
            <w:vAlign w:val="center"/>
          </w:tcPr>
          <w:p w14:paraId="38540436" w14:textId="41A8A8BC" w:rsidR="00F64C02" w:rsidRDefault="00F64C02" w:rsidP="00F64C02">
            <w:pPr>
              <w:jc w:val="center"/>
              <w:rPr>
                <w:lang w:val="en-US"/>
              </w:rPr>
            </w:pPr>
            <w:r w:rsidRPr="00CA32B9">
              <w:rPr>
                <w:rFonts w:asciiTheme="minorHAnsi" w:hAnsiTheme="minorHAnsi" w:cstheme="minorHAnsi"/>
                <w:szCs w:val="20"/>
                <w:lang w:val="en-US"/>
              </w:rPr>
              <w:t>Good</w:t>
            </w:r>
          </w:p>
        </w:tc>
        <w:tc>
          <w:tcPr>
            <w:tcW w:w="2619" w:type="dxa"/>
            <w:vAlign w:val="center"/>
          </w:tcPr>
          <w:p w14:paraId="0A3266F5" w14:textId="7E5E0A93"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JICEKpDP","properties":{"formattedCitation":"(119,120)","plainCitation":"(119,120)","noteIndex":0},"citationItems":[{"id":45863,"uris":["http://zotero.org/users/5328021/items/QY55W75J"],"uri":["http://zotero.org/users/5328021/items/QY55W75J"],"itemData":{"id":45863,"type":"article-journal","abstract":"Diabetes mellitus is a widely spread chronic disease with growing incidence worldwide, and diabetic foot ulcer is one of the most serious complications of diabetes. Cellular therapy has shown promise in the management of diabetic foot ulcer in many preclinical experiments and clinical researches. Here, we performed a meta-analysis to evaluate the efficacy and safety of cellular therapy in the management of diabetic foot ulcer. We systematically searched PubMed, MEDLINE, EMBASE, and Cochrane Library databases from inception to May 2017 for randomized controlled trials assessing the efficacy of cellular therapy in diabetic foot ulcer, and a meta-analysis was conducted. A total of 6 randomized controlled clinical trials involving 241 individuals were included in this meta-analysis. The results suggested that cellular therapy could help accelerating the healing of diabetic foot ulcer, presented as higher ankle-brachial index (mean difference = 0.17, 95% confidence interval [CI] = 0.11 to 0.23), higher transcutaneous oxygen pressure (standardized mean difference [SMD] = 1.43; 95% CI, 1.09- to 1.78), higher ulcer healing rate (relative risk [RR] = 1.78; 95% CI, 1.41 to 2.25), higher amputation-free survival (RR = 1.25; 95% CI, 1.11 to 1.40), and lower scale of pain (SMD = -1.69; 95% CI, -2.05 to -1.33). Furthermore, cellular therapy seemed to be safe, with no serious complications and low risk of short-term slight complications. Cellular therapy could accelerate the rate of diabetic foot ulcer healing and may be more efficient than standard therapy for diabetic foot treatment.","container-title":"Cell Transplantation","issue":"12","journalAbbreviation":"Cell Transplant","language":"eng","note":"PMID: 29390881\nPMCID: PMC5802633","page":"1931-1939","title":"Efficacy of Cellular Therapy for Diabetic Foot Ulcer: A Meta-Analysis of Randomized Controlled Clinical Trials","volume":"26","author":[{"family":"Zhang","given":"Ye"},{"family":"Deng","given":"Hong"},{"family":"Tang","given":"Zhouping"}],"issued":{"date-parts":[["2017"]]}}},{"id":53383,"uris":["http://zotero.org/users/5328021/items/RTDWSJ82"],"uri":["http://zotero.org/users/5328021/items/RTDWSJ82"],"itemData":{"id":53383,"type":"article-journal","abstract":"BACKGROUND: The aim of our study was to compare the effect of bone marrow mononuclear cell and peripheral blood progenitor cell therapies in patients with diabetic foot disease and critical limb ischaemia unresponsive to revascularization with conservative therapy.\nMETHODS: Twenty-eight patients with diabetic foot disease (17 treated by bone marrow cells and 11 by peripheral blood cell) were included into an active group and 22 patients into a control group without cell treatment. Transcutaneous oxygen pressure and rate of major amputation, as the main outcome measures, were compared between bone marrow cells, peripheral blood cell and control groups over 6 months; both cell therapy methods were also compared by the characteristics of cell suspensions. Possible adverse events were evaluated by changes of serum levels of angiogenic cytokines and retinal fundoscopic examination.\nRESULTS: The transcutaneous oxygen pressure increased significantly (p &lt; 0.05) compared with baseline in both active groups after 6 months, with no significant differences between bone marrow cells and peripheral blood cell groups; however, no change of transcutaneous oxygen pressure in the control group was observed. The rate of major amputation by 6 months was significantly lower in the active cell therapy group compared with that in the control group (11.1% vs. 50%, p = 0.0032), with no difference between bone marrow cells and peripheral blood cell. A number of injected CD34+ cells and serum levels of angiogenic cytokines after treatment did not significantly differ between bone marrow cells and peripheral blood cell.\nCONCLUSIONS: Our study showed a superior benefit of bone marrow cells and peripheral blood cell treatments of critical limb ischaemia in patients with diabetic foot disease when compared with conservative therapy. There was no difference between both cell therapy groups, and no patient demonstrated signs of systemic vasculogenesis.","container-title":"Diabetes/Metabolism Research and Reviews","issue":"5","journalAbbreviation":"Diabetes Metab. Res. Rev.","language":"eng","note":"PMID: 23390092","page":"369-376","title":"Both autologous bone marrow mononuclear cell and peripheral blood progenitor cell therapies similarly improve ischaemia in patients with diabetic foot in comparison with control treatment","volume":"29","author":[{"family":"Dubsky","given":"M."},{"family":"Jirkovska","given":"A."},{"family":"Bem","given":"R."},{"family":"Fejfarova","given":"V."},{"family":"Pagacova","given":"L."},{"family":"Sixta","given":"B."},{"family":"Varga","given":"M."},{"family":"Langkramer","given":"S."},{"family":"Sykova","given":"E."},{"family":"Jude","given":"E. B."}],"issued":{"date-parts":[["2013",7]]}}}],"schema":"https://github.com/citation-style-language/schema/raw/master/csl-citation.json"}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(119,120)</w:t>
            </w:r>
            <w:r w:rsidRPr="00CA32B9">
              <w:rPr>
                <w:rFonts w:asciiTheme="minorHAnsi" w:hAnsiTheme="minorHAnsi" w:cstheme="minorHAnsi"/>
                <w:szCs w:val="20"/>
                <w:lang w:val="en-US"/>
              </w:rPr>
              <w:fldChar w:fldCharType="end"/>
            </w:r>
          </w:p>
        </w:tc>
      </w:tr>
      <w:tr w:rsidR="00F64C02" w:rsidRPr="00166EC2" w14:paraId="5DE54ED8" w14:textId="77777777" w:rsidTr="00F64C02">
        <w:tc>
          <w:tcPr>
            <w:tcW w:w="9060" w:type="dxa"/>
            <w:gridSpan w:val="4"/>
            <w:shd w:val="clear" w:color="auto" w:fill="D4F1D3" w:themeFill="background2" w:themeFillTint="33"/>
            <w:vAlign w:val="center"/>
          </w:tcPr>
          <w:p w14:paraId="66A187D8" w14:textId="27CEB680" w:rsidR="00F64C02" w:rsidRDefault="00F64C02" w:rsidP="00F64C02">
            <w:pPr>
              <w:jc w:val="center"/>
              <w:rPr>
                <w:lang w:val="en-US"/>
              </w:rPr>
            </w:pPr>
            <w:r w:rsidRPr="00CA32B9">
              <w:rPr>
                <w:rFonts w:asciiTheme="minorHAnsi" w:hAnsiTheme="minorHAnsi" w:cstheme="minorHAnsi"/>
                <w:b/>
                <w:bCs/>
                <w:color w:val="56575A"/>
                <w:szCs w:val="20"/>
                <w:lang w:val="en-US"/>
              </w:rPr>
              <w:t>Treatment with systematic hyperbaric oxygen in people with DFU</w:t>
            </w:r>
          </w:p>
        </w:tc>
      </w:tr>
      <w:tr w:rsidR="00F64C02" w:rsidRPr="00166EC2" w14:paraId="7B73D7AE" w14:textId="77777777" w:rsidTr="00F64C02">
        <w:tc>
          <w:tcPr>
            <w:tcW w:w="9060" w:type="dxa"/>
            <w:gridSpan w:val="4"/>
            <w:vAlign w:val="center"/>
          </w:tcPr>
          <w:p w14:paraId="1A4C4806" w14:textId="7F3B2DC6" w:rsidR="00F64C02" w:rsidRDefault="00F64C02" w:rsidP="007B6214">
            <w:pPr>
              <w:jc w:val="left"/>
              <w:rPr>
                <w:lang w:val="en-US"/>
              </w:rPr>
            </w:pPr>
            <w:r w:rsidRPr="00CA32B9">
              <w:rPr>
                <w:rFonts w:asciiTheme="minorHAnsi" w:hAnsiTheme="minorHAnsi" w:cstheme="minorHAnsi"/>
                <w:b/>
                <w:szCs w:val="20"/>
                <w:lang w:val="en-US"/>
              </w:rPr>
              <w:t xml:space="preserve">Ulcer </w:t>
            </w:r>
            <w:proofErr w:type="spellStart"/>
            <w:r w:rsidRPr="00CA32B9">
              <w:rPr>
                <w:rFonts w:asciiTheme="minorHAnsi" w:hAnsiTheme="minorHAnsi" w:cstheme="minorHAnsi"/>
                <w:b/>
                <w:szCs w:val="20"/>
                <w:lang w:val="en-US"/>
              </w:rPr>
              <w:t>healing</w:t>
            </w:r>
            <w:r w:rsidR="009C3899" w:rsidRPr="00166EC2">
              <w:rPr>
                <w:rFonts w:asciiTheme="minorHAnsi" w:hAnsiTheme="minorHAnsi" w:cstheme="minorHAnsi"/>
                <w:b/>
                <w:color w:val="58595B" w:themeColor="text1"/>
                <w:szCs w:val="20"/>
                <w:vertAlign w:val="superscript"/>
                <w:lang w:val="en-US"/>
              </w:rPr>
              <w:t>c</w:t>
            </w:r>
            <w:proofErr w:type="spellEnd"/>
            <w:r w:rsidR="009C3899" w:rsidRPr="007B6214" w:rsidDel="009C3899">
              <w:rPr>
                <w:rFonts w:asciiTheme="minorHAnsi" w:hAnsiTheme="minorHAnsi" w:cstheme="minorHAnsi"/>
                <w:b/>
                <w:szCs w:val="20"/>
                <w:vertAlign w:val="superscript"/>
                <w:lang w:val="en-US"/>
              </w:rPr>
              <w:t xml:space="preserve"> </w:t>
            </w:r>
          </w:p>
        </w:tc>
      </w:tr>
      <w:tr w:rsidR="00F64C02" w14:paraId="1CE17ED9" w14:textId="77777777" w:rsidTr="00F64C02">
        <w:tc>
          <w:tcPr>
            <w:tcW w:w="2830" w:type="dxa"/>
            <w:vAlign w:val="center"/>
          </w:tcPr>
          <w:p w14:paraId="54C77C4C" w14:textId="001BC3C9" w:rsidR="00F64C02" w:rsidRDefault="00F64C02" w:rsidP="00F64C02">
            <w:pPr>
              <w:jc w:val="center"/>
              <w:rPr>
                <w:lang w:val="en-US"/>
              </w:rPr>
            </w:pPr>
            <w:r w:rsidRPr="00CA32B9">
              <w:rPr>
                <w:rFonts w:asciiTheme="minorHAnsi" w:hAnsiTheme="minorHAnsi" w:cstheme="minorHAnsi"/>
                <w:szCs w:val="20"/>
                <w:lang w:val="en-US"/>
              </w:rPr>
              <w:t>2 studies (</w:t>
            </w:r>
            <w:r w:rsidRPr="00CA32B9">
              <w:rPr>
                <w:rFonts w:asciiTheme="minorHAnsi" w:eastAsia="Times New Roman" w:hAnsiTheme="minorHAnsi" w:cstheme="minorHAnsi"/>
                <w:szCs w:val="20"/>
                <w:lang w:val="en-US"/>
              </w:rPr>
              <w:t xml:space="preserve">I) - </w:t>
            </w:r>
            <w:r w:rsidRPr="00CA32B9">
              <w:rPr>
                <w:rFonts w:asciiTheme="minorHAnsi" w:hAnsiTheme="minorHAnsi" w:cstheme="minorHAnsi"/>
                <w:szCs w:val="20"/>
                <w:lang w:val="en-US"/>
              </w:rPr>
              <w:t>6 studies (</w:t>
            </w:r>
            <w:r w:rsidRPr="00CA32B9">
              <w:rPr>
                <w:rFonts w:asciiTheme="minorHAnsi" w:eastAsia="Times New Roman" w:hAnsiTheme="minorHAnsi" w:cstheme="minorHAnsi"/>
                <w:szCs w:val="20"/>
                <w:lang w:val="en-US"/>
              </w:rPr>
              <w:t>II)</w:t>
            </w:r>
          </w:p>
        </w:tc>
        <w:tc>
          <w:tcPr>
            <w:tcW w:w="1460" w:type="dxa"/>
            <w:vAlign w:val="center"/>
          </w:tcPr>
          <w:p w14:paraId="03F859B6" w14:textId="4432B004" w:rsidR="00F64C02" w:rsidRDefault="00F64C02" w:rsidP="00F64C02">
            <w:pPr>
              <w:jc w:val="center"/>
              <w:rPr>
                <w:lang w:val="en-US"/>
              </w:rPr>
            </w:pPr>
            <w:r w:rsidRPr="00CA32B9">
              <w:rPr>
                <w:rFonts w:asciiTheme="minorHAnsi" w:hAnsiTheme="minorHAnsi" w:cstheme="minorHAnsi"/>
                <w:szCs w:val="20"/>
                <w:lang w:val="en-US"/>
              </w:rPr>
              <w:t>7,25</w:t>
            </w:r>
          </w:p>
        </w:tc>
        <w:tc>
          <w:tcPr>
            <w:tcW w:w="2151" w:type="dxa"/>
            <w:vMerge w:val="restart"/>
            <w:vAlign w:val="center"/>
          </w:tcPr>
          <w:p w14:paraId="69965662" w14:textId="6797538E" w:rsidR="00F64C02" w:rsidRDefault="00F64C02" w:rsidP="00F64C02">
            <w:pPr>
              <w:jc w:val="center"/>
              <w:rPr>
                <w:lang w:val="en-US"/>
              </w:rPr>
            </w:pPr>
            <w:r w:rsidRPr="00CA32B9">
              <w:rPr>
                <w:rFonts w:asciiTheme="minorHAnsi" w:hAnsiTheme="minorHAnsi" w:cstheme="minorHAnsi"/>
                <w:szCs w:val="20"/>
                <w:lang w:val="en-US"/>
              </w:rPr>
              <w:t>Moderate</w:t>
            </w:r>
          </w:p>
        </w:tc>
        <w:tc>
          <w:tcPr>
            <w:tcW w:w="2619" w:type="dxa"/>
            <w:vAlign w:val="center"/>
          </w:tcPr>
          <w:p w14:paraId="477CE171" w14:textId="402DBA3B" w:rsidR="00F64C02" w:rsidRDefault="00F64C02" w:rsidP="007B6214">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fFeNOXlb","properties":{"formattedCitation":"(125\\uc0\\u8211{}131)","plainCitation":"(125–131)","noteIndex":0},"citationItems":[{"id":74189,"uris":["http://zotero.org/users/5328021/items/EG7FYSHS"],"uri":["http://zotero.org/users/5328021/items/EG7FYSHS"],"itemData":{"id":74189,"type":"article-journal","abstract":"AIM: To examine the efficacy of hyperbaric oxygen therapy in healing diabetes-related lower limb ulcers through a meta-analysis of randomized clinical trials. METHODS: A literature search was conducted to identify appropriate clinical trials. Inclusion required randomized study design and reporting of the  proportion of diabetes-related lower limb ulcers that healed. A meta-analysis was performed to examine the effect of hyperbaric oxygen therapy on ulcer healing. The secondary outcomes were minor and major amputations. RESULTS: Nine randomized trials involving 585 participants were included. People allocated to hyperbaric oxygen therapy were more likely to have complete ulcer healing (relative risk 1.95, 95% CI 1.51-2.52; P&lt;0.001), and less likely to require major (relative risk 0.54, 95% CI 0.36-0.81; P=0.003) or minor (relative risk 0.68, 95% CI 0.48-0.98;  P=0.040) amputations than control groups. Sensitivity analyses suggested the findings were dependent on the inclusion of one trial. Adverse events included ear barotrauma and a seizure. Many of the trials were noted to have methodological weaknesses including absence of blinding of outcome assessors, lack of a justifiable sample size calculation and limited follow-up. CONCLUSIONS: This meta-analysis suggests hyperbaric oxygen therapy improves the healing of diabetes-related lower limb ulcers and reduces the requirement for amputation. Confidence in these results is limited by significant design weaknesses of previous trials and inconsistent findings. A more rigorous assessment of the efficacy of hyperbaric the efficacy of hyperbaric oxygen therapy is needed.","container-title":"Diabetic medicine : a journal of the British Diabetic Association","issue":"7","journalAbbreviation":"Diabet Med","language":"eng","note":"PMID: 31002414","page":"813-826","title":"Systematic review and meta-analysis of clinical trials examining the effect of hyperbaric oxygen therapy in people with diabetes-related lower limb ulcers.","volume":"36","author":[{"family":"Golledge","given":"J."},{"family":"Singh","given":"T. P."}],"issued":{"date-parts":[["2019",7]]}}},{"id":73294,"uris":["http://zotero.org/users/5328021/items/Z72LAF9Q"],"uri":["http://zotero.org/users/5328021/items/Z72LAF9Q"],"itemData":{"id":73294,"type":"article-journal","abstract":"Recent systematic reviews and meta-analyses have produced conflicting results about the efficacy of hyperbaric oxygen therapy (HBOT) in improving the healing rate for chronic diabetic foot wounds. This study aimed to assess the efficacy of systemic HBOT in healing of chronic nonischemic diabetic foot ulcer. Thirty adult patients having Wagner's grade 2 or 3 chronic diabetic foot ulcers, in whom the response to 30 days of standard wound care was not favorable, were prospectively  randomized to have either HBOT (20-40 sessions) plus conventional treatment (n =  15) or conventional treatment alone (n = 15). Ischemic wounds and patients with contraindications to systemic HBOT were excluded. The primary end point was complete healing of the target ulcer. Secondary endpoints included the following: rate of ulcer healing at the end of treatment period and at 4 and 8 weeks thereafter as well as rate of amputation. A significantly greater percentage of","container-title":"The international journal of lower extremity wounds","issue":"1","journalAbbreviation":"Int J Low Extrem Wounds","language":"eng","note":"PMID: 30836807","page":"75-80","title":"Adjuvant Hyperbaric Oxygen Therapy Enhances Healing of Nonischemic Diabetic Foot  Ulcers Compared With Standard Wound Care Alone.","volume":"18","author":[{"family":"Salama","given":"Shimaa Elhossieny"},{"family":"Eldeeb","given":"Ali Eid"},{"family":"Elbarbary","given":"Ahmed Husseiny"},{"family":"Abdelghany","given":"Salwa Elmorsy"}],"issued":{"date-parts":[["2019",3]]}}},{"id":47164,"uris":["http://zotero.org/users/5328021/items/A5QPKBU6"],"uri":["http://zotero.org/users/5328021/items/A5QPKBU6"],"itemData":{"id":47164,"type":"article-journal","abstract":"PURPOSE: The purpose of this study was to compare the effect of standard wound care with adjunctive hyperbaric oxygen therapy (HBOT) to standard wound care alone on wound healing, markers of inflammation, glycemic control, amputation rate, survival rate of tissue, and health-related quality of life in patients with diabetic foot ulcers (DFUs).\nDESIGN: Prospective, randomized, open-label, controlled study.\nSUBJECTS AND SETTING: The sample comprised 38 patients with nonhealing DFUs who were deemed poor candidates for vascular surgery. Subjects were randomly allocated to an experimental group (standard care plus HBOT, n = 20) or a control group (standard care alone, n = 18). The study setting was a medical center in Kaohsiung City, Taiwan.\nMETHODS: Hyperbaric oxygen therapy was administered in a hyperbaric chamber under 2.5 absolute atmospheric pressure for 120 minutes; subjects were treated 5 days a week for 4 consecutive weeks. Both groups received standard wound care including debridement of necrotic tissue, topical therapy for Wagner grade 2 DFUs, dietary control and pharmacotherapy to maintain optimal blood glucose levels. Wound physiological indices were measured and blood tests (eg, markers of inflammation) were undertaken. Health-related quality of life was measured using the Medical Outcomes Study 36-Item Short Form.\nRESULTS: Complete DFU closure was achieved in 5 patients (25%) in the HBOT group (n = 20) versus 1 participant (5.5%) in the routine care group (n = 18) (P = .001). The amputation rate was 5% for the HBOT group and 11% for the routine care group (χ = 15.204, P = .010). The HBOT group showed statistically significant improvements in inflammation index, blood flow, and health-related quality of life from pretreatment to 2 weeks after the last therapy ended (P &lt; .05). Hemoglobin A1c was significantly lower in the HBOT group following treatment (P &lt; .05) but not in the routine care group.\nCONCLUSIONS: Adjunctive HBOT improved wound healing in persons with DFU. Therapy also reduced the risk of amputation of the affected limb. We assert that at least 20 HBOT sessions are required to be effective.","container-title":"Journal of Wound, Ostomy, and Continence Nursing: Official Publication of The Wound, Ostomy and Continence Nurses Society","issue":"6","journalAbbreviation":"J Wound Ostomy Continence Nurs","language":"eng","note":"PMID: 28968346","page":"536-545","title":"Adjunctive Hyperbaric Oxygen Therapy for Healing of Chronic Diabetic Foot Ulcers: A Randomized Controlled Trial","volume":"44","author":[{"family":"Chen","given":"Chen-Yu"},{"family":"Wu","given":"Re-Wen"},{"family":"Hsu","given":"Mei-Chi"},{"family":"Hsieh","given":"Ching-Jung"},{"family":"Chou","given":"Man-Chun"}],"issued":{"date-parts":[["2017",12]]}}},{"id":47422,"uris":["http://zotero.org/users/5328021/items/5CI7TXRQ"],"uri":["http://zotero.org/users/5328021/items/5CI7TXRQ"],"itemData":{"id":47422,"type":"article-journal","abstract":"BACKGROUND: About 15% to 25% of people with diabetes will develop a foot ulcer. These wounds are often resistant to healing; therefore, people with diabetes experience lower limb amputation at about 20 times the rate of people without diabetes. If an ulcer does not heal with standard wound care, other therapeutic interventions are offered, one of which is hyperbaric oxygen therapy (HBOT). However, the effectiveness of this therapy is not clearly known. The objectives of this health technology assessment were to assess the safety, clinical effectiveness, and cost-effectiveness of standard wound care plus HBOT versus standard wound care alone for the treatment of diabetic foot ulcers. We also investigated the preferences and perspectives of people with diabetic foot ulcers through lived experience.\nMETHODS: We performed a review of the clinical and economic literature for the effectiveness and cost-effectiveness of hyperbaric oxygen therapy, as well as the budget impact of HBOT from the perspective of the Ministry of Health and Long-Term Care. We assessed the quality of the body of clinical evidence using the Grading of Recommendations Assessment, Development, and Evaluation (GRADE) Working Group criteria. To better understand the preferences, perspectives, and values of patients with diabetic foot ulcers and their experience with HBOT, we conducted interviews and administered an online survey.\nRESULTS: Seven randomized controlled trials and one nonrandomized controlled trial met the inclusion criteria. Comparing standard wound care plus HBOT with standard wound care alone, we found mixed results for major amputation rates (GRADE quality of evidence: low), a significant difference in favour of standard wound care plus HBOT on ulcers healed (GRADE quality of evidence: low), and no difference in terms of adverse events (GRADE quality of evidence: moderate). There is a large degree of uncertainty associated with the evaluation of the cost-effectiveness of standard wound care plus HBOT. However, results appear to suggest that this treatment results in lower costs and better outcomes than standard wound care alone. Funding HBOT will result in a budget impact of $4 million per year in immediate treatment costs for the Ontario Ministry of Health and Long-Term Care. This cost decreases to $0.5 million per year when downstream costs are considered. There is a substantial daily burden of care and emotional weight associated with living with diabetic foot ulcers, both of which are compounded by concern regarding possible amputation. Patients feel that HBOT is an effective treatment and reported that they were satisfied with how their ulcers healed and that this improved their quality of life.\nCONCLUSIONS: The evidence makes it difficult to draw any definitive conclusions on the clinical and cost effectiveness of standard wound care plus HBOT versus standard wound care alone for the treatment of diabetic foot ulcers.","container-title":"Ontario Health Technology Assessment Series","issue":"5","journalAbbreviation":"Ont Health Technol Assess Ser","language":"eng","note":"PMID: 28572866\nPMCID: PMC5448854","page":"1-142","title":"Hyperbaric Oxygen Therapy for the Treatment of Diabetic Foot Ulcers: A Health Technology Assessment","volume":"17","author":[{"literal":"Health Quality Ontario"}],"issued":{"date-parts":[["2017"]]}}},{"id":49431,"uris":["http://zotero.org/users/5328021/items/HUREMSCU"],"uri":["http://zotero.org/users/5328021/items/HUREMSCU"],"itemData":{"id":49431,"type":"article-journal","abstract":"BACKGROUND: Multiple adjunctive therapies have been proposed to accelerate wound healing in patients with diabetes and foot ulcers. The aim of this systematic review is to summarize the best available evidence supporting the use of hyperbaric oxygen therapy (HBOT), arterial pump devices, and pharmacologic agents (pentoxifylline, cilostazol, and iloprost) in this setting.\nMETHODS: We searched MEDLINE, Embase, Cochrane Central Register of Controlled Trials, Web of Science, and Scopus through October 2011. Pairs of independent reviewers selected studies and extracted data. Predefined outcomes of interest were complete wound healing and amputation.\nRESULTS: We identified 18 interventional studies; of which 9 were randomized, enrolling 1526 patients. The risk of bias in the included studies was moderate. In multiple randomized trials, the addition of HBOT to conventional therapy (wound care and offloading) was associated with increased healing rate (Peto odds ratio, 14.25; 95% confidence interval, 7.08-28.68) and reduced major amputation rate (odds ratio, 0.30; 95% confidence interval, 0.10-0.89), compared with conventional therapy alone. In one small trial, arterial pump devices had a favorable effect on complete healing compared with HBOT and in another small trial compared with placebo devices. Neither iloprost nor pentoxifylline had a significant effect on amputation rate compared with conventional therapy. No comparative studies were identified for cilostazol in diabetic foot ulcers.\nCONCLUSIONS: There is low- to moderate-quality evidence supporting the use of HBOT as an adjunctive therapy to enhance diabetic foot ulcer healing and potentially prevent amputation. However, there are only sparse data regarding the efficacy of arterial pump devices and pharmacologic interventions.","container-title":"Journal of Vascular Surgery","issue":"2 Suppl","journalAbbreviation":"J. Vasc. Surg.","language":"eng","note":"PMID: 26804368","page":"46S-58S.e1-2","title":"A systematic review and meta-analysis of adjunctive therapies in diabetic foot ulcers","volume":"63","author":[{"family":"Elraiyah","given":"Tarig"},{"family":"Tsapas","given":"Apostolos"},{"family":"Prutsky","given":"Gabriela"},{"family":"Domecq","given":"Juan Pablo"},{"family":"Hasan","given":"Rim"},{"family":"Firwana","given":"Belal"},{"family":"Nabhan","given":"Mohammed"},{"family":"Prokop","given":"Larry"},{"family":"Hingorani","given":"Anil"},{"family":"Claus","given":"Paul L."},{"family":"Steinkraus","given":"Lawrence W."},{"family":"Murad","given":"Mohammad Hassan"}],"issued":{"date-parts":[["2016",2]]}}},{"id":53395,"uris":["http://zotero.org/users/5328021/items/3QB8QBTH"],"uri":["http://zotero.org/users/5328021/items/3QB8QBTH"],"itemData":{"id":53395,"type":"article-journal","abstract":"OBJECTIVE: To assess the efficacy and safety of hyperbaric oxygenation (HBO) therapy as adjunctive treatment for diabetic foot ulcers with a systematic review and meta-analysis of the literature.\nMETHODS: MEDLINE, EMBASE, and the Cochrane Library were searched to find relevant articles published up to April 20, 2012, without restriction as to language or publication status. All controlled trials that evaluated adjunctive treatment with HBO therapy compared with treatment without HBO for chronic diabetic foot ulcers were selected. A meta-analysis was performed to assess the efficacy and safety of hyperbaric oxygen in managing foot ulcers.\nRESULTS: Thirteen trials (a total of 624 patients), including 7 prospective randomized trials, performed between January 1, 1966, and April 20, 2012, were identified as eligible for inclusion in the study. Pooling analysis revealed that, compared with treatment without HBO, adjunctive treatment with HBO resulted in a significantly higher proportion of healed diabetic ulcers (relative risk, 2.33; 95% CI, 1.51-3.60). The analysis also revealed that treatment with HBO was associated with a significant reduction in the risk of major amputations (relative risk, 0.29; 95% CI, 0.19-0.44); however, the rate of minor amputations was not affected (P=.30). Adverse events associated with HBO treatment were rare and reversible and not more frequent than those occurring without HBO treatment (P=.37).\nCONCLUSIONS: This meta-analysis reveals that treatment with HBO improved the rate of healing and reduced the risk of major amputations in patients with diabetic foot ulcers. On the basis of these effects, we believe that quality of life could be improved in selected patients treated with HBO.","container-title":"Mayo Clinic Proceedings","issue":"2","journalAbbreviation":"Mayo Clin. Proc.","language":"eng","note":"PMID: 23374620","page":"166-175","title":"Systematic review of the effectiveness of hyperbaric oxygenation therapy in the management of chronic diabetic foot ulcers","volume":"88","author":[{"family":"Liu","given":"Rui"},{"family":"Li","given":"Ling"},{"family":"Yang","given":"Mengliu"},{"family":"Boden","given":"Guenther"},{"family":"Yang","given":"Gangyi"}],"issued":{"date-parts":[["2013",2]]}}},{"id":53133,"uris":["http://zotero.org/users/5328021/items/SV9DDJCS"],"uri":["http://zotero.org/users/5328021/items/SV9DDJCS"],"itemData":{"id":53133,"type":"article-journal","abstract":"OBJECTIVES: Approximately 10-15 percent of individuals with diabetes mellitus develop foot ulcers, which precede 85 percent of amputations. Increased oxygen, through the use of hyperbaric oxygen therapy (HBOT), has been suggested to encourage ulcer healing thus reducing the risk of amputation. The objective of this systematic review is to evaluate the efficacy of systemic HBOT for nonhealing ulcers of the lower limb in diabetes patients.\nMETHODS: A systematic search, using controlled and keyword terms focusing on \"HBOT\" and \"lower limb diabetic ulcers,\" was conducted. Databases searched included Medline, EMBASE, CINAHL, PubMed, Wiley's Cochrane Library, and Biosis. Randomized controlled trials (RCTs) and observational studies were included. Pooled estimates of outcomes were determined when appropriate.\nRESULTS: Of the 654 citations identified, 157 articles underwent full-text review. Data were abstracted from twelve publications (six RCTs and six comparative observational studies). Pooled analysis of the RCT and observational data showed that treatment with HBOT reduced the risk of major amputation by 60 percent (p = .29) and 61 percent (p = .003) compared with standard wound care, respectively. The RCT data revealed that the relative risk of having an unhealed wound following HBOT was 0.54 (p = .10) and 0.24 (p &lt; .0001) based on observational data.\nCONCLUSIONS: Due to the limited RCT evidence, it is not possible to conclusively establish the benefits and harms of treating diabetic lower limb ulcers with HBOT. No significant effects on amputation rates were found in the RCT evidence and in the high quality studies, no difference was found.","container-title":"International Journal of Technology Assessment in Health Care","issue":"3","journalAbbreviation":"Int J Technol Assess Health Care","language":"eng","note":"PMID: 23863187","page":"269-281","title":"Hyperbaric oxygen therapy for diabetic ulcers: systematic review and meta-analysis","volume":"29","author":[{"family":"O'Reilly","given":"Daria"},{"family":"Pasricha","given":"Anjori"},{"family":"Campbell","given":"Kaitryn"},{"family":"Burke","given":"Natasha"},{"family":"Assasi","given":"Nazila"},{"family":"Bowen","given":"James M."},{"family":"Tarride","given":"Jean-Eric"},{"family":"Goeree","given":"Ron"}],"issued":{"date-parts":[["2013",7]]}}}],"schema":"https://github.com/citation-style-language/schema/raw/master/csl-citation.json"}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(125–131)</w:t>
            </w:r>
            <w:r w:rsidRPr="00CA32B9">
              <w:rPr>
                <w:rFonts w:asciiTheme="minorHAnsi" w:hAnsiTheme="minorHAnsi" w:cstheme="minorHAnsi"/>
                <w:szCs w:val="20"/>
                <w:lang w:val="en-US"/>
              </w:rPr>
              <w:fldChar w:fldCharType="end"/>
            </w:r>
          </w:p>
        </w:tc>
      </w:tr>
      <w:tr w:rsidR="00F64C02" w14:paraId="657971CD" w14:textId="77777777" w:rsidTr="00F64C02">
        <w:tc>
          <w:tcPr>
            <w:tcW w:w="2830" w:type="dxa"/>
            <w:vAlign w:val="center"/>
          </w:tcPr>
          <w:p w14:paraId="7B5DE94D" w14:textId="0859EBE5" w:rsidR="00F64C02" w:rsidRDefault="00F64C02" w:rsidP="00F64C02">
            <w:pPr>
              <w:jc w:val="center"/>
              <w:rPr>
                <w:lang w:val="en-US"/>
              </w:rPr>
            </w:pPr>
            <w:r>
              <w:rPr>
                <w:rFonts w:asciiTheme="minorHAnsi" w:hAnsiTheme="minorHAnsi" w:cstheme="minorHAnsi"/>
                <w:color w:val="9A9B9D" w:themeColor="text1" w:themeTint="99"/>
                <w:szCs w:val="20"/>
                <w:lang w:val="en-US"/>
              </w:rPr>
              <w:t>2</w:t>
            </w:r>
            <w:r w:rsidRPr="00CA32B9">
              <w:rPr>
                <w:rFonts w:asciiTheme="minorHAnsi" w:hAnsiTheme="minorHAnsi" w:cstheme="minorHAnsi"/>
                <w:color w:val="9A9B9D" w:themeColor="text1" w:themeTint="99"/>
                <w:szCs w:val="20"/>
                <w:lang w:val="en-US"/>
              </w:rPr>
              <w:t xml:space="preserve"> study (I) - 3 studies (II)</w:t>
            </w:r>
          </w:p>
        </w:tc>
        <w:tc>
          <w:tcPr>
            <w:tcW w:w="1460" w:type="dxa"/>
            <w:vAlign w:val="center"/>
          </w:tcPr>
          <w:p w14:paraId="5CCC22CF" w14:textId="1C580369" w:rsidR="00F64C02" w:rsidRDefault="00A36B92" w:rsidP="00F64C02">
            <w:pPr>
              <w:jc w:val="center"/>
              <w:rPr>
                <w:lang w:val="en-US"/>
              </w:rPr>
            </w:pPr>
            <w:r>
              <w:rPr>
                <w:rFonts w:asciiTheme="minorHAnsi" w:hAnsiTheme="minorHAnsi" w:cstheme="minorHAnsi"/>
                <w:color w:val="9A9B9D" w:themeColor="text1" w:themeTint="99"/>
                <w:szCs w:val="20"/>
                <w:lang w:val="en-US"/>
              </w:rPr>
              <w:t>8</w:t>
            </w:r>
          </w:p>
        </w:tc>
        <w:tc>
          <w:tcPr>
            <w:tcW w:w="2151" w:type="dxa"/>
            <w:vMerge/>
            <w:vAlign w:val="center"/>
          </w:tcPr>
          <w:p w14:paraId="1E605883" w14:textId="77777777" w:rsidR="00F64C02" w:rsidRDefault="00F64C02" w:rsidP="00F64C02">
            <w:pPr>
              <w:jc w:val="center"/>
              <w:rPr>
                <w:lang w:val="en-US"/>
              </w:rPr>
            </w:pPr>
          </w:p>
        </w:tc>
        <w:tc>
          <w:tcPr>
            <w:tcW w:w="2619" w:type="dxa"/>
            <w:vAlign w:val="center"/>
          </w:tcPr>
          <w:p w14:paraId="71304FFC" w14:textId="3C0B075F"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A6FL5wvJ","properties":{"formattedCitation":"(131\\uc0\\u8211{}135)","plainCitation":"(131–135)","noteIndex":0},"citationItems":[{"id":53133,"uris":["http://zotero.org/users/5328021/items/SV9DDJCS"],"uri":["http://zotero.org/users/5328021/items/SV9DDJCS"],"itemData":{"id":53133,"type":"article-journal","abstract":"OBJECTIVES: Approximately 10-15 percent of individuals with diabetes mellitus develop foot ulcers, which precede 85 percent of amputations. Increased oxygen, through the use of hyperbaric oxygen therapy (HBOT), has been suggested to encourage ulcer healing thus reducing the risk of amputation. The objective of this systematic review is to evaluate the efficacy of systemic HBOT for nonhealing ulcers of the lower limb in diabetes patients.\nMETHODS: A systematic search, using controlled and keyword terms focusing on \"HBOT\" and \"lower limb diabetic ulcers,\" was conducted. Databases searched included Medline, EMBASE, CINAHL, PubMed, Wiley's Cochrane Library, and Biosis. Randomized controlled trials (RCTs) and observational studies were included. Pooled estimates of outcomes were determined when appropriate.\nRESULTS: Of the 654 citations identified, 157 articles underwent full-text review. Data were abstracted from twelve publications (six RCTs and six comparative observational studies). Pooled analysis of the RCT and observational data showed that treatment with HBOT reduced the risk of major amputation by 60 percent (p = .29) and 61 percent (p = .003) compared with standard wound care, respectively. The RCT data revealed that the relative risk of having an unhealed wound following HBOT was 0.54 (p = .10) and 0.24 (p &lt; .0001) based on observational data.\nCONCLUSIONS: Due to the limited RCT evidence, it is not possible to conclusively establish the benefits and harms of treating diabetic lower limb ulcers with HBOT. No significant effects on amputation rates were found in the RCT evidence and in the high quality studies, no difference was found.","container-title":"International Journal of Technology Assessment in Health Care","issue":"3","journalAbbreviation":"Int J Technol Assess Health Care","language":"eng","note":"PMID: 23863187","page":"269-281","title":"Hyperbaric oxygen therapy for diabetic ulcers: systematic review and meta-analysis","volume":"29","author":[{"family":"O'Reilly","given":"Daria"},{"family":"Pasricha","given":"Anjori"},{"family":"Campbell","given":"Kaitryn"},{"family":"Burke","given":"Natasha"},{"family":"Assasi","given":"Nazila"},{"family":"Bowen","given":"James M."},{"family":"Tarride","given":"Jean-Eric"},{"family":"Goeree","given":"Ron"}],"issued":{"date-parts":[["2013",7]]}}},{"id":73715,"uris":["http://zotero.org/users/5328021/items/XDEVCI43"],"uri":["http://zotero.org/users/5328021/items/XDEVCI43"],"itemData":{"id":73715,"type":"article-journal","abstract":"Diabetic foot ulcers are a common complication of diabetes, which affects 25% of  patients and may ultimately lead to amputation of affected limbs. Research suggests hyperbaric oxygen therapy improves healing of these ulcers. However, this has not been reflected in previous reviews, possibly because they did not differentiate between patients with and without peripheral arterial occlusive disease. Therefore, we performed a systematic review of published literature in the MEDLINE, Embase, and Cochrane CENTRAL databases on nonischemic diabetic foot  ulcers with outcome measures including complete ulcer healing, amputation rate (major and minor), and mortality. Seven studies were included, of which two were  randomized clinical trials. Two studies found no difference in major amputation rate, whereas one large retrospective study found 2% more major amputations in the hyperbaric oxygen group. However, this study did not correct for baseline differences. Two studies showed no significant difference in minor amputation rate. Five studies reporting on complete wound healing showed no significant differences. In conclusion, the current evidence suggests that hyperbaric oxygen  therapy does not accelerate wound healing and does not prevent major or minor amputations in patients with a diabetic foot ulcer without peripheral arterial occlusive disease. Based on the available evidence, routine clinical use of this  therapy cannot be recommended. However, the available research for this specific  subgroup of patients is scarce, and physicians should counsel patients on expected risks and benefits. Additional research, focusing especially on patient  selection criteria, is needed to better identify patients that might profit from  this therapy modality.","container-title":"Wound repair and regeneration : official publication of the Wound Healing Society [and] the European Tissue Repair Society","journalAbbreviation":"Wound Repair Regen","language":"eng","note":"PMID: 31667898","title":"Hyperbaric oxygen therapy for nonischemic diabetic ulcers: A systematic review.","author":[{"family":"Lalieu","given":"Rutger C."},{"family":"Brouwer","given":"Robin J."},{"family":"Ubbink","given":"Dirk T."},{"family":"Hoencamp","given":"Rigo"},{"family":"Bol Raap","given":"Rene"},{"family":"Hulst","given":"Rob A.","non-dropping-particle":"van"}],"issued":{"date-parts":[["2019",10,31]]}}},{"id":47101,"uris":["http://zotero.org/users/5328021/items/T8F8P9UK"],"uri":["http://zotero.org/users/5328021/items/T8F8P9UK"],"itemData":{"id":47101,"type":"article-journal","abstract":"OBJECTIVE: Conflicting evidence exists on the effects of hyperbaric oxygen therapy (HBOT) in the treatment of chronic ischemic leg ulcers. The aim of this trial was to investigate whether additional HBOT would benefit patients with diabetes and ischemic leg ulcers.\nRESEARCH DESIGN AND METHODS: Patients with diabetes with an ischemic wound (n = 120) were randomized to standard care (SC) without or with HBOT (SC+HBOT). Primary outcomes were limb salvage and wound healing after 12 months, as well as time to wound healing. Other end points were amputation-free survival (AFS) and mortality.\nRESULTS: Both groups contained 60 patients. Limb salvage was achieved in 47 patients in the SC group vs. 53 patients in the SC+HBOT group (risk difference [RD] 10% [95% CI -4 to 23]). After 12 months, 28 index wounds were healed in the SC group vs. 30 in the SC+HBOT group (RD 3% [95% CI -14 to 21]). AFS was achieved in 41 patients in the SC group and 49 patients in the SC+HBOT group (RD 13% [95% CI -2 to 28]). In the SC+HBOT group, 21 patients (35%) were unable to complete the HBOT protocol as planned. Those who did had significantly fewer major amputations and higher AFS (RD for AFS 26% [95% CI 10-38]).\nCONCLUSIONS: Additional HBOT did not significantly improve complete wound healing or limb salvage in patients with diabetes and lower-limb ischemia.","container-title":"Diabetes Care","issue":"1","journalAbbreviation":"Diabetes Care","language":"eng","note":"PMID: 29074815","page":"112-119","title":"Hyperbaric Oxygen Therapy in the Treatment of Ischemic Lower- Extremity Ulcers in Patients With Diabetes: Results of the DAMO2CLES Multicenter Randomized Clinical Trial","volume":"41","author":[{"family":"Santema","given":"Katrien T. B."},{"family":"Stoekenbroek","given":"Robert M."},{"family":"Koelemay","given":"Mark J. W."},{"family":"Reekers","given":"Jim A."},{"family":"Dortmont","given":"Laura M. C.","non-dropping-particle":"van"},{"family":"Oomen","given":"Arno"},{"family":"Smeets","given":"Luuk"},{"family":"Wever","given":"Jan J."},{"family":"Legemate","given":"Dink A."},{"family":"Ubbink","given":"Dirk T."},{"literal":"DAMO2CLES Study Group"}],"issued":{"date-parts":[["2018"]]}}},{"id":47183,"uris":["http://zotero.org/users/5328021/items/XPPKEJ4U"],"uri":["http://zotero.org/users/5328021/items/XPPKEJ4U"],"itemData":{"id":47183,"type":"article-journal","abstract":"PURPOSE: The efficacy and safety profile of hyperbaric oxygen therapy (HBOT) in patients with diabetic foot ulcer have been controversial in recent years. Our meta-analysis was undertaken to evaluate the efficacy and safety profile of HBOT in patients with diabetic foot ulcer.\nMETHODS: We searched the PubMed, Cochrane Library, EMBASE, and Clinical Trials.gov databases for controlled trials. The efficacy end points included the incidence of healed ulcers, major amputations, minor amputations, and reduction in the ulcer wound area. The tolerability end point was the incidence of adverse events.\nFINDINGS: Nine randomized clinical trials involving 526 patients met the inclusion criteria. No difference was found in the incidence of healed ulcers (risk ratio [RR] = 2.22; 95% CI, 0.87-5.62; P = 0.32; I2 = 81%), minor amputations (RR = 0.95; 95% CI, 0.39-2.29; P = 0.91; I2 = 74%), major amputations (RR = 0.47; 95% CI, 0.17-1.28; P = 0.14; I2 = 61%), and adverse events (RR = 1.00; 95% CI, 0.64-1.56; P = 0.99; I2 = 26%) between the HBOT and standard therapy (ST) groups. HBOT was associated with a greater reduction in the ulcer wound area versus ST (standard mean difference = 1.12; 95% CI, 0.20-2.04; P = 0.04; I2 = 70%).\nIMPLICATIONS: No differences existed between HBOT and ST with respect to the incidence of healed ulcers, risk of minor or major amputations, and adverse events. HBOT was associated with a greater reduction in the ulcer wound area than ST. HBOT is a clinically meaningful adjuvant therapy for patients with diabetic foot ulcer.","container-title":"Clinical Therapeutics","issue":"10","journalAbbreviation":"Clin Ther","language":"eng","note":"PMID: 28935291","page":"2088-2094.e2","title":"Efficacy and Safety of Hyperbaric Oxygen Therapy Used in Patients With Diabetic Foot: A Meta-analysis of Randomized Clinical Trials","volume":"39","author":[{"family":"Zhao","given":"Di"},{"family":"Luo","given":"Shaowei"},{"family":"Xu","given":"Wencan"},{"family":"Hu","given":"Jun"},{"family":"Lin","given":"Shaoda"},{"family":"Wang","given":"Nasui"}],"issued":{"date-parts":[["2017",10]]}}},{"id":49815,"uris":["http://zotero.org/users/5328021/items/QGSAV92U"],"uri":["http://zotero.org/users/5328021/items/QGSAV92U"],"itemData":{"id":49815,"type":"article-journal","abstract":"BACKGROUND: Chronic wounds are common and present a health problem with significant effect on quality of life. Various pathologies may cause tissue breakdown, including poor blood supply resulting in inadequate oxygenation of the wound bed. Hyperbaric oxygen therapy (HBOT) has been suggested to improve oxygen supply to wounds and therefore improve their healing.\nOBJECTIVES: To assess the benefits and harms of adjunctive HBOT for treating chronic ulcers of the lower limb.\nSEARCH METHODS: For this second update we searched the Cochrane Wounds Group Specialised Register (searched 18 February 2015); the Cochrane Central Register of Controlled Trials (CENTRAL) (The Cochrane Library 2015, Issue 1); Ovid MEDLINE (1946 to 17 February 2015); Ovid MEDLINE (In-Process &amp; Other Non-Indexed Citations, 17 February 2015); Ovid EMBASE (1974 to 17 February 2015); and EBSCO CINAHL (1982 to 17 February 2015).\nSELECTION CRITERIA: Randomised controlled trials (RCTs) comparing the effect on chronic wound healing of therapeutic regimens which include HBOT with those that exclude HBOT (with or without sham therapy).\nDATA COLLECTION AND ANALYSIS: Three review authors independently evaluated the risk of bias of the relevant trials using the Cochrane methodology and extracted the data from the included trials. We resolved any disagreement by discussion.\nMAIN RESULTS: We included twelve trials (577 participants). Ten trials (531 participants) enrolled people with a diabetic foot ulcer: pooled data of five trials with 205 participants showed an increase in the rate of ulcer healing (risk ratio (RR) 2.35, 95% confidence interval (CI) 1.19 to 4.62; P = 0.01) with HBOT at six weeks but this benefit was not evident at longer-term follow-up at one year. There was no statistically significant difference in major amputation rate (pooled data of five trials with 312 participants, RR 0.36, 95% CI 0.11 to 1.18). One trial (16 participants) considered venous ulcers and reported data at six weeks (wound size reduction) and 18 weeks (wound size reduction and number of ulcers healed) and suggested a significant benefit of HBOT in terms of reduction in ulcer area only at six weeks (mean difference (MD) 33.00%, 95% CI 18.97 to 47.03, P &lt; 0.00001). We identified one trial (30 participants) which enrolled patients with non-healing diabetic ulcers as well as venous ulcers (\"mixed ulcers types\") and patients were treated for 30 days. For this \"mixed ulcers\" there was a significant benefit of HBOT in terms of reduction in ulcer area at the end of treatment (30 days) (MD 61.88%, 95% CI 41.91 to 81.85, P &lt; 0.00001). We did not identify any trials that considered arterial and pressure ulcers.\nAUTHORS' CONCLUSIONS: In people with foot ulcers due to diabetes, HBOT significantly improved the ulcers healed in the short term but not the long term and the trials had various flaws in design and/or reporting that means we are not confident in the results. More trials are needed to properly evaluate HBOT in people with chronic wounds; these trials must be adequately powered and designed to minimise all kinds of bias.","container-title":"The Cochrane Database of Systematic Reviews","issue":"6","journalAbbreviation":"Cochrane Database Syst Rev","language":"eng","note":"PMID: 26106870","page":"CD004123","title":"Hyperbaric oxygen therapy for chronic wounds","author":[{"family":"Kranke","given":"Peter"},{"family":"Bennett","given":"Michael H."},{"family":"Martyn-St James","given":"Marrissa"},{"family":"Schnabel","given":"Alexander"},{"family":"Debus","given":"Sebastian E."},{"family":"Weibel","given":"Stephanie"}],"issued":{"date-parts":[["2015",6,24]]}}}],"schema":"https://github.com/citation-style-language/schema/raw/master/csl-citation.json"}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(131–135)</w:t>
            </w:r>
            <w:r w:rsidRPr="00CA32B9">
              <w:rPr>
                <w:rFonts w:asciiTheme="minorHAnsi" w:hAnsiTheme="minorHAnsi" w:cstheme="minorHAnsi"/>
                <w:szCs w:val="20"/>
                <w:lang w:val="en-US"/>
              </w:rPr>
              <w:fldChar w:fldCharType="end"/>
            </w:r>
          </w:p>
        </w:tc>
      </w:tr>
      <w:tr w:rsidR="00F64C02" w14:paraId="258788ED" w14:textId="77777777" w:rsidTr="00F64C02">
        <w:tc>
          <w:tcPr>
            <w:tcW w:w="2830" w:type="dxa"/>
            <w:vAlign w:val="center"/>
          </w:tcPr>
          <w:p w14:paraId="3B3781D7" w14:textId="77879DFF" w:rsidR="00F64C02" w:rsidRDefault="00F64C02" w:rsidP="007B6214">
            <w:pPr>
              <w:jc w:val="center"/>
              <w:rPr>
                <w:lang w:val="en-US"/>
              </w:rPr>
            </w:pPr>
            <w:r w:rsidRPr="00CA32B9">
              <w:rPr>
                <w:rFonts w:asciiTheme="minorHAnsi" w:hAnsiTheme="minorHAnsi" w:cstheme="minorHAnsi"/>
                <w:color w:val="9A9B9D" w:themeColor="text1" w:themeTint="99"/>
                <w:szCs w:val="20"/>
                <w:lang w:val="en-US"/>
              </w:rPr>
              <w:t>1 study (III)</w:t>
            </w:r>
            <w:r w:rsidR="00034D03" w:rsidRPr="00CC5E3F">
              <w:rPr>
                <w:rFonts w:asciiTheme="minorHAnsi" w:hAnsiTheme="minorHAnsi" w:cstheme="minorHAnsi"/>
                <w:color w:val="9A9B9D" w:themeColor="text1" w:themeTint="99"/>
                <w:szCs w:val="20"/>
                <w:vertAlign w:val="superscript"/>
                <w:lang w:val="en-US"/>
              </w:rPr>
              <w:t xml:space="preserve"> d</w:t>
            </w:r>
          </w:p>
        </w:tc>
        <w:tc>
          <w:tcPr>
            <w:tcW w:w="1460" w:type="dxa"/>
            <w:vAlign w:val="center"/>
          </w:tcPr>
          <w:p w14:paraId="5B7CE414" w14:textId="2AB5C8BF" w:rsidR="00F64C02" w:rsidRDefault="009C3899" w:rsidP="00F64C02">
            <w:pPr>
              <w:jc w:val="center"/>
              <w:rPr>
                <w:lang w:val="en-US"/>
              </w:rPr>
            </w:pPr>
            <w:r w:rsidRPr="00CA32B9">
              <w:rPr>
                <w:rFonts w:asciiTheme="minorHAnsi" w:hAnsiTheme="minorHAnsi" w:cstheme="minorHAnsi"/>
                <w:color w:val="9A9B9D" w:themeColor="text1" w:themeTint="99"/>
                <w:szCs w:val="20"/>
                <w:lang w:val="en-US"/>
              </w:rPr>
              <w:t>5</w:t>
            </w:r>
          </w:p>
        </w:tc>
        <w:tc>
          <w:tcPr>
            <w:tcW w:w="2151" w:type="dxa"/>
            <w:vMerge/>
            <w:vAlign w:val="center"/>
          </w:tcPr>
          <w:p w14:paraId="6146BE56" w14:textId="77777777" w:rsidR="00F64C02" w:rsidRDefault="00F64C02" w:rsidP="00F64C02">
            <w:pPr>
              <w:jc w:val="center"/>
              <w:rPr>
                <w:lang w:val="en-US"/>
              </w:rPr>
            </w:pPr>
          </w:p>
        </w:tc>
        <w:tc>
          <w:tcPr>
            <w:tcW w:w="2619" w:type="dxa"/>
            <w:vAlign w:val="center"/>
          </w:tcPr>
          <w:p w14:paraId="7200D8BC" w14:textId="79EF180A"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YXls1kqV","properties":{"formattedCitation":"(136)","plainCitation":"(136)","noteIndex":0},"citationItems":[{"id":53359,"uris":["http://zotero.org/users/5328021/items/9R9446HV"],"uri":["http://zotero.org/users/5328021/items/9R9446HV"],"itemData":{"id":53359,"type":"article-journal","abstract":"OBJECTIVE: Hyperbaric oxygen (HBO) is a device that is used to treat foot ulcers. The study goal was to compare the effectiveness of HBO with other conventional therapies administered in a wound care network for the treatment of a diabetic foot ulcer and prevention of lower-extremity amputation.\nRESEARCH DESIGN AND METHODS: This was a longitudinal observational cohort study. To address treatment selection bias, we used propensity scores to determine the \"propensity\" that an individual was selected to receive HBO.\nRESULTS: We studied 6,259 individuals with diabetes, adequate lower limb arterial perfusion, and foot ulcer extending through the dermis, representing 767,060 person-days of wound care. In the propensity score-adjusted models, individuals receiving HBO were less likely to have healing of their foot ulcer (hazard ratio 0.68 [95% CI 0.63-0.73]) and more likely to have an amputation (2.37 [1.84-3.04]). Additional analyses, including the use of an instrumental variable, were conducted to assess the robustness of our results to unmeasured confounding. HBO was not found to improve the likelihood that a wound might heal or to decrease the likelihood of amputation in any of these analyses.\nCONCLUSIONS: Use of HBO neither improved the likelihood that a wound would heal nor prevented amputation in a cohort of patients defined by Centers for Medicare and Medicaid Services eligibility criteria. The usefulness of HBO in the treatment of diabetic foot ulcers needs to be reevaluated.","container-title":"Diabetes Care","issue":"7","journalAbbreviation":"Diabetes Care","language":"eng","note":"PMID: 23423696\nPMCID: PMC3687310","page":"1961-1966","title":"Lack of effectiveness of hyperbaric oxygen therapy for the treatment of diabetic foot ulcer and the prevention of amputation: a cohort study","volume":"36","author":[{"family":"Margolis","given":"David J."},{"family":"Gupta","given":"Jayanta"},{"family":"Hoffstad","given":"Ole"},{"family":"Papdopoulos","given":"Maryte"},{"family":"Glick","given":"Henry A."},{"family":"Thom","given":"Stephen R."},{"family":"Mitra","given":"Nandita"}],"issued":{"date-parts":[["2013",7]]}}}],"schema":"https://github.com/citation-style-language/schema/raw/master/csl-citation.json"}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(136)</w:t>
            </w:r>
            <w:r w:rsidRPr="00CA32B9">
              <w:rPr>
                <w:rFonts w:asciiTheme="minorHAnsi" w:hAnsiTheme="minorHAnsi" w:cstheme="minorHAnsi"/>
                <w:szCs w:val="20"/>
                <w:lang w:val="en-US"/>
              </w:rPr>
              <w:fldChar w:fldCharType="end"/>
            </w:r>
          </w:p>
        </w:tc>
      </w:tr>
      <w:tr w:rsidR="00F64C02" w14:paraId="3429C12C" w14:textId="77777777" w:rsidTr="00F64C02">
        <w:tc>
          <w:tcPr>
            <w:tcW w:w="9060" w:type="dxa"/>
            <w:gridSpan w:val="4"/>
            <w:vAlign w:val="center"/>
          </w:tcPr>
          <w:p w14:paraId="2EB36B57" w14:textId="696AEF49" w:rsidR="00F64C02" w:rsidRDefault="00F64C02" w:rsidP="00F64C02">
            <w:pPr>
              <w:jc w:val="left"/>
              <w:rPr>
                <w:lang w:val="en-US"/>
              </w:rPr>
            </w:pPr>
            <w:r w:rsidRPr="00CA32B9">
              <w:rPr>
                <w:rFonts w:asciiTheme="minorHAnsi" w:hAnsiTheme="minorHAnsi" w:cstheme="minorHAnsi"/>
                <w:b/>
                <w:szCs w:val="20"/>
                <w:lang w:val="en-US"/>
              </w:rPr>
              <w:t>Ulcer area reduction</w:t>
            </w:r>
          </w:p>
        </w:tc>
      </w:tr>
      <w:tr w:rsidR="00F64C02" w14:paraId="7D02C7DC" w14:textId="77777777" w:rsidTr="00F64C02">
        <w:tc>
          <w:tcPr>
            <w:tcW w:w="2830" w:type="dxa"/>
            <w:vAlign w:val="center"/>
          </w:tcPr>
          <w:p w14:paraId="7DEAA9C1" w14:textId="3CF3FE90" w:rsidR="00F64C02" w:rsidRDefault="00F64C02" w:rsidP="00F64C02">
            <w:pPr>
              <w:jc w:val="center"/>
              <w:rPr>
                <w:lang w:val="en-US"/>
              </w:rPr>
            </w:pPr>
            <w:r w:rsidRPr="00CA32B9">
              <w:rPr>
                <w:rFonts w:asciiTheme="minorHAnsi" w:hAnsiTheme="minorHAnsi" w:cstheme="minorHAnsi"/>
                <w:szCs w:val="20"/>
                <w:lang w:val="en-US"/>
              </w:rPr>
              <w:t>2 studies (I) - 2 studies (II)</w:t>
            </w:r>
          </w:p>
        </w:tc>
        <w:tc>
          <w:tcPr>
            <w:tcW w:w="1460" w:type="dxa"/>
            <w:vAlign w:val="center"/>
          </w:tcPr>
          <w:p w14:paraId="2E7F4926" w14:textId="7779ACE1" w:rsidR="00F64C02" w:rsidRDefault="00F64C02" w:rsidP="00F64C02">
            <w:pPr>
              <w:jc w:val="center"/>
              <w:rPr>
                <w:lang w:val="en-US"/>
              </w:rPr>
            </w:pPr>
            <w:r w:rsidRPr="00CA32B9">
              <w:rPr>
                <w:rFonts w:asciiTheme="minorHAnsi" w:hAnsiTheme="minorHAnsi" w:cstheme="minorHAnsi"/>
                <w:szCs w:val="20"/>
                <w:lang w:val="en-US"/>
              </w:rPr>
              <w:t>6,75</w:t>
            </w:r>
          </w:p>
        </w:tc>
        <w:tc>
          <w:tcPr>
            <w:tcW w:w="2151" w:type="dxa"/>
            <w:vMerge w:val="restart"/>
            <w:vAlign w:val="center"/>
          </w:tcPr>
          <w:p w14:paraId="64261058" w14:textId="28C52B16" w:rsidR="00F64C02" w:rsidRDefault="00A36B92" w:rsidP="00F64C02">
            <w:pPr>
              <w:jc w:val="center"/>
              <w:rPr>
                <w:lang w:val="en-US"/>
              </w:rPr>
            </w:pPr>
            <w:r>
              <w:rPr>
                <w:rFonts w:asciiTheme="minorHAnsi" w:hAnsiTheme="minorHAnsi" w:cstheme="minorHAnsi"/>
                <w:szCs w:val="20"/>
                <w:lang w:val="en-US"/>
              </w:rPr>
              <w:t>Low</w:t>
            </w:r>
          </w:p>
        </w:tc>
        <w:tc>
          <w:tcPr>
            <w:tcW w:w="2619" w:type="dxa"/>
            <w:vAlign w:val="center"/>
          </w:tcPr>
          <w:p w14:paraId="234DDC22" w14:textId="61CEAB2C"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ia7mcvkW","properties":{"formattedCitation":"(134,135,137,138)","plainCitation":"(134,135,137,138)","noteIndex":0},"citationItems":[{"id":47183,"uris":["http://zotero.org/users/5328021/items/XPPKEJ4U"],"uri":["http://zotero.org/users/5328021/items/XPPKEJ4U"],"itemData":{"id":47183,"type":"article-journal","abstract":"PURPOSE: The efficacy and safety profile of hyperbaric oxygen therapy (HBOT) in patients with diabetic foot ulcer have been controversial in recent years. Our meta-analysis was undertaken to evaluate the efficacy and safety profile of HBOT in patients with diabetic foot ulcer.\nMETHODS: We searched the PubMed, Cochrane Library, EMBASE, and Clinical Trials.gov databases for controlled trials. The efficacy end points included the incidence of healed ulcers, major amputations, minor amputations, and reduction in the ulcer wound area. The tolerability end point was the incidence of adverse events.\nFINDINGS: Nine randomized clinical trials involving 526 patients met the inclusion criteria. No difference was found in the incidence of healed ulcers (risk ratio [RR] = 2.22; 95% CI, 0.87-5.62; P = 0.32; I2 = 81%), minor amputations (RR = 0.95; 95% CI, 0.39-2.29; P = 0.91; I2 = 74%), major amputations (RR = 0.47; 95% CI, 0.17-1.28; P = 0.14; I2 = 61%), and adverse events (RR = 1.00; 95% CI, 0.64-1.56; P = 0.99; I2 = 26%) between the HBOT and standard therapy (ST) groups. HBOT was associated with a greater reduction in the ulcer wound area versus ST (standard mean difference = 1.12; 95% CI, 0.20-2.04; P = 0.04; I2 = 70%).\nIMPLICATIONS: No differences existed between HBOT and ST with respect to the incidence of healed ulcers, risk of minor or major amputations, and adverse events. HBOT was associated with a greater reduction in the ulcer wound area than ST. HBOT is a clinically meaningful adjuvant therapy for patients with diabetic foot ulcer.","container-title":"Clinical Therapeutics","issue":"10","journalAbbreviation":"Clin Ther","language":"eng","note":"PMID: 28935291","page":"2088-2094.e2","title":"Efficacy and Safety of Hyperbaric Oxygen Therapy Used in Patients With Diabetic Foot: A Meta-analysis of Randomized Clinical Trials","volume":"39","author":[{"family":"Zhao","given":"Di"},{"family":"Luo","given":"Shaowei"},{"family":"Xu","given":"Wencan"},{"family":"Hu","given":"Jun"},{"family":"Lin","given":"Shaoda"},{"family":"Wang","given":"Nasui"}],"issued":{"date-parts":[["2017",10]]}}},{"id":49815,"uris":["http://zotero.org/users/5328021/items/QGSAV92U"],"uri":["http://zotero.org/users/5328021/items/QGSAV92U"],"itemData":{"id":49815,"type":"article-journal","abstract":"BACKGROUND: Chronic wounds are common and present a health problem with significant effect on quality of life. Various pathologies may cause tissue breakdown, including poor blood supply resulting in inadequate oxygenation of the wound bed. Hyperbaric oxygen therapy (HBOT) has been suggested to improve oxygen supply to wounds and therefore improve their healing.\nOBJECTIVES: To assess the benefits and harms of adjunctive HBOT for treating chronic ulcers of the lower limb.\nSEARCH METHODS: For this second update we searched the Cochrane Wounds Group Specialised Register (searched 18 February 2015); the Cochrane Central Register of Controlled Trials (CENTRAL) (The Cochrane Library 2015, Issue 1); Ovid MEDLINE (1946 to 17 February 2015); Ovid MEDLINE (In-Process &amp; Other Non-Indexed Citations, 17 February 2015); Ovid EMBASE (1974 to 17 February 2015); and EBSCO CINAHL (1982 to 17 February 2015).\nSELECTION CRITERIA: Randomised controlled trials (RCTs) comparing the effect on chronic wound healing of therapeutic regimens which include HBOT with those that exclude HBOT (with or without sham therapy).\nDATA COLLECTION AND ANALYSIS: Three review authors independently evaluated the risk of bias of the relevant trials using the Cochrane methodology and extracted the data from the included trials. We resolved any disagreement by discussion.\nMAIN RESULTS: We included twelve trials (577 participants). Ten trials (531 participants) enrolled people with a diabetic foot ulcer: pooled data of five trials with 205 participants showed an increase in the rate of ulcer healing (risk ratio (RR) 2.35, 95% confidence interval (CI) 1.19 to 4.62; P = 0.01) with HBOT at six weeks but this benefit was not evident at longer-term follow-up at one year. There was no statistically significant difference in major amputation rate (pooled data of five trials with 312 participants, RR 0.36, 95% CI 0.11 to 1.18). One trial (16 participants) considered venous ulcers and reported data at six weeks (wound size reduction) and 18 weeks (wound size reduction and number of ulcers healed) and suggested a significant benefit of HBOT in terms of reduction in ulcer area only at six weeks (mean difference (MD) 33.00%, 95% CI 18.97 to 47.03, P &lt; 0.00001). We identified one trial (30 participants) which enrolled patients with non-healing diabetic ulcers as well as venous ulcers (\"mixed ulcers types\") and patients were treated for 30 days. For this \"mixed ulcers\" there was a significant benefit of HBOT in terms of reduction in ulcer area at the end of treatment (30 days) (MD 61.88%, 95% CI 41.91 to 81.85, P &lt; 0.00001). We did not identify any trials that considered arterial and pressure ulcers.\nAUTHORS' CONCLUSIONS: In people with foot ulcers due to diabetes, HBOT significantly improved the ulcers healed in the short term but not the long term and the trials had various flaws in design and/or reporting that means we are not confident in the results. More trials are needed to properly evaluate HBOT in people with chronic wounds; these trials must be adequately powered and designed to minimise all kinds of bias.","container-title":"The Cochrane Database of Systematic Reviews","issue":"6","journalAbbreviation":"Cochrane Database Syst Rev","language":"eng","note":"PMID: 26106870","page":"CD004123","title":"Hyperbaric oxygen therapy for chronic wounds","author":[{"family":"Kranke","given":"Peter"},{"family":"Bennett","given":"Michael H."},{"family":"Martyn-St James","given":"Marrissa"},{"family":"Schnabel","given":"Alexander"},{"family":"Debus","given":"Sebastian E."},{"family":"Weibel","given":"Stephanie"}],"issued":{"date-parts":[["2015",6,24]]}}},{"id":45309,"uris":["http://zotero.org/users/5328021/items/HDHBNQD3"],"uri":["http://zotero.org/users/5328021/items/HDHBNQD3"],"itemData":{"id":45309,"type":"article-journal","abstract":"Background and Aims: Several treatment modalities and protocols for ischaemic foot ulcers are available. However, little consensus exists on optimal treatment. The aim of this study was to compare Standard Wound Care (SWC) alone vs. SWC with adjunct hyperbaric oxygen therapy (HBOT) in the treatment of ischaemic Diabetic Foot Ulcers (DFUs).\nPatients and Methods: Twenty-six patients with Type 2 Diabetes Mellitus (T2DM) presenting with a newly diagnosed ischaemic foot ulcer were included. These were divided into group A (SWC with adjunct HBOT) and group B (SWC only). Participants were followed every week for 4 weeks and their ulcers were measured for their surface area and depth to assess any change in wound size.\nResults: Both treatment arms succeeded in reducing ulcer area and depth (p&lt;0.001). However, ulcer area (p&lt;0.001) and depth (p&lt;0.001) exhibited superior improvement in group A.\nConclusion: Adjunctive HBOT appears to improve wound healing in ischaemic DFUs and merits further study.","container-title":"The Open Cardiovascular Medicine Journal","journalAbbreviation":"Open Cardiovasc Med J","language":"eng","note":"PMID: 30258500\nPMCID: PMC6131315","page":"80-85","title":"Hyperbaric Oxygen Therapy in Ischaemic Foot Ulcers in Type 2 Diabetes: A Clinical Trial","volume":"12","author":[{"family":"Perren","given":"Sarah"},{"family":"Gatt","given":"Alfred"},{"family":"Papanas","given":"Nikolaos"},{"family":"Formosa","given":"Cynthia"}],"issued":{"date-parts":[["2018"]]}}},{"id":74881,"uris":["http://zotero.org/users/5328021/items/IFDAI292"],"uri":["http://zotero.org/users/5328021/items/IFDAI292"],"itemData":{"id":74881,"type":"article-journal","abstract":"Hyperbaric oxygen therapy (HBOT) was established to increase oxygenation and antimicrobial effect that potentially improve the healing of chronic ulcer. Present study aim to assess the effects of HBOT in chronic diabetic foot ulcer (DFU). A total of sixty patients classified according to Wagner 1, 2 or 3 chronic diabetic foot ulcers, were recruited and subsequently divided randomly into two groups; HBOT and control group. All patients underwent the standard treatment for DFU, but for the HBOT group, underwent 20 HBOT sessions, each lasted 80 - 90 mins at 2.5 atmospheres absolute (ATA). White cell count (WCC) and C-reactive protein (CRP) levels were taken during inclusion, at second and fourth week of treatment. Wound sizes were documented at each follow up until six months follow up. SF-36 at one-month post hyperbaric oxygen therapy was used to measure the health-related quality of life. Reduction of WCC and CRP in HBOT group were significant throughout the treatment (p=0.046 and p=0.039, respectively). A total of 26 patients (86.7%) from the HBOT group achieved complete ulcer healing at six months' follow-up, while 18 patients (60%) in the control group's ulcer healed completely. Patients treated with HBOT had significantly better mental and physical health constituent of quality of life. It must be emphasised that HBOT is an adjunctive therapy to the standard management of chronic DFU in accelerating wound healing for a better quality of life.","archive":"cin20","container-title":"Medicine &amp; Health (Universiti Kebangsaan Malaysia)","issue":"2","journalAbbreviation":"Medicine &amp; Health (Universiti Kebangsaan Malaysia)","page":"210-219","source":"EBSCOhost","title":"The Physiological, Biochemical and Quality of Life Changes in Chronic Diabetic Foot Ulcer after Hyperbaric Oxygen Therapy.","volume":"12","author":[{"family":"MOHD YAZID","given":"B."},{"family":"AYESYAH","given":"A."},{"family":"NURHANANI","given":"A. B."},{"family":"MOHD ROHAIZAT","given":"H."}],"issued":{"date-parts":[["2017",7]]}}}],"schema":"https://github.com/citation-style-language/schema/raw/master/csl-citation.json"}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(134,135,137,138)</w:t>
            </w:r>
            <w:r w:rsidRPr="00CA32B9">
              <w:rPr>
                <w:rFonts w:asciiTheme="minorHAnsi" w:hAnsiTheme="minorHAnsi" w:cstheme="minorHAnsi"/>
                <w:szCs w:val="20"/>
                <w:lang w:val="en-US"/>
              </w:rPr>
              <w:fldChar w:fldCharType="end"/>
            </w:r>
          </w:p>
        </w:tc>
      </w:tr>
      <w:tr w:rsidR="00F64C02" w:rsidRPr="00166EC2" w14:paraId="422CFCCA" w14:textId="77777777" w:rsidTr="00F64C02">
        <w:tc>
          <w:tcPr>
            <w:tcW w:w="2830" w:type="dxa"/>
            <w:vAlign w:val="center"/>
          </w:tcPr>
          <w:p w14:paraId="494BB824" w14:textId="5089B490"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1 study (I) - 1 study (II)</w:t>
            </w:r>
          </w:p>
        </w:tc>
        <w:tc>
          <w:tcPr>
            <w:tcW w:w="1460" w:type="dxa"/>
            <w:vAlign w:val="center"/>
          </w:tcPr>
          <w:p w14:paraId="78E4253A" w14:textId="2F12B0C0" w:rsidR="00F64C02" w:rsidRDefault="00A36B92" w:rsidP="00F64C02">
            <w:pPr>
              <w:jc w:val="center"/>
              <w:rPr>
                <w:lang w:val="en-US"/>
              </w:rPr>
            </w:pPr>
            <w:r>
              <w:rPr>
                <w:rFonts w:asciiTheme="minorHAnsi" w:hAnsiTheme="minorHAnsi" w:cstheme="minorHAnsi"/>
                <w:color w:val="9A9B9D" w:themeColor="text1" w:themeTint="99"/>
                <w:szCs w:val="20"/>
                <w:lang w:val="en-US"/>
              </w:rPr>
              <w:t>7</w:t>
            </w:r>
          </w:p>
        </w:tc>
        <w:tc>
          <w:tcPr>
            <w:tcW w:w="2151" w:type="dxa"/>
            <w:vMerge/>
            <w:vAlign w:val="center"/>
          </w:tcPr>
          <w:p w14:paraId="63750E57" w14:textId="77777777" w:rsidR="00F64C02" w:rsidRDefault="00F64C02" w:rsidP="00F64C02">
            <w:pPr>
              <w:jc w:val="center"/>
              <w:rPr>
                <w:lang w:val="en-US"/>
              </w:rPr>
            </w:pPr>
          </w:p>
        </w:tc>
        <w:tc>
          <w:tcPr>
            <w:tcW w:w="2619" w:type="dxa"/>
            <w:vAlign w:val="center"/>
          </w:tcPr>
          <w:p w14:paraId="1CB40B94" w14:textId="2B7B34BE" w:rsidR="00F64C02" w:rsidRDefault="00F64C02" w:rsidP="00F64C02">
            <w:pPr>
              <w:jc w:val="center"/>
              <w:rPr>
                <w:lang w:val="en-US"/>
              </w:rPr>
            </w:pPr>
            <w:r w:rsidRPr="00CA32B9">
              <w:rPr>
                <w:rFonts w:asciiTheme="minorHAnsi" w:hAnsiTheme="minorHAnsi" w:cstheme="minorHAnsi"/>
                <w:szCs w:val="20"/>
                <w:lang w:val="en-US"/>
              </w:rPr>
              <w:fldChar w:fldCharType="begin"/>
            </w:r>
            <w:r w:rsidR="007155CA">
              <w:rPr>
                <w:rFonts w:asciiTheme="minorHAnsi" w:hAnsiTheme="minorHAnsi" w:cstheme="minorHAnsi"/>
                <w:szCs w:val="20"/>
                <w:lang w:val="en-US"/>
              </w:rPr>
              <w:instrText xml:space="preserve"> ADDIN ZOTERO_ITEM CSL_CITATION {"citationID":"SkErFttr","properties":{"formattedCitation":"(128,139)","plainCitation":"(128,139)","noteIndex":0},"citationItems":[{"id":47422,"uris":["http://zotero.org/users/5328021/items/5CI7TXRQ"],"uri":["http://zotero.org/users/5328021/items/5CI7TXRQ"],"itemData":{"id":47422,"type":"article-journal","abstract":"BACKGROUND: About 15% to 25% of people with diabetes will develop a foot ulcer. These wounds are often resistant to healing; therefore, people with diabetes experience lower limb amputation at about 20 times the rate of people without diabetes. If an ulcer does not heal with standard wound care, other therapeutic interventions are offered, one of which is hyperbaric oxygen therapy (HBOT). However, the effectiveness of this therapy is not clearly known. The objectives of this health technology assessment were to assess the safety, clinical effectiveness, and cost-effectiveness of standard wound care plus HBOT versus standard wound care alone for the treatment of diabetic foot ulcers. We also investigated the preferences and perspectives of people with diabetic foot ulcers through lived experience.\nMETHODS: We performed a review of the clinical and economic literature for the effectiveness and cost-effectiveness of hyperbaric oxygen therapy, as well as the budget impact of HBOT from the perspective of the Ministry of Health and Long-Term Care. We assessed the quality of the body of clinical evidence using the Grading of Recommendations Assessment, Development, and Evaluation (GRADE) Working Group criteria. To better understand the preferences, perspectives, and values of patients with diabetic foot ulcers and their experience with HBOT, we conducted interviews and administered an online survey.\nRESULTS: Seven randomized controlled trials and one nonrandomized controlled trial met the inclusion criteria. Comparing standard wound care plus HBOT with standard wound care alone, we found mixed results for major amputation rates (GRADE quality of evidence: low), a significant difference in favour of standard wound care plus HBOT on ulcers healed (GRADE quality of evidence: low), and no difference in terms of adverse events (GRADE quality of evidence: moderate). There is a large degree of uncertainty associated with the evaluation of the cost-effectiveness of standard wound care plus HBOT. However, results appear to suggest that this treatment results in lower costs and better outcomes than standard wound care alone. Funding HBOT will result in a budget impact of $4 million per year in immediate treatment costs for the Ontario Ministry of Health and Long-Term Care. This cost decreases to $0.5 million per year when downstream costs are considered. There is a substantial daily burden of care and emotional weight associated with living with diabetic foot ulcers, both of which are compounded by concern regarding possible amputation. Patients feel that HBOT is an effective treatment and reported that they were satisfied with how their ulcers healed and that this improved their quality of life.\nCONCLUSIONS: The evidence makes it difficult to draw any definitive conclusions on the clinical and cost effectiveness of standard wound care plus HBOT versus standard wound care alone for the treatment of diabetic foot ulcers.","container-title":"Ontario Health Technology Assessment Series","issue":"5","journalAbbreviation":"Ont Health Technol Assess Ser","language":"eng","note":"PMID: 28572866\nPMCID: PMC5448854","page":"1-142","title":"Hyperbaric Oxygen Therapy for the Treatment of Diabetic Foot Ulcers: A Health Technology Assessment","volume":"17","author":[{"literal":"Health Quality Ontario"}],"issued":{"date-parts":[["2017"]]}}},{"id":49463,"uris":["http://zotero.org/users/5328021/items/FHTTU4VG"],"uri":["http://zotero.org/users/5328021/items/FHTTU4VG"],"itemData":{"id":49463,"type":"article-journal","abstract":"OBJECTIVE: Hyperbaric oxygen therapy (HBOT) is used for the treatment of chronic diabetic foot ulcers (DFUs). The controlled evidence for the efficacy of this treatment is limited. The goal of this study was to assess the efficacy of HBOT in reducing the need for major amputation and improving wound healing in patients with diabetes and chronic DFUs.\nRESEARCH DESIGN AND METHODS: Patients with diabetes and foot lesions (Wagner grade 2-4) of at least 4 weeks' duration participated in this study. In addition to comprehensive wound care, participants were randomly assigned to receive 30 daily sessions of 90 min of HBOT (breathing oxygen at 244 kPa) or sham (breathing air at 125 kPa). Patients, physicians, and researchers were blinded to group assignment. At 12 weeks postrandomization, the primary outcome was freedom from meeting the criteria for amputation as assessed by a vascular surgeon. Secondary outcomes were measures of wound healing.\nRESULTS: One hundred fifty-seven patients were assessed for eligibility, with 107 randomly assigned and 103 available for end point adjudication. Criteria for major amputation were met in 13 of 54 patients in the sham group and 11 of 49 in the HBOT group (odds ratio 0.91 [95% CI 0.37, 2.28], P = 0.846). Twelve (22%) patients in the sham group and 10 (20%) in the HBOT group were healed (0.90 [0.35, 2.31], P = 0.823). All other indices of wound healing were also not statistically significantly different between groups.\nCONCLUSIONS: HBOT does not offer an additional advantage to comprehensive wound care in reducing the indication for amputation or facilitating wound healing in patients with chronic DFUs.","container-title":"Diabetes Care","issue":"3","journalAbbreviation":"Diabetes Care","language":"eng","note":"PMID: 26740639","page":"392-399","title":"Hyperbaric Oxygen Therapy Does Not Reduce Indications for Amputation in Patients With Diabetes With Nonhealing Ulcers of the Lower Limb: A Prospective, Double-Blind, Randomized Controlled Clinical Trial","volume":"39","author":[{"family":"Fedorko","given":"Ludwik"},{"family":"Bowen","given":"James M."},{"family":"Jones","given":"Wilhelmine"},{"family":"Oreopoulos","given":"George"},{"family":"Goeree","given":"Ron"},{"family":"Hopkins","given":"Robert B."},{"family":"O'Reilly","given":"Daria J."}],"issued":{"date-parts":[["2016",3]]}}}],"schema":"https://github.com/citation-style-language/schema/raw/master/csl-citation.json"} </w:instrText>
            </w:r>
            <w:r w:rsidRPr="00CA32B9">
              <w:rPr>
                <w:rFonts w:asciiTheme="minorHAnsi" w:hAnsiTheme="minorHAnsi" w:cstheme="minorHAnsi"/>
                <w:szCs w:val="20"/>
                <w:lang w:val="en-US"/>
              </w:rPr>
              <w:fldChar w:fldCharType="separate"/>
            </w:r>
            <w:r w:rsidR="007155CA" w:rsidRPr="007155CA">
              <w:rPr>
                <w:rFonts w:cs="Arial"/>
                <w:lang w:val="en-US"/>
              </w:rPr>
              <w:t>(128,139)</w:t>
            </w:r>
            <w:r w:rsidRPr="00CA32B9">
              <w:rPr>
                <w:rFonts w:asciiTheme="minorHAnsi" w:hAnsiTheme="minorHAnsi" w:cstheme="minorHAnsi"/>
                <w:szCs w:val="20"/>
                <w:lang w:val="en-US"/>
              </w:rPr>
              <w:fldChar w:fldCharType="end"/>
            </w:r>
          </w:p>
        </w:tc>
      </w:tr>
      <w:tr w:rsidR="00F64C02" w:rsidRPr="00166EC2" w14:paraId="6072A8FA" w14:textId="77777777" w:rsidTr="00F64C02">
        <w:tc>
          <w:tcPr>
            <w:tcW w:w="9060" w:type="dxa"/>
            <w:gridSpan w:val="4"/>
            <w:vAlign w:val="center"/>
          </w:tcPr>
          <w:p w14:paraId="7DF5F987" w14:textId="7B1393B5" w:rsidR="00F64C02" w:rsidRDefault="00F64C02" w:rsidP="00F64C02">
            <w:pPr>
              <w:jc w:val="left"/>
              <w:rPr>
                <w:lang w:val="en-US"/>
              </w:rPr>
            </w:pPr>
            <w:r w:rsidRPr="00CA32B9">
              <w:rPr>
                <w:rFonts w:asciiTheme="minorHAnsi" w:hAnsiTheme="minorHAnsi" w:cstheme="minorHAnsi"/>
                <w:b/>
                <w:szCs w:val="20"/>
                <w:lang w:val="en-US"/>
              </w:rPr>
              <w:t xml:space="preserve">Reduction of major amputation </w:t>
            </w:r>
            <w:proofErr w:type="spellStart"/>
            <w:r w:rsidRPr="00CA32B9">
              <w:rPr>
                <w:rFonts w:asciiTheme="minorHAnsi" w:hAnsiTheme="minorHAnsi" w:cstheme="minorHAnsi"/>
                <w:b/>
                <w:szCs w:val="20"/>
                <w:lang w:val="en-US"/>
              </w:rPr>
              <w:t>events</w:t>
            </w:r>
            <w:r w:rsidR="009C3899" w:rsidRPr="00166EC2">
              <w:rPr>
                <w:rFonts w:asciiTheme="minorHAnsi" w:hAnsiTheme="minorHAnsi" w:cstheme="minorHAnsi"/>
                <w:b/>
                <w:color w:val="58595B" w:themeColor="text1"/>
                <w:szCs w:val="20"/>
                <w:vertAlign w:val="superscript"/>
                <w:lang w:val="en-US"/>
              </w:rPr>
              <w:t>c</w:t>
            </w:r>
            <w:proofErr w:type="spellEnd"/>
          </w:p>
        </w:tc>
      </w:tr>
      <w:tr w:rsidR="00F64C02" w14:paraId="10FA3675" w14:textId="77777777" w:rsidTr="00F64C02">
        <w:tc>
          <w:tcPr>
            <w:tcW w:w="2830" w:type="dxa"/>
            <w:vAlign w:val="center"/>
          </w:tcPr>
          <w:p w14:paraId="5E70BC8D" w14:textId="5F79BAF8" w:rsidR="00F64C02" w:rsidRDefault="00F64C02" w:rsidP="00F64C02">
            <w:pPr>
              <w:jc w:val="center"/>
              <w:rPr>
                <w:lang w:val="en-US"/>
              </w:rPr>
            </w:pPr>
            <w:r w:rsidRPr="00CA32B9">
              <w:rPr>
                <w:rFonts w:asciiTheme="minorHAnsi" w:hAnsiTheme="minorHAnsi" w:cstheme="minorHAnsi"/>
                <w:szCs w:val="20"/>
                <w:lang w:val="en-US"/>
              </w:rPr>
              <w:t>2 studies (I) -</w:t>
            </w:r>
            <w:r w:rsidRPr="00CA32B9">
              <w:rPr>
                <w:rFonts w:asciiTheme="minorHAnsi" w:hAnsiTheme="minorHAnsi" w:cstheme="minorHAnsi"/>
                <w:color w:val="9A9B9D" w:themeColor="text1" w:themeTint="99"/>
                <w:szCs w:val="20"/>
                <w:lang w:val="en-US"/>
              </w:rPr>
              <w:t xml:space="preserve"> </w:t>
            </w:r>
            <w:r w:rsidRPr="00CA32B9">
              <w:rPr>
                <w:rFonts w:asciiTheme="minorHAnsi" w:hAnsiTheme="minorHAnsi" w:cstheme="minorHAnsi"/>
                <w:szCs w:val="20"/>
                <w:lang w:val="en-US"/>
              </w:rPr>
              <w:t>4 studies (</w:t>
            </w:r>
            <w:r w:rsidRPr="00CA32B9">
              <w:rPr>
                <w:rFonts w:asciiTheme="minorHAnsi" w:eastAsia="Times New Roman" w:hAnsiTheme="minorHAnsi" w:cstheme="minorHAnsi"/>
                <w:szCs w:val="20"/>
                <w:lang w:val="en-US"/>
              </w:rPr>
              <w:t>II)</w:t>
            </w:r>
          </w:p>
        </w:tc>
        <w:tc>
          <w:tcPr>
            <w:tcW w:w="1460" w:type="dxa"/>
            <w:vAlign w:val="center"/>
          </w:tcPr>
          <w:p w14:paraId="25FE55AD" w14:textId="39167E6A" w:rsidR="00F64C02" w:rsidRDefault="007F35B6" w:rsidP="00F64C02">
            <w:pPr>
              <w:jc w:val="center"/>
              <w:rPr>
                <w:lang w:val="en-US"/>
              </w:rPr>
            </w:pPr>
            <w:r>
              <w:rPr>
                <w:rFonts w:asciiTheme="minorHAnsi" w:hAnsiTheme="minorHAnsi" w:cstheme="minorHAnsi"/>
                <w:szCs w:val="20"/>
                <w:lang w:val="en-US"/>
              </w:rPr>
              <w:t>8</w:t>
            </w:r>
          </w:p>
        </w:tc>
        <w:tc>
          <w:tcPr>
            <w:tcW w:w="2151" w:type="dxa"/>
            <w:vMerge w:val="restart"/>
            <w:vAlign w:val="center"/>
          </w:tcPr>
          <w:p w14:paraId="29298944" w14:textId="0636A688" w:rsidR="00F64C02" w:rsidRDefault="00F64C02" w:rsidP="00F64C02">
            <w:pPr>
              <w:jc w:val="center"/>
              <w:rPr>
                <w:lang w:val="en-US"/>
              </w:rPr>
            </w:pPr>
            <w:r w:rsidRPr="00CA32B9">
              <w:rPr>
                <w:rFonts w:asciiTheme="minorHAnsi" w:hAnsiTheme="minorHAnsi" w:cstheme="minorHAnsi"/>
                <w:szCs w:val="20"/>
                <w:lang w:val="en-US"/>
              </w:rPr>
              <w:t>Moderate</w:t>
            </w:r>
          </w:p>
        </w:tc>
        <w:tc>
          <w:tcPr>
            <w:tcW w:w="2619" w:type="dxa"/>
            <w:vAlign w:val="center"/>
          </w:tcPr>
          <w:p w14:paraId="3983D11E" w14:textId="799F6008"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RuWKTMiX","properties":{"formattedCitation":"(125,129\\uc0\\u8211{}131,133)","plainCitation":"(125,129–131,133)","noteIndex":0},"citationItems":[{"id":74189,"uris":["http://zotero.org/users/5328021/items/EG7FYSHS"],"uri":["http://zotero.org/users/5328021/items/EG7FYSHS"],"itemData":{"id":74189,"type":"article-journal","abstract":"AIM: To examine the efficacy of hyperbaric oxygen therapy in healing diabetes-related lower limb ulcers through a meta-analysis of randomized clinical trials. METHODS: A literature search was conducted to identify appropriate clinical trials. Inclusion required randomized study design and reporting of the  proportion of diabetes-related lower limb ulcers that healed. A meta-analysis was performed to examine the effect of hyperbaric oxygen therapy on ulcer healing. The secondary outcomes were minor and major amputations. RESULTS: Nine randomized trials involving 585 participants were included. People allocated to hyperbaric oxygen therapy were more likely to have complete ulcer healing (relative risk 1.95, 95% CI 1.51-2.52; P&lt;0.001), and less likely to require major (relative risk 0.54, 95% CI 0.36-0.81; P=0.003) or minor (relative risk 0.68, 95% CI 0.48-0.98;  P=0.040) amputations than control groups. Sensitivity analyses suggested the findings were dependent on the inclusion of one trial. Adverse events included ear barotrauma and a seizure. Many of the trials were noted to have methodological weaknesses including absence of blinding of outcome assessors, lack of a justifiable sample size calculation and limited follow-up. CONCLUSIONS: This meta-analysis suggests hyperbaric oxygen therapy improves the healing of diabetes-related lower limb ulcers and reduces the requirement for amputation. Confidence in these results is limited by significant design weaknesses of previous trials and inconsistent findings. A more rigorous assessment of the efficacy of hyperbaric the efficacy of hyperbaric oxygen therapy is needed.","container-title":"Diabetic medicine : a journal of the British Diabetic Association","issue":"7","journalAbbreviation":"Diabet Med","language":"eng","note":"PMID: 31002414","page":"813-826","title":"Systematic review and meta-analysis of clinical trials examining the effect of hyperbaric oxygen therapy in people with diabetes-related lower limb ulcers.","volume":"36","author":[{"family":"Golledge","given":"J."},{"family":"Singh","given":"T. P."}],"issued":{"date-parts":[["2019",7]]}}},{"id":49431,"uris":["http://zotero.org/users/5328021/items/HUREMSCU"],"uri":["http://zotero.org/users/5328021/items/HUREMSCU"],"itemData":{"id":49431,"type":"article-journal","abstract":"BACKGROUND: Multiple adjunctive therapies have been proposed to accelerate wound healing in patients with diabetes and foot ulcers. The aim of this systematic review is to summarize the best available evidence supporting the use of hyperbaric oxygen therapy (HBOT), arterial pump devices, and pharmacologic agents (pentoxifylline, cilostazol, and iloprost) in this setting.\nMETHODS: We searched MEDLINE, Embase, Cochrane Central Register of Controlled Trials, Web of Science, and Scopus through October 2011. Pairs of independent reviewers selected studies and extracted data. Predefined outcomes of interest were complete wound healing and amputation.\nRESULTS: We identified 18 interventional studies; of which 9 were randomized, enrolling 1526 patients. The risk of bias in the included studies was moderate. In multiple randomized trials, the addition of HBOT to conventional therapy (wound care and offloading) was associated with increased healing rate (Peto odds ratio, 14.25; 95% confidence interval, 7.08-28.68) and reduced major amputation rate (odds ratio, 0.30; 95% confidence interval, 0.10-0.89), compared with conventional therapy alone. In one small trial, arterial pump devices had a favorable effect on complete healing compared with HBOT and in another small trial compared with placebo devices. Neither iloprost nor pentoxifylline had a significant effect on amputation rate compared with conventional therapy. No comparative studies were identified for cilostazol in diabetic foot ulcers.\nCONCLUSIONS: There is low- to moderate-quality evidence supporting the use of HBOT as an adjunctive therapy to enhance diabetic foot ulcer healing and potentially prevent amputation. However, there are only sparse data regarding the efficacy of arterial pump devices and pharmacologic interventions.","container-title":"Journal of Vascular Surgery","issue":"2 Suppl","journalAbbreviation":"J. Vasc. Surg.","language":"eng","note":"PMID: 26804368","page":"46S-58S.e1-2","title":"A systematic review and meta-analysis of adjunctive therapies in diabetic foot ulcers","volume":"63","author":[{"family":"Elraiyah","given":"Tarig"},{"family":"Tsapas","given":"Apostolos"},{"family":"Prutsky","given":"Gabriela"},{"family":"Domecq","given":"Juan Pablo"},{"family":"Hasan","given":"Rim"},{"family":"Firwana","given":"Belal"},{"family":"Nabhan","given":"Mohammed"},{"family":"Prokop","given":"Larry"},{"family":"Hingorani","given":"Anil"},{"family":"Claus","given":"Paul L."},{"family":"Steinkraus","given":"Lawrence W."},{"family":"Murad","given":"Mohammad Hassan"}],"issued":{"date-parts":[["2016",2]]}}},{"id":53395,"uris":["http://zotero.org/users/5328021/items/3QB8QBTH"],"uri":["http://zotero.org/users/5328021/items/3QB8QBTH"],"itemData":{"id":53395,"type":"article-journal","abstract":"OBJECTIVE: To assess the efficacy and safety of hyperbaric oxygenation (HBO) therapy as adjunctive treatment for diabetic foot ulcers with a systematic review and meta-analysis of the literature.\nMETHODS: MEDLINE, EMBASE, and the Cochrane Library were searched to find relevant articles published up to April 20, 2012, without restriction as to language or publication status. All controlled trials that evaluated adjunctive treatment with HBO therapy compared with treatment without HBO for chronic diabetic foot ulcers were selected. A meta-analysis was performed to assess the efficacy and safety of hyperbaric oxygen in managing foot ulcers.\nRESULTS: Thirteen trials (a total of 624 patients), including 7 prospective randomized trials, performed between January 1, 1966, and April 20, 2012, were identified as eligible for inclusion in the study. Pooling analysis revealed that, compared with treatment without HBO, adjunctive treatment with HBO resulted in a significantly higher proportion of healed diabetic ulcers (relative risk, 2.33; 95% CI, 1.51-3.60). The analysis also revealed that treatment with HBO was associated with a significant reduction in the risk of major amputations (relative risk, 0.29; 95% CI, 0.19-0.44); however, the rate of minor amputations was not affected (P=.30). Adverse events associated with HBO treatment were rare and reversible and not more frequent than those occurring without HBO treatment (P=.37).\nCONCLUSIONS: This meta-analysis reveals that treatment with HBO improved the rate of healing and reduced the risk of major amputations in patients with diabetic foot ulcers. On the basis of these effects, we believe that quality of life could be improved in selected patients treated with HBO.","container-title":"Mayo Clinic Proceedings","issue":"2","journalAbbreviation":"Mayo Clin. Proc.","language":"eng","note":"PMID: 23374620","page":"166-175","title":"Systematic review of the effectiveness of hyperbaric oxygenation therapy in the management of chronic diabetic foot ulcers","volume":"88","author":[{"family":"Liu","given":"Rui"},{"family":"Li","given":"Ling"},{"family":"Yang","given":"Mengliu"},{"family":"Boden","given":"Guenther"},{"family":"Yang","given":"Gangyi"}],"issued":{"date-parts":[["2013",2]]}}},{"id":53133,"uris":["http://zotero.org/users/5328021/items/SV9DDJCS"],"uri":["http://zotero.org/users/5328021/items/SV9DDJCS"],"itemData":{"id":53133,"type":"article-journal","abstract":"OBJECTIVES: Approximately 10-15 percent of individuals with diabetes mellitus develop foot ulcers, which precede 85 percent of amputations. Increased oxygen, through the use of hyperbaric oxygen therapy (HBOT), has been suggested to encourage ulcer healing thus reducing the risk of amputation. The objective of this systematic review is to evaluate the efficacy of systemic HBOT for nonhealing ulcers of the lower limb in diabetes patients.\nMETHODS: A systematic search, using controlled and keyword terms focusing on \"HBOT\" and \"lower limb diabetic ulcers,\" was conducted. Databases searched included Medline, EMBASE, CINAHL, PubMed, Wiley's Cochrane Library, and Biosis. Randomized controlled trials (RCTs) and observational studies were included. Pooled estimates of outcomes were determined when appropriate.\nRESULTS: Of the 654 citations identified, 157 articles underwent full-text review. Data were abstracted from twelve publications (six RCTs and six comparative observational studies). Pooled analysis of the RCT and observational data showed that treatment with HBOT reduced the risk of major amputation by 60 percent (p = .29) and 61 percent (p = .003) compared with standard wound care, respectively. The RCT data revealed that the relative risk of having an unhealed wound following HBOT was 0.54 (p = .10) and 0.24 (p &lt; .0001) based on observational data.\nCONCLUSIONS: Due to the limited RCT evidence, it is not possible to conclusively establish the benefits and harms of treating diabetic lower limb ulcers with HBOT. No significant effects on amputation rates were found in the RCT evidence and in the high quality studies, no difference was found.","container-title":"International Journal of Technology Assessment in Health Care","issue":"3","journalAbbreviation":"Int J Technol Assess Health Care","language":"eng","note":"PMID: 23863187","page":"269-281","title":"Hyperbaric oxygen therapy for diabetic ulcers: systematic review and meta-analysis","volume":"29","author":[{"family":"O'Reilly","given":"Daria"},{"family":"Pasricha","given":"Anjori"},{"family":"Campbell","given":"Kaitryn"},{"family":"Burke","given":"Natasha"},{"family":"Assasi","given":"Nazila"},{"family":"Bowen","given":"James M."},{"family":"Tarride","given":"Jean-Eric"},{"family":"Goeree","given":"Ron"}],"issued":{"date-parts":[["2013",7]]}}},{"id":47101,"uris":["http://zotero.org/users/5328021/items/T8F8P9UK"],"uri":["http://zotero.org/users/5328021/items/T8F8P9UK"],"itemData":{"id":47101,"type":"article-journal","abstract":"OBJECTIVE: Conflicting evidence exists on the effects of hyperbaric oxygen therapy (HBOT) in the treatment of chronic ischemic leg ulcers. The aim of this trial was to investigate whether additional HBOT would benefit patients with diabetes and ischemic leg ulcers.\nRESEARCH DESIGN AND METHODS: Patients with diabetes with an ischemic wound (n = 120) were randomized to standard care (SC) without or with HBOT (SC+HBOT). Primary outcomes were limb salvage and wound healing after 12 months, as well as time to wound healing. Other end points were amputation-free survival (AFS) and mortality.\nRESULTS: Both groups contained 60 patients. Limb salvage was achieved in 47 patients in the SC group vs. 53 patients in the SC+HBOT group (risk difference [RD] 10% [95% CI -4 to 23]). After 12 months, 28 index wounds were healed in the SC group vs. 30 in the SC+HBOT group (RD 3% [95% CI -14 to 21]). AFS was achieved in 41 patients in the SC group and 49 patients in the SC+HBOT group (RD 13% [95% CI -2 to 28]). In the SC+HBOT group, 21 patients (35%) were unable to complete the HBOT protocol as planned. Those who did had significantly fewer major amputations and higher AFS (RD for AFS 26% [95% CI 10-38]).\nCONCLUSIONS: Additional HBOT did not significantly improve complete wound healing or limb salvage in patients with diabetes and lower-limb ischemia.","container-title":"Diabetes Care","issue":"1","journalAbbreviation":"Diabetes Care","language":"eng","note":"PMID: 29074815","page":"112-119","title":"Hyperbaric Oxygen Therapy in the Treatment of Ischemic Lower- Extremity Ulcers in Patients With Diabetes: Results of the DAMO2CLES Multicenter Randomized Clinical Trial","volume":"41","author":[{"family":"Santema","given":"Katrien T. B."},{"family":"Stoekenbroek","given":"Robert M."},{"family":"Koelemay","given":"Mark J. W."},{"family":"Reekers","given":"Jim A."},{"family":"Dortmont","given":"Laura M. C.","non-dropping-particle":"van"},{"family":"Oomen","given":"Arno"},{"family":"Smeets","given":"Luuk"},{"family":"Wever","given":"Jan J."},{"family":"Legemate","given":"Dink A."},{"family":"Ubbink","given":"Dirk T."},{"literal":"DAMO2CLES Study Group"}],"issued":{"date-parts":[["2018"]]}}}],"schema":"https://github.com/citation-style-language/schema/raw/master/csl-citation.json"}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(125,129–131,133)</w:t>
            </w:r>
            <w:r w:rsidRPr="00CA32B9">
              <w:rPr>
                <w:rFonts w:asciiTheme="minorHAnsi" w:hAnsiTheme="minorHAnsi" w:cstheme="minorHAnsi"/>
                <w:szCs w:val="20"/>
                <w:lang w:val="en-US"/>
              </w:rPr>
              <w:fldChar w:fldCharType="end"/>
            </w:r>
          </w:p>
        </w:tc>
      </w:tr>
      <w:tr w:rsidR="00F64C02" w14:paraId="3F31B773" w14:textId="77777777" w:rsidTr="00F64C02">
        <w:tc>
          <w:tcPr>
            <w:tcW w:w="2830" w:type="dxa"/>
            <w:vAlign w:val="center"/>
          </w:tcPr>
          <w:p w14:paraId="73B224CA" w14:textId="72340EAF"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3 studies (I) -</w:t>
            </w:r>
            <w:r w:rsidRPr="00CA32B9">
              <w:rPr>
                <w:rFonts w:asciiTheme="minorHAnsi" w:eastAsia="Times New Roman" w:hAnsiTheme="minorHAnsi" w:cstheme="minorHAnsi"/>
                <w:szCs w:val="20"/>
                <w:lang w:val="en-US"/>
              </w:rPr>
              <w:t xml:space="preserve"> </w:t>
            </w:r>
            <w:r w:rsidRPr="00CA32B9">
              <w:rPr>
                <w:rFonts w:asciiTheme="minorHAnsi" w:hAnsiTheme="minorHAnsi" w:cstheme="minorHAnsi"/>
                <w:color w:val="9A9B9D" w:themeColor="text1" w:themeTint="99"/>
                <w:szCs w:val="20"/>
                <w:lang w:val="en-US"/>
              </w:rPr>
              <w:t>2 studies (II)</w:t>
            </w:r>
          </w:p>
        </w:tc>
        <w:tc>
          <w:tcPr>
            <w:tcW w:w="1460" w:type="dxa"/>
            <w:vAlign w:val="center"/>
          </w:tcPr>
          <w:p w14:paraId="143A5A56" w14:textId="2EFC857F" w:rsidR="00F64C02" w:rsidRDefault="007F35B6" w:rsidP="00F64C02">
            <w:pPr>
              <w:jc w:val="center"/>
              <w:rPr>
                <w:lang w:val="en-US"/>
              </w:rPr>
            </w:pPr>
            <w:r>
              <w:rPr>
                <w:rFonts w:asciiTheme="minorHAnsi" w:hAnsiTheme="minorHAnsi" w:cstheme="minorHAnsi"/>
                <w:color w:val="9A9B9D" w:themeColor="text1" w:themeTint="99"/>
                <w:szCs w:val="20"/>
                <w:lang w:val="en-US"/>
              </w:rPr>
              <w:t>8,2</w:t>
            </w:r>
          </w:p>
        </w:tc>
        <w:tc>
          <w:tcPr>
            <w:tcW w:w="2151" w:type="dxa"/>
            <w:vMerge/>
            <w:vAlign w:val="center"/>
          </w:tcPr>
          <w:p w14:paraId="1DA85FF3" w14:textId="77777777" w:rsidR="00F64C02" w:rsidRDefault="00F64C02" w:rsidP="00F64C02">
            <w:pPr>
              <w:jc w:val="center"/>
              <w:rPr>
                <w:lang w:val="en-US"/>
              </w:rPr>
            </w:pPr>
          </w:p>
        </w:tc>
        <w:tc>
          <w:tcPr>
            <w:tcW w:w="2619" w:type="dxa"/>
            <w:vAlign w:val="center"/>
          </w:tcPr>
          <w:p w14:paraId="5F75A46C" w14:textId="567CD262"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0aiP8P1A","properties":{"formattedCitation":"(131,132,134,135,139)","plainCitation":"(131,132,134,135,139)","noteIndex":0},"citationItems":[{"id":53133,"uris":["http://zotero.org/users/5328021/items/SV9DDJCS"],"uri":["http://zotero.org/users/5328021/items/SV9DDJCS"],"itemData":{"id":53133,"type":"article-journal","abstract":"OBJECTIVES: Approximately 10-15 percent of individuals with diabetes mellitus develop foot ulcers, which precede 85 percent of amputations. Increased oxygen, through the use of hyperbaric oxygen therapy (HBOT), has been suggested to encourage ulcer healing thus reducing the risk of amputation. The objective of this systematic review is to evaluate the efficacy of systemic HBOT for nonhealing ulcers of the lower limb in diabetes patients.\nMETHODS: A systematic search, using controlled and keyword terms focusing on \"HBOT\" and \"lower limb diabetic ulcers,\" was conducted. Databases searched included Medline, EMBASE, CINAHL, PubMed, Wiley's Cochrane Library, and Biosis. Randomized controlled trials (RCTs) and observational studies were included. Pooled estimates of outcomes were determined when appropriate.\nRESULTS: Of the 654 citations identified, 157 articles underwent full-text review. Data were abstracted from twelve publications (six RCTs and six comparative observational studies). Pooled analysis of the RCT and observational data showed that treatment with HBOT reduced the risk of major amputation by 60 percent (p = .29) and 61 percent (p = .003) compared with standard wound care, respectively. The RCT data revealed that the relative risk of having an unhealed wound following HBOT was 0.54 (p = .10) and 0.24 (p &lt; .0001) based on observational data.\nCONCLUSIONS: Due to the limited RCT evidence, it is not possible to conclusively establish the benefits and harms of treating diabetic lower limb ulcers with HBOT. No significant effects on amputation rates were found in the RCT evidence and in the high quality studies, no difference was found.","container-title":"International Journal of Technology Assessment in Health Care","issue":"3","journalAbbreviation":"Int J Technol Assess Health Care","language":"eng","note":"PMID: 23863187","page":"269-281","title":"Hyperbaric oxygen therapy for diabetic ulcers: systematic review and meta-analysis","volume":"29","author":[{"family":"O'Reilly","given":"Daria"},{"family":"Pasricha","given":"Anjori"},{"family":"Campbell","given":"Kaitryn"},{"family":"Burke","given":"Natasha"},{"family":"Assasi","given":"Nazila"},{"family":"Bowen","given":"James M."},{"family":"Tarride","given":"Jean-Eric"},{"family":"Goeree","given":"Ron"}],"issued":{"date-parts":[["2013",7]]}}},{"id":73715,"uris":["http://zotero.org/users/5328021/items/XDEVCI43"],"uri":["http://zotero.org/users/5328021/items/XDEVCI43"],"itemData":{"id":73715,"type":"article-journal","abstract":"Diabetic foot ulcers are a common complication of diabetes, which affects 25% of  patients and may ultimately lead to amputation of affected limbs. Research suggests hyperbaric oxygen therapy improves healing of these ulcers. However, this has not been reflected in previous reviews, possibly because they did not differentiate between patients with and without peripheral arterial occlusive disease. Therefore, we performed a systematic review of published literature in the MEDLINE, Embase, and Cochrane CENTRAL databases on nonischemic diabetic foot  ulcers with outcome measures including complete ulcer healing, amputation rate (major and minor), and mortality. Seven studies were included, of which two were  randomized clinical trials. Two studies found no difference in major amputation rate, whereas one large retrospective study found 2% more major amputations in the hyperbaric oxygen group. However, this study did not correct for baseline differences. Two studies showed no significant difference in minor amputation rate. Five studies reporting on complete wound healing showed no significant differences. In conclusion, the current evidence suggests that hyperbaric oxygen  therapy does not accelerate wound healing and does not prevent major or minor amputations in patients with a diabetic foot ulcer without peripheral arterial occlusive disease. Based on the available evidence, routine clinical use of this  therapy cannot be recommended. However, the available research for this specific  subgroup of patients is scarce, and physicians should counsel patients on expected risks and benefits. Additional research, focusing especially on patient  selection criteria, is needed to better identify patients that might profit from  this therapy modality.","container-title":"Wound repair and regeneration : official publication of the Wound Healing Society [and] the European Tissue Repair Society","journalAbbreviation":"Wound Repair Regen","language":"eng","note":"PMID: 31667898","title":"Hyperbaric oxygen therapy for nonischemic diabetic ulcers: A systematic review.","author":[{"family":"Lalieu","given":"Rutger C."},{"family":"Brouwer","given":"Robin J."},{"family":"Ubbink","given":"Dirk T."},{"family":"Hoencamp","given":"Rigo"},{"family":"Bol Raap","given":"Rene"},{"family":"Hulst","given":"Rob A.","non-dropping-particle":"van"}],"issued":{"date-parts":[["2019",10,31]]}}},{"id":47183,"uris":["http://zotero.org/users/5328021/items/XPPKEJ4U"],"uri":["http://zotero.org/users/5328021/items/XPPKEJ4U"],"itemData":{"id":47183,"type":"article-journal","abstract":"PURPOSE: The efficacy and safety profile of hyperbaric oxygen therapy (HBOT) in patients with diabetic foot ulcer have been controversial in recent years. Our meta-analysis was undertaken to evaluate the efficacy and safety profile of HBOT in patients with diabetic foot ulcer.\nMETHODS: We searched the PubMed, Cochrane Library, EMBASE, and Clinical Trials.gov databases for controlled trials. The efficacy end points included the incidence of healed ulcers, major amputations, minor amputations, and reduction in the ulcer wound area. The tolerability end point was the incidence of adverse events.\nFINDINGS: Nine randomized clinical trials involving 526 patients met the inclusion criteria. No difference was found in the incidence of healed ulcers (risk ratio [RR] = 2.22; 95% CI, 0.87-5.62; P = 0.32; I2 = 81%), minor amputations (RR = 0.95; 95% CI, 0.39-2.29; P = 0.91; I2 = 74%), major amputations (RR = 0.47; 95% CI, 0.17-1.28; P = 0.14; I2 = 61%), and adverse events (RR = 1.00; 95% CI, 0.64-1.56; P = 0.99; I2 = 26%) between the HBOT and standard therapy (ST) groups. HBOT was associated with a greater reduction in the ulcer wound area versus ST (standard mean difference = 1.12; 95% CI, 0.20-2.04; P = 0.04; I2 = 70%).\nIMPLICATIONS: No differences existed between HBOT and ST with respect to the incidence of healed ulcers, risk of minor or major amputations, and adverse events. HBOT was associated with a greater reduction in the ulcer wound area than ST. HBOT is a clinically meaningful adjuvant therapy for patients with diabetic foot ulcer.","container-title":"Clinical Therapeutics","issue":"10","journalAbbreviation":"Clin Ther","language":"eng","note":"PMID: 28935291","page":"2088-2094.e2","title":"Efficacy and Safety of Hyperbaric Oxygen Therapy Used in Patients With Diabetic Foot: A Meta-analysis of Randomized Clinical Trials","volume":"39","author":[{"family":"Zhao","given":"Di"},{"family":"Luo","given":"Shaowei"},{"family":"Xu","given":"Wencan"},{"family":"Hu","given":"Jun"},{"family":"Lin","given":"Shaoda"},{"family":"Wang","given":"Nasui"}],"issued":{"date-parts":[["2017",10]]}}},{"id":49815,"uris":["http://zotero.org/users/5328021/items/QGSAV92U"],"uri":["http://zotero.org/users/5328021/items/QGSAV92U"],"itemData":{"id":49815,"type":"article-journal","abstract":"BACKGROUND: Chronic wounds are common and present a health problem with significant effect on quality of life. Various pathologies may cause tissue breakdown, including poor blood supply resulting in inadequate oxygenation of the wound bed. Hyperbaric oxygen therapy (HBOT) has been suggested to improve oxygen supply to wounds and therefore improve their healing.\nOBJECTIVES: To assess the benefits and harms of adjunctive HBOT for treating chronic ulcers of the lower limb.\nSEARCH METHODS: For this second update we searched the Cochrane Wounds Group Specialised Register (searched 18 February 2015); the Cochrane Central Register of Controlled Trials (CENTRAL) (The Cochrane Library 2015, Issue 1); Ovid MEDLINE (1946 to 17 February 2015); Ovid MEDLINE (In-Process &amp; Other Non-Indexed Citations, 17 February 2015); Ovid EMBASE (1974 to 17 February 2015); and EBSCO CINAHL (1982 to 17 February 2015).\nSELECTION CRITERIA: Randomised controlled trials (RCTs) comparing the effect on chronic wound healing of therapeutic regimens which include HBOT with those that exclude HBOT (with or without sham therapy).\nDATA COLLECTION AND ANALYSIS: Three review authors independently evaluated the risk of bias of the relevant trials using the Cochrane methodology and extracted the data from the included trials. We resolved any disagreement by discussion.\nMAIN RESULTS: We included twelve trials (577 participants). Ten trials (531 participants) enrolled people with a diabetic foot ulcer: pooled data of five trials with 205 participants showed an increase in the rate of ulcer healing (risk ratio (RR) 2.35, 95% confidence interval (CI) 1.19 to 4.62; P = 0.01) with HBOT at six weeks but this benefit was not evident at longer-term follow-up at one year. There was no statistically significant difference in major amputation rate (pooled data of five trials with 312 participants, RR 0.36, 95% CI 0.11 to 1.18). One trial (16 participants) considered venous ulcers and reported data at six weeks (wound size reduction) and 18 weeks (wound size reduction and number of ulcers healed) and suggested a significant benefit of HBOT in terms of reduction in ulcer area only at six weeks (mean difference (MD) 33.00%, 95% CI 18.97 to 47.03, P &lt; 0.00001). We identified one trial (30 participants) which enrolled patients with non-healing diabetic ulcers as well as venous ulcers (\"mixed ulcers types\") and patients were treated for 30 days. For this \"mixed ulcers\" there was a significant benefit of HBOT in terms of reduction in ulcer area at the end of treatment (30 days) (MD 61.88%, 95% CI 41.91 to 81.85, P &lt; 0.00001). We did not identify any trials that considered arterial and pressure ulcers.\nAUTHORS' CONCLUSIONS: In people with foot ulcers due to diabetes, HBOT significantly improved the ulcers healed in the short term but not the long term and the trials had various flaws in design and/or reporting that means we are not confident in the results. More trials are needed to properly evaluate HBOT in people with chronic wounds; these trials must be adequately powered and designed to minimise all kinds of bias.","container-title":"The Cochrane Database of Systematic Reviews","issue":"6","journalAbbreviation":"Cochrane Database Syst Rev","language":"eng","note":"PMID: 26106870","page":"CD004123","title":"Hyperbaric oxygen therapy for chronic wounds","author":[{"family":"Kranke","given":"Peter"},{"family":"Bennett","given":"Michael H."},{"family":"Martyn-St James","given":"Marrissa"},{"family":"Schnabel","given":"Alexander"},{"family":"Debus","given":"Sebastian E."},{"family":"Weibel","given":"Stephanie"}],"issued":{"date-parts":[["2015",6,24]]}}},{"id":49463,"uris":["http://zotero.org/users/5328021/items/FHTTU4VG"],"uri":["http://zotero.org/users/5328021/items/FHTTU4VG"],"itemData":{"id":49463,"type":"article-journal","abstract":"OBJECTIVE: Hyperbaric oxygen therapy (HBOT) is used for the treatment of chronic diabetic foot ulcers (DFUs). The controlled evidence for the efficacy of this treatment is limited. The goal of this study was to assess the efficacy of HBOT in reducing the need for major amputation and improving wound healing in patients with diabetes and chronic DFUs.\nRESEARCH DESIGN AND METHODS: Patients with diabetes and foot lesions (Wagner grade 2-4) of at least 4 weeks' duration participated in this study. In addition to comprehensive wound care, participants were randomly assigned to receive 30 daily sessions of 90 min of HBOT (breathing oxygen at 244 kPa) or sham (breathing air at 125 kPa). Patients, physicians, and researchers were blinded to group assignment. At 12 weeks postrandomization, the primary outcome was freedom from meeting the criteria for amputation as assessed by a vascular surgeon. Secondary outcomes were measures of wound healing.\nRESULTS: One hundred fifty-seven patients were assessed for eligibility, with 107 randomly assigned and 103 available for end point adjudication. Criteria for major amputation were met in 13 of 54 patients in the sham group and 11 of 49 in the HBOT group (odds ratio 0.91 [95% CI 0.37, 2.28], P = 0.846). Twelve (22%) patients in the sham group and 10 (20%) in the HBOT group were healed (0.90 [0.35, 2.31], P = 0.823). All other indices of wound healing were also not statistically significantly different between groups.\nCONCLUSIONS: HBOT does not offer an additional advantage to comprehensive wound care in reducing the indication for amputation or facilitating wound healing in patients with chronic DFUs.","container-title":"Diabetes Care","issue":"3","journalAbbreviation":"Diabetes Care","language":"eng","note":"PMID: 26740639","page":"392-399","title":"Hyperbaric Oxygen Therapy Does Not Reduce Indications for Amputation in Patients With Diabetes With Nonhealing Ulcers of the Lower Limb: A Prospective, Double-Blind, Randomized Controlled Clinical Trial","volume":"39","author":[{"family":"Fedorko","given":"Ludwik"},{"family":"Bowen","given":"James M."},{"family":"Jones","given":"Wilhelmine"},{"family":"Oreopoulos","given":"George"},{"family":"Goeree","given":"Ron"},{"family":"Hopkins","given":"Robert B."},{"family":"O'Reilly","given":"Daria J."}],"issued":{"date-parts":[["2016",3]]}}}],"schema":"https://github.com/citation-style-language/schema/raw/master/csl-citation.json"}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(131,132,134,135,139)</w:t>
            </w:r>
            <w:r w:rsidRPr="00CA32B9">
              <w:rPr>
                <w:rFonts w:asciiTheme="minorHAnsi" w:hAnsiTheme="minorHAnsi" w:cstheme="minorHAnsi"/>
                <w:szCs w:val="20"/>
                <w:lang w:val="en-US"/>
              </w:rPr>
              <w:fldChar w:fldCharType="end"/>
            </w:r>
          </w:p>
        </w:tc>
      </w:tr>
      <w:tr w:rsidR="00F64C02" w14:paraId="15E6ACAB" w14:textId="77777777" w:rsidTr="00F64C02">
        <w:tc>
          <w:tcPr>
            <w:tcW w:w="2830" w:type="dxa"/>
            <w:vAlign w:val="center"/>
          </w:tcPr>
          <w:p w14:paraId="173F30B3" w14:textId="289A1C93" w:rsidR="00F64C02" w:rsidRDefault="00F64C02" w:rsidP="007B6214">
            <w:pPr>
              <w:jc w:val="center"/>
              <w:rPr>
                <w:lang w:val="en-US"/>
              </w:rPr>
            </w:pPr>
            <w:r w:rsidRPr="00CA32B9">
              <w:rPr>
                <w:rFonts w:asciiTheme="minorHAnsi" w:hAnsiTheme="minorHAnsi" w:cstheme="minorHAnsi"/>
                <w:color w:val="9A9B9D" w:themeColor="text1" w:themeTint="99"/>
                <w:szCs w:val="20"/>
                <w:lang w:val="en-US"/>
              </w:rPr>
              <w:t>1 study (III)</w:t>
            </w:r>
            <w:r w:rsidR="009C3899" w:rsidRPr="00240DFC">
              <w:rPr>
                <w:rFonts w:asciiTheme="minorHAnsi" w:hAnsiTheme="minorHAnsi" w:cstheme="minorHAnsi"/>
                <w:b/>
                <w:szCs w:val="20"/>
                <w:vertAlign w:val="superscript"/>
                <w:lang w:val="en-US"/>
              </w:rPr>
              <w:t xml:space="preserve"> </w:t>
            </w:r>
            <w:r w:rsidR="009C3899" w:rsidRPr="00166EC2">
              <w:rPr>
                <w:rFonts w:asciiTheme="minorHAnsi" w:hAnsiTheme="minorHAnsi" w:cstheme="minorHAnsi"/>
                <w:color w:val="9A9B9D" w:themeColor="text1" w:themeTint="99"/>
                <w:szCs w:val="20"/>
                <w:vertAlign w:val="superscript"/>
                <w:lang w:val="en-US"/>
              </w:rPr>
              <w:t>d</w:t>
            </w:r>
          </w:p>
        </w:tc>
        <w:tc>
          <w:tcPr>
            <w:tcW w:w="1460" w:type="dxa"/>
            <w:vAlign w:val="center"/>
          </w:tcPr>
          <w:p w14:paraId="6E3BFB13" w14:textId="24A8A207" w:rsidR="00F64C02" w:rsidRDefault="00A36B92" w:rsidP="00F64C02">
            <w:pPr>
              <w:jc w:val="center"/>
              <w:rPr>
                <w:lang w:val="en-US"/>
              </w:rPr>
            </w:pPr>
            <w:r w:rsidRPr="00CA32B9">
              <w:rPr>
                <w:rFonts w:asciiTheme="minorHAnsi" w:hAnsiTheme="minorHAnsi" w:cstheme="minorHAnsi"/>
                <w:color w:val="9A9B9D" w:themeColor="text1" w:themeTint="99"/>
                <w:szCs w:val="20"/>
                <w:lang w:val="en-US"/>
              </w:rPr>
              <w:t>5</w:t>
            </w:r>
          </w:p>
        </w:tc>
        <w:tc>
          <w:tcPr>
            <w:tcW w:w="2151" w:type="dxa"/>
            <w:vMerge/>
            <w:vAlign w:val="center"/>
          </w:tcPr>
          <w:p w14:paraId="0E1BF3A7" w14:textId="77777777" w:rsidR="00F64C02" w:rsidRDefault="00F64C02" w:rsidP="00F64C02">
            <w:pPr>
              <w:jc w:val="center"/>
              <w:rPr>
                <w:lang w:val="en-US"/>
              </w:rPr>
            </w:pPr>
          </w:p>
        </w:tc>
        <w:tc>
          <w:tcPr>
            <w:tcW w:w="2619" w:type="dxa"/>
            <w:vAlign w:val="center"/>
          </w:tcPr>
          <w:p w14:paraId="615F08EF" w14:textId="493CF3AD"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OhFjBTee","properties":{"formattedCitation":"(136)","plainCitation":"(136)","noteIndex":0},"citationItems":[{"id":53359,"uris":["http://zotero.org/users/5328021/items/9R9446HV"],"uri":["http://zotero.org/users/5328021/items/9R9446HV"],"itemData":{"id":53359,"type":"article-journal","abstract":"OBJECTIVE: Hyperbaric oxygen (HBO) is a device that is used to treat foot ulcers. The study goal was to compare the effectiveness of HBO with other conventional therapies administered in a wound care network for the treatment of a diabetic foot ulcer and prevention of lower-extremity amputation.\nRESEARCH DESIGN AND METHODS: This was a longitudinal observational cohort study. To address treatment selection bias, we used propensity scores to determine the \"propensity\" that an individual was selected to receive HBO.\nRESULTS: We studied 6,259 individuals with diabetes, adequate lower limb arterial perfusion, and foot ulcer extending through the dermis, representing 767,060 person-days of wound care. In the propensity score-adjusted models, individuals receiving HBO were less likely to have healing of their foot ulcer (hazard ratio 0.68 [95% CI 0.63-0.73]) and more likely to have an amputation (2.37 [1.84-3.04]). Additional analyses, including the use of an instrumental variable, were conducted to assess the robustness of our results to unmeasured confounding. HBO was not found to improve the likelihood that a wound might heal or to decrease the likelihood of amputation in any of these analyses.\nCONCLUSIONS: Use of HBO neither improved the likelihood that a wound would heal nor prevented amputation in a cohort of patients defined by Centers for Medicare and Medicaid Services eligibility criteria. The usefulness of HBO in the treatment of diabetic foot ulcers needs to be reevaluated.","container-title":"Diabetes Care","issue":"7","journalAbbreviation":"Diabetes Care","language":"eng","note":"PMID: 23423696\nPMCID: PMC3687310","page":"1961-1966","title":"Lack of effectiveness of hyperbaric oxygen therapy for the treatment of diabetic foot ulcer and the prevention of amputation: a cohort study","volume":"36","author":[{"family":"Margolis","given":"David J."},{"family":"Gupta","given":"Jayanta"},{"family":"Hoffstad","given":"Ole"},{"family":"Papdopoulos","given":"Maryte"},{"family":"Glick","given":"Henry A."},{"family":"Thom","given":"Stephen R."},{"family":"Mitra","given":"Nandita"}],"issued":{"date-parts":[["2013",7]]}}}],"schema":"https://github.com/citation-style-language/schema/raw/master/csl-citation.json"}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(136)</w:t>
            </w:r>
            <w:r w:rsidRPr="00CA32B9">
              <w:rPr>
                <w:rFonts w:asciiTheme="minorHAnsi" w:hAnsiTheme="minorHAnsi" w:cstheme="minorHAnsi"/>
                <w:szCs w:val="20"/>
                <w:lang w:val="en-US"/>
              </w:rPr>
              <w:fldChar w:fldCharType="end"/>
            </w:r>
          </w:p>
        </w:tc>
      </w:tr>
      <w:tr w:rsidR="00F64C02" w:rsidRPr="00166EC2" w14:paraId="4439EAC6" w14:textId="77777777" w:rsidTr="00F64C02">
        <w:tc>
          <w:tcPr>
            <w:tcW w:w="9060" w:type="dxa"/>
            <w:gridSpan w:val="4"/>
            <w:vAlign w:val="center"/>
          </w:tcPr>
          <w:p w14:paraId="13F54A8E" w14:textId="58D6184E" w:rsidR="00F64C02" w:rsidRDefault="00F64C02" w:rsidP="00F64C02">
            <w:pPr>
              <w:jc w:val="left"/>
              <w:rPr>
                <w:lang w:val="en-US"/>
              </w:rPr>
            </w:pPr>
            <w:r w:rsidRPr="00CA32B9">
              <w:rPr>
                <w:rFonts w:asciiTheme="minorHAnsi" w:hAnsiTheme="minorHAnsi" w:cstheme="minorHAnsi"/>
                <w:b/>
                <w:szCs w:val="20"/>
                <w:lang w:val="en-US"/>
              </w:rPr>
              <w:t>Reduction of minor amputation events</w:t>
            </w:r>
          </w:p>
        </w:tc>
      </w:tr>
      <w:tr w:rsidR="00F64C02" w14:paraId="3FD8CDAF" w14:textId="77777777" w:rsidTr="00F64C02">
        <w:tc>
          <w:tcPr>
            <w:tcW w:w="2830" w:type="dxa"/>
            <w:vAlign w:val="center"/>
          </w:tcPr>
          <w:p w14:paraId="5DEF7DC1" w14:textId="08D4343D" w:rsidR="00F64C02" w:rsidRDefault="00F64C02" w:rsidP="00F64C02">
            <w:pPr>
              <w:jc w:val="center"/>
              <w:rPr>
                <w:lang w:val="en-US"/>
              </w:rPr>
            </w:pPr>
            <w:r w:rsidRPr="00CA32B9">
              <w:rPr>
                <w:rFonts w:asciiTheme="minorHAnsi" w:hAnsiTheme="minorHAnsi" w:cstheme="minorHAnsi"/>
                <w:szCs w:val="20"/>
                <w:lang w:val="en-US"/>
              </w:rPr>
              <w:t>1 study (I) - 1 study (II)</w:t>
            </w:r>
          </w:p>
        </w:tc>
        <w:tc>
          <w:tcPr>
            <w:tcW w:w="1460" w:type="dxa"/>
            <w:vAlign w:val="center"/>
          </w:tcPr>
          <w:p w14:paraId="47B83792" w14:textId="4FE4CB25" w:rsidR="00F64C02" w:rsidRDefault="00F64C02" w:rsidP="00F64C02">
            <w:pPr>
              <w:jc w:val="center"/>
              <w:rPr>
                <w:lang w:val="en-US"/>
              </w:rPr>
            </w:pPr>
            <w:r w:rsidRPr="00CA32B9">
              <w:rPr>
                <w:rFonts w:asciiTheme="minorHAnsi" w:hAnsiTheme="minorHAnsi" w:cstheme="minorHAnsi"/>
                <w:szCs w:val="20"/>
                <w:lang w:val="en-US"/>
              </w:rPr>
              <w:t>7</w:t>
            </w:r>
          </w:p>
        </w:tc>
        <w:tc>
          <w:tcPr>
            <w:tcW w:w="2151" w:type="dxa"/>
            <w:vMerge w:val="restart"/>
            <w:vAlign w:val="center"/>
          </w:tcPr>
          <w:p w14:paraId="0138A972" w14:textId="1752331E" w:rsidR="00F64C02" w:rsidRDefault="00F64C02" w:rsidP="00F64C02">
            <w:pPr>
              <w:jc w:val="center"/>
              <w:rPr>
                <w:lang w:val="en-US"/>
              </w:rPr>
            </w:pPr>
            <w:r w:rsidRPr="00CA32B9">
              <w:rPr>
                <w:rFonts w:asciiTheme="minorHAnsi" w:hAnsiTheme="minorHAnsi" w:cstheme="minorHAnsi"/>
                <w:szCs w:val="20"/>
                <w:lang w:val="en-US"/>
              </w:rPr>
              <w:t>Moderate</w:t>
            </w:r>
          </w:p>
        </w:tc>
        <w:tc>
          <w:tcPr>
            <w:tcW w:w="2619" w:type="dxa"/>
            <w:vAlign w:val="center"/>
          </w:tcPr>
          <w:p w14:paraId="75C91FE0" w14:textId="477FD639"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BvoOXYFH","properties":{"formattedCitation":"(125,131)","plainCitation":"(125,131)","noteIndex":0},"citationItems":[{"id":74189,"uris":["http://zotero.org/users/5328021/items/EG7FYSHS"],"uri":["http://zotero.org/users/5328021/items/EG7FYSHS"],"itemData":{"id":74189,"type":"article-journal","abstract":"AIM: To examine the efficacy of hyperbaric oxygen therapy in healing diabetes-related lower limb ulcers through a meta-analysis of randomized clinical trials. METHODS: A literature search was conducted to identify appropriate clinical trials. Inclusion required randomized study design and reporting of the  proportion of diabetes-related lower limb ulcers that healed. A meta-analysis was performed to examine the effect of hyperbaric oxygen therapy on ulcer healing. The secondary outcomes were minor and major amputations. RESULTS: Nine randomized trials involving 585 participants were included. People allocated to hyperbaric oxygen therapy were more likely to have complete ulcer healing (relative risk 1.95, 95% CI 1.51-2.52; P&lt;0.001), and less likely to require major (relative risk 0.54, 95% CI 0.36-0.81; P=0.003) or minor (relative risk 0.68, 95% CI 0.48-0.98;  P=0.040) amputations than control groups. Sensitivity analyses suggested the findings were dependent on the inclusion of one trial. Adverse events included ear barotrauma and a seizure. Many of the trials were noted to have methodological weaknesses including absence of blinding of outcome assessors, lack of a justifiable sample size calculation and limited follow-up. CONCLUSIONS: This meta-analysis suggests hyperbaric oxygen therapy improves the healing of diabetes-related lower limb ulcers and reduces the requirement for amputation. Confidence in these results is limited by significant design weaknesses of previous trials and inconsistent findings. A more rigorous assessment of the efficacy of hyperbaric the efficacy of hyperbaric oxygen therapy is needed.","container-title":"Diabetic medicine : a journal of the British Diabetic Association","issue":"7","journalAbbreviation":"Diabet Med","language":"eng","note":"PMID: 31002414","page":"813-826","title":"Systematic review and meta-analysis of clinical trials examining the effect of hyperbaric oxygen therapy in people with diabetes-related lower limb ulcers.","volume":"36","author":[{"family":"Golledge","given":"J."},{"family":"Singh","given":"T. P."}],"issued":{"date-parts":[["2019",7]]}}},{"id":53133,"uris":["http://zotero.org/users/5328021/items/SV9DDJCS"],"uri":["http://zotero.org/users/5328021/items/SV9DDJCS"],"itemData":{"id":53133,"type":"article-journal","abstract":"OBJECTIVES: Approximately 10-15 percent of individuals with diabetes mellitus develop foot ulcers, which precede 85 percent of amputations. Increased oxygen, through the use of hyperbaric oxygen therapy (HBOT), has been suggested to encourage ulcer healing thus reducing the risk of amputation. The objective of this systematic review is to evaluate the efficacy of systemic HBOT for nonhealing ulcers of the lower limb in diabetes patients.\nMETHODS: A systematic search, using controlled and keyword terms focusing on \"HBOT\" and \"lower limb diabetic ulcers,\" was conducted. Databases searched included Medline, EMBASE, CINAHL, PubMed, Wiley's Cochrane Library, and Biosis. Randomized controlled trials (RCTs) and observational studies were included. Pooled estimates of outcomes were determined when appropriate.\nRESULTS: Of the 654 citations identified, 157 articles underwent full-text review. Data were abstracted from twelve publications (six RCTs and six comparative observational studies). Pooled analysis of the RCT and observational data showed that treatment with HBOT reduced the risk of major amputation by 60 percent (p = .29) and 61 percent (p = .003) compared with standard wound care, respectively. The RCT data revealed that the relative risk of having an unhealed wound following HBOT was 0.54 (p = .10) and 0.24 (p &lt; .0001) based on observational data.\nCONCLUSIONS: Due to the limited RCT evidence, it is not possible to conclusively establish the benefits and harms of treating diabetic lower limb ulcers with HBOT. No significant effects on amputation rates were found in the RCT evidence and in the high quality studies, no difference was found.","container-title":"International Journal of Technology Assessment in Health Care","issue":"3","journalAbbreviation":"Int J Technol Assess Health Care","language":"eng","note":"PMID: 23863187","page":"269-281","title":"Hyperbaric oxygen therapy for diabetic ulcers: systematic review and meta-analysis","volume":"29","author":[{"family":"O'Reilly","given":"Daria"},{"family":"Pasricha","given":"Anjori"},{"family":"Campbell","given":"Kaitryn"},{"family":"Burke","given":"Natasha"},{"family":"Assasi","given":"Nazila"},{"family":"Bowen","given":"James M."},{"family":"Tarride","given":"Jean-Eric"},{"family":"Goeree","given":"Ron"}],"issued":{"date-parts":[["2013",7]]}}}],"schema":"https://github.com/citation-style-language/schema/raw/master/csl-citation.json"}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(125,131)</w:t>
            </w:r>
            <w:r w:rsidRPr="00CA32B9">
              <w:rPr>
                <w:rFonts w:asciiTheme="minorHAnsi" w:hAnsiTheme="minorHAnsi" w:cstheme="minorHAnsi"/>
                <w:szCs w:val="20"/>
                <w:lang w:val="en-US"/>
              </w:rPr>
              <w:fldChar w:fldCharType="end"/>
            </w:r>
          </w:p>
        </w:tc>
      </w:tr>
      <w:tr w:rsidR="00F64C02" w14:paraId="5611E9A9" w14:textId="77777777" w:rsidTr="00F64C02">
        <w:tc>
          <w:tcPr>
            <w:tcW w:w="2830" w:type="dxa"/>
            <w:vAlign w:val="center"/>
          </w:tcPr>
          <w:p w14:paraId="568ABCAA" w14:textId="0E4A17C2"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3 studies (I) - 2 studies (II)</w:t>
            </w:r>
          </w:p>
        </w:tc>
        <w:tc>
          <w:tcPr>
            <w:tcW w:w="1460" w:type="dxa"/>
            <w:vAlign w:val="center"/>
          </w:tcPr>
          <w:p w14:paraId="237496C2" w14:textId="4B7E3927"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8,4</w:t>
            </w:r>
          </w:p>
        </w:tc>
        <w:tc>
          <w:tcPr>
            <w:tcW w:w="2151" w:type="dxa"/>
            <w:vMerge/>
            <w:vAlign w:val="center"/>
          </w:tcPr>
          <w:p w14:paraId="4AC85184" w14:textId="77777777" w:rsidR="00F64C02" w:rsidRDefault="00F64C02" w:rsidP="00F64C02">
            <w:pPr>
              <w:jc w:val="center"/>
              <w:rPr>
                <w:lang w:val="en-US"/>
              </w:rPr>
            </w:pPr>
          </w:p>
        </w:tc>
        <w:tc>
          <w:tcPr>
            <w:tcW w:w="2619" w:type="dxa"/>
            <w:vAlign w:val="center"/>
          </w:tcPr>
          <w:p w14:paraId="01EC01E9" w14:textId="4463788A"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9PUHePLV","properties":{"formattedCitation":"(130,131,134,135,139)","plainCitation":"(130,131,134,135,139)","noteIndex":0},"citationItems":[{"id":53395,"uris":["http://zotero.org/users/5328021/items/3QB8QBTH"],"uri":["http://zotero.org/users/5328021/items/3QB8QBTH"],"itemData":{"id":53395,"type":"article-journal","abstract":"OBJECTIVE: To assess the efficacy and safety of hyperbaric oxygenation (HBO) therapy as adjunctive treatment for diabetic foot ulcers with a systematic review and meta-analysis of the literature.\nMETHODS: MEDLINE, EMBASE, and the Cochrane Library were searched to find relevant articles published up to April 20, 2012, without restriction as to language or publication status. All controlled trials that evaluated adjunctive treatment with HBO therapy compared with treatment without HBO for chronic diabetic foot ulcers were selected. A meta-analysis was performed to assess the efficacy and safety of hyperbaric oxygen in managing foot ulcers.\nRESULTS: Thirteen trials (a total of 624 patients), including 7 prospective randomized trials, performed between January 1, 1966, and April 20, 2012, were identified as eligible for inclusion in the study. Pooling analysis revealed that, compared with treatment without HBO, adjunctive treatment with HBO resulted in a significantly higher proportion of healed diabetic ulcers (relative risk, 2.33; 95% CI, 1.51-3.60). The analysis also revealed that treatment with HBO was associated with a significant reduction in the risk of major amputations (relative risk, 0.29; 95% CI, 0.19-0.44); however, the rate of minor amputations was not affected (P=.30). Adverse events associated with HBO treatment were rare and reversible and not more frequent than those occurring without HBO treatment (P=.37).\nCONCLUSIONS: This meta-analysis reveals that treatment with HBO improved the rate of healing and reduced the risk of major amputations in patients with diabetic foot ulcers. On the basis of these effects, we believe that quality of life could be improved in selected patients treated with HBO.","container-title":"Mayo Clinic Proceedings","issue":"2","journalAbbreviation":"Mayo Clin. Proc.","language":"eng","note":"PMID: 23374620","page":"166-175","title":"Systematic review of the effectiveness of hyperbaric oxygenation therapy in the management of chronic diabetic foot ulcers","volume":"88","author":[{"family":"Liu","given":"Rui"},{"family":"Li","given":"Ling"},{"family":"Yang","given":"Mengliu"},{"family":"Boden","given":"Guenther"},{"family":"Yang","given":"Gangyi"}],"issued":{"date-parts":[["2013",2]]}}},{"id":53133,"uris":["http://zotero.org/users/5328021/items/SV9DDJCS"],"uri":["http://zotero.org/users/5328021/items/SV9DDJCS"],"itemData":{"id":53133,"type":"article-journal","abstract":"OBJECTIVES: Approximately 10-15 percent of individuals with diabetes mellitus develop foot ulcers, which precede 85 percent of amputations. Increased oxygen, through the use of hyperbaric oxygen therapy (HBOT), has been suggested to encourage ulcer healing thus reducing the risk of amputation. The objective of this systematic review is to evaluate the efficacy of systemic HBOT for nonhealing ulcers of the lower limb in diabetes patients.\nMETHODS: A systematic search, using controlled and keyword terms focusing on \"HBOT\" and \"lower limb diabetic ulcers,\" was conducted. Databases searched included Medline, EMBASE, CINAHL, PubMed, Wiley's Cochrane Library, and Biosis. Randomized controlled trials (RCTs) and observational studies were included. Pooled estimates of outcomes were determined when appropriate.\nRESULTS: Of the 654 citations identified, 157 articles underwent full-text review. Data were abstracted from twelve publications (six RCTs and six comparative observational studies). Pooled analysis of the RCT and observational data showed that treatment with HBOT reduced the risk of major amputation by 60 percent (p = .29) and 61 percent (p = .003) compared with standard wound care, respectively. The RCT data revealed that the relative risk of having an unhealed wound following HBOT was 0.54 (p = .10) and 0.24 (p &lt; .0001) based on observational data.\nCONCLUSIONS: Due to the limited RCT evidence, it is not possible to conclusively establish the benefits and harms of treating diabetic lower limb ulcers with HBOT. No significant effects on amputation rates were found in the RCT evidence and in the high quality studies, no difference was found.","container-title":"International Journal of Technology Assessment in Health Care","issue":"3","journalAbbreviation":"Int J Technol Assess Health Care","language":"eng","note":"PMID: 23863187","page":"269-281","title":"Hyperbaric oxygen therapy for diabetic ulcers: systematic review and meta-analysis","volume":"29","author":[{"family":"O'Reilly","given":"Daria"},{"family":"Pasricha","given":"Anjori"},{"family":"Campbell","given":"Kaitryn"},{"family":"Burke","given":"Natasha"},{"family":"Assasi","given":"Nazila"},{"family":"Bowen","given":"James M."},{"family":"Tarride","given":"Jean-Eric"},{"family":"Goeree","given":"Ron"}],"issued":{"date-parts":[["2013",7]]}}},{"id":47183,"uris":["http://zotero.org/users/5328021/items/XPPKEJ4U"],"uri":["http://zotero.org/users/5328021/items/XPPKEJ4U"],"itemData":{"id":47183,"type":"article-journal","abstract":"PURPOSE: The efficacy and safety profile of hyperbaric oxygen therapy (HBOT) in patients with diabetic foot ulcer have been controversial in recent years. Our meta-analysis was undertaken to evaluate the efficacy and safety profile of HBOT in patients with diabetic foot ulcer.\nMETHODS: We searched the PubMed, Cochrane Library, EMBASE, and Clinical Trials.gov databases for controlled trials. The efficacy end points included the incidence of healed ulcers, major amputations, minor amputations, and reduction in the ulcer wound area. The tolerability end point was the incidence of adverse events.\nFINDINGS: Nine randomized clinical trials involving 526 patients met the inclusion criteria. No difference was found in the incidence of healed ulcers (risk ratio [RR] = 2.22; 95% CI, 0.87-5.62; P = 0.32; I2 = 81%), minor amputations (RR = 0.95; 95% CI, 0.39-2.29; P = 0.91; I2 = 74%), major amputations (RR = 0.47; 95% CI, 0.17-1.28; P = 0.14; I2 = 61%), and adverse events (RR = 1.00; 95% CI, 0.64-1.56; P = 0.99; I2 = 26%) between the HBOT and standard therapy (ST) groups. HBOT was associated with a greater reduction in the ulcer wound area versus ST (standard mean difference = 1.12; 95% CI, 0.20-2.04; P = 0.04; I2 = 70%).\nIMPLICATIONS: No differences existed between HBOT and ST with respect to the incidence of healed ulcers, risk of minor or major amputations, and adverse events. HBOT was associated with a greater reduction in the ulcer wound area than ST. HBOT is a clinically meaningful adjuvant therapy for patients with diabetic foot ulcer.","container-title":"Clinical Therapeutics","issue":"10","journalAbbreviation":"Clin Ther","language":"eng","note":"PMID: 28935291","page":"2088-2094.e2","title":"Efficacy and Safety of Hyperbaric Oxygen Therapy Used in Patients With Diabetic Foot: A Meta-analysis of Randomized Clinical Trials","volume":"39","author":[{"family":"Zhao","given":"Di"},{"family":"Luo","given":"Shaowei"},{"family":"Xu","given":"Wencan"},{"family":"Hu","given":"Jun"},{"family":"Lin","given":"Shaoda"},{"family":"Wang","given":"Nasui"}],"issued":{"date-parts":[["2017",10]]}}},{"id":49815,"uris":["http://zotero.org/users/5328021/items/QGSAV92U"],"uri":["http://zotero.org/users/5328021/items/QGSAV92U"],"itemData":{"id":49815,"type":"article-journal","abstract":"BACKGROUND: Chronic wounds are common and present a health problem with significant effect on quality of life. Various pathologies may cause tissue breakdown, including poor blood supply resulting in inadequate oxygenation of the wound bed. Hyperbaric oxygen therapy (HBOT) has been suggested to improve oxygen supply to wounds and therefore improve their healing.\nOBJECTIVES: To assess the benefits and harms of adjunctive HBOT for treating chronic ulcers of the lower limb.\nSEARCH METHODS: For this second update we searched the Cochrane Wounds Group Specialised Register (searched 18 February 2015); the Cochrane Central Register of Controlled Trials (CENTRAL) (The Cochrane Library 2015, Issue 1); Ovid MEDLINE (1946 to 17 February 2015); Ovid MEDLINE (In-Process &amp; Other Non-Indexed Citations, 17 February 2015); Ovid EMBASE (1974 to 17 February 2015); and EBSCO CINAHL (1982 to 17 February 2015).\nSELECTION CRITERIA: Randomised controlled trials (RCTs) comparing the effect on chronic wound healing of therapeutic regimens which include HBOT with those that exclude HBOT (with or without sham therapy).\nDATA COLLECTION AND ANALYSIS: Three review authors independently evaluated the risk of bias of the relevant trials using the Cochrane methodology and extracted the data from the included trials. We resolved any disagreement by discussion.\nMAIN RESULTS: We included twelve trials (577 participants). Ten trials (531 participants) enrolled people with a diabetic foot ulcer: pooled data of five trials with 205 participants showed an increase in the rate of ulcer healing (risk ratio (RR) 2.35, 95% confidence interval (CI) 1.19 to 4.62; P = 0.01) with HBOT at six weeks but this benefit was not evident at longer-term follow-up at one year. There was no statistically significant difference in major amputation rate (pooled data of five trials with 312 participants, RR 0.36, 95% CI 0.11 to 1.18). One trial (16 participants) considered venous ulcers and reported data at six weeks (wound size reduction) and 18 weeks (wound size reduction and number of ulcers healed) and suggested a significant benefit of HBOT in terms of reduction in ulcer area only at six weeks (mean difference (MD) 33.00%, 95% CI 18.97 to 47.03, P &lt; 0.00001). We identified one trial (30 participants) which enrolled patients with non-healing diabetic ulcers as well as venous ulcers (\"mixed ulcers types\") and patients were treated for 30 days. For this \"mixed ulcers\" there was a significant benefit of HBOT in terms of reduction in ulcer area at the end of treatment (30 days) (MD 61.88%, 95% CI 41.91 to 81.85, P &lt; 0.00001). We did not identify any trials that considered arterial and pressure ulcers.\nAUTHORS' CONCLUSIONS: In people with foot ulcers due to diabetes, HBOT significantly improved the ulcers healed in the short term but not the long term and the trials had various flaws in design and/or reporting that means we are not confident in the results. More trials are needed to properly evaluate HBOT in people with chronic wounds; these trials must be adequately powered and designed to minimise all kinds of bias.","container-title":"The Cochrane Database of Systematic Reviews","issue":"6","journalAbbreviation":"Cochrane Database Syst Rev","language":"eng","note":"PMID: 26106870","page":"CD004123","title":"Hyperbaric oxygen therapy for chronic wounds","author":[{"family":"Kranke","given":"Peter"},{"family":"Bennett","given":"Michael H."},{"family":"Martyn-St James","given":"Marrissa"},{"family":"Schnabel","given":"Alexander"},{"family":"Debus","given":"Sebastian E."},{"family":"Weibel","given":"Stephanie"}],"issued":{"date-parts":[["2015",6,24]]}}},{"id":49463,"uris":["http://zotero.org/users/5328021/items/FHTTU4VG"],"uri":["http://zotero.org/users/5328021/items/FHTTU4VG"],"itemData":{"id":49463,"type":"article-journal","abstract":"OBJECTIVE: Hyperbaric oxygen therapy (HBOT) is used for the treatment of chronic diabetic foot ulcers (DFUs). The controlled evidence for the efficacy of this treatment is limited. The goal of this study was to assess the efficacy of HBOT in reducing the need for major amputation and improving wound healing in patients with diabetes and chronic DFUs.\nRESEARCH DESIGN AND METHODS: Patients with diabetes and foot lesions (Wagner grade 2-4) of at least 4 weeks' duration participated in this study. In addition to comprehensive wound care, participants were randomly assigned to receive 30 daily sessions of 90 min of HBOT (breathing oxygen at 244 kPa) or sham (breathing air at 125 kPa). Patients, physicians, and researchers were blinded to group assignment. At 12 weeks postrandomization, the primary outcome was freedom from meeting the criteria for amputation as assessed by a vascular surgeon. Secondary outcomes were measures of wound healing.\nRESULTS: One hundred fifty-seven patients were assessed for eligibility, with 107 randomly assigned and 103 available for end point adjudication. Criteria for major amputation were met in 13 of 54 patients in the sham group and 11 of 49 in the HBOT group (odds ratio 0.91 [95% CI 0.37, 2.28], P = 0.846). Twelve (22%) patients in the sham group and 10 (20%) in the HBOT group were healed (0.90 [0.35, 2.31], P = 0.823). All other indices of wound healing were also not statistically significantly different between groups.\nCONCLUSIONS: HBOT does not offer an additional advantage to comprehensive wound care in reducing the indication for amputation or facilitating wound healing in patients with chronic DFUs.","container-title":"Diabetes Care","issue":"3","journalAbbreviation":"Diabetes Care","language":"eng","note":"PMID: 26740639","page":"392-399","title":"Hyperbaric Oxygen Therapy Does Not Reduce Indications for Amputation in Patients With Diabetes With Nonhealing Ulcers of the Lower Limb: A Prospective, Double-Blind, Randomized Controlled Clinical Trial","volume":"39","author":[{"family":"Fedorko","given":"Ludwik"},{"family":"Bowen","given":"James M."},{"family":"Jones","given":"Wilhelmine"},{"family":"Oreopoulos","given":"George"},{"family":"Goeree","given":"Ron"},{"family":"Hopkins","given":"Robert B."},{"family":"O'Reilly","given":"Daria J."}],"issued":{"date-parts":[["2016",3]]}}}],"schema":"https://github.com/citation-style-language/schema/raw/master/csl-citation.json"}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(130,131,134,135,139)</w:t>
            </w:r>
            <w:r w:rsidRPr="00CA32B9">
              <w:rPr>
                <w:rFonts w:asciiTheme="minorHAnsi" w:hAnsiTheme="minorHAnsi" w:cstheme="minorHAnsi"/>
                <w:szCs w:val="20"/>
                <w:lang w:val="en-US"/>
              </w:rPr>
              <w:fldChar w:fldCharType="end"/>
            </w:r>
          </w:p>
        </w:tc>
      </w:tr>
      <w:tr w:rsidR="00F64C02" w14:paraId="706076DE" w14:textId="77777777" w:rsidTr="00F64C02">
        <w:tc>
          <w:tcPr>
            <w:tcW w:w="9060" w:type="dxa"/>
            <w:gridSpan w:val="4"/>
            <w:vAlign w:val="center"/>
          </w:tcPr>
          <w:p w14:paraId="197D20CF" w14:textId="11817667" w:rsidR="00F64C02" w:rsidRDefault="00F64C02" w:rsidP="00F64C02">
            <w:pPr>
              <w:jc w:val="left"/>
              <w:rPr>
                <w:lang w:val="en-US"/>
              </w:rPr>
            </w:pPr>
            <w:r w:rsidRPr="00CA32B9">
              <w:rPr>
                <w:rFonts w:asciiTheme="minorHAnsi" w:hAnsiTheme="minorHAnsi" w:cstheme="minorHAnsi"/>
                <w:b/>
                <w:szCs w:val="20"/>
                <w:lang w:val="en-US"/>
              </w:rPr>
              <w:t>Quality of life</w:t>
            </w:r>
          </w:p>
        </w:tc>
      </w:tr>
      <w:tr w:rsidR="00F64C02" w14:paraId="184DFE0C" w14:textId="77777777" w:rsidTr="00F64C02">
        <w:tc>
          <w:tcPr>
            <w:tcW w:w="2830" w:type="dxa"/>
            <w:vAlign w:val="center"/>
          </w:tcPr>
          <w:p w14:paraId="6D1FADCF" w14:textId="1BC7B1DD" w:rsidR="00F64C02" w:rsidRDefault="00F64C02" w:rsidP="00F64C02">
            <w:pPr>
              <w:jc w:val="center"/>
              <w:rPr>
                <w:lang w:val="en-US"/>
              </w:rPr>
            </w:pPr>
            <w:r w:rsidRPr="00CA32B9">
              <w:rPr>
                <w:rFonts w:asciiTheme="minorHAnsi" w:hAnsiTheme="minorHAnsi" w:cstheme="minorHAnsi"/>
                <w:szCs w:val="20"/>
                <w:lang w:val="en-US"/>
              </w:rPr>
              <w:t>3 studies (II)</w:t>
            </w:r>
          </w:p>
        </w:tc>
        <w:tc>
          <w:tcPr>
            <w:tcW w:w="1460" w:type="dxa"/>
            <w:vAlign w:val="center"/>
          </w:tcPr>
          <w:p w14:paraId="735BC7B2" w14:textId="56FF1E16" w:rsidR="00F64C02" w:rsidRDefault="00F64C02" w:rsidP="00F64C02">
            <w:pPr>
              <w:jc w:val="center"/>
              <w:rPr>
                <w:lang w:val="en-US"/>
              </w:rPr>
            </w:pPr>
            <w:r w:rsidRPr="00CA32B9">
              <w:rPr>
                <w:rFonts w:asciiTheme="minorHAnsi" w:hAnsiTheme="minorHAnsi" w:cstheme="minorHAnsi"/>
                <w:szCs w:val="20"/>
                <w:lang w:val="en-US"/>
              </w:rPr>
              <w:t>5,6</w:t>
            </w:r>
          </w:p>
        </w:tc>
        <w:tc>
          <w:tcPr>
            <w:tcW w:w="2151" w:type="dxa"/>
            <w:vMerge w:val="restart"/>
            <w:vAlign w:val="center"/>
          </w:tcPr>
          <w:p w14:paraId="2308EE47" w14:textId="143211AE" w:rsidR="00F64C02" w:rsidRDefault="00F64C02" w:rsidP="00F64C02">
            <w:pPr>
              <w:jc w:val="center"/>
              <w:rPr>
                <w:lang w:val="en-US"/>
              </w:rPr>
            </w:pPr>
            <w:r w:rsidRPr="00CA32B9">
              <w:rPr>
                <w:rFonts w:asciiTheme="minorHAnsi" w:hAnsiTheme="minorHAnsi" w:cstheme="minorHAnsi"/>
                <w:szCs w:val="20"/>
                <w:lang w:val="en-US"/>
              </w:rPr>
              <w:t>Low</w:t>
            </w:r>
          </w:p>
        </w:tc>
        <w:tc>
          <w:tcPr>
            <w:tcW w:w="2619" w:type="dxa"/>
            <w:vAlign w:val="center"/>
          </w:tcPr>
          <w:p w14:paraId="28A9E1F3" w14:textId="3B10469F" w:rsidR="00F64C02" w:rsidRDefault="00F64C02" w:rsidP="00F64C02">
            <w:pPr>
              <w:jc w:val="center"/>
              <w:rPr>
                <w:lang w:val="en-US"/>
              </w:rPr>
            </w:pPr>
            <w:r w:rsidRPr="00CA32B9">
              <w:rPr>
                <w:rFonts w:asciiTheme="minorHAnsi" w:hAnsiTheme="minorHAnsi" w:cstheme="minorHAnsi"/>
                <w:szCs w:val="20"/>
                <w:lang w:val="en-US"/>
              </w:rPr>
              <w:fldChar w:fldCharType="begin"/>
            </w:r>
            <w:r w:rsidR="007155CA">
              <w:rPr>
                <w:rFonts w:asciiTheme="minorHAnsi" w:hAnsiTheme="minorHAnsi" w:cstheme="minorHAnsi"/>
                <w:szCs w:val="20"/>
                <w:lang w:val="en-US"/>
              </w:rPr>
              <w:instrText xml:space="preserve"> ADDIN ZOTERO_ITEM CSL_CITATION {"citationID":"dUvBhwEX","properties":{"formattedCitation":"(127,138,140)","plainCitation":"(127,138,140)","noteIndex":0},"citationItems":[{"id":47164,"uris":["http://zotero.org/users/5328021/items/A5QPKBU6"],"uri":["http://zotero.org/users/5328021/items/A5QPKBU6"],"itemData":{"id":47164,"type":"article-journal","abstract":"PURPOSE: The purpose of this study was to compare the effect of standard wound care with adjunctive hyperbaric oxygen therapy (HBOT) to standard wound care alone on wound healing, markers of inflammation, glycemic control, amputation rate, survival rate of tissue, and health-related quality of life in patients with diabetic foot ulcers (DFUs).\nDESIGN: Prospective, randomized, open-label, controlled study.\nSUBJECTS AND SETTING: The sample comprised 38 patients with nonhealing DFUs who were deemed poor candidates for vascular surgery. Subjects were randomly allocated to an experimental group (standard care plus HBOT, n = 20) or a control group (standard care alone, n = 18). The study setting was a medical center in Kaohsiung City, Taiwan.\nMETHODS: Hyperbaric oxygen therapy was administered in a hyperbaric chamber under 2.5 absolute atmospheric pressure for 120 minutes; subjects were treated 5 days a week for 4 consecutive weeks. Both groups received standard wound care including debridement of necrotic tissue, topical therapy for Wagner grade 2 DFUs, dietary control and pharmacotherapy to maintain optimal blood glucose levels. Wound physiological indices were measured and blood tests (eg, markers of inflammation) were undertaken. Health-related quality of life was measured using the Medical Outcomes Study 36-Item Short Form.\nRESULTS: Complete DFU closure was achieved in 5 patients (25%) in the HBOT group (n = 20) versus 1 participant (5.5%) in the routine care group (n = 18) (P = .001). The amputation rate was 5% for the HBOT group and 11% for the routine care group (χ = 15.204, P = .010). The HBOT group showed statistically significant improvements in inflammation index, blood flow, and health-related quality of life from pretreatment to 2 weeks after the last therapy ended (P &lt; .05). Hemoglobin A1c was significantly lower in the HBOT group following treatment (P &lt; .05) but not in the routine care group.\nCONCLUSIONS: Adjunctive HBOT improved wound healing in persons with DFU. Therapy also reduced the risk of amputation of the affected limb. We assert that at least 20 HBOT sessions are required to be effective.","container-title":"Journal of Wound, Ostomy, and Continence Nursing: Official Publication of The Wound, Ostomy and Continence Nurses Society","issue":"6","journalAbbreviation":"J Wound Ostomy Continence Nurs","language":"eng","note":"PMID: 28968346","page":"536-545","title":"Adjunctive Hyperbaric Oxygen Therapy for Healing of Chronic Diabetic Foot Ulcers: A Randomized Controlled Trial","volume":"44","author":[{"family":"Chen","given":"Chen-Yu"},{"family":"Wu","given":"Re-Wen"},{"family":"Hsu","given":"Mei-Chi"},{"family":"Hsieh","given":"Ching-Jung"},{"family":"Chou","given":"Man-Chun"}],"issued":{"date-parts":[["2017",12]]}}},{"id":74881,"uris":["http://zotero.org/users/5328021/items/IFDAI292"],"uri":["http://zotero.org/users/5328021/items/IFDAI292"],"itemData":{"id":74881,"type":"article-journal","abstract":"Hyperbaric oxygen therapy (HBOT) was established to increase oxygenation and antimicrobial effect that potentially improve the healing of chronic ulcer. Present study aim to assess the effects of HBOT in chronic diabetic foot ulcer (DFU). A total of sixty patients classified according to Wagner 1, 2 or 3 chronic diabetic foot ulcers, were recruited and subsequently divided randomly into two groups; HBOT and control group. All patients underwent the standard treatment for DFU, but for the HBOT group, underwent 20 HBOT sessions, each lasted 80 - 90 mins at 2.5 atmospheres absolute (ATA). White cell count (WCC) and C-reactive protein (CRP) levels were taken during inclusion, at second and fourth week of treatment. Wound sizes were documented at each follow up until six months follow up. SF-36 at one-month post hyperbaric oxygen therapy was used to measure the health-related quality of life. Reduction of WCC and CRP in HBOT group were significant throughout the treatment (p=0.046 and p=0.039, respectively). A total of 26 patients (86.7%) from the HBOT group achieved complete ulcer healing at six months' follow-up, while 18 patients (60%) in the control group's ulcer healed completely. Patients treated with HBOT had significantly better mental and physical health constituent of quality of life. It must be emphasised that HBOT is an adjunctive therapy to the standard management of chronic DFU in accelerating wound healing for a better quality of life.","archive":"cin20","container-title":"Medicine &amp; Health (Universiti Kebangsaan Malaysia)","issue":"2","journalAbbreviation":"Medicine &amp; Health (Universiti Kebangsaan Malaysia)","page":"210-219","source":"EBSCOhost","title":"The Physiological, Biochemical and Quality of Life Changes in Chronic Diabetic Foot Ulcer after Hyperbaric Oxygen Therapy.","volume":"12","author":[{"family":"MOHD YAZID","given":"B."},{"family":"AYESYAH","given":"A."},{"family":"NURHANANI","given":"A. B."},{"family":"MOHD ROHAIZAT","given":"H."}],"issued":{"date-parts":[["2017",7]]}}},{"id":55524,"uris":["http://zotero.org/users/5328021/items/JBDJGL6F"],"uri":["http://zotero.org/users/5328021/items/JBDJGL6F"],"itemData":{"id":55524,"type":"article-journal","abstract":"AIMS: Adjunctive treatment with hyperbaric oxygen therapy has recently been shown to improve ulcer healing in patients with chronic diabetic foot ulcer. The aim of the present study is to evaluate whether hyperbaric oxygen therapy improves the health related quality of life in these patients.\nMETHODS: Prospective randomized placebo-controlled double-blinded study setting using SF-36.\nRESULTS: A total of 75 patients were included in the study; 38 were randomized to hyperbaric oxygen therapy and 37 to placebo (hyperbaric air). The overall mean physical and mental summary scores for the entire study population at baseline were 29.6 ± 8.8 and 47.5 ± 12.4, respectively. There was a significant difference between baseline and 1 year follow-up responses to the mental summary score and two of the eight (SF-36) (?) domains in the -hyperbaric oxygen group, whereas no significant improvement of health related quality of life was seen in the placebo group. Comparing quality of life in patients who healed their ulcer (healers) with those who did not (non-healers), post-treatment levels of the mental health summary score, social functioning and role limitations due to physical and emotional health were significantly improved in healers. No differences were seen in any SF-36 (?) domain in non-healers.\nCONCLUSIONS: Hyperbaric oxygen therapy improves long-term health related quality of life in patients with chronic diabetic foot ulcers, possibly attributable to better ulcer healing.","container-title":"Diabetic Medicine: A Journal of the British Diabetic Association","issue":"2","journalAbbreviation":"Diabet. Med.","language":"eng","note":"PMID: 21219427","page":"186-190","title":"Hyperbaric oxygen therapy improves health-related quality of life in patients with diabetes and chronic foot ulcer","volume":"28","author":[{"family":"Löndahl","given":"M."},{"family":"Landin-Olsson","given":"M."},{"family":"Katzman","given":"P."}],"issued":{"date-parts":[["2011",2]]}}}],"schema":"https://github.com/citation-style-language/schema/raw/master/csl-citation.json"} </w:instrText>
            </w:r>
            <w:r w:rsidRPr="00CA32B9">
              <w:rPr>
                <w:rFonts w:asciiTheme="minorHAnsi" w:hAnsiTheme="minorHAnsi" w:cstheme="minorHAnsi"/>
                <w:szCs w:val="20"/>
                <w:lang w:val="en-US"/>
              </w:rPr>
              <w:fldChar w:fldCharType="separate"/>
            </w:r>
            <w:r w:rsidR="007155CA" w:rsidRPr="007155CA">
              <w:rPr>
                <w:rFonts w:cs="Arial"/>
              </w:rPr>
              <w:t>(127,138,140)</w:t>
            </w:r>
            <w:r w:rsidRPr="00CA32B9">
              <w:rPr>
                <w:rFonts w:asciiTheme="minorHAnsi" w:hAnsiTheme="minorHAnsi" w:cstheme="minorHAnsi"/>
                <w:szCs w:val="20"/>
                <w:lang w:val="en-US"/>
              </w:rPr>
              <w:fldChar w:fldCharType="end"/>
            </w:r>
          </w:p>
        </w:tc>
      </w:tr>
      <w:tr w:rsidR="00F64C02" w14:paraId="63C44D0C" w14:textId="77777777" w:rsidTr="00F64C02">
        <w:tc>
          <w:tcPr>
            <w:tcW w:w="2830" w:type="dxa"/>
            <w:vAlign w:val="center"/>
          </w:tcPr>
          <w:p w14:paraId="6914861B" w14:textId="3A3B5B96"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1 study (II)</w:t>
            </w:r>
          </w:p>
        </w:tc>
        <w:tc>
          <w:tcPr>
            <w:tcW w:w="1460" w:type="dxa"/>
            <w:vAlign w:val="center"/>
          </w:tcPr>
          <w:p w14:paraId="53699944" w14:textId="12354E94" w:rsidR="00F64C02" w:rsidRDefault="00F64C02" w:rsidP="00F64C02">
            <w:pPr>
              <w:jc w:val="center"/>
              <w:rPr>
                <w:lang w:val="en-US"/>
              </w:rPr>
            </w:pPr>
            <w:r w:rsidRPr="00CA32B9">
              <w:rPr>
                <w:rFonts w:asciiTheme="minorHAnsi" w:hAnsiTheme="minorHAnsi" w:cstheme="minorHAnsi"/>
                <w:color w:val="9A9B9D" w:themeColor="text1" w:themeTint="99"/>
                <w:szCs w:val="20"/>
                <w:lang w:val="en-US"/>
              </w:rPr>
              <w:t>7</w:t>
            </w:r>
          </w:p>
        </w:tc>
        <w:tc>
          <w:tcPr>
            <w:tcW w:w="2151" w:type="dxa"/>
            <w:vMerge/>
            <w:vAlign w:val="center"/>
          </w:tcPr>
          <w:p w14:paraId="1529AF48" w14:textId="77777777" w:rsidR="00F64C02" w:rsidRDefault="00F64C02" w:rsidP="00F64C02">
            <w:pPr>
              <w:jc w:val="center"/>
              <w:rPr>
                <w:lang w:val="en-US"/>
              </w:rPr>
            </w:pPr>
          </w:p>
        </w:tc>
        <w:tc>
          <w:tcPr>
            <w:tcW w:w="2619" w:type="dxa"/>
            <w:vAlign w:val="center"/>
          </w:tcPr>
          <w:p w14:paraId="7B360E02" w14:textId="22144960"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dJp361tr","properties":{"formattedCitation":"(141)","plainCitation":"(141)","noteIndex":0},"citationItems":[{"id":47402,"uris":["http://zotero.org/users/5328021/items/RDQCEDTC"],"uri":["http://zotero.org/users/5328021/items/RDQCEDTC"],"itemData":{"id":47402,"type":"article-journal","abstract":"AIMS: To investigate the effect of hyperbaric oxygen therapy on health-related quality of life (HRQoL) in participants with diabetes and chronic foot ulcers.\nMETHODS: Using data from a randomized controlled trial, we included 103 participants (49 in hyperbaric oxygen therapy group and 54 in sham group) for analyses. The primary outcome was HRQoL as measured by the EQ-5D-3L instrument, while secondary outcomes included quality of life evaluated by the Short Form 36 (SF-36) and Diabetic Foot Ulcers Scale-Short Form (DFS-SF). We used the analysis of covariance to assess whether the EQ-5D index values in hyperbaric oxygen therapy group differed from the sham group. Logistic regression was used to assess the relationship between hyperbaric oxygen therapy and the responses of 'problems' for the EQ-5D health states.\nRESULTS: No significant differences in EQ-5D index values were found between the hyperbaric oxygen therapy and sham groups: 0.01 (95% CI -0.25, 0.28; p = 0.93) at week 12; 0.07 (95% CI -0.21, 0.34; p = 0.64) at week 6. Hyperbaric oxygen therapy was found to be associated with fewer participants reporting 'problems' in mobility (OR 0.24, 95% CI 0.07, 0.85 at week 12) and pain or discomfort (OR 0.20, 95% CI 0.07, 0.61 at week 6; OR 0.32, 95% CI 0.11, 0.97 at week 12), compared with the sham group. No significant differences in SF-36 or DFS-SF were observed.\nCONCLUSIONS: No significant effect of hyperbaric oxygen therapy on HRQoL measured by EQ-5D index value was found in this study. Due to the potential insufficient power to assess statistical difference, more large-scale research is needed to further evaluate the effect of hyperbaric oxygen therapy on HRQoL in participants with chronic diabetic foot ulcers.","container-title":"Acta Diabetologica","issue":"9","journalAbbreviation":"Acta Diabetol","language":"eng","note":"PMID: 28603808","page":"823-831","title":"Relationship between hyperbaric oxygen therapy and quality of life in participants with chronic diabetic foot ulcers: data from a randomized controlled trial","volume":"54","author":[{"family":"Li","given":"Guowei"},{"family":"Hopkins","given":"Robert B."},{"family":"Levine","given":"Mitchell A. H."},{"family":"Jin","given":"Xuejing"},{"family":"Bowen","given":"James M."},{"family":"Thabane","given":"Lehana"},{"family":"Goeree","given":"Ron"},{"family":"Fedorko","given":"Ludwik"},{"family":"O'Reilly","given":"Daria J."}],"issued":{"date-parts":[["2017",9]]}}}],"schema":"https://github.com/citation-style-language/schema/raw/master/csl-citation.json"}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(141)</w:t>
            </w:r>
            <w:r w:rsidRPr="00CA32B9">
              <w:rPr>
                <w:rFonts w:asciiTheme="minorHAnsi" w:hAnsiTheme="minorHAnsi" w:cstheme="minorHAnsi"/>
                <w:szCs w:val="20"/>
                <w:lang w:val="en-US"/>
              </w:rPr>
              <w:fldChar w:fldCharType="end"/>
            </w:r>
          </w:p>
        </w:tc>
      </w:tr>
      <w:tr w:rsidR="00F64C02" w14:paraId="00D241E4" w14:textId="77777777" w:rsidTr="00F64C02">
        <w:tc>
          <w:tcPr>
            <w:tcW w:w="9060" w:type="dxa"/>
            <w:gridSpan w:val="4"/>
            <w:vAlign w:val="center"/>
          </w:tcPr>
          <w:p w14:paraId="706C2B9E" w14:textId="27EB7B17" w:rsidR="00F64C02" w:rsidRDefault="00F64C02" w:rsidP="00F64C02">
            <w:pPr>
              <w:jc w:val="left"/>
              <w:rPr>
                <w:lang w:val="en-US"/>
              </w:rPr>
            </w:pPr>
            <w:r w:rsidRPr="00CA32B9">
              <w:rPr>
                <w:rFonts w:asciiTheme="minorHAnsi" w:hAnsiTheme="minorHAnsi" w:cstheme="minorHAnsi"/>
                <w:b/>
                <w:szCs w:val="20"/>
                <w:lang w:val="en-US"/>
              </w:rPr>
              <w:t>Cost-effectiveness</w:t>
            </w:r>
          </w:p>
        </w:tc>
      </w:tr>
      <w:tr w:rsidR="00F64C02" w:rsidRPr="00166EC2" w14:paraId="22C36243" w14:textId="77777777" w:rsidTr="00F64C02">
        <w:tc>
          <w:tcPr>
            <w:tcW w:w="2830" w:type="dxa"/>
            <w:vAlign w:val="center"/>
          </w:tcPr>
          <w:p w14:paraId="1F823F23" w14:textId="304ECC18" w:rsidR="00F64C02" w:rsidRDefault="00F64C02" w:rsidP="00F64C02">
            <w:pPr>
              <w:jc w:val="center"/>
              <w:rPr>
                <w:lang w:val="en-US"/>
              </w:rPr>
            </w:pPr>
            <w:r w:rsidRPr="00CA32B9">
              <w:rPr>
                <w:rFonts w:asciiTheme="minorHAnsi" w:hAnsiTheme="minorHAnsi" w:cstheme="minorHAnsi"/>
                <w:szCs w:val="20"/>
                <w:lang w:val="en-US"/>
              </w:rPr>
              <w:t>1 study (I) - 1 study (III)</w:t>
            </w:r>
          </w:p>
        </w:tc>
        <w:tc>
          <w:tcPr>
            <w:tcW w:w="1460" w:type="dxa"/>
            <w:vAlign w:val="center"/>
          </w:tcPr>
          <w:p w14:paraId="62BCE2C0" w14:textId="59F890F4" w:rsidR="00F64C02" w:rsidRDefault="00F64C02" w:rsidP="00F64C02">
            <w:pPr>
              <w:jc w:val="center"/>
              <w:rPr>
                <w:lang w:val="en-US"/>
              </w:rPr>
            </w:pPr>
            <w:r w:rsidRPr="00CA32B9">
              <w:rPr>
                <w:rFonts w:asciiTheme="minorHAnsi" w:hAnsiTheme="minorHAnsi" w:cstheme="minorHAnsi"/>
                <w:szCs w:val="20"/>
                <w:lang w:val="en-US"/>
              </w:rPr>
              <w:t>3,5</w:t>
            </w:r>
          </w:p>
        </w:tc>
        <w:tc>
          <w:tcPr>
            <w:tcW w:w="2151" w:type="dxa"/>
            <w:vAlign w:val="center"/>
          </w:tcPr>
          <w:p w14:paraId="0353D312" w14:textId="72235065" w:rsidR="00F64C02" w:rsidRDefault="00F64C02" w:rsidP="00F64C02">
            <w:pPr>
              <w:jc w:val="center"/>
              <w:rPr>
                <w:lang w:val="en-US"/>
              </w:rPr>
            </w:pPr>
            <w:r w:rsidRPr="00CA32B9">
              <w:rPr>
                <w:rFonts w:asciiTheme="minorHAnsi" w:hAnsiTheme="minorHAnsi" w:cstheme="minorHAnsi"/>
                <w:szCs w:val="20"/>
                <w:lang w:val="en-US"/>
              </w:rPr>
              <w:t>Low</w:t>
            </w:r>
          </w:p>
        </w:tc>
        <w:tc>
          <w:tcPr>
            <w:tcW w:w="2619" w:type="dxa"/>
            <w:vAlign w:val="center"/>
          </w:tcPr>
          <w:p w14:paraId="41D4FB8F" w14:textId="6BBA4AA6" w:rsidR="00F64C02" w:rsidRDefault="00F64C02" w:rsidP="00F64C02">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cYCJ5o7o","properties":{"formattedCitation":"(128,142)","plainCitation":"(128,142)","noteIndex":0},"citationItems":[{"id":47422,"uris":["http://zotero.org/users/5328021/items/5CI7TXRQ"],"uri":["http://zotero.org/users/5328021/items/5CI7TXRQ"],"itemData":{"id":47422,"type":"article-journal","abstract":"BACKGROUND: About 15% to 25% of people with diabetes will develop a foot ulcer. These wounds are often resistant to healing; therefore, people with diabetes experience lower limb amputation at about 20 times the rate of people without diabetes. If an ulcer does not heal with standard wound care, other therapeutic interventions are offered, one of which is hyperbaric oxygen therapy (HBOT). However, the effectiveness of this therapy is not clearly known. The objectives of this health technology assessment were to assess the safety, clinical effectiveness, and cost-effectiveness of standard wound care plus HBOT versus standard wound care alone for the treatment of diabetic foot ulcers. We also investigated the preferences and perspectives of people with diabetic foot ulcers through lived experience.\nMETHODS: We performed a review of the clinical and economic literature for the effectiveness and cost-effectiveness of hyperbaric oxygen therapy, as well as the budget impact of HBOT from the perspective of the Ministry of Health and Long-Term Care. We assessed the quality of the body of clinical evidence using the Grading of Recommendations Assessment, Development, and Evaluation (GRADE) Working Group criteria. To better understand the preferences, perspectives, and values of patients with diabetic foot ulcers and their experience with HBOT, we conducted interviews and administered an online survey.\nRESULTS: Seven randomized controlled trials and one nonrandomized controlled trial met the inclusion criteria. Comparing standard wound care plus HBOT with standard wound care alone, we found mixed results for major amputation rates (GRADE quality of evidence: low), a significant difference in favour of standard wound care plus HBOT on ulcers healed (GRADE quality of evidence: low), and no difference in terms of adverse events (GRADE quality of evidence: moderate). There is a large degree of uncertainty associated with the evaluation of the cost-effectiveness of standard wound care plus HBOT. However, results appear to suggest that this treatment results in lower costs and better outcomes than standard wound care alone. Funding HBOT will result in a budget impact of $4 million per year in immediate treatment costs for the Ontario Ministry of Health and Long-Term Care. This cost decreases to $0.5 million per year when downstream costs are considered. There is a substantial daily burden of care and emotional weight associated with living with diabetic foot ulcers, both of which are compounded by concern regarding possible amputation. Patients feel that HBOT is an effective treatment and reported that they were satisfied with how their ulcers healed and that this improved their quality of life.\nCONCLUSIONS: The evidence makes it difficult to draw any definitive conclusions on the clinical and cost effectiveness of standard wound care plus HBOT versus standard wound care alone for the treatment of diabetic foot ulcers.","container-title":"Ontario Health Technology Assessment Series","issue":"5","journalAbbreviation":"Ont Health Technol Assess Ser","language":"eng","note":"PMID: 28572866\nPMCID: PMC5448854","page":"1-142","title":"Hyperbaric Oxygen Therapy for the Treatment of Diabetic Foot Ulcers: A Health Technology Assessment","volume":"17","author":[{"literal":"Health Quality Ontario"}],"issued":{"date-parts":[["2017"]]}}},{"id":49318,"uris":["http://zotero.org/users/5328021/items/QJPAF92M"],"uri":["http://zotero.org/users/5328021/items/QJPAF92M"],"itemData":{"id":49318,"type":"article-journal","abstract":"We obtained costs and mortality data in two retrospective cohorts totaling 159 patients who have diabetes mellitus and onset of a diabetic foot ulcer (DFU). Data were collected from 2005 to 2013, with a follow-up period through September 30, 2014. A total of 106 patients entered an evidence-based limb salvage protocol (LSP) for Wagner Grade 3 or 4 (WG3/4) DFU and intention-to-treat adjunctive hyperbaric oxygen (HBO</w:instrText>
            </w:r>
            <w:r>
              <w:rPr>
                <w:rFonts w:ascii="Cambria Math" w:hAnsi="Cambria Math" w:cs="Cambria Math"/>
                <w:szCs w:val="20"/>
                <w:lang w:val="en-US"/>
              </w:rPr>
              <w:instrText>₂</w:instrText>
            </w:r>
            <w:r>
              <w:rPr>
                <w:rFonts w:asciiTheme="minorHAnsi" w:hAnsiTheme="minorHAnsi" w:cstheme="minorHAnsi"/>
                <w:szCs w:val="20"/>
                <w:lang w:val="en-US"/>
              </w:rPr>
              <w:instrText>) therapy. A second cohort of 53 patients had a primary lower extremity amputation (LEA), either below the knee (BKA) or above the knee (AKA) and were not part of the LSP. Ninety-six of 106 patients completed the LSP/HBO</w:instrText>
            </w:r>
            <w:r>
              <w:rPr>
                <w:rFonts w:ascii="Cambria Math" w:hAnsi="Cambria Math" w:cs="Cambria Math"/>
                <w:szCs w:val="20"/>
                <w:lang w:val="en-US"/>
              </w:rPr>
              <w:instrText>₂</w:instrText>
            </w:r>
            <w:r>
              <w:rPr>
                <w:rFonts w:asciiTheme="minorHAnsi" w:hAnsiTheme="minorHAnsi" w:cstheme="minorHAnsi"/>
                <w:szCs w:val="20"/>
                <w:lang w:val="en-US"/>
              </w:rPr>
              <w:instrText>with an average cost of USD $33,100. Eighty-eight of 96 patients (91.7%) who completed the LSP/HBO</w:instrText>
            </w:r>
            <w:r>
              <w:rPr>
                <w:rFonts w:ascii="Cambria Math" w:hAnsi="Cambria Math" w:cs="Cambria Math"/>
                <w:szCs w:val="20"/>
                <w:lang w:val="en-US"/>
              </w:rPr>
              <w:instrText>₂</w:instrText>
            </w:r>
            <w:r>
              <w:rPr>
                <w:rFonts w:asciiTheme="minorHAnsi" w:hAnsiTheme="minorHAnsi" w:cstheme="minorHAnsi"/>
                <w:szCs w:val="20"/>
                <w:lang w:val="en-US"/>
              </w:rPr>
              <w:instrText>had intact lower extremities at one year. Thirty-four of the 96 patients (35.4%) died during the follow-up period. Costs for a historical cohort of 53 patients having a primary major LEA range from USD $66,300 to USD $73,000. Twenty-five of the 53 patients (47.2%) died. The difference in cost of care and mortality between an LSP with adjunctive HBO</w:instrText>
            </w:r>
            <w:r>
              <w:rPr>
                <w:rFonts w:ascii="Cambria Math" w:hAnsi="Cambria Math" w:cs="Cambria Math"/>
                <w:szCs w:val="20"/>
                <w:lang w:val="en-US"/>
              </w:rPr>
              <w:instrText>₂</w:instrText>
            </w:r>
            <w:r>
              <w:rPr>
                <w:rFonts w:asciiTheme="minorHAnsi" w:hAnsiTheme="minorHAnsi" w:cstheme="minorHAnsi"/>
                <w:szCs w:val="20"/>
                <w:lang w:val="en-US"/>
              </w:rPr>
              <w:instrText>therapy vs. primary LEA is staggering. We conclude that an aggressive limb salvage program that includes HBO</w:instrText>
            </w:r>
            <w:r>
              <w:rPr>
                <w:rFonts w:ascii="Cambria Math" w:hAnsi="Cambria Math" w:cs="Cambria Math"/>
                <w:szCs w:val="20"/>
                <w:lang w:val="en-US"/>
              </w:rPr>
              <w:instrText>₂</w:instrText>
            </w:r>
            <w:r>
              <w:rPr>
                <w:rFonts w:asciiTheme="minorHAnsi" w:hAnsiTheme="minorHAnsi" w:cstheme="minorHAnsi"/>
                <w:szCs w:val="20"/>
                <w:lang w:val="en-US"/>
              </w:rPr>
              <w:instrText xml:space="preserve"> therapy is cost-effective.","container-title":"Undersea &amp; Hyperbaric Medicine: Journal of the Undersea and Hyperbaric Medical Society, Inc","issue":"1","journalAbbreviation":"Undersea Hyperb Med","language":"eng","note":"PMID: 27000008","page":"1-8","title":"Cost and mortality data of a regional limb salvage and hyperbaric medicine program for Wagner Grade 3 or 4 diabetic foot ulcers","volume":"43","author":[{"family":"Eggert","given":"J. V."},{"family":"Worth","given":"E. R."},{"family":"Van Gils","given":"C. C."}],"issued":{"date-parts":[["2016",2]]}}}],"schema":"https://github.com/citation-style-language/schema/raw/master/csl-citation.json"}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(128,142)</w:t>
            </w:r>
            <w:r w:rsidRPr="00CA32B9">
              <w:rPr>
                <w:rFonts w:asciiTheme="minorHAnsi" w:hAnsiTheme="minorHAnsi" w:cstheme="minorHAnsi"/>
                <w:szCs w:val="20"/>
                <w:lang w:val="en-US"/>
              </w:rPr>
              <w:fldChar w:fldCharType="end"/>
            </w:r>
          </w:p>
        </w:tc>
      </w:tr>
    </w:tbl>
    <w:p w14:paraId="1DB7B1AE" w14:textId="77777777" w:rsidR="00F64C02" w:rsidRDefault="00F64C02">
      <w:pPr>
        <w:rPr>
          <w:lang w:val="en-US"/>
        </w:rPr>
      </w:pPr>
    </w:p>
    <w:p w14:paraId="3DDDFDB6" w14:textId="77777777" w:rsidR="00F64C02" w:rsidRDefault="00F64C02">
      <w:pPr>
        <w:rPr>
          <w:lang w:val="en-US"/>
        </w:rPr>
      </w:pPr>
      <w:r>
        <w:rPr>
          <w:lang w:val="en-US"/>
        </w:rPr>
        <w:br w:type="page"/>
      </w:r>
    </w:p>
    <w:p w14:paraId="7565B703" w14:textId="12B387DB" w:rsidR="00F64C02" w:rsidRPr="00F64C02" w:rsidRDefault="00F64C02" w:rsidP="00F64C02">
      <w:pPr>
        <w:pStyle w:val="Caption"/>
        <w:keepNext/>
        <w:rPr>
          <w:bCs w:val="0"/>
          <w:color w:val="58595B" w:themeColor="text1"/>
          <w:szCs w:val="20"/>
          <w:lang w:val="en-US"/>
        </w:rPr>
      </w:pPr>
      <w:r>
        <w:rPr>
          <w:bCs w:val="0"/>
          <w:color w:val="58595B" w:themeColor="text1"/>
          <w:szCs w:val="20"/>
          <w:lang w:val="en-US"/>
        </w:rPr>
        <w:t>Additional table 5 (continued)</w:t>
      </w:r>
    </w:p>
    <w:tbl>
      <w:tblPr>
        <w:tblStyle w:val="TableGridLight1"/>
        <w:tblW w:w="0" w:type="auto"/>
        <w:tblLook w:val="04A0" w:firstRow="1" w:lastRow="0" w:firstColumn="1" w:lastColumn="0" w:noHBand="0" w:noVBand="1"/>
      </w:tblPr>
      <w:tblGrid>
        <w:gridCol w:w="2830"/>
        <w:gridCol w:w="1157"/>
        <w:gridCol w:w="2009"/>
        <w:gridCol w:w="3064"/>
      </w:tblGrid>
      <w:tr w:rsidR="0056668F" w:rsidRPr="00166EC2" w14:paraId="3FC05A7C" w14:textId="77777777" w:rsidTr="0056668F">
        <w:tc>
          <w:tcPr>
            <w:tcW w:w="9060" w:type="dxa"/>
            <w:gridSpan w:val="4"/>
            <w:shd w:val="clear" w:color="auto" w:fill="D4F1D3" w:themeFill="background2" w:themeFillTint="33"/>
            <w:vAlign w:val="center"/>
          </w:tcPr>
          <w:p w14:paraId="2955F79B" w14:textId="77777777" w:rsidR="0056668F" w:rsidRPr="00CA32B9" w:rsidRDefault="0056668F" w:rsidP="0056668F">
            <w:pPr>
              <w:pStyle w:val="BodySciensano"/>
              <w:jc w:val="center"/>
              <w:rPr>
                <w:rFonts w:asciiTheme="minorHAnsi" w:hAnsiTheme="minorHAnsi" w:cstheme="minorHAnsi"/>
                <w:b/>
                <w:bCs/>
                <w:color w:val="56575A"/>
                <w:szCs w:val="20"/>
                <w:lang w:val="en-US"/>
              </w:rPr>
            </w:pPr>
            <w:r w:rsidRPr="00CA32B9">
              <w:rPr>
                <w:rFonts w:asciiTheme="minorHAnsi" w:hAnsiTheme="minorHAnsi" w:cstheme="minorHAnsi"/>
                <w:b/>
                <w:bCs/>
                <w:color w:val="56575A"/>
                <w:szCs w:val="20"/>
                <w:lang w:val="en-US"/>
              </w:rPr>
              <w:t>Treatment with systematic hyperbaric oxygen in people with DFU</w:t>
            </w:r>
          </w:p>
          <w:p w14:paraId="06DBF7DC" w14:textId="6208B392" w:rsidR="0056668F" w:rsidRDefault="0056668F" w:rsidP="0056668F">
            <w:pPr>
              <w:jc w:val="center"/>
              <w:rPr>
                <w:lang w:val="en-US"/>
              </w:rPr>
            </w:pPr>
            <w:r w:rsidRPr="00CA32B9">
              <w:rPr>
                <w:rFonts w:asciiTheme="minorHAnsi" w:hAnsiTheme="minorHAnsi" w:cstheme="minorHAnsi"/>
                <w:b/>
                <w:bCs/>
                <w:color w:val="56575A"/>
                <w:szCs w:val="20"/>
                <w:lang w:val="en-US"/>
              </w:rPr>
              <w:t>and adequate perfusion</w:t>
            </w:r>
          </w:p>
        </w:tc>
      </w:tr>
      <w:tr w:rsidR="0056668F" w:rsidRPr="00166EC2" w14:paraId="357E1B50" w14:textId="77777777" w:rsidTr="0056668F">
        <w:tc>
          <w:tcPr>
            <w:tcW w:w="9060" w:type="dxa"/>
            <w:gridSpan w:val="4"/>
            <w:vAlign w:val="center"/>
          </w:tcPr>
          <w:p w14:paraId="07752E4E" w14:textId="762C4BDF" w:rsidR="0056668F" w:rsidRDefault="0056668F" w:rsidP="0056668F">
            <w:pPr>
              <w:jc w:val="left"/>
              <w:rPr>
                <w:lang w:val="en-US"/>
              </w:rPr>
            </w:pPr>
            <w:r w:rsidRPr="00CA32B9">
              <w:rPr>
                <w:rFonts w:asciiTheme="minorHAnsi" w:hAnsiTheme="minorHAnsi" w:cstheme="minorHAnsi"/>
                <w:b/>
                <w:szCs w:val="20"/>
                <w:lang w:val="en-US"/>
              </w:rPr>
              <w:t>Ulcer healing</w:t>
            </w:r>
          </w:p>
        </w:tc>
      </w:tr>
      <w:tr w:rsidR="0056668F" w14:paraId="016BD4B3" w14:textId="77777777" w:rsidTr="0022700A">
        <w:tc>
          <w:tcPr>
            <w:tcW w:w="2830" w:type="dxa"/>
            <w:vAlign w:val="center"/>
          </w:tcPr>
          <w:p w14:paraId="41EA8FA6" w14:textId="60F82138" w:rsidR="0056668F" w:rsidRDefault="0056668F" w:rsidP="0056668F">
            <w:pPr>
              <w:jc w:val="center"/>
              <w:rPr>
                <w:lang w:val="en-US"/>
              </w:rPr>
            </w:pPr>
            <w:r w:rsidRPr="00CA32B9">
              <w:rPr>
                <w:rFonts w:asciiTheme="minorHAnsi" w:hAnsiTheme="minorHAnsi" w:cstheme="minorHAnsi"/>
                <w:szCs w:val="20"/>
                <w:lang w:val="en-US"/>
              </w:rPr>
              <w:t>1 study (II)</w:t>
            </w:r>
          </w:p>
        </w:tc>
        <w:tc>
          <w:tcPr>
            <w:tcW w:w="1157" w:type="dxa"/>
            <w:vAlign w:val="center"/>
          </w:tcPr>
          <w:p w14:paraId="5E95A700" w14:textId="2A1F4B4B" w:rsidR="0056668F" w:rsidRDefault="0056668F" w:rsidP="0056668F">
            <w:pPr>
              <w:jc w:val="center"/>
              <w:rPr>
                <w:lang w:val="en-US"/>
              </w:rPr>
            </w:pPr>
            <w:r w:rsidRPr="00CA32B9">
              <w:rPr>
                <w:rFonts w:asciiTheme="minorHAnsi" w:hAnsiTheme="minorHAnsi" w:cstheme="minorHAnsi"/>
                <w:szCs w:val="20"/>
                <w:lang w:val="en-US"/>
              </w:rPr>
              <w:t>5</w:t>
            </w:r>
          </w:p>
        </w:tc>
        <w:tc>
          <w:tcPr>
            <w:tcW w:w="2009" w:type="dxa"/>
            <w:vMerge w:val="restart"/>
            <w:vAlign w:val="center"/>
          </w:tcPr>
          <w:p w14:paraId="2E3480B8" w14:textId="0D984FF2" w:rsidR="0056668F" w:rsidRDefault="0056668F" w:rsidP="0056668F">
            <w:pPr>
              <w:jc w:val="center"/>
              <w:rPr>
                <w:lang w:val="en-US"/>
              </w:rPr>
            </w:pPr>
            <w:r w:rsidRPr="00CA32B9">
              <w:rPr>
                <w:rFonts w:asciiTheme="minorHAnsi" w:hAnsiTheme="minorHAnsi" w:cstheme="minorHAnsi"/>
                <w:szCs w:val="20"/>
                <w:lang w:val="en-US"/>
              </w:rPr>
              <w:t>Low</w:t>
            </w:r>
          </w:p>
        </w:tc>
        <w:tc>
          <w:tcPr>
            <w:tcW w:w="3064" w:type="dxa"/>
            <w:vAlign w:val="center"/>
          </w:tcPr>
          <w:p w14:paraId="2F3AE4E4" w14:textId="273FA645"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V9KNzit7","properties":{"formattedCitation":"(126)","plainCitation":"(126)","noteIndex":0},"citationItems":[{"id":73294,"uris":["http://zotero.org/users/5328021/items/Z72LAF9Q"],"uri":["http://zotero.org/users/5328021/items/Z72LAF9Q"],"itemData":{"id":73294,"type":"article-journal","abstract":"Recent systematic reviews and meta-analyses have produced conflicting results about the efficacy of hyperbaric oxygen therapy (HBOT) in improving the healing rate for chronic diabetic foot wounds. This study aimed to assess the efficacy of systemic HBOT in healing of chronic nonischemic diabetic foot ulcer. Thirty adult patients having Wagner's grade 2 or 3 chronic diabetic foot ulcers, in whom the response to 30 days of standard wound care was not favorable, were prospectively  randomized to have either HBOT (20-40 sessions) plus conventional treatment (n =  15) or conventional treatment alone (n = 15). Ischemic wounds and patients with contraindications to systemic HBOT were excluded. The primary end point was complete healing of the target ulcer. Secondary endpoints included the following: rate of ulcer healing at the end of treatment period and at 4 and 8 weeks thereafter as well as rate of amputation. A significantly greater percentage of","container-title":"The international journal of lower extremity wounds","issue":"1","journalAbbreviation":"Int J Low Extrem Wounds","language":"eng","note":"PMID: 30836807","page":"75-80","title":"Adjuvant Hyperbaric Oxygen Therapy Enhances Healing of Nonischemic Diabetic Foot  Ulcers Compared With Standard Wound Care Alone.","volume":"18","author":[{"family":"Salama","given":"Shimaa Elhossieny"},{"family":"Eldeeb","given":"Ali Eid"},{"family":"Elbarbary","given":"Ahmed Husseiny"},{"family":"Abdelghany","given":"Salwa Elmorsy"}],"issued":{"date-parts":[["2019",3]]}}}],"schema":"https://github.com/citation-style-language/schema/raw/master/csl-citation.json"}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(126)</w:t>
            </w:r>
            <w:r w:rsidRPr="00CA32B9">
              <w:rPr>
                <w:rFonts w:asciiTheme="minorHAnsi" w:hAnsiTheme="minorHAnsi" w:cstheme="minorHAnsi"/>
                <w:szCs w:val="20"/>
                <w:lang w:val="en-US"/>
              </w:rPr>
              <w:fldChar w:fldCharType="end"/>
            </w:r>
          </w:p>
        </w:tc>
      </w:tr>
      <w:tr w:rsidR="0056668F" w14:paraId="3299336D" w14:textId="77777777" w:rsidTr="0022700A">
        <w:tc>
          <w:tcPr>
            <w:tcW w:w="2830" w:type="dxa"/>
            <w:vAlign w:val="center"/>
          </w:tcPr>
          <w:p w14:paraId="20CB90A6" w14:textId="3B46F929" w:rsidR="0056668F" w:rsidRDefault="0056668F" w:rsidP="007B6214">
            <w:pPr>
              <w:jc w:val="center"/>
              <w:rPr>
                <w:lang w:val="en-US"/>
              </w:rPr>
            </w:pPr>
            <w:r w:rsidRPr="00CA32B9">
              <w:rPr>
                <w:rFonts w:asciiTheme="minorHAnsi" w:hAnsiTheme="minorHAnsi" w:cstheme="minorHAnsi"/>
                <w:color w:val="9A9B9D" w:themeColor="text1" w:themeTint="99"/>
                <w:szCs w:val="20"/>
                <w:lang w:val="en-US"/>
              </w:rPr>
              <w:t>1 study (III)</w:t>
            </w:r>
            <w:r w:rsidR="00034D03" w:rsidRPr="00CC5E3F">
              <w:rPr>
                <w:rFonts w:asciiTheme="minorHAnsi" w:hAnsiTheme="minorHAnsi" w:cstheme="minorHAnsi"/>
                <w:color w:val="9A9B9D" w:themeColor="text1" w:themeTint="99"/>
                <w:szCs w:val="20"/>
                <w:vertAlign w:val="superscript"/>
                <w:lang w:val="en-US"/>
              </w:rPr>
              <w:t>d</w:t>
            </w:r>
          </w:p>
        </w:tc>
        <w:tc>
          <w:tcPr>
            <w:tcW w:w="1157" w:type="dxa"/>
            <w:vAlign w:val="center"/>
          </w:tcPr>
          <w:p w14:paraId="3C78FDEF" w14:textId="0B186968"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5</w:t>
            </w:r>
          </w:p>
        </w:tc>
        <w:tc>
          <w:tcPr>
            <w:tcW w:w="2009" w:type="dxa"/>
            <w:vMerge/>
            <w:vAlign w:val="center"/>
          </w:tcPr>
          <w:p w14:paraId="08B27FB3" w14:textId="77777777" w:rsidR="0056668F" w:rsidRDefault="0056668F" w:rsidP="0056668F">
            <w:pPr>
              <w:jc w:val="center"/>
              <w:rPr>
                <w:lang w:val="en-US"/>
              </w:rPr>
            </w:pPr>
          </w:p>
        </w:tc>
        <w:tc>
          <w:tcPr>
            <w:tcW w:w="3064" w:type="dxa"/>
            <w:vAlign w:val="center"/>
          </w:tcPr>
          <w:p w14:paraId="42D9A4EF" w14:textId="42907467"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7xpvmEQW","properties":{"formattedCitation":"(136)","plainCitation":"(136)","noteIndex":0},"citationItems":[{"id":53359,"uris":["http://zotero.org/users/5328021/items/9R9446HV"],"uri":["http://zotero.org/users/5328021/items/9R9446HV"],"itemData":{"id":53359,"type":"article-journal","abstract":"OBJECTIVE: Hyperbaric oxygen (HBO) is a device that is used to treat foot ulcers. The study goal was to compare the effectiveness of HBO with other conventional therapies administered in a wound care network for the treatment of a diabetic foot ulcer and prevention of lower-extremity amputation.\nRESEARCH DESIGN AND METHODS: This was a longitudinal observational cohort study. To address treatment selection bias, we used propensity scores to determine the \"propensity\" that an individual was selected to receive HBO.\nRESULTS: We studied 6,259 individuals with diabetes, adequate lower limb arterial perfusion, and foot ulcer extending through the dermis, representing 767,060 person-days of wound care. In the propensity score-adjusted models, individuals receiving HBO were less likely to have healing of their foot ulcer (hazard ratio 0.68 [95% CI 0.63-0.73]) and more likely to have an amputation (2.37 [1.84-3.04]). Additional analyses, including the use of an instrumental variable, were conducted to assess the robustness of our results to unmeasured confounding. HBO was not found to improve the likelihood that a wound might heal or to decrease the likelihood of amputation in any of these analyses.\nCONCLUSIONS: Use of HBO neither improved the likelihood that a wound would heal nor prevented amputation in a cohort of patients defined by Centers for Medicare and Medicaid Services eligibility criteria. The usefulness of HBO in the treatment of diabetic foot ulcers needs to be reevaluated.","container-title":"Diabetes Care","issue":"7","journalAbbreviation":"Diabetes Care","language":"eng","note":"PMID: 23423696\nPMCID: PMC3687310","page":"1961-1966","title":"Lack of effectiveness of hyperbaric oxygen therapy for the treatment of diabetic foot ulcer and the prevention of amputation: a cohort study","volume":"36","author":[{"family":"Margolis","given":"David J."},{"family":"Gupta","given":"Jayanta"},{"family":"Hoffstad","given":"Ole"},{"family":"Papdopoulos","given":"Maryte"},{"family":"Glick","given":"Henry A."},{"family":"Thom","given":"Stephen R."},{"family":"Mitra","given":"Nandita"}],"issued":{"date-parts":[["2013",7]]}}}],"schema":"https://github.com/citation-style-language/schema/raw/master/csl-citation.json"}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(136)</w:t>
            </w:r>
            <w:r w:rsidRPr="00CA32B9">
              <w:rPr>
                <w:rFonts w:asciiTheme="minorHAnsi" w:hAnsiTheme="minorHAnsi" w:cstheme="minorHAnsi"/>
                <w:szCs w:val="20"/>
                <w:lang w:val="en-US"/>
              </w:rPr>
              <w:fldChar w:fldCharType="end"/>
            </w:r>
          </w:p>
        </w:tc>
      </w:tr>
      <w:tr w:rsidR="0056668F" w14:paraId="14E09C6D" w14:textId="77777777" w:rsidTr="0056668F">
        <w:tc>
          <w:tcPr>
            <w:tcW w:w="9060" w:type="dxa"/>
            <w:gridSpan w:val="4"/>
            <w:shd w:val="clear" w:color="auto" w:fill="D4F1D3" w:themeFill="background2" w:themeFillTint="33"/>
            <w:vAlign w:val="center"/>
          </w:tcPr>
          <w:p w14:paraId="471EA866" w14:textId="77777777" w:rsidR="0056668F" w:rsidRPr="00CA32B9" w:rsidRDefault="0056668F" w:rsidP="0056668F">
            <w:pPr>
              <w:pStyle w:val="BodySciensano"/>
              <w:jc w:val="center"/>
              <w:rPr>
                <w:rFonts w:asciiTheme="minorHAnsi" w:hAnsiTheme="minorHAnsi" w:cstheme="minorHAnsi"/>
                <w:b/>
                <w:bCs/>
                <w:color w:val="56575A"/>
                <w:szCs w:val="20"/>
                <w:lang w:val="en-US"/>
              </w:rPr>
            </w:pPr>
            <w:r w:rsidRPr="00CA32B9">
              <w:rPr>
                <w:rFonts w:asciiTheme="minorHAnsi" w:hAnsiTheme="minorHAnsi" w:cstheme="minorHAnsi"/>
                <w:b/>
                <w:bCs/>
                <w:color w:val="56575A"/>
                <w:szCs w:val="20"/>
                <w:lang w:val="en-US"/>
              </w:rPr>
              <w:t>Treatment with systematic hyperbaric oxygen in people with DFU</w:t>
            </w:r>
          </w:p>
          <w:p w14:paraId="4FA8AC23" w14:textId="7E2F3A67" w:rsidR="0056668F" w:rsidRDefault="0056668F" w:rsidP="0056668F">
            <w:pPr>
              <w:jc w:val="center"/>
              <w:rPr>
                <w:lang w:val="en-US"/>
              </w:rPr>
            </w:pPr>
            <w:r w:rsidRPr="00CA32B9">
              <w:rPr>
                <w:rFonts w:asciiTheme="minorHAnsi" w:hAnsiTheme="minorHAnsi" w:cstheme="minorHAnsi"/>
                <w:b/>
                <w:bCs/>
                <w:color w:val="56575A"/>
                <w:szCs w:val="20"/>
                <w:lang w:val="en-US"/>
              </w:rPr>
              <w:t>and inadequate perfusion</w:t>
            </w:r>
          </w:p>
        </w:tc>
      </w:tr>
      <w:tr w:rsidR="0056668F" w14:paraId="56D335A4" w14:textId="77777777" w:rsidTr="0056668F">
        <w:tc>
          <w:tcPr>
            <w:tcW w:w="9060" w:type="dxa"/>
            <w:gridSpan w:val="4"/>
            <w:vAlign w:val="center"/>
          </w:tcPr>
          <w:p w14:paraId="682B0E5F" w14:textId="25192AD9" w:rsidR="0056668F" w:rsidRDefault="0056668F" w:rsidP="0056668F">
            <w:pPr>
              <w:jc w:val="left"/>
              <w:rPr>
                <w:lang w:val="en-US"/>
              </w:rPr>
            </w:pPr>
            <w:r w:rsidRPr="00CA32B9">
              <w:rPr>
                <w:rFonts w:asciiTheme="minorHAnsi" w:hAnsiTheme="minorHAnsi" w:cstheme="minorHAnsi"/>
                <w:b/>
                <w:szCs w:val="20"/>
                <w:lang w:val="en-US"/>
              </w:rPr>
              <w:t>Ulcer healing</w:t>
            </w:r>
          </w:p>
        </w:tc>
      </w:tr>
      <w:tr w:rsidR="0056668F" w14:paraId="5268EE9D" w14:textId="77777777" w:rsidTr="0022700A">
        <w:tc>
          <w:tcPr>
            <w:tcW w:w="2830" w:type="dxa"/>
            <w:vAlign w:val="center"/>
          </w:tcPr>
          <w:p w14:paraId="7FBDBA54" w14:textId="0A6D83A5" w:rsidR="0056668F" w:rsidRDefault="0056668F" w:rsidP="0056668F">
            <w:pPr>
              <w:jc w:val="center"/>
              <w:rPr>
                <w:lang w:val="en-US"/>
              </w:rPr>
            </w:pPr>
            <w:r w:rsidRPr="00CA32B9">
              <w:rPr>
                <w:rFonts w:asciiTheme="minorHAnsi" w:hAnsiTheme="minorHAnsi" w:cstheme="minorHAnsi"/>
                <w:szCs w:val="20"/>
                <w:lang w:val="en-US"/>
              </w:rPr>
              <w:t>1 study (I) - 1 study (II)</w:t>
            </w:r>
          </w:p>
        </w:tc>
        <w:tc>
          <w:tcPr>
            <w:tcW w:w="1157" w:type="dxa"/>
            <w:vAlign w:val="center"/>
          </w:tcPr>
          <w:p w14:paraId="2CA21BFB" w14:textId="265FF55C" w:rsidR="0056668F" w:rsidRDefault="0056668F" w:rsidP="0056668F">
            <w:pPr>
              <w:jc w:val="center"/>
              <w:rPr>
                <w:lang w:val="en-US"/>
              </w:rPr>
            </w:pPr>
            <w:r w:rsidRPr="00CA32B9">
              <w:rPr>
                <w:rFonts w:asciiTheme="minorHAnsi" w:hAnsiTheme="minorHAnsi" w:cstheme="minorHAnsi"/>
                <w:szCs w:val="20"/>
                <w:lang w:val="en-US"/>
              </w:rPr>
              <w:t>8</w:t>
            </w:r>
          </w:p>
        </w:tc>
        <w:tc>
          <w:tcPr>
            <w:tcW w:w="2009" w:type="dxa"/>
            <w:vMerge w:val="restart"/>
            <w:vAlign w:val="center"/>
          </w:tcPr>
          <w:p w14:paraId="62184293" w14:textId="4A54888A" w:rsidR="0056668F" w:rsidRDefault="0056668F" w:rsidP="0056668F">
            <w:pPr>
              <w:jc w:val="center"/>
              <w:rPr>
                <w:lang w:val="en-US"/>
              </w:rPr>
            </w:pPr>
            <w:r w:rsidRPr="00CA32B9">
              <w:rPr>
                <w:rFonts w:asciiTheme="minorHAnsi" w:hAnsiTheme="minorHAnsi" w:cstheme="minorHAnsi"/>
                <w:szCs w:val="20"/>
                <w:lang w:val="en-US"/>
              </w:rPr>
              <w:t>Good</w:t>
            </w:r>
          </w:p>
        </w:tc>
        <w:tc>
          <w:tcPr>
            <w:tcW w:w="3064" w:type="dxa"/>
            <w:vAlign w:val="center"/>
          </w:tcPr>
          <w:p w14:paraId="57BEEBCD" w14:textId="2806DFDD"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KpQ7plCG","properties":{"formattedCitation":"(125,130)","plainCitation":"(125,130)","noteIndex":0},"citationItems":[{"id":74189,"uris":["http://zotero.org/users/5328021/items/EG7FYSHS"],"uri":["http://zotero.org/users/5328021/items/EG7FYSHS"],"itemData":{"id":74189,"type":"article-journal","abstract":"AIM: To examine the efficacy of hyperbaric oxygen therapy in healing diabetes-related lower limb ulcers through a meta-analysis of randomized clinical trials. METHODS: A literature search was conducted to identify appropriate clinical trials. Inclusion required randomized study design and reporting of the  proportion of diabetes-related lower limb ulcers that healed. A meta-analysis was performed to examine the effect of hyperbaric oxygen therapy on ulcer healing. The secondary outcomes were minor and major amputations. RESULTS: Nine randomized trials involving 585 participants were included. People allocated to hyperbaric oxygen therapy were more likely to have complete ulcer healing (relative risk 1.95, 95% CI 1.51-2.52; P&lt;0.001), and less likely to require major (relative risk 0.54, 95% CI 0.36-0.81; P=0.003) or minor (relative risk 0.68, 95% CI 0.48-0.98;  P=0.040) amputations than control groups. Sensitivity analyses suggested the findings were dependent on the inclusion of one trial. Adverse events included ear barotrauma and a seizure. Many of the trials were noted to have methodological weaknesses including absence of blinding of outcome assessors, lack of a justifiable sample size calculation and limited follow-up. CONCLUSIONS: This meta-analysis suggests hyperbaric oxygen therapy improves the healing of diabetes-related lower limb ulcers and reduces the requirement for amputation. Confidence in these results is limited by significant design weaknesses of previous trials and inconsistent findings. A more rigorous assessment of the efficacy of hyperbaric the efficacy of hyperbaric oxygen therapy is needed.","container-title":"Diabetic medicine : a journal of the British Diabetic Association","issue":"7","journalAbbreviation":"Diabet Med","language":"eng","note":"PMID: 31002414","page":"813-826","title":"Systematic review and meta-analysis of clinical trials examining the effect of hyperbaric oxygen therapy in people with diabetes-related lower limb ulcers.","volume":"36","author":[{"family":"Golledge","given":"J."},{"family":"Singh","given":"T. P."}],"issued":{"date-parts":[["2019",7]]}}},{"id":53395,"uris":["http://zotero.org/users/5328021/items/3QB8QBTH"],"uri":["http://zotero.org/users/5328021/items/3QB8QBTH"],"itemData":{"id":53395,"type":"article-journal","abstract":"OBJECTIVE: To assess the efficacy and safety of hyperbaric oxygenation (HBO) therapy as adjunctive treatment for diabetic foot ulcers with a systematic review and meta-analysis of the literature.\nMETHODS: MEDLINE, EMBASE, and the Cochrane Library were searched to find relevant articles published up to April 20, 2012, without restriction as to language or publication status. All controlled trials that evaluated adjunctive treatment with HBO therapy compared with treatment without HBO for chronic diabetic foot ulcers were selected. A meta-analysis was performed to assess the efficacy and safety of hyperbaric oxygen in managing foot ulcers.\nRESULTS: Thirteen trials (a total of 624 patients), including 7 prospective randomized trials, performed between January 1, 1966, and April 20, 2012, were identified as eligible for inclusion in the study. Pooling analysis revealed that, compared with treatment without HBO, adjunctive treatment with HBO resulted in a significantly higher proportion of healed diabetic ulcers (relative risk, 2.33; 95% CI, 1.51-3.60). The analysis also revealed that treatment with HBO was associated with a significant reduction in the risk of major amputations (relative risk, 0.29; 95% CI, 0.19-0.44); however, the rate of minor amputations was not affected (P=.30). Adverse events associated with HBO treatment were rare and reversible and not more frequent than those occurring without HBO treatment (P=.37).\nCONCLUSIONS: This meta-analysis reveals that treatment with HBO improved the rate of healing and reduced the risk of major amputations in patients with diabetic foot ulcers. On the basis of these effects, we believe that quality of life could be improved in selected patients treated with HBO.","container-title":"Mayo Clinic Proceedings","issue":"2","journalAbbreviation":"Mayo Clin. Proc.","language":"eng","note":"PMID: 23374620","page":"166-175","title":"Systematic review of the effectiveness of hyperbaric oxygenation therapy in the management of chronic diabetic foot ulcers","volume":"88","author":[{"family":"Liu","given":"Rui"},{"family":"Li","given":"Ling"},{"family":"Yang","given":"Mengliu"},{"family":"Boden","given":"Guenther"},{"family":"Yang","given":"Gangyi"}],"issued":{"date-parts":[["2013",2]]}}}],"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(125,130)</w:t>
            </w:r>
            <w:r w:rsidRPr="00CA32B9">
              <w:rPr>
                <w:rFonts w:asciiTheme="minorHAnsi" w:hAnsiTheme="minorHAnsi" w:cstheme="minorHAnsi"/>
                <w:szCs w:val="20"/>
                <w:lang w:val="en-US"/>
              </w:rPr>
              <w:fldChar w:fldCharType="end"/>
            </w:r>
          </w:p>
        </w:tc>
      </w:tr>
      <w:tr w:rsidR="0056668F" w14:paraId="5FB8B36F" w14:textId="77777777" w:rsidTr="0022700A">
        <w:tc>
          <w:tcPr>
            <w:tcW w:w="2830" w:type="dxa"/>
            <w:vAlign w:val="center"/>
          </w:tcPr>
          <w:p w14:paraId="1E96E064" w14:textId="2AC6F0F0"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 study (II)</w:t>
            </w:r>
          </w:p>
        </w:tc>
        <w:tc>
          <w:tcPr>
            <w:tcW w:w="1157" w:type="dxa"/>
            <w:vAlign w:val="center"/>
          </w:tcPr>
          <w:p w14:paraId="1D2B30A0" w14:textId="2D15DDE3" w:rsidR="0056668F" w:rsidRDefault="0056668F" w:rsidP="0056668F">
            <w:pPr>
              <w:jc w:val="center"/>
              <w:rPr>
                <w:lang w:val="en-US"/>
              </w:rPr>
            </w:pPr>
            <w:r w:rsidRPr="00CA32B9">
              <w:rPr>
                <w:rFonts w:asciiTheme="minorHAnsi" w:hAnsiTheme="minorHAnsi" w:cstheme="minorHAnsi"/>
                <w:szCs w:val="20"/>
                <w:lang w:val="en-US"/>
              </w:rPr>
              <w:t>8</w:t>
            </w:r>
          </w:p>
        </w:tc>
        <w:tc>
          <w:tcPr>
            <w:tcW w:w="2009" w:type="dxa"/>
            <w:vMerge/>
            <w:vAlign w:val="center"/>
          </w:tcPr>
          <w:p w14:paraId="1CF52ADE" w14:textId="77777777" w:rsidR="0056668F" w:rsidRDefault="0056668F" w:rsidP="0056668F">
            <w:pPr>
              <w:jc w:val="center"/>
              <w:rPr>
                <w:lang w:val="en-US"/>
              </w:rPr>
            </w:pPr>
          </w:p>
        </w:tc>
        <w:tc>
          <w:tcPr>
            <w:tcW w:w="3064" w:type="dxa"/>
            <w:vAlign w:val="center"/>
          </w:tcPr>
          <w:p w14:paraId="047A37BB" w14:textId="3AEE17DF"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K63q5c9L","properties":{"formattedCitation":"(133)","plainCitation":"(133)","noteIndex":0},"citationItems":[{"id":47101,"uris":["http://zotero.org/users/5328021/items/T8F8P9UK"],"uri":["http://zotero.org/users/5328021/items/T8F8P9UK"],"itemData":{"id":47101,"type":"article-journal","abstract":"OBJECTIVE: Conflicting evidence exists on the effects of hyperbaric oxygen therapy (HBOT) in the treatment of chronic ischemic leg ulcers. The aim of this trial was to investigate whether additional HBOT would benefit patients with diabetes and ischemic leg ulcers.\nRESEARCH DESIGN AND METHODS: Patients with diabetes with an ischemic wound (n = 120) were randomized to standard care (SC) without or with HBOT (SC+HBOT). Primary outcomes were limb salvage and wound healing after 12 months, as well as time to wound healing. Other end points were amputation-free survival (AFS) and mortality.\nRESULTS: Both groups contained 60 patients. Limb salvage was achieved in 47 patients in the SC group vs. 53 patients in the SC+HBOT group (risk difference [RD] 10% [95% CI -4 to 23]). After 12 months, 28 index wounds were healed in the SC group vs. 30 in the SC+HBOT group (RD 3% [95% CI -14 to 21]). AFS was achieved in 41 patients in the SC group and 49 patients in the SC+HBOT group (RD 13% [95% CI -2 to 28]). In the SC+HBOT group, 21 patients (35%) were unable to complete the HBOT protocol as planned. Those who did had significantly fewer major amputations and higher AFS (RD for AFS 26% [95% CI 10-38]).\nCONCLUSIONS: Additional HBOT did not significantly improve complete wound healing or limb salvage in patients with diabetes and lower-limb ischemia.","container-title":"Diabetes Care","issue":"1","journalAbbreviation":"Diabetes Care","language":"eng","note":"PMID: 29074815","page":"112-119","title":"Hyperbaric Oxygen Therapy in the Treatment of Ischemic Lower- Extremity Ulcers in Patients With Diabetes: Results of the DAMO2CLES Multicenter Randomized Clinical Trial","volume":"41","author":[{"family":"Santema","given":"Katrien T. B."},{"family":"Stoekenbroek","given":"Robert M."},{"family":"Koelemay","given":"Mark J. W."},{"family":"Reekers","given":"Jim A."},{"family":"Dortmont","given":"Laura M. C.","non-dropping-particle":"van"},{"family":"Oomen","given":"Arno"},{"family":"Smeets","given":"Luuk"},{"family":"Wever","given":"Jan J."},{"family":"Legemate","given":"Dink A."},{"family":"Ubbink","given":"Dirk T."},{"literal":"DAMO2CLES Study Group"}],"issued":{"date-parts":[["2018"]]}}}],"schema":"https://github.com/citation-style-language/schema/raw/master/csl-citation.json"}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(133)</w:t>
            </w:r>
            <w:r w:rsidRPr="00CA32B9">
              <w:rPr>
                <w:rFonts w:asciiTheme="minorHAnsi" w:hAnsiTheme="minorHAnsi" w:cstheme="minorHAnsi"/>
                <w:szCs w:val="20"/>
                <w:lang w:val="en-US"/>
              </w:rPr>
              <w:fldChar w:fldCharType="end"/>
            </w:r>
          </w:p>
        </w:tc>
      </w:tr>
      <w:tr w:rsidR="0056668F" w14:paraId="64FE7F4D" w14:textId="77777777" w:rsidTr="0056668F">
        <w:tc>
          <w:tcPr>
            <w:tcW w:w="9060" w:type="dxa"/>
            <w:gridSpan w:val="4"/>
            <w:vAlign w:val="center"/>
          </w:tcPr>
          <w:p w14:paraId="7F1508C6" w14:textId="5370F3E3" w:rsidR="0056668F" w:rsidRDefault="0056668F" w:rsidP="0056668F">
            <w:pPr>
              <w:jc w:val="left"/>
              <w:rPr>
                <w:lang w:val="en-US"/>
              </w:rPr>
            </w:pPr>
            <w:r w:rsidRPr="00CA32B9">
              <w:rPr>
                <w:rFonts w:asciiTheme="minorHAnsi" w:hAnsiTheme="minorHAnsi" w:cstheme="minorHAnsi"/>
                <w:b/>
                <w:szCs w:val="20"/>
                <w:lang w:val="en-US"/>
              </w:rPr>
              <w:t>Ulcer area reduction</w:t>
            </w:r>
          </w:p>
        </w:tc>
      </w:tr>
      <w:tr w:rsidR="00F64C02" w14:paraId="4B28CAF7" w14:textId="77777777" w:rsidTr="0022700A">
        <w:tc>
          <w:tcPr>
            <w:tcW w:w="2830" w:type="dxa"/>
            <w:vAlign w:val="center"/>
          </w:tcPr>
          <w:p w14:paraId="0853B6E0" w14:textId="0A5EC9A5" w:rsidR="00F64C02" w:rsidRDefault="00F64C02" w:rsidP="0056668F">
            <w:pPr>
              <w:jc w:val="center"/>
              <w:rPr>
                <w:lang w:val="en-US"/>
              </w:rPr>
            </w:pPr>
            <w:r w:rsidRPr="00CA32B9">
              <w:rPr>
                <w:rFonts w:asciiTheme="minorHAnsi" w:hAnsiTheme="minorHAnsi" w:cstheme="minorHAnsi"/>
                <w:szCs w:val="20"/>
                <w:lang w:val="en-US"/>
              </w:rPr>
              <w:t>1 study (II)</w:t>
            </w:r>
          </w:p>
        </w:tc>
        <w:tc>
          <w:tcPr>
            <w:tcW w:w="1157" w:type="dxa"/>
            <w:vAlign w:val="center"/>
          </w:tcPr>
          <w:p w14:paraId="0E9B6926" w14:textId="716A665A" w:rsidR="00F64C02" w:rsidRDefault="00F64C02" w:rsidP="0056668F">
            <w:pPr>
              <w:jc w:val="center"/>
              <w:rPr>
                <w:lang w:val="en-US"/>
              </w:rPr>
            </w:pPr>
            <w:r w:rsidRPr="00CA32B9">
              <w:rPr>
                <w:rFonts w:asciiTheme="minorHAnsi" w:hAnsiTheme="minorHAnsi" w:cstheme="minorHAnsi"/>
                <w:szCs w:val="20"/>
                <w:lang w:val="en-US"/>
              </w:rPr>
              <w:t>4</w:t>
            </w:r>
          </w:p>
        </w:tc>
        <w:tc>
          <w:tcPr>
            <w:tcW w:w="2009" w:type="dxa"/>
            <w:vAlign w:val="center"/>
          </w:tcPr>
          <w:p w14:paraId="7B1D8C00" w14:textId="19E5795E" w:rsidR="00F64C02" w:rsidRDefault="00F64C02" w:rsidP="0056668F">
            <w:pPr>
              <w:jc w:val="center"/>
              <w:rPr>
                <w:lang w:val="en-US"/>
              </w:rPr>
            </w:pPr>
            <w:r w:rsidRPr="00CA32B9">
              <w:rPr>
                <w:rFonts w:asciiTheme="minorHAnsi" w:hAnsiTheme="minorHAnsi" w:cstheme="minorHAnsi"/>
                <w:szCs w:val="20"/>
                <w:lang w:val="en-US"/>
              </w:rPr>
              <w:t>Low</w:t>
            </w:r>
          </w:p>
        </w:tc>
        <w:tc>
          <w:tcPr>
            <w:tcW w:w="3064" w:type="dxa"/>
            <w:vAlign w:val="center"/>
          </w:tcPr>
          <w:p w14:paraId="3790DADB" w14:textId="136DC991" w:rsidR="00F64C02" w:rsidRDefault="00F64C02"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EJAAEesY","properties":{"formattedCitation":"(137)","plainCitation":"(137)","noteIndex":0},"citationItems":[{"id":45309,"uris":["http://zotero.org/users/5328021/items/HDHBNQD3"],"uri":["http://zotero.org/users/5328021/items/HDHBNQD3"],"itemData":{"id":45309,"type":"article-journal","abstract":"Background and Aims: Several treatment modalities and protocols for ischaemic foot ulcers are available. However, little consensus exists on optimal treatment. The aim of this study was to compare Standard Wound Care (SWC) alone vs. SWC with adjunct hyperbaric oxygen therapy (HBOT) in the treatment of ischaemic Diabetic Foot Ulcers (DFUs).\nPatients and Methods: Twenty-six patients with Type 2 Diabetes Mellitus (T2DM) presenting with a newly diagnosed ischaemic foot ulcer were included. These were divided into group A (SWC with adjunct HBOT) and group B (SWC only). Participants were followed every week for 4 weeks and their ulcers were measured for their surface area and depth to assess any change in wound size.\nResults: Both treatment arms succeeded in reducing ulcer area and depth (p&lt;0.001). However, ulcer area (p&lt;0.001) and depth (p&lt;0.001) exhibited superior improvement in group A.\nConclusion: Adjunctive HBOT appears to improve wound healing in ischaemic DFUs and merits further study.","container-title":"The Open Cardiovascular Medicine Journal","journalAbbreviation":"Open Cardiovasc Med J","language":"eng","note":"PMID: 30258500\nPMCID: PMC6131315","page":"80-85","title":"Hyperbaric Oxygen Therapy in Ischaemic Foot Ulcers in Type 2 Diabetes: A Clinical Trial","volume":"12","author":[{"family":"Perren","given":"Sarah"},{"family":"Gatt","given":"Alfred"},{"family":"Papanas","given":"Nikolaos"},{"family":"Formosa","given":"Cynthia"}],"issued":{"date-parts":[["2018"]]}}}],"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(137)</w:t>
            </w:r>
            <w:r w:rsidRPr="00CA32B9">
              <w:rPr>
                <w:rFonts w:asciiTheme="minorHAnsi" w:hAnsiTheme="minorHAnsi" w:cstheme="minorHAnsi"/>
                <w:szCs w:val="20"/>
                <w:lang w:val="en-US"/>
              </w:rPr>
              <w:fldChar w:fldCharType="end"/>
            </w:r>
          </w:p>
        </w:tc>
      </w:tr>
      <w:tr w:rsidR="0056668F" w:rsidRPr="00166EC2" w14:paraId="18669812" w14:textId="77777777" w:rsidTr="0056668F">
        <w:tc>
          <w:tcPr>
            <w:tcW w:w="9060" w:type="dxa"/>
            <w:gridSpan w:val="4"/>
            <w:vAlign w:val="center"/>
          </w:tcPr>
          <w:p w14:paraId="10CCB5C9" w14:textId="18B9F019" w:rsidR="0056668F" w:rsidRDefault="0056668F" w:rsidP="0056668F">
            <w:pPr>
              <w:jc w:val="left"/>
              <w:rPr>
                <w:lang w:val="en-US"/>
              </w:rPr>
            </w:pPr>
            <w:r w:rsidRPr="00CA32B9">
              <w:rPr>
                <w:rFonts w:asciiTheme="minorHAnsi" w:hAnsiTheme="minorHAnsi" w:cstheme="minorHAnsi"/>
                <w:b/>
                <w:szCs w:val="20"/>
                <w:lang w:val="en-US"/>
              </w:rPr>
              <w:t>Reduction of major amputation events</w:t>
            </w:r>
          </w:p>
        </w:tc>
      </w:tr>
      <w:tr w:rsidR="00F64C02" w:rsidRPr="00166EC2" w14:paraId="1F734837" w14:textId="77777777" w:rsidTr="0022700A">
        <w:tc>
          <w:tcPr>
            <w:tcW w:w="2830" w:type="dxa"/>
            <w:vAlign w:val="center"/>
          </w:tcPr>
          <w:p w14:paraId="6358204D" w14:textId="5A43BC89" w:rsidR="00F64C02" w:rsidRDefault="00F64C02" w:rsidP="0056668F">
            <w:pPr>
              <w:jc w:val="center"/>
              <w:rPr>
                <w:lang w:val="en-US"/>
              </w:rPr>
            </w:pPr>
            <w:r w:rsidRPr="00CA32B9">
              <w:rPr>
                <w:rFonts w:asciiTheme="minorHAnsi" w:hAnsiTheme="minorHAnsi" w:cstheme="minorHAnsi"/>
                <w:szCs w:val="20"/>
                <w:lang w:val="en-US"/>
              </w:rPr>
              <w:t>1 study (I) -</w:t>
            </w:r>
            <w:r w:rsidRPr="00CA32B9">
              <w:rPr>
                <w:rFonts w:asciiTheme="minorHAnsi" w:hAnsiTheme="minorHAnsi" w:cstheme="minorHAnsi"/>
                <w:color w:val="9A9B9D" w:themeColor="text1" w:themeTint="99"/>
                <w:szCs w:val="20"/>
                <w:lang w:val="en-US"/>
              </w:rPr>
              <w:t xml:space="preserve"> </w:t>
            </w:r>
            <w:r w:rsidRPr="00CA32B9">
              <w:rPr>
                <w:rFonts w:asciiTheme="minorHAnsi" w:hAnsiTheme="minorHAnsi" w:cstheme="minorHAnsi"/>
                <w:szCs w:val="20"/>
                <w:lang w:val="en-US"/>
              </w:rPr>
              <w:t>2 studies (</w:t>
            </w:r>
            <w:r w:rsidRPr="00CA32B9">
              <w:rPr>
                <w:rFonts w:asciiTheme="minorHAnsi" w:eastAsia="Times New Roman" w:hAnsiTheme="minorHAnsi" w:cstheme="minorHAnsi"/>
                <w:szCs w:val="20"/>
                <w:lang w:val="en-US"/>
              </w:rPr>
              <w:t>II)</w:t>
            </w:r>
          </w:p>
        </w:tc>
        <w:tc>
          <w:tcPr>
            <w:tcW w:w="1157" w:type="dxa"/>
            <w:vAlign w:val="center"/>
          </w:tcPr>
          <w:p w14:paraId="46DC0D41" w14:textId="73A4B267" w:rsidR="00F64C02" w:rsidRDefault="00F64C02" w:rsidP="0056668F">
            <w:pPr>
              <w:jc w:val="center"/>
              <w:rPr>
                <w:lang w:val="en-US"/>
              </w:rPr>
            </w:pPr>
            <w:r w:rsidRPr="00CA32B9">
              <w:rPr>
                <w:rFonts w:asciiTheme="minorHAnsi" w:hAnsiTheme="minorHAnsi" w:cstheme="minorHAnsi"/>
                <w:szCs w:val="20"/>
                <w:lang w:val="en-US"/>
              </w:rPr>
              <w:t>8</w:t>
            </w:r>
          </w:p>
        </w:tc>
        <w:tc>
          <w:tcPr>
            <w:tcW w:w="2009" w:type="dxa"/>
            <w:vAlign w:val="center"/>
          </w:tcPr>
          <w:p w14:paraId="02F543F1" w14:textId="105D0312" w:rsidR="00F64C02" w:rsidRDefault="00F64C02" w:rsidP="0056668F">
            <w:pPr>
              <w:jc w:val="center"/>
              <w:rPr>
                <w:lang w:val="en-US"/>
              </w:rPr>
            </w:pPr>
            <w:r w:rsidRPr="00CA32B9">
              <w:rPr>
                <w:rFonts w:asciiTheme="minorHAnsi" w:hAnsiTheme="minorHAnsi" w:cstheme="minorHAnsi"/>
                <w:szCs w:val="20"/>
                <w:lang w:val="en-US"/>
              </w:rPr>
              <w:t>High</w:t>
            </w:r>
          </w:p>
        </w:tc>
        <w:tc>
          <w:tcPr>
            <w:tcW w:w="3064" w:type="dxa"/>
            <w:vAlign w:val="center"/>
          </w:tcPr>
          <w:p w14:paraId="163C396A" w14:textId="5B4B8182" w:rsidR="00F64C02" w:rsidRDefault="00F64C02"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cy297DT7","properties":{"formattedCitation":"(125,130,133)","plainCitation":"(125,130,133)","noteIndex":0},"citationItems":[{"id":74189,"uris":["http://zotero.org/users/5328021/items/EG7FYSHS"],"uri":["http://zotero.org/users/5328021/items/EG7FYSHS"],"itemData":{"id":74189,"type":"article-journal","abstract":"AIM: To examine the efficacy of hyperbaric oxygen therapy in healing diabetes-related lower limb ulcers through a meta-analysis of randomized clinical trials. METHODS: A literature search was conducted to identify appropriate clinical trials. Inclusion required randomized study design and reporting of the  proportion of diabetes-related lower limb ulcers that healed. A meta-analysis was performed to examine the effect of hyperbaric oxygen therapy on ulcer healing. The secondary outcomes were minor and major amputations. RESULTS: Nine randomized trials involving 585 participants were included. People allocated to hyperbaric oxygen therapy were more likely to have complete ulcer healing (relative risk 1.95, 95% CI 1.51-2.52; P&lt;0.001), and less likely to require major (relative risk 0.54, 95% CI 0.36-0.81; P=0.003) or minor (relative risk 0.68, 95% CI 0.48-0.98;  P=0.040) amputations than control groups. Sensitivity analyses suggested the findings were dependent on the inclusion of one trial. Adverse events included ear barotrauma and a seizure. Many of the trials were noted to have methodological weaknesses including absence of blinding of outcome assessors, lack of a justifiable sample size calculation and limited follow-up. CONCLUSIONS: This meta-analysis suggests hyperbaric oxygen therapy improves the healing of diabetes-related lower limb ulcers and reduces the requirement for amputation. Confidence in these results is limited by significant design weaknesses of previous trials and inconsistent findings. A more rigorous assessment of the efficacy of hyperbaric the efficacy of hyperbaric oxygen therapy is needed.","container-title":"Diabetic medicine : a journal of the British Diabetic Association","issue":"7","journalAbbreviation":"Diabet Med","language":"eng","note":"PMID: 31002414","page":"813-826","title":"Systematic review and meta-analysis of clinical trials examining the effect of hyperbaric oxygen therapy in people with diabetes-related lower limb ulcers.","volume":"36","author":[{"family":"Golledge","given":"J."},{"family":"Singh","given":"T. P."}],"issued":{"date-parts":[["2019",7]]}}},{"id":53395,"uris":["http://zotero.org/users/5328021/items/3QB8QBTH"],"uri":["http://zotero.org/users/5328021/items/3QB8QBTH"],"itemData":{"id":53395,"type":"article-journal","abstract":"OBJECTIVE: To assess the efficacy and safety of hyperbaric oxygenation (HBO) therapy as adjunctive treatment for diabetic foot ulcers with a systematic review and meta-analysis of the literature.\nMETHODS: MEDLINE, EMBASE, and the Cochrane Library were searched to find relevant articles published up to April 20, 2012, without restriction as to language or publication status. All controlled trials that evaluated adjunctive treatment with HBO therapy compared with treatment without HBO for chronic diabetic foot ulcers were selected. A meta-analysis was performed to assess the efficacy and safety of hyperbaric oxygen in managing foot ulcers.\nRESULTS: Thirteen trials (a total of 624 patients), including 7 prospective randomized trials, performed between January 1, 1966, and April 20, 2012, were identified as eligible for inclusion in the study. Pooling analysis revealed that, compared with treatment without HBO, adjunctive treatment with HBO resulted in a significantly higher proportion of healed diabetic ulcers (relative risk, 2.33; 95% CI, 1.51-3.60). The analysis also revealed that treatment with HBO was associated with a significant reduction in the risk of major amputations (relative risk, 0.29; 95% CI, 0.19-0.44); however, the rate of minor amputations was not affected (P=.30). Adverse events associated with HBO treatment were rare and reversible and not more frequent than those occurring without HBO treatment (P=.37).\nCONCLUSIONS: This meta-analysis reveals that treatment with HBO improved the rate of healing and reduced the risk of major amputations in patients with diabetic foot ulcers. On the basis of these effects, we believe that quality of life could be improved in selected patients treated with HBO.","container-title":"Mayo Clinic Proceedings","issue":"2","journalAbbreviation":"Mayo Clin. Proc.","language":"eng","note":"PMID: 23374620","page":"166-175","title":"Systematic review of the effectiveness of hyperbaric oxygenation therapy in the management of chronic diabetic foot ulcers","volume":"88","author":[{"family":"Liu","given":"Rui"},{"family":"Li","given":"Ling"},{"family":"Yang","given":"Mengliu"},{"family":"Boden","given":"Guenther"},{"family":"Yang","given":"Gangyi"}],"issued":{"date-parts":[["2013",2]]}}},{"id":47101,"uris":["http://zotero.org/users/5328021/items/T8F8P9UK"],"uri":["http://zotero.org/users/5328021/items/T8F8P9UK"],"itemData":{"id":47101,"type":"article-journal","abstract":"OBJECTIVE: Conflicting evidence exists on the effects of hyperbaric oxygen therapy (HBOT) in the treatment of chronic ischemic leg ulcers. The aim of this trial was to investigate whether additional HBOT would benefit patients with diabetes and ischemic leg ulcers.\nRESEARCH DESIGN AND METHODS: Patients with diabetes with an ischemic wound (n = 120) were randomized to standard care (SC) without or with HBOT (SC+HBOT). Primary outcomes were limb salvage and wound healing after 12 months, as well as time to wound healing. Other end points were amputation-free survival (AFS) and mortality.\nRESULTS: Both groups contained 60 patients. Limb salvage was achieved in 47 patients in the SC group vs. 53 patients in the SC+HBOT group (risk difference [RD] 10% [95% CI -4 to 23]). After 12 months, 28 index wounds were healed in the SC group vs. 30 in the SC+HBOT group (RD 3% [95% CI -14 to 21]). AFS was achieved in 41 patients in the SC group and 49 patients in the SC+HBOT group (RD 13% [95% CI -2 to 28]). In the SC+HBOT group, 21 patients (35%) were unable to complete the HBOT protocol as planned. Those who did had significantly fewer major amputations and higher AFS (RD for AFS 26% [95% CI 10-38]).\nCONCLUSIONS: Additional HBOT did not significantly improve complete wound healing or limb salvage in patients with diabetes and lower-limb ischemia.","container-title":"Diabetes Care","issue":"1","journalAbbreviation":"Diabetes Care","language":"eng","note":"PMID: 29074815","page":"112-119","title":"Hyperbaric Oxygen Therapy in the Treatment of Ischemic Lower- Extremity Ulcers in Patients With Diabetes: Results of the DAMO2CLES Multicenter Randomized Clinical Trial","volume":"41","author":[{"family":"Santema","given":"Katrien T. B."},{"family":"Stoekenbroek","given":"Robert M."},{"family":"Koelemay","given":"Mark J. W."},{"family":"Reekers","given":"Jim A."},{"family":"Dortmont","given":"Laura M. C.","non-dropping-particle":"van"},{"family":"Oomen","given":"Arno"},{"family":"Smeets","given":"Luuk"},{"family":"Wever","given":"Jan J."},{"family":"Legemate","given":"Dink A."},{"family":"Ubbink","given":"Dirk T."},{"literal":"DAMO2CLES Study Group"}],"issued":{"date-parts":[["2018"]]}}}],"schema":"https://github.com/citation-style-language/schema/raw/master/csl-citation.json"}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(125,130,133)</w:t>
            </w:r>
            <w:r w:rsidRPr="00CA32B9">
              <w:rPr>
                <w:rFonts w:asciiTheme="minorHAnsi" w:hAnsiTheme="minorHAnsi" w:cstheme="minorHAnsi"/>
                <w:szCs w:val="20"/>
                <w:lang w:val="en-US"/>
              </w:rPr>
              <w:fldChar w:fldCharType="end"/>
            </w:r>
          </w:p>
        </w:tc>
      </w:tr>
      <w:tr w:rsidR="0056668F" w:rsidRPr="00166EC2" w14:paraId="3C140B0A" w14:textId="77777777" w:rsidTr="0056668F">
        <w:tc>
          <w:tcPr>
            <w:tcW w:w="9060" w:type="dxa"/>
            <w:gridSpan w:val="4"/>
            <w:vAlign w:val="center"/>
          </w:tcPr>
          <w:p w14:paraId="1264B22C" w14:textId="1F5705D7" w:rsidR="0056668F" w:rsidRDefault="0056668F" w:rsidP="0056668F">
            <w:pPr>
              <w:jc w:val="left"/>
              <w:rPr>
                <w:lang w:val="en-US"/>
              </w:rPr>
            </w:pPr>
            <w:r w:rsidRPr="00CA32B9">
              <w:rPr>
                <w:rFonts w:asciiTheme="minorHAnsi" w:hAnsiTheme="minorHAnsi" w:cstheme="minorHAnsi"/>
                <w:b/>
                <w:szCs w:val="20"/>
                <w:lang w:val="en-US"/>
              </w:rPr>
              <w:t>Reduction of minor amputation events</w:t>
            </w:r>
          </w:p>
        </w:tc>
      </w:tr>
      <w:tr w:rsidR="00F64C02" w:rsidRPr="00166EC2" w14:paraId="56ACA71C" w14:textId="77777777" w:rsidTr="0022700A">
        <w:tc>
          <w:tcPr>
            <w:tcW w:w="2830" w:type="dxa"/>
            <w:vAlign w:val="center"/>
          </w:tcPr>
          <w:p w14:paraId="3E104137" w14:textId="71E27A74" w:rsidR="00F64C02" w:rsidRDefault="00F64C02" w:rsidP="0056668F">
            <w:pPr>
              <w:jc w:val="center"/>
              <w:rPr>
                <w:lang w:val="en-US"/>
              </w:rPr>
            </w:pPr>
            <w:r w:rsidRPr="00CA32B9">
              <w:rPr>
                <w:rFonts w:asciiTheme="minorHAnsi" w:hAnsiTheme="minorHAnsi" w:cstheme="minorHAnsi"/>
                <w:szCs w:val="20"/>
                <w:lang w:val="en-US"/>
              </w:rPr>
              <w:t>1 study (I) -</w:t>
            </w:r>
            <w:r w:rsidRPr="00CA32B9">
              <w:rPr>
                <w:rFonts w:asciiTheme="minorHAnsi" w:hAnsiTheme="minorHAnsi" w:cstheme="minorHAnsi"/>
                <w:color w:val="9A9B9D" w:themeColor="text1" w:themeTint="99"/>
                <w:szCs w:val="20"/>
                <w:lang w:val="en-US"/>
              </w:rPr>
              <w:t xml:space="preserve"> </w:t>
            </w: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157" w:type="dxa"/>
            <w:vAlign w:val="center"/>
          </w:tcPr>
          <w:p w14:paraId="10A2AA42" w14:textId="188098EC" w:rsidR="00F64C02" w:rsidRDefault="00F64C02" w:rsidP="0056668F">
            <w:pPr>
              <w:jc w:val="center"/>
              <w:rPr>
                <w:lang w:val="en-US"/>
              </w:rPr>
            </w:pPr>
            <w:r w:rsidRPr="00CA32B9">
              <w:rPr>
                <w:rFonts w:asciiTheme="minorHAnsi" w:hAnsiTheme="minorHAnsi" w:cstheme="minorHAnsi"/>
                <w:szCs w:val="20"/>
                <w:lang w:val="en-US"/>
              </w:rPr>
              <w:t>8</w:t>
            </w:r>
          </w:p>
        </w:tc>
        <w:tc>
          <w:tcPr>
            <w:tcW w:w="2009" w:type="dxa"/>
            <w:vAlign w:val="center"/>
          </w:tcPr>
          <w:p w14:paraId="4B6A6032" w14:textId="1877550D" w:rsidR="00F64C02" w:rsidRDefault="00F64C02" w:rsidP="0056668F">
            <w:pPr>
              <w:jc w:val="center"/>
              <w:rPr>
                <w:lang w:val="en-US"/>
              </w:rPr>
            </w:pPr>
            <w:r w:rsidRPr="00CA32B9">
              <w:rPr>
                <w:rFonts w:asciiTheme="minorHAnsi" w:hAnsiTheme="minorHAnsi" w:cstheme="minorHAnsi"/>
                <w:szCs w:val="20"/>
                <w:lang w:val="en-US"/>
              </w:rPr>
              <w:t>High</w:t>
            </w:r>
          </w:p>
        </w:tc>
        <w:tc>
          <w:tcPr>
            <w:tcW w:w="3064" w:type="dxa"/>
            <w:vAlign w:val="center"/>
          </w:tcPr>
          <w:p w14:paraId="4AF93D2C" w14:textId="350699DB" w:rsidR="00F64C02" w:rsidRDefault="00F64C02"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ODaqUzDZ","properties":{"formattedCitation":"(125,130)","plainCitation":"(125,130)","noteIndex":0},"citationItems":[{"id":74189,"uris":["http://zotero.org/users/5328021/items/EG7FYSHS"],"uri":["http://zotero.org/users/5328021/items/EG7FYSHS"],"itemData":{"id":74189,"type":"article-journal","abstract":"AIM: To examine the efficacy of hyperbaric oxygen therapy in healing diabetes-related lower limb ulcers through a meta-analysis of randomized clinical trials. METHODS: A literature search was conducted to identify appropriate clinical trials. Inclusion required randomized study design and reporting of the  proportion of diabetes-related lower limb ulcers that healed. A meta-analysis was performed to examine the effect of hyperbaric oxygen therapy on ulcer healing. The secondary outcomes were minor and major amputations. RESULTS: Nine randomized trials involving 585 participants were included. People allocated to hyperbaric oxygen therapy were more likely to have complete ulcer healing (relative risk 1.95, 95% CI 1.51-2.52; P&lt;0.001), and less likely to require major (relative risk 0.54, 95% CI 0.36-0.81; P=0.003) or minor (relative risk 0.68, 95% CI 0.48-0.98;  P=0.040) amputations than control groups. Sensitivity analyses suggested the findings were dependent on the inclusion of one trial. Adverse events included ear barotrauma and a seizure. Many of the trials were noted to have methodological weaknesses including absence of blinding of outcome assessors, lack of a justifiable sample size calculation and limited follow-up. CONCLUSIONS: This meta-analysis suggests hyperbaric oxygen therapy improves the healing of diabetes-related lower limb ulcers and reduces the requirement for amputation. Confidence in these results is limited by significant design weaknesses of previous trials and inconsistent findings. A more rigorous assessment of the efficacy of hyperbaric the efficacy of hyperbaric oxygen therapy is needed.","container-title":"Diabetic medicine : a journal of the British Diabetic Association","issue":"7","journalAbbreviation":"Diabet Med","language":"eng","note":"PMID: 31002414","page":"813-826","title":"Systematic review and meta-analysis of clinical trials examining the effect of hyperbaric oxygen therapy in people with diabetes-related lower limb ulcers.","volume":"36","author":[{"family":"Golledge","given":"J."},{"family":"Singh","given":"T. P."}],"issued":{"date-parts":[["2019",7]]}}},{"id":53395,"uris":["http://zotero.org/users/5328021/items/3QB8QBTH"],"uri":["http://zotero.org/users/5328021/items/3QB8QBTH"],"itemData":{"id":53395,"type":"article-journal","abstract":"OBJECTIVE: To assess the efficacy and safety of hyperbaric oxygenation (HBO) therapy as adjunctive treatment for diabetic foot ulcers with a systematic review and meta-analysis of the literature.\nMETHODS: MEDLINE, EMBASE, and the Cochrane Library were searched to find relevant articles published up to April 20, 2012, without restriction as to language or publication status. All controlled trials that evaluated adjunctive treatment with HBO therapy compared with treatment without HBO for chronic diabetic foot ulcers were selected. A meta-analysis was performed to assess the efficacy and safety of hyperbaric oxygen in managing foot ulcers.\nRESULTS: Thirteen trials (a total of 624 patients), including 7 prospective randomized trials, performed between January 1, 1966, and April 20, 2012, were identified as eligible for inclusion in the study. Pooling analysis revealed that, compared with treatment without HBO, adjunctive treatment with HBO resulted in a significantly higher proportion of healed diabetic ulcers (relative risk, 2.33; 95% CI, 1.51-3.60). The analysis also revealed that treatment with HBO was associated with a significant reduction in the risk of major amputations (relative risk, 0.29; 95% CI, 0.19-0.44); however, the rate of minor amputations was not affected (P=.30). Adverse events associated with HBO treatment were rare and reversible and not more frequent than those occurring without HBO treatment (P=.37).\nCONCLUSIONS: This meta-analysis reveals that treatment with HBO improved the rate of healing and reduced the risk of major amputations in patients with diabetic foot ulcers. On the basis of these effects, we believe that quality of life could be improved in selected patients treated with HBO.","container-title":"Mayo Clinic Proceedings","issue":"2","journalAbbreviation":"Mayo Clin. Proc.","language":"eng","note":"PMID: 23374620","page":"166-175","title":"Systematic review of the effectiveness of hyperbaric oxygenation therapy in the management of chronic diabetic foot ulcers","volume":"88","author":[{"family":"Liu","given":"Rui"},{"family":"Li","given":"Ling"},{"family":"Yang","given":"Mengliu"},{"family":"Boden","given":"Guenther"},{"family":"Yang","given":"Gangyi"}],"issued":{"date-parts":[["2013",2]]}}}],"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(125,130)</w:t>
            </w:r>
            <w:r w:rsidRPr="00CA32B9">
              <w:rPr>
                <w:rFonts w:asciiTheme="minorHAnsi" w:hAnsiTheme="minorHAnsi" w:cstheme="minorHAnsi"/>
                <w:szCs w:val="20"/>
                <w:lang w:val="en-US"/>
              </w:rPr>
              <w:fldChar w:fldCharType="end"/>
            </w:r>
          </w:p>
        </w:tc>
      </w:tr>
      <w:tr w:rsidR="0056668F" w:rsidRPr="00166EC2" w14:paraId="70B6B5CC" w14:textId="77777777" w:rsidTr="0056668F">
        <w:tc>
          <w:tcPr>
            <w:tcW w:w="9060" w:type="dxa"/>
            <w:gridSpan w:val="4"/>
            <w:shd w:val="clear" w:color="auto" w:fill="D4F1D3" w:themeFill="background2" w:themeFillTint="33"/>
            <w:vAlign w:val="center"/>
          </w:tcPr>
          <w:p w14:paraId="743357A8" w14:textId="2097F12A" w:rsidR="0056668F" w:rsidRDefault="0056668F" w:rsidP="0056668F">
            <w:pPr>
              <w:jc w:val="center"/>
              <w:rPr>
                <w:lang w:val="en-US"/>
              </w:rPr>
            </w:pPr>
            <w:r w:rsidRPr="00CA32B9">
              <w:rPr>
                <w:rFonts w:asciiTheme="minorHAnsi" w:hAnsiTheme="minorHAnsi" w:cstheme="minorHAnsi"/>
                <w:b/>
                <w:bCs/>
                <w:color w:val="56575A"/>
                <w:szCs w:val="20"/>
                <w:lang w:val="en-US"/>
              </w:rPr>
              <w:t>Treatment with isolated growth factors</w:t>
            </w:r>
          </w:p>
        </w:tc>
      </w:tr>
      <w:tr w:rsidR="0056668F" w:rsidRPr="00166EC2" w14:paraId="05C3F1C9" w14:textId="77777777" w:rsidTr="0056668F">
        <w:tc>
          <w:tcPr>
            <w:tcW w:w="9060" w:type="dxa"/>
            <w:gridSpan w:val="4"/>
            <w:vAlign w:val="center"/>
          </w:tcPr>
          <w:p w14:paraId="6468063B" w14:textId="20B16945" w:rsidR="0056668F" w:rsidRDefault="0056668F" w:rsidP="0056668F">
            <w:pPr>
              <w:jc w:val="left"/>
              <w:rPr>
                <w:lang w:val="en-US"/>
              </w:rPr>
            </w:pPr>
            <w:r w:rsidRPr="00CA32B9">
              <w:rPr>
                <w:rFonts w:asciiTheme="minorHAnsi" w:hAnsiTheme="minorHAnsi" w:cstheme="minorHAnsi"/>
                <w:b/>
                <w:szCs w:val="20"/>
                <w:lang w:val="en-US"/>
              </w:rPr>
              <w:t>Ulcer healing</w:t>
            </w:r>
          </w:p>
        </w:tc>
      </w:tr>
      <w:tr w:rsidR="0056668F" w14:paraId="4E0146EC" w14:textId="77777777" w:rsidTr="0022700A">
        <w:tc>
          <w:tcPr>
            <w:tcW w:w="2830" w:type="dxa"/>
            <w:vAlign w:val="center"/>
          </w:tcPr>
          <w:p w14:paraId="3E956D7A" w14:textId="03054108" w:rsidR="0056668F" w:rsidRDefault="0056668F" w:rsidP="0056668F">
            <w:pPr>
              <w:jc w:val="center"/>
              <w:rPr>
                <w:lang w:val="en-US"/>
              </w:rPr>
            </w:pPr>
            <w:r w:rsidRPr="00CA32B9">
              <w:rPr>
                <w:rFonts w:asciiTheme="minorHAnsi" w:hAnsiTheme="minorHAnsi" w:cstheme="minorHAnsi"/>
                <w:szCs w:val="20"/>
                <w:lang w:val="en-US"/>
              </w:rPr>
              <w:t>11 studies (I) - 6 studies (</w:t>
            </w:r>
            <w:r w:rsidRPr="00CA32B9">
              <w:rPr>
                <w:rFonts w:asciiTheme="minorHAnsi" w:eastAsia="Times New Roman" w:hAnsiTheme="minorHAnsi" w:cstheme="minorHAnsi"/>
                <w:szCs w:val="20"/>
                <w:lang w:val="en-US"/>
              </w:rPr>
              <w:t>II)</w:t>
            </w:r>
          </w:p>
        </w:tc>
        <w:tc>
          <w:tcPr>
            <w:tcW w:w="1157" w:type="dxa"/>
            <w:vAlign w:val="center"/>
          </w:tcPr>
          <w:p w14:paraId="0595B398" w14:textId="7B9C7F1C" w:rsidR="0056668F" w:rsidRDefault="0056668F" w:rsidP="0056668F">
            <w:pPr>
              <w:jc w:val="center"/>
              <w:rPr>
                <w:lang w:val="en-US"/>
              </w:rPr>
            </w:pPr>
            <w:r w:rsidRPr="00CA32B9">
              <w:rPr>
                <w:rFonts w:asciiTheme="minorHAnsi" w:hAnsiTheme="minorHAnsi" w:cstheme="minorHAnsi"/>
                <w:szCs w:val="20"/>
                <w:lang w:val="en-US"/>
              </w:rPr>
              <w:t>8,6</w:t>
            </w:r>
          </w:p>
        </w:tc>
        <w:tc>
          <w:tcPr>
            <w:tcW w:w="2009" w:type="dxa"/>
            <w:vMerge w:val="restart"/>
            <w:vAlign w:val="center"/>
          </w:tcPr>
          <w:p w14:paraId="5B1792A1" w14:textId="3DC53FA6" w:rsidR="0056668F" w:rsidRDefault="0056668F" w:rsidP="0056668F">
            <w:pPr>
              <w:jc w:val="center"/>
              <w:rPr>
                <w:lang w:val="en-US"/>
              </w:rPr>
            </w:pPr>
            <w:r w:rsidRPr="00CA32B9">
              <w:rPr>
                <w:rFonts w:asciiTheme="minorHAnsi" w:hAnsiTheme="minorHAnsi" w:cstheme="minorHAnsi"/>
                <w:szCs w:val="20"/>
                <w:lang w:val="en-US"/>
              </w:rPr>
              <w:t>High</w:t>
            </w:r>
          </w:p>
        </w:tc>
        <w:tc>
          <w:tcPr>
            <w:tcW w:w="3064" w:type="dxa"/>
            <w:vAlign w:val="center"/>
          </w:tcPr>
          <w:p w14:paraId="3260FE1C" w14:textId="5327920E"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wpNFOUqR","properties":{"formattedCitation":"(143\\uc0\\u8211{}159)","plainCitation":"(143–159)","noteIndex":0},"citationItems":[{"id":82744,"uris":["http://zotero.org/users/5328021/items/A5HXFMPY"],"uri":["http://zotero.org/users/5328021/items/A5HXFMPY"],"itemData":{"id":82744,"type":"article-journal","abstract":"Delayed healing of a neuroischaemic diabetic foot ulcer (DFU) has been related to prolonged local inflammatory response, an unstable provisional matrix, increased degradation of the extracellular matrix, lack of growth factors and their receptors that are crucial for healing, fibroblast dysfunction, impaired neovascularization, increased oxidative stress, and cellular apoptosis in the wound bed, all of which collectively hinder re</w:instrText>
            </w:r>
            <w:r>
              <w:rPr>
                <w:rFonts w:ascii="Cambria Math" w:hAnsi="Cambria Math" w:cs="Cambria Math"/>
                <w:szCs w:val="20"/>
                <w:lang w:val="en-US"/>
              </w:rPr>
              <w:instrText>‐</w:instrText>
            </w:r>
            <w:r>
              <w:rPr>
                <w:rFonts w:asciiTheme="minorHAnsi" w:hAnsiTheme="minorHAnsi" w:cstheme="minorHAnsi"/>
                <w:szCs w:val="20"/>
                <w:lang w:val="en-US"/>
              </w:rPr>
              <w:instrText>epithelialisation and wound closure. Erythropoietin (EPO) is an approved drug which is widely used for treating anaemia. EPO is a well</w:instrText>
            </w:r>
            <w:r>
              <w:rPr>
                <w:rFonts w:ascii="Cambria Math" w:hAnsi="Cambria Math" w:cs="Cambria Math"/>
                <w:szCs w:val="20"/>
                <w:lang w:val="en-US"/>
              </w:rPr>
              <w:instrText>‐</w:instrText>
            </w:r>
            <w:r>
              <w:rPr>
                <w:rFonts w:asciiTheme="minorHAnsi" w:hAnsiTheme="minorHAnsi" w:cstheme="minorHAnsi"/>
                <w:szCs w:val="20"/>
                <w:lang w:val="en-US"/>
              </w:rPr>
              <w:instrText>known glycoprotein hormone, which is primarily produced by the tubular cells of the kidney. EPO is widely known for regulating the red blood cell mass by stimulating differentiation and proliferation of precursor cells and hindering apoptosis of erythroid cells in the bone marrow. Millions of people have received EPO since its market approval by the US Food and Drug Administration in 1989 as a treatment of anaemia in patients with chronic kidney disease and later on as a treatment for chemotherapy</w:instrText>
            </w:r>
            <w:r>
              <w:rPr>
                <w:rFonts w:ascii="Cambria Math" w:hAnsi="Cambria Math" w:cs="Cambria Math"/>
                <w:szCs w:val="20"/>
                <w:lang w:val="en-US"/>
              </w:rPr>
              <w:instrText>‐</w:instrText>
            </w:r>
            <w:r>
              <w:rPr>
                <w:rFonts w:asciiTheme="minorHAnsi" w:hAnsiTheme="minorHAnsi" w:cstheme="minorHAnsi"/>
                <w:szCs w:val="20"/>
                <w:lang w:val="en-US"/>
              </w:rPr>
              <w:instrText>associated anaemia. There is growing evidence that both systemic administration and topical EPO application to skin wounds in animals with experimentally</w:instrText>
            </w:r>
            <w:r>
              <w:rPr>
                <w:rFonts w:ascii="Cambria Math" w:hAnsi="Cambria Math" w:cs="Cambria Math"/>
                <w:szCs w:val="20"/>
                <w:lang w:val="en-US"/>
              </w:rPr>
              <w:instrText>‐</w:instrText>
            </w:r>
            <w:r>
              <w:rPr>
                <w:rFonts w:asciiTheme="minorHAnsi" w:hAnsiTheme="minorHAnsi" w:cstheme="minorHAnsi"/>
                <w:szCs w:val="20"/>
                <w:lang w:val="en-US"/>
              </w:rPr>
              <w:instrText>induced diabetes mellitus (DM) and in patients with DM accelerates the healing of these wounds. This accelerated wound healing is mediated by EPO because it concomitantly suppresses the inflammatory response and apoptosis and stimulates angiogenesis, re</w:instrText>
            </w:r>
            <w:r>
              <w:rPr>
                <w:rFonts w:ascii="Cambria Math" w:hAnsi="Cambria Math" w:cs="Cambria Math"/>
                <w:szCs w:val="20"/>
                <w:lang w:val="en-US"/>
              </w:rPr>
              <w:instrText>‐</w:instrText>
            </w:r>
            <w:r>
              <w:rPr>
                <w:rFonts w:asciiTheme="minorHAnsi" w:hAnsiTheme="minorHAnsi" w:cstheme="minorHAnsi"/>
                <w:szCs w:val="20"/>
                <w:lang w:val="en-US"/>
              </w:rPr>
              <w:instrText>epithelialization, and collagen deposition. Growing studies in experimental healthy and diabetic animals have demonstrated that systemic or topical treatment with EPO onto acute and chronic wounds and burns is safe and effective. Recently, the molecular mechanisms of EPO action in wound repair have been elucidated. EPO acts on all cutaneous cells that are involved in the wound healing process by promoting cellular differentiation and proliferation, exerting cytoprotective actions, and inhibiting inflammation and apoptosis due to the presence of EPO receptors in these cells [Hamed et al. 2014]. The aim of this multicenter, single</w:instrText>
            </w:r>
            <w:r>
              <w:rPr>
                <w:rFonts w:ascii="Cambria Math" w:hAnsi="Cambria Math" w:cs="Cambria Math"/>
                <w:szCs w:val="20"/>
                <w:lang w:val="en-US"/>
              </w:rPr>
              <w:instrText>‐</w:instrText>
            </w:r>
            <w:r>
              <w:rPr>
                <w:rFonts w:asciiTheme="minorHAnsi" w:hAnsiTheme="minorHAnsi" w:cstheme="minorHAnsi"/>
                <w:szCs w:val="20"/>
                <w:lang w:val="en-US"/>
              </w:rPr>
              <w:instrText>blind, randomized, controlled clinical trial is to evaluate the safety and efficacy of topical RMD</w:instrText>
            </w:r>
            <w:r>
              <w:rPr>
                <w:rFonts w:ascii="Cambria Math" w:hAnsi="Cambria Math" w:cs="Cambria Math"/>
                <w:szCs w:val="20"/>
                <w:lang w:val="en-US"/>
              </w:rPr>
              <w:instrText>‐</w:instrText>
            </w:r>
            <w:r>
              <w:rPr>
                <w:rFonts w:asciiTheme="minorHAnsi" w:hAnsiTheme="minorHAnsi" w:cstheme="minorHAnsi"/>
                <w:szCs w:val="20"/>
                <w:lang w:val="en-US"/>
              </w:rPr>
              <w:instrText>G1 treatment for DFUs. This study is an exploratory proof</w:instrText>
            </w:r>
            <w:r>
              <w:rPr>
                <w:rFonts w:ascii="Cambria Math" w:hAnsi="Cambria Math" w:cs="Cambria Math"/>
                <w:szCs w:val="20"/>
                <w:lang w:val="en-US"/>
              </w:rPr>
              <w:instrText>‐</w:instrText>
            </w:r>
            <w:r>
              <w:rPr>
                <w:rFonts w:asciiTheme="minorHAnsi" w:hAnsiTheme="minorHAnsi" w:cstheme="minorHAnsi"/>
                <w:szCs w:val="20"/>
                <w:lang w:val="en-US"/>
              </w:rPr>
              <w:instrText>of</w:instrText>
            </w:r>
            <w:r>
              <w:rPr>
                <w:rFonts w:ascii="Cambria Math" w:hAnsi="Cambria Math" w:cs="Cambria Math"/>
                <w:szCs w:val="20"/>
                <w:lang w:val="en-US"/>
              </w:rPr>
              <w:instrText>‐</w:instrText>
            </w:r>
            <w:r>
              <w:rPr>
                <w:rFonts w:asciiTheme="minorHAnsi" w:hAnsiTheme="minorHAnsi" w:cstheme="minorHAnsi"/>
                <w:szCs w:val="20"/>
                <w:lang w:val="en-US"/>
              </w:rPr>
              <w:instrText>concept study on RMD</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G1 treatment for DFU.","archive_location":"CN-02044267","container-title":"https://clinicaltrials.gov/show/NCT02361931","DOI":"DOI: 10.1089/rej.2020.2397","journalAbbreviation":"REJUVENATION RESEARCH","note":"PMID: 33504262","title":"Topical Erythropoietin Accelerates Wound Closure in Patients with Diabetic Foot Ulcers: A Prospective, Multicenter, Single-Blind, Randomized, Controlled Trial - NCT02361931","URL":"https://www.cochranelibrary.com/central/doi/10.1002/central/CN-02044267/full","author":[{"family":"Hamed","given":"Saher"},{"family":"Ullmann","given":""},{"family":"Belokopytov","given":"Mark"}],"issued":{"date-parts":[["2021"]]}}},{"id":45546,"uris":["http://zotero.org/users/5328021/items/MDK44T2C"],"uri":["http://zotero.org/users/5328021/items/MDK44T2C"],"itemData":{"id":45546,"type":"article-journal","abstract":"AIMS: This study was conducted to evaluate the efficacy and safety of a novel spray-applied growth factor therapy containing recombinant human epidermal growth factor (rhEGF) for the treatment of chronic diabetic foot ulcers (DFU).\nMETHODS: This study was a phase III double-blind, randomized, placebo-controlled trial. 167 adult patients at six medical centers were randomized to receive routine wound care plus either topical spray treatment with 0.005% rhEGF (n = 82) or an equivalent volume of saline spray (n = 85) twice a day until ulcer healing or for up to 12 weeks.\nRESULTS: Demographics, medical status, and wound characteristics were comparable between rhEGF and placebo groups. More patients in the rhEGF group significantly had complete wound healing compared to placebo (73.2% versus 50.6%, respectively; P = .001). Wound healing velocity was faster in the rhEGF group (P = .029) regardless of HbA1c levels. The rhEGF group had a shorter median time to 50% ulcer size reduction (21 versus 35 days; hazard ratio = 3.13, P &lt; .001) and shorter time to complete ulcer healing (56 versus 84 days; hazard ratio = 2.13, P &lt; .001).\nCONCLUSIONS: This study confirms that application of spray-applied rhEGF in DFU patients results in faster healing velocity and higher complete healing rate regardless of HbA1c levels.","container-title":"Diabetes Research and Clinical Practice","journalAbbreviation":"Diabetes Res. Clin. Pract.","language":"eng","note":"PMID: 29902542","page":"335-344","title":"Topical epidermal growth factor spray for the treatment of chronic diabetic foot ulcers: A phase III multicenter, double-blind, randomized, placebo-controlled trial","volume":"142","author":[{"family":"Park","given":"Kwang Hwan"},{"family":"Han","given":"Seung Hwan"},{"family":"Hong","given":"Joon Pio"},{"family":"Han","given":"Seung-Kyu"},{"family":"Lee","given":"Doo-Hyung"},{"family":"Kim","given":"Bom Soo"},{"family":"Ahn","given":"Jae Hoon"},{"family":"Lee","given":"Jin Woo"}],"issued":{"date-parts":[["2018",8]]}}},{"id":47038,"uris":["http://zotero.org/users/5328021/items/GJCTASMH"],"uri":["http://zotero.org/users/5328021/items/GJCTASMH"],"itemData":{"id":47038,"type":"article-journal","abstract":"AIMS: Topical growth factors accelerate wound healing in patients with diabetic foot ulcers (DFU). Due to the absence of head-to-head comparisons, we carried out Bayesian network meta-analysis to compare the efficacy and safety of growth factors.\nMETHODS: Using an appropriate search strategy, randomized controlled trials on topical growth factors compared with standard of care in patients with DFU, were included. Proportion of patients with complete healing was the primary outcome. Odds ratio (95% confidence interval) was used as the effect estimate and random effects model was used for both direct and indirect comparisons. Markov Chain Monte Carlo simulation was used to obtain pooled estimates. Rankogram was generated based on surface under the cumulative ranking curve (SUCRA).\nRESULTS: A total of 26 studies with 2088 participants and 1018 events were included. The pooled estimates for recombinant epidermal growth factor (rhEGF), autologous platelet rich plasma (PRP), recombinant human platelet-derived growth factor (rhPDGF) were 5.72 [3.34, 10.37], 2.65 [1.60, 4.54] and 1.97 [1.54, 2.55] respectively. SUCRA for rhEGF was 0.95. Sensitivity analyses did not reveal significant changes from the pooled estimates and rankogram. No differences were observed in the overall risk of adverse events between the growth factors. However, the growth factors were observed to lower the risk of lower limb amputation compared to standard of care.\nCONCLUSION: To conclude, rhEGF, rhPDGF and autologous PRP significantly improved the healing rate when used as adjuvants to standard of care, of which rhEGF may perform better than other growth factors. The strength of most of the outcomes assessed was low and the findings may not be applicable for DFU with infection or osteomyelitis. The findings of this study needs to be considered with caution as the results might change with findings from head-to-head studies.","container-title":"British Journal of Clinical Pharmacology","issue":"3","journalAbbreviation":"Br J Clin Pharmacol","language":"eng","note":"PMID: 29148070\nPMCID: PMC5809344","page":"434-444","title":"Growth factors for diabetic foot ulcers: mixed treatment comparison analysis of randomized clinical trials","volume":"84","author":[{"family":"Sridharan","given":"Kannan"},{"family":"Sivaramakrishnan","given":"Gowri"}],"issued":{"date-parts":[["2018"]]}}},{"id":49200,"uris":["http://zotero.org/users/5328021/items/CNA7LWYR"],"uri":["http://zotero.org/users/5328021/items/CNA7LWYR"],"itemData":{"id":49200,"type":"article-journal","abstract":"BACKGROUND: Autologous platelet-rich plasma (PRP) is a treatment that contains fibrin and high concentrations of growth factors with the potential to improve the healing of chronic wounds. This is the first update of a review first published in 2012.\nOBJECTIVES: To determine whether autologous PRP promotes the healing of chronic wounds.\nSEARCH METHODS: In June 2015, for this first update, we searched the Cochrane Wounds Specialised Register; the Cochrane Central Register of Controlled Trials (CENTRAL) (The Cochrane Library): Ovid MEDLINE; Ovid MEDLINE (In-Process &amp; Other Non-Indexed Citations); Ovid EMBASE; and EBSCO CINAHL. We also searched for ongoing and unpublished clinical trials in the WHO International Clinical Trials Registry Platform (ICTRP) (searched January 2015). We did not impose any restrictions with respect to language, date of publication, or study setting.\nSELECTION CRITERIA: We included randomised controlled trials (RCTs) that compared autologous PRP with placebo or alternative treatments for any type of chronic wound in adults. We did not apply any date or language restrictions.\nDATA COLLECTION AND ANALYSIS: We used standard Cochrane methodology, including two reviewers independently selecting studies for inclusion, extracting data, and assessing risk of bias.\nMAIN RESULTS: The search identified one new RCT, making a total of 10 included RCTs (442 participants, 42% women). The median number of participants per RCT was 29 (range 10 to 117). Four RCTs recruited people with a range of chronic wounds; three RCTs recruited people with venous leg ulcers, and three RCTs considered foot ulcers in people with diabetes. The median length of treatment was 12 weeks (range 8 to 40 weeks).It is unclear whether autologous PRP improves the healing of chronic wounds generally compared with standard treatment (with or without placebo) (risk ratio (RR) 1.19, 95% confidence interval (CI) 0.95 to 1.50; I(2) = 27%, low quality evidence, 8 RCTs, 391 participants). Autologous PRP may increase the healing of foot ulcers in people with diabetes compared with standard care (with or without placebo) (RR 1.22, 95% CI 1.01 to 1.49; I(2) = 0%, low quality evidence, 2 RCTs, 189 participants). It is unclear if autologous PRP affects the healing of venous leg ulcers (RR 1.02, 95% CI 0.81 to 1.27; I(2) = 0% ). It is unclear if there is a difference in the risk of adverse events in people treated with PRP or standard care (RR 1.05, 95% CI 0.29 to 3.88; I(2) = 0%, low quality evidence from 3 trials, 102 participants).\nAUTHORS' CONCLUSIONS: PRP may improve the healing of foot ulcers associated with diabetes, but this conclusion is based on low quality evidence from two small RCTs. It is unclear whether PRP influences the healing of other chronic wounds. The overall quality of evidence of autologous PRP for treating chronic wounds is low. There are very few RCTs evaluating PRP, they are underpowered to detect treatment effects, if they exist, and are generally at high or unclear risk of bias. Well designed and adequately powered clinical trials are needed.","container-title":"The Cochrane Database of Systematic Reviews","issue":"5","journalAbbreviation":"Cochrane Database Syst Rev","language":"eng","note":"PMID: 27223580","page":"CD006899","title":"Autologous platelet-rich plasma for treating chronic wounds","author":[{"family":"Martinez-Zapata","given":"Maria José"},{"family":"Martí-Carvajal","given":"Arturo J."},{"family":"Solà","given":"Ivan"},{"family":"Expósito","given":"José Angel"},{"family":"Bolíbar","given":"Ignasi"},{"family":"Rodríguez","given":"Luciano"},{"family":"Garcia","given":"Joan"},{"family":"Zaror","given":"Carlos"}],"issued":{"date-parts":[["2016",5,25]]}}},{"id":49231,"uris":["http://zotero.org/users/5328021/items/FWHETVGC"],"uri":["http://zotero.org/users/5328021/items/FWHETVGC"],"itemData":{"id":49231,"type":"article-journal","abstract":"Diabetic foot ulceration is a major complication of diabetes mellitus. Recombinant human epidermal growth factor (rhEGF) is used topically in the treatment of diabetic foot ulcers. This meta-analysis was designed to evaluate if rhEGF increased the complete healing rate of diabetic foot compared with controls. We searched the MEDLINE, Cochrane Library, EMBASE, and Web of Knowledge databases (up to December 22, 2015). Studies were identified and selected, and data were extracted by 2 independent reviewers. A total of 4 randomized controlled trials including 294 patients were identified. The studies evaluated the rate of healing of diabetic foot that were treated with rhEGF or controls. On account of study heterogeneity, a random-effects model was performed, and the combined odds ratio (OR) indicated a significantly greater complete healing rate in patients treated with rhEGF compared to placebo. The ORs ranged from 1.66 to 14.64, with a combined OR of 4.36 (95% confidence interval = 1.48-12.81, P = .007). These results indicate that rhEGF is efficacious in the treatment of diabetic foot ulcers by increasing the rate of wound healing. These findings support the use of rhEGF in treating diabetic foot.","container-title":"The International Journal of Lower Extremity Wounds","issue":"2","journalAbbreviation":"Int J Low Extrem Wounds","language":"eng","note":"PMID: 27151755","page":"120-125","title":"Efficacy of Topical Recombinant Human Epidermal Growth Factor for Treatment of Diabetic Foot Ulcer: A Systematic Review and Meta-Analysis","volume":"15","author":[{"family":"Yang","given":"Shaowei"},{"family":"Geng","given":"Zhijun"},{"family":"Ma","given":"Kui"},{"family":"Sun","given":"Xiaoyan"},{"family":"Fu","given":"Xiaobing"}],"issued":{"date-parts":[["2016",6]]}}},{"id":99538,"uris":["http://zotero.org/groups/4352621/items/TM8PYUP9"],"uri":["http://zotero.org/groups/4352621/items/TM8PYUP9"],"itemData":{"id":99538,"type":"article-journal","abstract":"Diabetic foot ulcers (DFUs) are one the common complications of diabetes mellitus. Many trials were performed to evaluate the effect of recombinant human epidermal growth factor (rhEGF) in healing DFUs. This meta-analysis was performed to synthesize the evidence of rhEGF treatment in DFUs in comparison to placebo. Databases included for the search were PubMed, EMBASE, the Cochrane Library, Web of Science, EBSCOhost, ScienceDirect, and Scopus (up to January 2019). The outcome of interest was the complete healing rate of DFUs. We performed random effects meta-analysis stratified by the types of administration route (intralesional injection and topical apply) by calculating the odds ratios (OR) and 95% confidence interval (95% CI). A total of six studies involving 530 patients were eligible for analysis. The combined OR (intralesional injection and topical apply) was 4.005 (95% CI: (2.248; 7.135), p &lt; 0.001). The ORs for intralesional injection and topical application were 3.599 (95% CI: (1.213; 10.677), p = 0.021) and 4.176 (95% CI: (2.112; 8.256), p &lt; 0.001), respectively. Statistical heterogeneity might not be important in overall treatment (I2 = 15.17, p = 0.317) and both of the subgroups (I2: 24.56, p = 0.25 and I2: 33.26, p = 0.213, respectively). Our results support the use of rhEGF in the treatment of DFUs.","container-title":"International Journal of Environmental Research and Public Health","DOI":"10.3390/ijerph16142584","journalAbbreviation":"International Journal of Environmental Research and Public Health","page":"2584","source":"ResearchGate","title":"Epidermal Growth Factor is Effective in the Treatment of Diabetic Foot Ulcers: Meta-Analysis and Systematic Review","title-short":"Epidermal Growth Factor is Effective in the Treatment of Diabetic Foot Ulcers","volume":"16","author":[{"family":"Bui","given":"Thien"},{"family":"Bui","given":"Quoc"},{"family":"Németh","given":"Dávid"},{"family":"Hegyi","given":"Peter"},{"family":"Szakács","given":"Zsolt"},{"family":"Rumbus","given":"Zoltan"},{"family":"Toth","given":"Barbara"},{"family":"Emri","given":"Gabriella"},{"family":"Párniczky","given":"Andrea"},{"family":"Sarlós","given":"Patrícia"},{"family":"Varga","given":"Orsolya"}],"issued":{"date-parts":[["2019",7,19]]}}},{"id":51464,"uris":["http://zotero.org/users/5328021/items/BHP88NE5"],"uri":["http://zotero.org/users/5328021/items/BHP88NE5"],"itemData":{"id":51464,"type":"article-journal","abstract":"The healing process in diabetic foot ulcer (DFU) is hindered by factors such as chronic inflammation, defects in fibroblast function, poor angiogenesis, and lack of cell migration. Recombinant human epidermal growth factor (rhEGF) has been shown to enhance extracellular matrix formation, cellular proliferation, and angiogenesis. Therefore, intralesional application of rhEGF in DFU could accelerate wound healing. Our objective was to determine the efficacy and safety of rhEGF in patients with DFU. A randomized, double-blinded, placebo-controlled study was conducted comparing a thrice-per-week intralesional application of rhEGF (75 μg) or placebo in patients with DFU for 8 weeks. The number of completely healed ulcers, size, and wound bed characteristics were evaluated to determine the efficacy of rhEGF. Adverse events were recorded and analyzed to establish its safety. A total of 34 patients were recruited for the study. After three dropouts, we were able to follow and analyze 16 patients in the placebo group and 15 patients in the rhEGF study to the end of the trial. Baseline testing showed that both groups were similar. Compared to the placebo group, more ulcers achieved complete healing in the rhEGF group (rhEGF, n = 4; placebo, n = 0; p = 0.033); ulcers in the rhEGF group decreased in area size (12.5 cm2 [rhEGF] vs. 5.2 cm2 [placebo]; p = 0.049); and more epithelial islands in the wound bed were present (28% vs. 3%; p = 0.025). Mild transitory dizziness was the only side effect that was more frequently noted in the rhEGF group. Our results showed that in patients with DFU who received standard care, intralesional rhEGF application resulted in complete healing in more patients, promoted the epithelialization of the wound bed, and significantly reduced the area of the DFU treated. Therefore, rhEGF resulted in better outcomes for patients suffering from DFU.","container-title":"Wound Repair and Regeneration: Official Publication of the Wound Healing Society [and] the European Tissue Repair Society","issue":"4","journalAbbreviation":"Wound Repair Regen","language":"eng","note":"PMID: 25041620","page":"497-503","title":"Efficacy of intralesional recombinant human epidermal growth factor in diabetic foot ulcers in Mexican patients: a randomized double-blinded controlled trial","volume":"22","author":[{"family":"Gomez-Villa","given":"Ramiro"},{"family":"Aguilar-Rebolledo","given":"Francisco"},{"family":"Lozano-Platonoff","given":"Adriana"},{"family":"Teran-Soto","given":"Juan Miguel"},{"family":"Fabian-Victoriano","given":"Maria Rosy"},{"family":"Kresch-Tronik","given":"Nicole Stephanie"},{"family":"Garrido-Espíndola","given":"Ximena"},{"family":"Garcia-Solis","given":"Adriana"},{"family":"Bondani-Guasti","given":"Augusto"},{"family":"Bierzwinsky-Sneider","given":"Guillermo"},{"family":"Contreras-Ruiz","given":"José"}],"issued":{"date-parts":[["2014",8]]}}},{"id":74043,"uris":["http://zotero.org/users/5328021/items/FXG8LMHG"],"uri":["http://zotero.org/users/5328021/items/FXG8LMHG"],"itemData":{"id":74043,"type":"article-journal","abstract":"BACKGROUND: This randomized clinical trial was conducted to assess the role of platelet-rich plasma (PRP) gel as a treatment of clean non-healing diabetic foot  ulcer (DFU) in comparison with regular dressing with saline as a control. METHODS: Patients with DFU were randomly assigned to one of two equal groups: group I received dressing with PRP gel and group II received regular saline dressing. The main outcomes of the study were percent reduction in the dimensions of the DFU, healing of DFU, and complications at 20 weeks of follow-up. RESULTS:  Twenty-four patients were included to the study. The mean age of patients was 55.2 +/- 6.4 years. Only three (25%) patients in group I achieved complete healing versus none of group II patients. In total, 8.3% of group I and 41.6% of  group II patients did not show any response to treatment. The percent of reduction in the longitudinal and horizontal dimensions of the DFU was significantly greater in group I than group II (43.2% vs 4.1%) and (42.3% vs 8.2%), respectively. The time required to maximum healing was significantly shorter in group I than group II (6.3 +/- 2.1 vs 10.4 +/- 1.7 weeks, P &lt; 0.0001). CONCLUSION: The use of PRP gel as a dressing for chronic DFU resulted in a more significant reduction in the size of the ulcer when compared to regular saline dressing. Also the time to reach the point of maximal possible healing with the least wound dimensions was significantly shorter when using PRP as a dressing protocol.","container-title":"World journal of surgery","issue":"4","journalAbbreviation":"World J Surg","language":"eng","note":"PMID: 31811339","page":"1294-1301","title":"Randomized Controlled Trial on Autologous Platelet-Rich Plasma Versus Saline Dressing in Treatment of Non-healing Diabetic Foot Ulcers.","volume":"44","author":[{"family":"Elsaid","given":"Ahmed"},{"family":"El-Said","given":"Mohammed"},{"family":"Emile","given":"Sameh"},{"family":"Youssef","given":"Mohamed"},{"family":"Khafagy","given":"Wael"},{"family":"Elshobaky","given":"Ayman"}],"issued":{"date-parts":[["2020",4]]}}},{"id":73351,"uris":["http://zotero.org/users/5328021/items/7T23HS62"],"uri":["http://zotero.org/users/5328021/items/7T23HS62"],"itemData":{"id":73351,"type":"article-journal","abstract":"BACKGROUND: Autologous platelet-rich plasma products can significantly vary with  respect to platelet concentration, the presence of additional cellularity, and the use of additives. Therefore, the utility of each formulation for treating chronic wounds needs to be established. OBJECTIVE: To establish the efficacy of up to 12 weeks of treatment with Aurix hematogel for healing diabetic foot ulcers against usual and customary care including any wound modality in 129 patients using a Medicare Coverage with Evidence Development paradigm. METHODS: This pragmatic randomized controlled trial was conducted in 28 real-world outpatient wound care sites using an inclusive design that included participants with various health risks, comorbidities (eg, peripheral arterial disease, smoking), and any wound severity (Wagner 1-4). RESULTS: Kaplan-Meier analysis showed a significant (log-rank P = .0476) time-to-heal advantage, with 48.5% of wounds healing with Aurix hematogel compared with 30.2% with usual and customary care. A higher percentage of healing was observed for Aurix across all wound severities (Wagner grade 1-4). Subgroup analysis revealed a significant healing advantage for Aurix when treating wounds accompanied by peripheral arterial disease and a demonstrated advantage for smokers. CONCLUSIONS: This first Coverage with Evidence Development study in wound care demonstrates the effectiveness of Aurix  for treating diabetic foot ulcers in Medicare beneficiaries.","container-title":"Advances in skin &amp; wound care","issue":"9","journalAbbreviation":"Adv Skin Wound Care","language":"eng","note":"PMID: 31436621","page":"416-426","title":"Aurix Gel Is an Effective Intervention for Chronic Diabetic Foot Ulcers: A Pragmatic Randomized Controlled Trial.","volume":"32","author":[{"family":"Gude","given":"Warren"},{"family":"Hagan","given":"Daniel"},{"family":"Abood","given":"Ferial"},{"family":"Clausen","given":"Peter"}],"issued":{"date-parts":[["2019",9]]}}},{"id":45360,"uris":["http://zotero.org/users/5328021/items/PCE2GNYS"],"uri":["http://zotero.org/users/5328021/items/PCE2GNYS"],"itemData":{"id":45360,"type":"article-journal","abstract":"BACKGROUND: In recent years, many studies have reported that autologous platelet-rich gel (APG) is an effective adjuvant treatment for chronic cutaneous ulcers in diabetics. The aim of this study was to explore the efficacy and safety of APG for the topical treatment of diabetic chronic cutaneous ulcers.\nMETHODS: The China Biology Medicine (CBM), China National Knowledge Infrastructure (CNKI), VIP Database for Chinese Technical Periodicals (VIP), Chinese Wanfang database, PubMed, EMBASE, EBSCOhost, and Cochrane Library were systematically searched for relevant studies published up to 18 October 2017. Fixed- and random-effects models were used to calculate risk ratios (RR), odds ratios (ORs), and mean difference (MD) with 95% confidence intervals (95% CI). Subgroup analyses were conducted according to the Diabetic Foot Wagner Classification.\nRESULTS: Fifteen randomized control trials (RCTs) with 829 patients were eligible for inclusion in this analysis. Compared with standard care or conventional treatment, APG significantly improved the healing rate (RR 1.39; 95% CI 1.29, 1.50; P &lt; 0.00001), shortened the healing time (MD -9.18; 95% CI -11.32, -7.05; P &lt; 0.00001), and reduced the incidence of infection (OR 0.34; 95% CI 0.15, 0.77; P = 0.009).\nCONCLUSIONS: Current evidence suggests that APG is effective and safe, and is feasible for use as an adjuvant treatment for diabetic ulcers, especially chronic refractory ulcers. However, more RCTs with a good design and of a high quality are needed before the use of APG can be implemented widely.","container-title":"Journal of Diabetes","issue":"5","journalAbbreviation":"J Diabetes","language":"eng","note":"PMID: 30182534","page":"359-369","title":"Autologous platelet-rich gel treatment for diabetic chronic cutaneous ulcers: A meta-analysis of randomized controlled trials","volume":"11","author":[{"family":"Li","given":"Yan"},{"family":"Gao","given":"Yunyi"},{"family":"Gao","given":"Yun"},{"family":"Chen","given":"Dawei"},{"family":"Wang","given":"Chun"},{"family":"Liu","given":"Guanjian"},{"family":"Yang","given":"Xin"},{"family":"Ran","given":"Xingwu"}],"issued":{"date-parts":[["2019",5]]}}},{"id":45092,"uris":["http://zotero.org/users/5328021/items/YYPW4L66"],"uri":["http://zotero.org/users/5328021/items/YYPW4L66"],"itemData":{"id":45092,"type":"article-journal","abstract":"Foot ulcer is a major complication of diabetes mellitus and often precedes leg amputation. Among the different methods to achieve ulcer healing, the use of platelet-rich plasma, which is rich in multiple growth factors and cytokines and may have similarities to the natural wound healing process, is gaining in popularity. A systematic review with meta-analyses was performed to evaluate the safety and clinical effectiveness of platelet-rich plasma for the treatment of diabetic foot ulcers compared to standard treatment or any other alternative therapy. The electronic databases Medline, EMBASE, CINAHL, and Cochrane Central Register of Controlled Trials were consulted in March 2017 with no restrictions placed on the publication date. Predefined criteria were used to determine inclusion of studies and to assess their methodologic quality. Eight randomized clinical trials and two prospective longitudinal-observational studies with control group were included. Platelet-rich plasma treatment increased the likelihood of chronic wound healing (RR = 1.32; 95% CI: 1.11, 1.57, I2 = 15%) while the volume of the ulcer (MD = 0.12 cm2 ; 95% CI: 0.08, 0.16; p &lt; 0.01; I2 = 0%) and time to complete wound healing (MD = -11.18 days; 95% CI: -20.69, -1.68; I2 = 53%) decreased. Regarding safety profile, platelet-rich plasma did not differ from standard treatment in terms of probability of occurrence of wound complications (RR = 0.57; 95% CI: 0.25, 1.28; I2 = 0%) or recurrences (RR = 2.76; 95% CI: 0.23, 33.36; p = 0.43; I2 = 82%) but it decreased the rate of adverse events (RR = 0.80; 95% CI: 0.66, 0.96; p = 0.02; I2 = 0%). Cumulative meta-analysis revealed that there is enough evidence to demonstrate a statistically significant benefit. However, studies included presented serious methodologic flaws. According to the results, platelet-rich plasma could be considered a candidate treatment for nonhealing of diabetic foot ulcers.","container-title":"Wound Repair and Regeneration: Official Publication of the Wound Healing Society [and] the European Tissue Repair Society","issue":"2","journalAbbreviation":"Wound Repair Regen","language":"eng","note":"PMID: 30575212","page":"170-182","title":"Platelet-rich plasma for the treatment of diabetic foot ulcers: A meta-analysis","volume":"27","author":[{"family":"Del Pino-Sedeño","given":"Tasmania"},{"family":"Trujillo-Martín","given":"María M."},{"family":"Andia","given":"Isabel"},{"family":"Aragón-Sánchez","given":"Javier"},{"family":"Herrera-Ramos","given":"Estefanía"},{"family":"Iruzubieta Barragán","given":"Francisco J."},{"family":"Serrano-Aguilar","given":"Pedro"}],"issued":{"date-parts":[["2019"]]}}},{"id":73609,"uris":["http://zotero.org/users/5328021/items/IXYYWU8P"],"uri":["http://zotero.org/users/5328021/items/IXYYWU8P"],"itemData":{"id":73609,"type":"article-journal","abstract":"BACKGROUND: Several randomized controlled trials comparing platelet-rich plasma to standard wound care for chronic wounds have been published. Previous articles  have revealed that the role of platelet-rich plasma in promoting chronic wound healing is uncertain. This quantitative meta-analysis was conducted to evaluate whether superior outcomes can be obtained by using platelet-rich plasma in nonhealing ulcers compared with traditional wound care. METHODS: The PubMed, EMBASE, EBSCO (Cumulative Index to Nursing and Allied Health Literature), and Cochrane databases were searched through November of 2018 for randomized controlled trials comparing platelet-rich plasma to standard wound care for chronic wounds. For binary outcome measures, we calculated the risk ratio. The continuous outcomes were expressed as the mean differences. Subgroup analyses were also performed according to the type of chronic ulcer. RESULTS: Overall, 630 adult patients in 15 randomized controlled trials from 2000 to 2018 were included. The number of ulcers healed in the platelet-rich plasma group was higher than in the control group, and the difference was statistically significant (risk ratio, 1.26; 95 percent CI, 1.11 to 1.42; p = 0.0003). During the fourth week of follow-up, the number of ulcers healed in the platelet-rich plasma group was significantly greater than in the control group (risk ratio, 3.50; 95 percent CI, 1.80 to 6.81; p = 0.0002). CONCLUSIONS: Platelet-rich plasma is a valuable and safe treatment dressing for chronic nonhealing ulcers; it is simple to prepare and has remarkable effects. Further high-quality prospective studies are necessary to validate these results. CLINICAL QUESTION/LEVEL OF EVIDENCE: Therapeutic, II.","container-title":"Plastic and reconstructive surgery","issue":"6","journalAbbreviation":"Plast Reconstr Surg","language":"eng","note":"PMID: 31764670","page":"1463-1474","title":"The Efficacy of Platelet-Rich Plasma Dressing for Chronic Nonhealing Ulcers: A Meta-Analysis of 15 Randomized Controlled Trials.","volume":"144","author":[{"family":"Xia","given":"YiJun"},{"family":"Zhao","given":"Jun"},{"family":"Xie","given":"Juan"},{"family":"Lv","given":"Yang"},{"family":"Cao","given":"Dong Sheng"}],"issued":{"date-parts":[["2019",12]]}}},{"id":73601,"uris":["http://zotero.org/users/5328021/items/MGTTZ4AB"],"uri":["http://zotero.org/users/5328021/items/MGTTZ4AB"],"itemData":{"id":73601,"type":"article-journal","abstract":"Significance: Autologous platelet-rich plasma (PRP) has been suggested to be effective for wound healing. However, clinical evidence for its use in patients with diabetic ulcer remains inconsistent. The aim of this systematic review and meta-analysis was to evaluate the efficacy and safety of PRP in patients with diabetic ulcer. Recent Advances: Relevant randomized controlled trials (RCTs) were identified via systematic search of PubMed, MEDLINE, EMBASE, the Cochrane Library, and Web of Knowledge databases. Results were pooled using a random-effects model. The primary outcome of the study was the healing rate of ulcers in patients with PRP, when compared with controls. Secondary outcomes included the percentage of ulcer area reduction, recurrence rate, and amputation  rate. Critical Issues: Eight RCTs that involved 431 participants were included. Compared with controls, PRP was associated with a significantly increased ratio of complete ulcer healing (odds ratio [OR] = 3.77, 95% confidence interval [CI] = 1.91-7.45, I(2) (=) 42.2%) and reduced areas of ulcers (standard mean difference  = 0.86, 95% CI = 0.27-1.45, I(2) (=) 0.0%). No differences were observed between  patients allocated to PRP or controls, in terms of the outcomes of recurrence rate (OR = 3.32, 95% CI = 0.41-27.18, I(2) (=) 66.3%) or amputation rate (OR = 0.15, 95% CI = 0.15-1.28). The results of the trial sequence analyses revealed that the cumulative Z-curve crossed both the traditional boundary (p = 0.05) and  trial sequential monitoring boundary. Future Directions: Our findings suggest that PRP may improve ulcer healing without significant adverse effects for patients with diabetic ulcers.","container-title":"Advances in wound care","issue":"7","journalAbbreviation":"Adv Wound Care (New Rochelle)","language":"eng","note":"PMID: 31832277 \nPMCID: PMC6906759","page":"298-308","title":"Efficacy and Safety of Platelet-Rich Plasma for Patients with Diabetic Ulcers: A  Systematic Review and Meta-analysis.","volume":"8","author":[{"family":"Hu","given":"Zhicheng"},{"family":"Qu","given":"Shanqiang"},{"family":"Zhang","given":"Jian"},{"family":"Cao","given":"Xiaoling"},{"family":"Wang","given":"Peng"},{"family":"Huang","given":"Shaobin"},{"family":"Shi","given":"Fen"},{"family":"Dong","given":"Yunxian"},{"family":"Wu","given":"Jun"},{"family":"Tang","given":"Bing"},{"family":"Zhu","given":"Jiayuan"}],"issued":{"date-parts":[["2019",7,1]]}}},{"id":49877,"uris":["http://zotero.org/users/5328021/items/AHEXA3CD"],"uri":["http://zotero.org/users/5328021/items/AHEXA3CD"],"itemData":{"id":49877,"type":"article-journal","abstract":"Nonhealing chronic wounds and exposed tendons, bones and joints are very challenging to cure specially for diabetic patients. Plastic surgeons have a new weapon to enhance wound healing with the use of autologous growth factors. Recently, the process of fabrication of platelet-rich plasma (PRP) has been simplified. The goal of this literature review is to summarize the evidenced-based body of knowledge regarding the treatment of diabetic chronic wounds by PRP. A PubMed and Cochrane search (1978-2015) was performed and all studies assessing the clinical effect of PRP on the healing of diabetic chronic wounds were included. The screening retrieved 7,555 articles and 12 studies were included. On six randomized studies included, five found significant benefits for the use of PRP on diabetic chronic foot ulcers and the sixth randomized study did not publish a statistical analysis but found favorable outcomes. The two other controlled studies included found significant benefits regarding the healing rate and the four uncontrolled studies included showed high rates of healing with the adjunction of PRP. Regarding the method of use, PRP was applied on the wound as a gel twice a week (41.7% of studies) or once a week (33.3% of studies). In conclusion, 87.5% of controlled studies found a significant benefit for the adjunction of PRP to treat chronic diabetic wounds. As PRP may be beneficial, we suggest using PRP on diabetic ulcers which remain unhealed after standard treatment.","container-title":"Wound Repair and Regeneration: Official Publication of the Wound Healing Society [and] the European Tissue Repair Society","issue":"5","journalAbbreviation":"Wound Repair Regen","language":"eng","note":"PMID: 26019054","page":"638-643","title":"The growing evidence for the use of platelet-rich plasma on diabetic chronic wounds: A review and a proposal for a new standard care","volume":"23","author":[{"family":"Picard","given":"Frédéric"},{"family":"Hersant","given":"Barbara"},{"family":"Bosc","given":"Romain"},{"family":"Meningaud","given":"Jean-Paul"}],"issued":{"date-parts":[["2015",9]]}}},{"id":49583,"uris":["http://zotero.org/users/5328021/items/CW5PK64Q"],"uri":["http://zotero.org/users/5328021/items/CW5PK64Q"],"itemData":{"id":49583,"type":"article-journal","abstract":"BACKGROUND: Foot ulcers are a major complication of diabetes mellitus, often leading to amputation. Growth factors derived from blood platelets, endothelium, or macrophages could potentially be an important treatment for these wounds but they may also confer risks.\nOBJECTIVES: To assess the benefits and harms of growth factors for foot ulcers in patients with type 1 or type 2 diabetes mellitus.\nSEARCH METHODS: In March 2015 we searched the Cochrane Wounds Group Specialised Register, The Cochrane Central Register of Controlled Trials (CENTRAL) (The Cochrane Library), Ovid MEDLINE, Ovid MEDLINE (In-Process &amp; Other Non-Indexed Citations, Ovid EMBASE and EBSCO CINAHL. There were no restrictions with respect to language, date of publication or study setting.\nSELECTION CRITERIA: Randomised clinical trials in any setting, recruiting people with type 1 or type 2 diabetes mellitus diagnosed with a foot ulcer. Trials were eligible for inclusion if they compared a growth factor plus standard care (e.g., antibiotic therapy, debridement, wound dressings) versus placebo or no growth factor plus standard care, or compared different growth factors against each other. We considered lower limb amputation (minimum of one toe), complete healing of the foot ulcer, and time to complete healing of the diabetic foot ulcer as the primary outcomes.\nDATA COLLECTION AND ANALYSIS: Independently, we selected randomised clinical trials, assessed risk of bias, and extracted data in duplicate. We estimated risk ratios (RR) for dichotomous outcomes. We measured statistical heterogeneity using the I(2) statistic. We subjected our analyses to both fixed-effect and random-effects model analyses.\nMAIN RESULTS: We identified 28 randomised clinical trials involving 2365 participants. The cause of foot ulcer (neurologic, vascular, or combined) was poorly defined in all trials. The trials were conducted in ten countries. The trials assessed 11 growth factors in 30 comparisons: platelet-derived wound healing formula, autologous growth factor, allogeneic platelet-derived growth factor, transforming growth factor β2, arginine-glycine-aspartic acid peptide matrix, recombinant human platelet-derived growth factor (becaplermin), recombinant human epidermal growth factor, recombinant human basic fibroblast growth factor, recombinant human vascular endothelial growth factor, recombinant human lactoferrin, and recombinant human acidic fibroblast growth factor. Topical intervention was the most frequent route of administration. All the trials were underpowered and had a high risk of bias. Pharmaceutical industry sponsored 50% of the trials.Any growth factor compared with placebo or no growth factor increased the number of participants with complete wound healing (345/657 (52.51%) versus 167/482 (34.64%); RR 1.51, 95% CI 1.31 to 1.73; I(2) = 51%, 12 trials; low quality evidence). The result is mainly based on platelet-derived wound healing formula (36/56 (64.28%) versus 7/27 (25.92%); RR 2.45, 95% 1.27 to 4.74; I(2) = 0%, two trials), and recombinant human platelet-derived growth factor (becaplermin) (205/428 (47.89%) versus 109/335 (32.53%); RR 1.47, 95% CI 1.23 to 1.76, I(2)= 74%, five trials).In terms of lower limb amputation (minimum of one toe), there was no clear evidence of a difference between any growth factor and placebo or no growth factor (19/150 (12.66%) versus 12/69 (17.39%); RR 0.74, 95% CI 0.39 to 1.39; I(2) = 0%, two trials; very low quality evidence). One trial involving 55 participants showed no clear evidence of a difference between recombinant human vascular endothelial growth factor and placebo in terms of ulcer-free days following treatment for diabetic foot ulcers (RR 0.64, 95% CI 0.14 to 2.94; P value 0.56, low quality of evidence)Although 11 trials reported time to complete healing of the foot ulcers in people with diabetes , meta-analysis was not possible for this outcome due to the unique comparisons within each trial, failure to report data, and high number of withdrawals. Data on quality of life were not reported. Growth factors showed an increasing risk of overall adverse event rate compared with compared with placebo or no growth factor (255/498 (51.20%) versus 169/332 (50.90%); RR 0.83; 95% CI 0.72 to 0.96; I(2) = 48%; eight trials; low quality evidence). Overall, safety data were poorly reported and adverse events may have been underestimated.\nAUTHORS' CONCLUSIONS: This Cochrane systematic review analysed a heterogeneous group of trials that assessed 11 different growth factors for diabetic foot ulcers. We found evidence suggesting that growth factors may increase the likelihood that people will have complete healing of foot ulcers in people with diabetes. However, this conclusion is based on randomised clinical trials with high risk of systematic errors (bias). Assessment of the quality of the available evidence (GRADE) showed that further trials investigating the effect of growth factors are needed before firm conclusions can be drawn. The safety profiles of the growth factors are unclear. Future trials should be conducted according to SPIRIT statement and reported according to the CONSORT statement by independent investigators and using the Foundation of Patient-Centered Outcomes Research recommendations.","container-title":"The Cochrane Database of Systematic Reviews","issue":"10","journalAbbreviation":"Cochrane Database Syst Rev","language":"eng","note":"PMID: 26509249","page":"CD008548","title":"Growth factors for treating diabetic foot ulcers","author":[{"family":"Martí-Carvajal","given":"Arturo J."},{"family":"Gluud","given":"Christian"},{"family":"Nicola","given":"Susana"},{"family":"Simancas-Racines","given":"Daniel"},{"family":"Reveiz","given":"Ludovic"},{"family":"Oliva","given":"Patricio"},{"family":"Cedeño-Taborda","given":"Jorge"}],"issued":{"date-parts":[["2015",10,28]]}}},{"id":51449,"uris":["http://zotero.org/users/5328021/items/A2REN6AY"],"uri":["http://zotero.org/users/5328021/items/A2REN6AY"],"itemData":{"id":51449,"type":"article-journal","abstract":"OBJECTIVE: Recombinant human platelet-derived growth factor (rhPDGF) is used topically in the treatment of diabetic lower-extremity ulcers. There have been few meta-analyses of the efficacy of rhPDGF in this treatment context. The aim of this study was to perform an updated systematic review and meta-analysis to assess the clinical efficacy of rhPDGF in the treatment of diabetic lower-extremity ulcers.\nMETHODS: We searched the MEDLINE, Cochrane Library, EMBASE and Web of Knowledge databases up to April 30, 2014. Studies were identified and selected, and data were extracted by two independent reviewers. The primary efficacy outcome was complete healing rate. Adverse events were also assessed. The studies were evaluated for quality and publication bias.\nRESULTS: A total of 6 randomized controlled trials including 992 patients were selected from 173 identified studies. The studies compared rhPDGF treatment in the context of standard of care (SOC) to placebo or SOC alone. In the absence of study heterogeneity, a fixed-effects model was performed, and the combined odds ratio (OR) indicated a significantly greater complete healing rate in patients treated with rhPDGF compared to placebo or SOC alone. The ORs ranged from 0.58 to 2.77, with a combined OR of 1.53 (95% CI = 1.14 to 2.04, p = 0.004). A sensitivity analysis (leave-one-out method) indicated good study reliability, and a funnel plot with Egger test showed no publication bias.\nCONCLUSION: These results indicate that rhPDGF is efficacious in the treatment of diabetic lower-extremity ulcers.","container-title":"Metabolism: Clinical and Experimental","issue":"10","journalAbbreviation":"Metab. Clin. Exp.","language":"eng","note":"PMID: 25060693","page":"1304-1313","title":"Efficacy of topical recombinant human platelet-derived growth factor for treatment of diabetic lower-extremity ulcers: Systematic review and meta-analysis","volume":"63","author":[{"family":"Zhao","given":"Xiao-hong"},{"family":"Gu","given":"Hai-feng"},{"family":"Xu","given":"Zhe-rong"},{"family":"Zhang","given":"Qin"},{"family":"Lv","given":"Xue-ying"},{"family":"Zheng","given":"Xiao-jun"},{"family":"Yang","given":"Yun-mei"}],"issued":{"date-parts":[["2014",10]]}}},{"id":73605,"uris":["http://zotero.org/users/5328021/items/XGGWX6FF"],"uri":["http://zotero.org/users/5328021/items/XGGWX6FF"],"itemData":{"id":73605,"type":"article-journal","abstract":"Objectives: The meta-analysis was performed to summarize the available evidence and determine the healing effectiveness of autologous platelet-rich gel (APG) on  diabetic foot (DF) wounds. Approach: PubMed and The Cochrane Library and CNKI databases were searched to identify prior randomized controlled trials. Methodological qualities of included studies were assessed using Cochrane Handbook for Systematic Reviews of Intervention. Healing rate was considered the  primary outcome; the secondary outcomes included healing time and adverse events. Results: Fifteen studies involving a total of 827 subjects were analyzed in the meta-analysis. Considering the primary outcome, the average healing rate in APG group was 85.8% and ranged from 68.4% to 100%. Relatively, the control group was  57.4% and ranged from 18.2% to 75.0%. Eligible studies were compared with a fixed effects model (I (2) = 0.0%, p = 0.496), indicating a higher healing rate with APG (risk ratio [RR] 1.44, 95% confidence interval [CI]: 1.32-1.57, z = 8.50, p &lt; 0.001). The leave-one-out sensitivity analysis is robust. Considering the secondary outcomes, APG therapy needed less time (weighted mean difference -10.75 days, 95% CI: -11.67 to 8.86 days, z = 14.34, p &lt; 0.001) and had fewer adverse events (RR 0.44, 95% CI: 0.25-0.76, z = 2.94, p = 0.003). Innovation: APG therapy is an innovative and effective approach to promote DF wound healing and reduce healing time and adverse events. Conclusion: The meta-analysis demonstrates that  APG therapy has a positive effect on the treatment of DF wounds. However, additional well-designed and high-quality studies are needed to reach a conclusion with more confidence.","container-title":"Advances in wound care","issue":"5","journalAbbreviation":"Adv Wound Care (New Rochelle)","language":"eng","note":"PMID: 31737414 \nPMCID: PMC6855285","page":"195-207","title":"Efficacy of Autologous Platelet-Rich Gel for Diabetic Foot Wound Healing: A Meta-Analysis of 15 Randomized Controlled Trials.","volume":"8","author":[{"family":"Ding","given":"Hui"},{"family":"Fu","given":"Xue-Lei"},{"family":"Miao","given":"Wei-Wei"},{"family":"Mao","given":"Xing-Chun"},{"family":"Zhan","given":"Min-Qi"},{"family":"Chen","given":"Hong-Lin"}],"issued":{"date-parts":[["2019",5,1]]}}}],"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(143–159)</w:t>
            </w:r>
            <w:r w:rsidRPr="00CA32B9">
              <w:rPr>
                <w:rFonts w:asciiTheme="minorHAnsi" w:hAnsiTheme="minorHAnsi" w:cstheme="minorHAnsi"/>
                <w:szCs w:val="20"/>
                <w:lang w:val="en-US"/>
              </w:rPr>
              <w:fldChar w:fldCharType="end"/>
            </w:r>
          </w:p>
        </w:tc>
      </w:tr>
      <w:tr w:rsidR="0056668F" w14:paraId="3B576466" w14:textId="77777777" w:rsidTr="0022700A">
        <w:tc>
          <w:tcPr>
            <w:tcW w:w="2830" w:type="dxa"/>
            <w:vAlign w:val="center"/>
          </w:tcPr>
          <w:p w14:paraId="0189FB55" w14:textId="301AF941"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2 studies (I)</w:t>
            </w:r>
          </w:p>
        </w:tc>
        <w:tc>
          <w:tcPr>
            <w:tcW w:w="1157" w:type="dxa"/>
            <w:vAlign w:val="center"/>
          </w:tcPr>
          <w:p w14:paraId="257B9671" w14:textId="15D9081C"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8</w:t>
            </w:r>
          </w:p>
        </w:tc>
        <w:tc>
          <w:tcPr>
            <w:tcW w:w="2009" w:type="dxa"/>
            <w:vMerge/>
            <w:vAlign w:val="center"/>
          </w:tcPr>
          <w:p w14:paraId="11472720" w14:textId="77777777" w:rsidR="0056668F" w:rsidRDefault="0056668F" w:rsidP="0056668F">
            <w:pPr>
              <w:jc w:val="center"/>
              <w:rPr>
                <w:lang w:val="en-US"/>
              </w:rPr>
            </w:pPr>
          </w:p>
        </w:tc>
        <w:tc>
          <w:tcPr>
            <w:tcW w:w="3064" w:type="dxa"/>
            <w:vAlign w:val="center"/>
          </w:tcPr>
          <w:p w14:paraId="71B4ACD5" w14:textId="4218D750"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M0W4cNaE","properties":{"formattedCitation":"(160,161)","plainCitation":"(160,161)","noteIndex":0},"citationItems":[{"id":73602,"uris":["http://zotero.org/users/5328021/items/6349XQER"],"uri":["http://zotero.org/users/5328021/items/6349XQER"],"itemData":{"id":73602,"type":"article-journal","abstract":"BACKGROUND: The biological mechanisms underlying the use of platelet-rich plasma  (PRP), as well as the efficacy and possible adverse effects of PRP, have not yet  been fully elucidated. Prior studies have evaluated PRP for cutaneous ulceration. However, the benefits from PRP still remain controversial and few have assessed the effects of ulceration etiologies. The purpose of our study is to determine the efficacy and safety of PRP and which kind of ulcer is more suitable for PRP by analyzing the effects of PRP on ulcers with different causes. METHODS: A comprehensive search was performed to identify randomized controlled trials (RCTs) regarding the application of PRP from PubMed, EMBASE, Scopus, and the Cochrane Library. The data were analyzed using Review Manager 5.3. RESULTS: A total of nineteen RCTs (909 patients) were included. In contrast with conventional treatments, PRP achieved higher healing rate, higher percentage of area reduction, and smaller final area in vascular ulcers. However, the advantage disappeared in diabetic and pressure ulcers. Concerning adverse events, PRP showed lower incidence in the short term, but higher in the long term. No significant differences were found in ulcer closure velocity and healing time. CONCLUSION: Platelet-rich plasma effectiveness and safety in treating cutaneous ulceration depend on what is the ulceration etiology. For diabetic ulcers, PRP showed no satisfactory results suggesting that PRP may not be suitable for diabetic patients. However, PRP could be efficient and more beneficial for vascular ulcers and effects on pressure ulcers remain unclear. Thus, PRP option should be carefully considered for each patient in accordance with their ulceration etiologies.","container-title":"Journal of cosmetic dermatology","issue":"2","journalAbbreviation":"J Cosmet Dermatol","language":"eng","note":"PMID: 30912259","page":"495-507","title":"Efficacy and safety of platelet-rich plasma in treating cutaneous ulceration: A meta-analysis of randomized controlled trials.","volume":"18","author":[{"family":"Shen","given":"Zhen"},{"family":"Zheng","given":"Shengpeng"},{"family":"Chen","given":"Guoqian"},{"family":"Li","given":"Ding"},{"family":"Jiang","given":"Ziwei"},{"family":"Li","given":"Yue"},{"family":"Huang","given":"Feng"}],"issued":{"date-parts":[["2019",4]]}}},{"id":53083,"uris":["http://zotero.org/users/5328021/items/T6EDLFEX"],"uri":["http://zotero.org/users/5328021/items/T6EDLFEX"],"itemData":{"id":53083,"type":"article-journal","abstract":"BACKGROUND: Granulocyte-colony stimulating factor (G-CSF) increases the release of neutrophil endothelial progenitor cells from the bone marrow and improves neutrophil functions, which are often impaired in people with diabetes.\nOBJECTIVES: To examine the effects of adjunctive G-CSF compared with placebo or no growth factor added to usual care on rates of infection, cure and wound healing in people with diabetes who have a foot infection.\nSEARCH METHODS: In March 2013, for this second update, we searched the Cochrane Wounds Group Specialised Register (searched 14 March 2013); the Cochrane Central Register of Controlled Trials (CENTRAL) (The Cochrane Library 2013, Issue 2); Ovid MEDLINE (1948 to March Week 1 2013); Ovid EMBASE (1974 to 2013 March 13); Ovid MEDLINE (In-Process march 13,2013); and EBSCO CINAHL (1982 to 28 February 2013).\nSELECTION CRITERIA: Randomised controlled trials (RCTs) that evaluated the effect of adding G-CSF to usual care in people with a diabetic foot infection.\nDATA COLLECTION AND ANALYSIS: Three review authors independently assessed trial eligibility, methodological quality and extracted data. We reported risk ratio (RR) or, for continuous outcomes, mean differences (MD), with 95% confidence intervals (CI). In the case of low or no heterogeneity we pooled studies using a fixed-effect model.\nMAIN RESULTS: We identified and included five eligible trials with a total of 167 patients. The investigators administered various G-CSF preparations, at different doses and for different durations of time. Adding G-CSF did not significantly affect the likelihood of resolution of infection or wound healing, but it was associated with a significantly reduced likelihood of lower extremity surgical interventions (RR 0.38; 95 % CI 0.21 to 0.70), including amputation (RR 0.41; 95 % CI 0.18 to 0.95). Moreover, providing G-CSF reduced the duration of hospital stay (MD -1.40 days; 95% CI -2.27 to -0.53 days), but did not significantly affect the duration of systemic antibiotic therapy (MD -0.27 days; 95% CI -1.30 to 0.77 days).\nAUTHORS' CONCLUSIONS: The available evidence is limited, but suggests that adjunctive G-CSF treatment in people with a diabetic foot infection, including infected ulcers, does not appear to increase the likelihood of resolution of infection or healing of the foot ulcer. However, it does appear to reduce the need for surgical interventions, especially amputations, and the duration of hospitalisation. Clinicians might consider adding G-CSF to the usual treatment of diabetic foot infections, especially in patients with a limb-threatening infection, but it is not clear which patients might benefit.","container-title":"The Cochrane Database of Systematic Reviews","issue":"8","journalAbbreviation":"Cochrane Database Syst Rev","language":"eng","note":"PMID: 23955465","page":"CD006810","title":"Granulocyte-colony stimulating factors as adjunctive therapy for diabetic foot infections","author":[{"family":"Cruciani","given":"Mario"},{"family":"Lipsky","given":"Benjamin A."},{"family":"Mengoli","given":"Carlo"},{"family":"Lalla","given":"Fausto","non-dropping-particle":"de"}],"issued":{"date-parts":[["2013",8,17]]}}}],"schema":"https://github.com/citation-style-language/schema/raw/master/csl-citation.json"}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(160,161)</w:t>
            </w:r>
            <w:r w:rsidRPr="00CA32B9">
              <w:rPr>
                <w:rFonts w:asciiTheme="minorHAnsi" w:hAnsiTheme="minorHAnsi" w:cstheme="minorHAnsi"/>
                <w:szCs w:val="20"/>
                <w:lang w:val="en-US"/>
              </w:rPr>
              <w:fldChar w:fldCharType="end"/>
            </w:r>
          </w:p>
        </w:tc>
      </w:tr>
      <w:tr w:rsidR="0056668F" w14:paraId="56FE3073" w14:textId="77777777" w:rsidTr="0056668F">
        <w:tc>
          <w:tcPr>
            <w:tcW w:w="9060" w:type="dxa"/>
            <w:gridSpan w:val="4"/>
            <w:vAlign w:val="center"/>
          </w:tcPr>
          <w:p w14:paraId="2DA2BB75" w14:textId="3D4DFAC2" w:rsidR="0056668F" w:rsidRDefault="0056668F" w:rsidP="0056668F">
            <w:pPr>
              <w:jc w:val="left"/>
              <w:rPr>
                <w:lang w:val="en-US"/>
              </w:rPr>
            </w:pPr>
            <w:r w:rsidRPr="00CA32B9">
              <w:rPr>
                <w:rFonts w:asciiTheme="minorHAnsi" w:hAnsiTheme="minorHAnsi" w:cstheme="minorHAnsi"/>
                <w:b/>
                <w:szCs w:val="20"/>
                <w:lang w:val="en-US"/>
              </w:rPr>
              <w:t>Ulcer area reduction</w:t>
            </w:r>
          </w:p>
        </w:tc>
      </w:tr>
      <w:tr w:rsidR="0056668F" w14:paraId="1178EB14" w14:textId="77777777" w:rsidTr="0022700A">
        <w:tc>
          <w:tcPr>
            <w:tcW w:w="2830" w:type="dxa"/>
            <w:vAlign w:val="center"/>
          </w:tcPr>
          <w:p w14:paraId="19E96E1A" w14:textId="4976EE1B" w:rsidR="0056668F" w:rsidRDefault="0056668F" w:rsidP="0056668F">
            <w:pPr>
              <w:jc w:val="center"/>
              <w:rPr>
                <w:lang w:val="en-US"/>
              </w:rPr>
            </w:pPr>
            <w:r w:rsidRPr="00CA32B9">
              <w:rPr>
                <w:rFonts w:asciiTheme="minorHAnsi" w:hAnsiTheme="minorHAnsi" w:cstheme="minorHAnsi"/>
                <w:szCs w:val="20"/>
                <w:lang w:val="en-US"/>
              </w:rPr>
              <w:t>1 study (I) - 4 studies (</w:t>
            </w:r>
            <w:r w:rsidRPr="00CA32B9">
              <w:rPr>
                <w:rFonts w:asciiTheme="minorHAnsi" w:eastAsia="Times New Roman" w:hAnsiTheme="minorHAnsi" w:cstheme="minorHAnsi"/>
                <w:szCs w:val="20"/>
                <w:lang w:val="en-US"/>
              </w:rPr>
              <w:t>II)</w:t>
            </w:r>
          </w:p>
        </w:tc>
        <w:tc>
          <w:tcPr>
            <w:tcW w:w="1157" w:type="dxa"/>
            <w:vAlign w:val="center"/>
          </w:tcPr>
          <w:p w14:paraId="2B3190B9" w14:textId="729959FF" w:rsidR="0056668F" w:rsidRDefault="0056668F" w:rsidP="0056668F">
            <w:pPr>
              <w:jc w:val="center"/>
              <w:rPr>
                <w:lang w:val="en-US"/>
              </w:rPr>
            </w:pPr>
            <w:r w:rsidRPr="00CA32B9">
              <w:rPr>
                <w:rFonts w:asciiTheme="minorHAnsi" w:hAnsiTheme="minorHAnsi" w:cstheme="minorHAnsi"/>
                <w:szCs w:val="20"/>
                <w:lang w:val="en-US"/>
              </w:rPr>
              <w:t>6,8</w:t>
            </w:r>
          </w:p>
        </w:tc>
        <w:tc>
          <w:tcPr>
            <w:tcW w:w="2009" w:type="dxa"/>
            <w:vMerge w:val="restart"/>
            <w:vAlign w:val="center"/>
          </w:tcPr>
          <w:p w14:paraId="2789C24E" w14:textId="001E83D3" w:rsidR="0056668F" w:rsidRDefault="0056668F" w:rsidP="0056668F">
            <w:pPr>
              <w:jc w:val="center"/>
              <w:rPr>
                <w:lang w:val="en-US"/>
              </w:rPr>
            </w:pPr>
            <w:r w:rsidRPr="00CA32B9">
              <w:rPr>
                <w:rFonts w:asciiTheme="minorHAnsi" w:hAnsiTheme="minorHAnsi" w:cstheme="minorHAnsi"/>
                <w:szCs w:val="20"/>
                <w:lang w:val="en-US"/>
              </w:rPr>
              <w:t>Low</w:t>
            </w:r>
          </w:p>
        </w:tc>
        <w:tc>
          <w:tcPr>
            <w:tcW w:w="3064" w:type="dxa"/>
            <w:vAlign w:val="center"/>
          </w:tcPr>
          <w:p w14:paraId="6AEFED8B" w14:textId="2DB3F69E"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3gWhwCtu","properties":{"formattedCitation":"(143,149,150,155,162)","plainCitation":"(143,149,150,155,162)","noteIndex":0},"citationItems":[{"id":82744,"uris":["http://zotero.org/users/5328021/items/A5HXFMPY"],"uri":["http://zotero.org/users/5328021/items/A5HXFMPY"],"itemData":{"id":82744,"type":"article-journal","abstract":"Delayed healing of a neuroischaemic diabetic foot ulcer (DFU) has been related to prolonged local inflammatory response, an unstable provisional matrix, increased degradation of the extracellular matrix, lack of growth factors and their receptors that are crucial for healing, fibroblast dysfunction, impaired neovascularization, increased oxidative stress, and cellular apoptosis in the wound bed, all of which collectively hinder re</w:instrText>
            </w:r>
            <w:r>
              <w:rPr>
                <w:rFonts w:ascii="Cambria Math" w:hAnsi="Cambria Math" w:cs="Cambria Math"/>
                <w:szCs w:val="20"/>
                <w:lang w:val="en-US"/>
              </w:rPr>
              <w:instrText>‐</w:instrText>
            </w:r>
            <w:r>
              <w:rPr>
                <w:rFonts w:asciiTheme="minorHAnsi" w:hAnsiTheme="minorHAnsi" w:cstheme="minorHAnsi"/>
                <w:szCs w:val="20"/>
                <w:lang w:val="en-US"/>
              </w:rPr>
              <w:instrText>epithelialisation and wound closure. Erythropoietin (EPO) is an approved drug which is widely used for treating anaemia. EPO is a well</w:instrText>
            </w:r>
            <w:r>
              <w:rPr>
                <w:rFonts w:ascii="Cambria Math" w:hAnsi="Cambria Math" w:cs="Cambria Math"/>
                <w:szCs w:val="20"/>
                <w:lang w:val="en-US"/>
              </w:rPr>
              <w:instrText>‐</w:instrText>
            </w:r>
            <w:r>
              <w:rPr>
                <w:rFonts w:asciiTheme="minorHAnsi" w:hAnsiTheme="minorHAnsi" w:cstheme="minorHAnsi"/>
                <w:szCs w:val="20"/>
                <w:lang w:val="en-US"/>
              </w:rPr>
              <w:instrText>known glycoprotein hormone, which is primarily produced by the tubular cells of the kidney. EPO is widely known for regulating the red blood cell mass by stimulating differentiation and proliferation of precursor cells and hindering apoptosis of erythroid cells in the bone marrow. Millions of people have received EPO since its market approval by the US Food and Drug Administration in 1989 as a treatment of anaemia in patients with chronic kidney disease and later on as a treatment for chemotherapy</w:instrText>
            </w:r>
            <w:r>
              <w:rPr>
                <w:rFonts w:ascii="Cambria Math" w:hAnsi="Cambria Math" w:cs="Cambria Math"/>
                <w:szCs w:val="20"/>
                <w:lang w:val="en-US"/>
              </w:rPr>
              <w:instrText>‐</w:instrText>
            </w:r>
            <w:r>
              <w:rPr>
                <w:rFonts w:asciiTheme="minorHAnsi" w:hAnsiTheme="minorHAnsi" w:cstheme="minorHAnsi"/>
                <w:szCs w:val="20"/>
                <w:lang w:val="en-US"/>
              </w:rPr>
              <w:instrText>associated anaemia. There is growing evidence that both systemic administration and topical EPO application to skin wounds in animals with experimentally</w:instrText>
            </w:r>
            <w:r>
              <w:rPr>
                <w:rFonts w:ascii="Cambria Math" w:hAnsi="Cambria Math" w:cs="Cambria Math"/>
                <w:szCs w:val="20"/>
                <w:lang w:val="en-US"/>
              </w:rPr>
              <w:instrText>‐</w:instrText>
            </w:r>
            <w:r>
              <w:rPr>
                <w:rFonts w:asciiTheme="minorHAnsi" w:hAnsiTheme="minorHAnsi" w:cstheme="minorHAnsi"/>
                <w:szCs w:val="20"/>
                <w:lang w:val="en-US"/>
              </w:rPr>
              <w:instrText>induced diabetes mellitus (DM) and in patients with DM accelerates the healing of these wounds. This accelerated wound healing is mediated by EPO because it concomitantly suppresses the inflammatory response and apoptosis and stimulates angiogenesis, re</w:instrText>
            </w:r>
            <w:r>
              <w:rPr>
                <w:rFonts w:ascii="Cambria Math" w:hAnsi="Cambria Math" w:cs="Cambria Math"/>
                <w:szCs w:val="20"/>
                <w:lang w:val="en-US"/>
              </w:rPr>
              <w:instrText>‐</w:instrText>
            </w:r>
            <w:r>
              <w:rPr>
                <w:rFonts w:asciiTheme="minorHAnsi" w:hAnsiTheme="minorHAnsi" w:cstheme="minorHAnsi"/>
                <w:szCs w:val="20"/>
                <w:lang w:val="en-US"/>
              </w:rPr>
              <w:instrText>epithelialization, and collagen deposition. Growing studies in experimental healthy and diabetic animals have demonstrated that systemic or topical treatment with EPO onto acute and chronic wounds and burns is safe and effective. Recently, the molecular mechanisms of EPO action in wound repair have been elucidated. EPO acts on all cutaneous cells that are involved in the wound healing process by promoting cellular differentiation and proliferation, exerting cytoprotective actions, and inhibiting inflammation and apoptosis due to the presence of EPO receptors in these cells [Hamed et al. 2014]. The aim of this multicenter, single</w:instrText>
            </w:r>
            <w:r>
              <w:rPr>
                <w:rFonts w:ascii="Cambria Math" w:hAnsi="Cambria Math" w:cs="Cambria Math"/>
                <w:szCs w:val="20"/>
                <w:lang w:val="en-US"/>
              </w:rPr>
              <w:instrText>‐</w:instrText>
            </w:r>
            <w:r>
              <w:rPr>
                <w:rFonts w:asciiTheme="minorHAnsi" w:hAnsiTheme="minorHAnsi" w:cstheme="minorHAnsi"/>
                <w:szCs w:val="20"/>
                <w:lang w:val="en-US"/>
              </w:rPr>
              <w:instrText>blind, randomized, controlled clinical trial is to evaluate the safety and efficacy of topical RMD</w:instrText>
            </w:r>
            <w:r>
              <w:rPr>
                <w:rFonts w:ascii="Cambria Math" w:hAnsi="Cambria Math" w:cs="Cambria Math"/>
                <w:szCs w:val="20"/>
                <w:lang w:val="en-US"/>
              </w:rPr>
              <w:instrText>‐</w:instrText>
            </w:r>
            <w:r>
              <w:rPr>
                <w:rFonts w:asciiTheme="minorHAnsi" w:hAnsiTheme="minorHAnsi" w:cstheme="minorHAnsi"/>
                <w:szCs w:val="20"/>
                <w:lang w:val="en-US"/>
              </w:rPr>
              <w:instrText>G1 treatment for DFUs. This study is an exploratory proof</w:instrText>
            </w:r>
            <w:r>
              <w:rPr>
                <w:rFonts w:ascii="Cambria Math" w:hAnsi="Cambria Math" w:cs="Cambria Math"/>
                <w:szCs w:val="20"/>
                <w:lang w:val="en-US"/>
              </w:rPr>
              <w:instrText>‐</w:instrText>
            </w:r>
            <w:r>
              <w:rPr>
                <w:rFonts w:asciiTheme="minorHAnsi" w:hAnsiTheme="minorHAnsi" w:cstheme="minorHAnsi"/>
                <w:szCs w:val="20"/>
                <w:lang w:val="en-US"/>
              </w:rPr>
              <w:instrText>of</w:instrText>
            </w:r>
            <w:r>
              <w:rPr>
                <w:rFonts w:ascii="Cambria Math" w:hAnsi="Cambria Math" w:cs="Cambria Math"/>
                <w:szCs w:val="20"/>
                <w:lang w:val="en-US"/>
              </w:rPr>
              <w:instrText>‐</w:instrText>
            </w:r>
            <w:r>
              <w:rPr>
                <w:rFonts w:asciiTheme="minorHAnsi" w:hAnsiTheme="minorHAnsi" w:cstheme="minorHAnsi"/>
                <w:szCs w:val="20"/>
                <w:lang w:val="en-US"/>
              </w:rPr>
              <w:instrText>concept study on RMD</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G1 treatment for DFU.","archive_location":"CN-02044267","container-title":"https://clinicaltrials.gov/show/NCT02361931","DOI":"DOI: 10.1089/rej.2020.2397","journalAbbreviation":"REJUVENATION RESEARCH","note":"PMID: 33504262","title":"Topical Erythropoietin Accelerates Wound Closure in Patients with Diabetic Foot Ulcers: A Prospective, Multicenter, Single-Blind, Randomized, Controlled Trial - NCT02361931","URL":"https://www.cochranelibrary.com/central/doi/10.1002/central/CN-02044267/full","author":[{"family":"Hamed","given":"Saher"},{"family":"Ullmann","given":""},{"family":"Belokopytov","given":"Mark"}],"issued":{"date-parts":[["2021"]]}}},{"id":51464,"uris":["http://zotero.org/users/5328021/items/BHP88NE5"],"uri":["http://zotero.org/users/5328021/items/BHP88NE5"],"itemData":{"id":51464,"type":"article-journal","abstract":"The healing process in diabetic foot ulcer (DFU) is hindered by factors such as chronic inflammation, defects in fibroblast function, poor angiogenesis, and lack of cell migration. Recombinant human epidermal growth factor (rhEGF) has been shown to enhance extracellular matrix formation, cellular proliferation, and angiogenesis. Therefore, intralesional application of rhEGF in DFU could accelerate wound healing. Our objective was to determine the efficacy and safety of rhEGF in patients with DFU. A randomized, double-blinded, placebo-controlled study was conducted comparing a thrice-per-week intralesional application of rhEGF (75 μg) or placebo in patients with DFU for 8 weeks. The number of completely healed ulcers, size, and wound bed characteristics were evaluated to determine the efficacy of rhEGF. Adverse events were recorded and analyzed to establish its safety. A total of 34 patients were recruited for the study. After three dropouts, we were able to follow and analyze 16 patients in the placebo group and 15 patients in the rhEGF study to the end of the trial. Baseline testing showed that both groups were similar. Compared to the placebo group, more ulcers achieved complete healing in the rhEGF group (rhEGF, n = 4; placebo, n = 0; p = 0.033); ulcers in the rhEGF group decreased in area size (12.5 cm2 [rhEGF] vs. 5.2 cm2 [placebo]; p = 0.049); and more epithelial islands in the wound bed were present (28% vs. 3%; p = 0.025). Mild transitory dizziness was the only side effect that was more frequently noted in the rhEGF group. Our results showed that in patients with DFU who received standard care, intralesional rhEGF application resulted in complete healing in more patients, promoted the epithelialization of the wound bed, and significantly reduced the area of the DFU treated. Therefore, rhEGF resulted in better outcomes for patients suffering from DFU.","container-title":"Wound Repair and Regeneration: Official Publication of the Wound Healing Society [and] the European Tissue Repair Society","issue":"4","journalAbbreviation":"Wound Repair Regen","language":"eng","note":"PMID: 25041620","page":"497-503","title":"Efficacy of intralesional recombinant human epidermal growth factor in diabetic foot ulcers in Mexican patients: a randomized double-blinded controlled trial","volume":"22","author":[{"family":"Gomez-Villa","given":"Ramiro"},{"family":"Aguilar-Rebolledo","given":"Francisco"},{"family":"Lozano-Platonoff","given":"Adriana"},{"family":"Teran-Soto","given":"Juan Miguel"},{"family":"Fabian-Victoriano","given":"Maria Rosy"},{"family":"Kresch-Tronik","given":"Nicole Stephanie"},{"family":"Garrido-Espíndola","given":"Ximena"},{"family":"Garcia-Solis","given":"Adriana"},{"family":"Bondani-Guasti","given":"Augusto"},{"family":"Bierzwinsky-Sneider","given":"Guillermo"},{"family":"Contreras-Ruiz","given":"José"}],"issued":{"date-parts":[["2014",8]]}}},{"id":74043,"uris":["http://zotero.org/users/5328021/items/FXG8LMHG"],"uri":["http://zotero.org/users/5328021/items/FXG8LMHG"],"itemData":{"id":74043,"type":"article-journal","abstract":"BACKGROUND: This randomized clinical trial was conducted to assess the role of platelet-rich plasma (PRP) gel as a treatment of clean non-healing diabetic foot  ulcer (DFU) in comparison with regular dressing with saline as a control. METHODS: Patients with DFU were randomly assigned to one of two equal groups: group I received dressing with PRP gel and group II received regular saline dressing. The main outcomes of the study were percent reduction in the dimensions of the DFU, healing of DFU, and complications at 20 weeks of follow-up. RESULTS:  Twenty-four patients were included to the study. The mean age of patients was 55.2 +/- 6.4 years. Only three (25%) patients in group I achieved complete healing versus none of group II patients. In total, 8.3% of group I and 41.6% of  group II patients did not show any response to treatment. The percent of reduction in the longitudinal and horizontal dimensions of the DFU was significantly greater in group I than group II (43.2% vs 4.1%) and (42.3% vs 8.2%), respectively. The time required to maximum healing was significantly shorter in group I than group II (6.3 +/- 2.1 vs 10.4 +/- 1.7 weeks, P &lt; 0.0001). CONCLUSION: The use of PRP gel as a dressing for chronic DFU resulted in a more significant reduction in the size of the ulcer when compared to regular saline dressing. Also the time to reach the point of maximal possible healing with the least wound dimensions was significantly shorter when using PRP as a dressing protocol.","container-title":"World journal of surgery","issue":"4","journalAbbreviation":"World J Surg","language":"eng","note":"PMID: 31811339","page":"1294-1301","title":"Randomized Controlled Trial on Autologous Platelet-Rich Plasma Versus Saline Dressing in Treatment of Non-healing Diabetic Foot Ulcers.","volume":"44","author":[{"family":"Elsaid","given":"Ahmed"},{"family":"El-Said","given":"Mohammed"},{"family":"Emile","given":"Sameh"},{"family":"Youssef","given":"Mohamed"},{"family":"Khafagy","given":"Wael"},{"family":"Elshobaky","given":"Ayman"}],"issued":{"date-parts":[["2020",4]]}}},{"id":73601,"uris":["http://zotero.org/users/5328021/items/MGTTZ4AB"],"uri":["http://zotero.org/users/5328021/items/MGTTZ4AB"],"itemData":{"id":73601,"type":"article-journal","abstract":"Significance: Autologous platelet-rich plasma (PRP) has been suggested to be effective for wound healing. However, clinical evidence for its use in patients with diabetic ulcer remains inconsistent. The aim of this systematic review and meta-analysis was to evaluate the efficacy and safety of PRP in patients with diabetic ulcer. Recent Advances: Relevant randomized controlled trials (RCTs) were identified via systematic search of PubMed, MEDLINE, EMBASE, the Cochrane Library, and Web of Knowledge databases. Results were pooled using a random-effects model. The primary outcome of the study was the healing rate of ulcers in patients with PRP, when compared with controls. Secondary outcomes included the percentage of ulcer area reduction, recurrence rate, and amputation  rate. Critical Issues: Eight RCTs that involved 431 participants were included. Compared with controls, PRP was associated with a significantly increased ratio of complete ulcer healing (odds ratio [OR] = 3.77, 95% confidence interval [CI] = 1.91-7.45, I(2) (=) 42.2%) and reduced areas of ulcers (standard mean difference  = 0.86, 95% CI = 0.27-1.45, I(2) (=) 0.0%). No differences were observed between  patients allocated to PRP or controls, in terms of the outcomes of recurrence rate (OR = 3.32, 95% CI = 0.41-27.18, I(2) (=) 66.3%) or amputation rate (OR = 0.15, 95% CI = 0.15-1.28). The results of the trial sequence analyses revealed that the cumulative Z-curve crossed both the traditional boundary (p = 0.05) and  trial sequential monitoring boundary. Future Directions: Our findings suggest that PRP may improve ulcer healing without significant adverse effects for patients with diabetic ulcers.","container-title":"Advances in wound care","issue":"7","journalAbbreviation":"Adv Wound Care (New Rochelle)","language":"eng","note":"PMID: 31832277 \nPMCID: PMC6906759","page":"298-308","title":"Efficacy and Safety of Platelet-Rich Plasma for Patients with Diabetic Ulcers: A  Systematic Review and Meta-analysis.","volume":"8","author":[{"family":"Hu","given":"Zhicheng"},{"family":"Qu","given":"Shanqiang"},{"family":"Zhang","given":"Jian"},{"family":"Cao","given":"Xiaoling"},{"family":"Wang","given":"Peng"},{"family":"Huang","given":"Shaobin"},{"family":"Shi","given":"Fen"},{"family":"Dong","given":"Yunxian"},{"family":"Wu","given":"Jun"},{"family":"Tang","given":"Bing"},{"family":"Zhu","given":"Jiayuan"}],"issued":{"date-parts":[["2019",7,1]]}}},{"id":45604,"uris":["http://zotero.org/users/5328021/items/GR3LWDQD"],"uri":["http://zotero.org/users/5328021/items/GR3LWDQD"],"itemData":{"id":45604,"type":"article-journal","abstract":"The efficacy of umbilical cord blood platelet gel (CBPG) application on healing foot ulcers was analyzed in 10 diabetic patients treated for critical lower limb ischemia by surgical or endovascular arterial revascularization. During a 9-month period, 20 diabetic patients affected by critical lower limb ischemia with tissue loss were enrolled in this nonblinded, consecutive series, randomized clinical trial. After clinical evaluation, patients underwent endovascular or surgical revascularization of the affected limb, followed by minor amputations or surgical debridement of ischemic lesions. Patients were then randomly divided into two groups: 10 patients in Group A treated with standard wound care and 10 patients in Group B treated with topic application of CBPG. The CBPG protocol consisted of platelet gel application twice a week for 4 weeks and then once a week for an additional 4 weeks. Healing was assessed by direct ulcer dimension tracing onto clear plastic sheet and subsequent computerized planimetry. The mean pretreatment and post-treatment ulcer areas at 30 days for Group A were 15.1 cm2 and 8.1 cm2, respectively, and for Group B were 15.7 cm2 and 3.25 cm2, respectively; resulting in a mean ulcer area reduction of 46% for Group A and 79% for Group B patients (P &lt; .01). These observations suggest CBPG application can promote more rapid wound healing than standard care, and indicate the need for a randomized, multicenter trial to confirm clinical efficacy.","container-title":"Seminars in Vascular Surgery","issue":"4","journalAbbreviation":"Semin Vasc Surg","language":"eng","note":"PMID: 29793677","page":"106-112","title":"Efficacy of cord blood platelet gel application for enhancing diabetic foot ulcer healing after lower limb revascularization","volume":"30","author":[{"family":"Volpe","given":"Pietro"},{"family":"Marcuccio","given":"Daniela"},{"family":"Stilo","given":"Giuseppe"},{"family":"Alberti","given":"Antonino"},{"family":"Foti","given":"Giovanni"},{"family":"Volpe","given":"Alberto"},{"family":"Princi","given":"Domenica"},{"family":"Surace","given":"Rosangela"},{"family":"Pucci","given":"Giulia"},{"family":"Massara","given":"Mafalda"}],"issued":{"date-parts":[["2017",12]]}}}],"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(143,149,150,155,162)</w:t>
            </w:r>
            <w:r w:rsidRPr="00CA32B9">
              <w:rPr>
                <w:rFonts w:asciiTheme="minorHAnsi" w:hAnsiTheme="minorHAnsi" w:cstheme="minorHAnsi"/>
                <w:szCs w:val="20"/>
                <w:lang w:val="en-US"/>
              </w:rPr>
              <w:fldChar w:fldCharType="end"/>
            </w:r>
          </w:p>
        </w:tc>
      </w:tr>
      <w:tr w:rsidR="0056668F" w14:paraId="09BDB359" w14:textId="77777777" w:rsidTr="0022700A">
        <w:tc>
          <w:tcPr>
            <w:tcW w:w="2830" w:type="dxa"/>
            <w:vAlign w:val="center"/>
          </w:tcPr>
          <w:p w14:paraId="18CD41C6" w14:textId="6C08D161"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3 studies (I) - 3 studies (II)</w:t>
            </w:r>
          </w:p>
        </w:tc>
        <w:tc>
          <w:tcPr>
            <w:tcW w:w="1157" w:type="dxa"/>
            <w:vAlign w:val="center"/>
          </w:tcPr>
          <w:p w14:paraId="1560FA16" w14:textId="2CD177DB" w:rsidR="0056668F" w:rsidRDefault="003E443A" w:rsidP="0056668F">
            <w:pPr>
              <w:jc w:val="center"/>
              <w:rPr>
                <w:lang w:val="en-US"/>
              </w:rPr>
            </w:pPr>
            <w:r>
              <w:rPr>
                <w:rFonts w:asciiTheme="minorHAnsi" w:hAnsiTheme="minorHAnsi" w:cstheme="minorHAnsi"/>
                <w:color w:val="9A9B9D" w:themeColor="text1" w:themeTint="99"/>
                <w:szCs w:val="20"/>
                <w:lang w:val="en-US"/>
              </w:rPr>
              <w:t>6,8</w:t>
            </w:r>
          </w:p>
        </w:tc>
        <w:tc>
          <w:tcPr>
            <w:tcW w:w="2009" w:type="dxa"/>
            <w:vMerge/>
            <w:vAlign w:val="center"/>
          </w:tcPr>
          <w:p w14:paraId="4466D776" w14:textId="77777777" w:rsidR="0056668F" w:rsidRDefault="0056668F" w:rsidP="0056668F">
            <w:pPr>
              <w:jc w:val="center"/>
              <w:rPr>
                <w:lang w:val="en-US"/>
              </w:rPr>
            </w:pPr>
          </w:p>
        </w:tc>
        <w:tc>
          <w:tcPr>
            <w:tcW w:w="3064" w:type="dxa"/>
            <w:vAlign w:val="center"/>
          </w:tcPr>
          <w:p w14:paraId="3864AFEC" w14:textId="4ED5DCFD"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3wmK83ys","properties":{"formattedCitation":"(153,154,160,163\\uc0\\u8211{}165)","plainCitation":"(153,154,160,163–165)","noteIndex":0},"citationItems":[{"id":45092,"uris":["http://zotero.org/users/5328021/items/YYPW4L66"],"uri":["http://zotero.org/users/5328021/items/YYPW4L66"],"itemData":{"id":45092,"type":"article-journal","abstract":"Foot ulcer is a major complication of diabetes mellitus and often precedes leg amputation. Among the different methods to achieve ulcer healing, the use of platelet-rich plasma, which is rich in multiple growth factors and cytokines and may have similarities to the natural wound healing process, is gaining in popularity. A systematic review with meta-analyses was performed to evaluate the safety and clinical effectiveness of platelet-rich plasma for the treatment of diabetic foot ulcers compared to standard treatment or any other alternative therapy. The electronic databases Medline, EMBASE, CINAHL, and Cochrane Central Register of Controlled Trials were consulted in March 2017 with no restrictions placed on the publication date. Predefined criteria were used to determine inclusion of studies and to assess their methodologic quality. Eight randomized clinical trials and two prospective longitudinal-observational studies with control group were included. Platelet-rich plasma treatment increased the likelihood of chronic wound healing (RR = 1.32; 95% CI: 1.11, 1.57, I2 = 15%) while the volume of the ulcer (MD = 0.12 cm2 ; 95% CI: 0.08, 0.16; p &lt; 0.01; I2 = 0%) and time to complete wound healing (MD = -11.18 days; 95% CI: -20.69, -1.68; I2 = 53%) decreased. Regarding safety profile, platelet-rich plasma did not differ from standard treatment in terms of probability of occurrence of wound complications (RR = 0.57; 95% CI: 0.25, 1.28; I2 = 0%) or recurrences (RR = 2.76; 95% CI: 0.23, 33.36; p = 0.43; I2 = 82%) but it decreased the rate of adverse events (RR = 0.80; 95% CI: 0.66, 0.96; p = 0.02; I2 = 0%). Cumulative meta-analysis revealed that there is enough evidence to demonstrate a statistically significant benefit. However, studies included presented serious methodologic flaws. According to the results, platelet-rich plasma could be considered a candidate treatment for nonhealing of diabetic foot ulcers.","container-title":"Wound Repair and Regeneration: Official Publication of the Wound Healing Society [and] the European Tissue Repair Society","issue":"2","journalAbbreviation":"Wound Repair Regen","language":"eng","note":"PMID: 30575212","page":"170-182","title":"Platelet-rich plasma for the treatment of diabetic foot ulcers: A meta-analysis","volume":"27","author":[{"family":"Del Pino-Sedeño","given":"Tasmania"},{"family":"Trujillo-Martín","given":"María M."},{"family":"Andia","given":"Isabel"},{"family":"Aragón-Sánchez","given":"Javier"},{"family":"Herrera-Ramos","given":"Estefanía"},{"family":"Iruzubieta Barragán","given":"Francisco J."},{"family":"Serrano-Aguilar","given":"Pedro"}],"issued":{"date-parts":[["2019"]]}}},{"id":73609,"uris":["http://zotero.org/users/5328021/items/IXYYWU8P"],"uri":["http://zotero.org/users/5328021/items/IXYYWU8P"],"itemData":{"id":73609,"type":"article-journal","abstract":"BACKGROUND: Several randomized controlled trials comparing platelet-rich plasma to standard wound care for chronic wounds have been published. Previous articles  have revealed that the role of platelet-rich plasma in promoting chronic wound healing is uncertain. This quantitative meta-analysis was conducted to evaluate whether superior outcomes can be obtained by using platelet-rich plasma in nonhealing ulcers compared with traditional wound care. METHODS: The PubMed, EMBASE, EBSCO (Cumulative Index to Nursing and Allied Health Literature), and Cochrane databases were searched through November of 2018 for randomized controlled trials comparing platelet-rich plasma to standard wound care for chronic wounds. For binary outcome measures, we calculated the risk ratio. The continuous outcomes were expressed as the mean differences. Subgroup analyses were also performed according to the type of chronic ulcer. RESULTS: Overall, 630 adult patients in 15 randomized controlled trials from 2000 to 2018 were included. The number of ulcers healed in the platelet-rich plasma group was higher than in the control group, and the difference was statistically significant (risk ratio, 1.26; 95 percent CI, 1.11 to 1.42; p = 0.0003). During the fourth week of follow-up, the number of ulcers healed in the platelet-rich plasma group was significantly greater than in the control group (risk ratio, 3.50; 95 percent CI, 1.80 to 6.81; p = 0.0002). CONCLUSIONS: Platelet-rich plasma is a valuable and safe treatment dressing for chronic nonhealing ulcers; it is simple to prepare and has remarkable effects. Further high-quality prospective studies are necessary to validate these results. CLINICAL QUESTION/LEVEL OF EVIDENCE: Therapeutic, II.","container-title":"Plastic and reconstructive surgery","issue":"6","journalAbbreviation":"Plast Reconstr Surg","language":"eng","note":"PMID: 31764670","page":"1463-1474","title":"The Efficacy of Platelet-Rich Plasma Dressing for Chronic Nonhealing Ulcers: A Meta-Analysis of 15 Randomized Controlled Trials.","volume":"144","author":[{"family":"Xia","given":"YiJun"},{"family":"Zhao","given":"Jun"},{"family":"Xie","given":"Juan"},{"family":"Lv","given":"Yang"},{"family":"Cao","given":"Dong Sheng"}],"issued":{"date-parts":[["2019",12]]}}},{"id":73602,"uris":["http://zotero.org/users/5328021/items/6349XQER"],"uri":["http://zotero.org/users/5328021/items/6349XQER"],"itemData":{"id":73602,"type":"article-journal","abstract":"BACKGROUND: The biological mechanisms underlying the use of platelet-rich plasma  (PRP), as well as the efficacy and possible adverse effects of PRP, have not yet  been fully elucidated. Prior studies have evaluated PRP for cutaneous ulceration. However, the benefits from PRP still remain controversial and few have assessed the effects of ulceration etiologies. The purpose of our study is to determine the efficacy and safety of PRP and which kind of ulcer is more suitable for PRP by analyzing the effects of PRP on ulcers with different causes. METHODS: A comprehensive search was performed to identify randomized controlled trials (RCTs) regarding the application of PRP from PubMed, EMBASE, Scopus, and the Cochrane Library. The data were analyzed using Review Manager 5.3. RESULTS: A total of nineteen RCTs (909 patients) were included. In contrast with conventional treatments, PRP achieved higher healing rate, higher percentage of area reduction, and smaller final area in vascular ulcers. However, the advantage disappeared in diabetic and pressure ulcers. Concerning adverse events, PRP showed lower incidence in the short term, but higher in the long term. No significant differences were found in ulcer closure velocity and healing time. CONCLUSION: Platelet-rich plasma effectiveness and safety in treating cutaneous ulceration depend on what is the ulceration etiology. For diabetic ulcers, PRP showed no satisfactory results suggesting that PRP may not be suitable for diabetic patients. However, PRP could be efficient and more beneficial for vascular ulcers and effects on pressure ulcers remain unclear. Thus, PRP option should be carefully considered for each patient in accordance with their ulceration etiologies.","container-title":"Journal of cosmetic dermatology","issue":"2","journalAbbreviation":"J Cosmet Dermatol","language":"eng","note":"PMID: 30912259","page":"495-507","title":"Efficacy and safety of platelet-rich plasma in treating cutaneous ulceration: A meta-analysis of randomized controlled trials.","volume":"18","author":[{"family":"Shen","given":"Zhen"},{"family":"Zheng","given":"Shengpeng"},{"family":"Chen","given":"Guoqian"},{"family":"Li","given":"Ding"},{"family":"Jiang","given":"Ziwei"},{"family":"Li","given":"Yue"},{"family":"Huang","given":"Feng"}],"issued":{"date-parts":[["2019",4]]}}},{"id":53,"uris":["http://zotero.org/users/5328021/items/IRFNAWT7"],"uri":["http://zotero.org/users/5328021/items/IRFNAWT7"],"itemData":{"id":53,"type":"article-journal","abstract":"Introduction: Type 2 diabetes is one of the most prevalent diseases throughout the world. The foot ulcers are severe complications of this disease. Foot ulcers induce the high rate of morbidity, impair quality of life, bring about extreme costs to health service providers, and give rise to waste of time. Recently, platelet-rich plasma (PRP) and platelet gel (PG) have been used for the treatment of chronic wounds. In the present randomized, double-blind, placebo-controlled study, platelet gel derived from umbilical cord blood (UCB) was used to heal the diabetic foot. Method: The patients were randomly divided into three groups, under the categories of PG, platelet-poor plasma (PPP) and lubricant gel (placebo) (ratio 1:1:1). The processes of gels application were launched for the subject of each group twice per week with 3–4 days’ interval. This mechanism protracted for eight weeks. After completion of 8 weeks, the patients were followed up after two weeks and then continued for nine months with one-month interval. Result: 30 patients underwent statistical analysis. Except for diastolic blood pressure which was significant between groups, there were no statistically significant differences in patients’ baseline demographics. No significant differences were detected between groups at baseline of wounds (P = 0.09). The results revealed that there is no statistically significant interaction among three groups during follow-up time. Conclusion: The present study provides evidence that there are no significant differences in the size of wound among PG, PPP, and placebo groups.","archive":"Embase","container-title":"Wound Medicine","issue":"(Molavi B., molavibe@sina.tums.ac.ir) Sina Trauma and Surgery Research Center, Tehran University of Medical Sciences, Tehran, Iran","journalAbbreviation":"Wound Med.","language":"English","title":"The efficacy of platelet gel derived from umbilical cord blood on diabetic foot ulcers: A double-blind randomized clinical trial","URL":"http://www.embase.com/search/results?subaction=viewrecord&amp;from=export&amp;id=L2004656584","volume":"28","author":[{"literal":"Hosseini S.E."},{"literal":"Molavi B."},{"literal":"Goodarzi A."},{"literal":"Alizadeh A."},{"literal":"Yousefzadeh A."},{"literal":"Sodeifi N."},{"literal":"Arab L."},{"literal":"Aghdami N."}],"issued":{"date-parts":[["2020"]]}}},{"id":83203,"uris":["http://zotero.org/users/5328021/items/PFGQWLKG"],"uri":["http://zotero.org/users/5328021/items/PFGQWLKG"],"itemData":{"id":83203,"type":"article-journal","abstract":"Lower leg ulcers are a serious and long</w:instrText>
            </w:r>
            <w:r>
              <w:rPr>
                <w:rFonts w:ascii="Cambria Math" w:hAnsi="Cambria Math" w:cs="Cambria Math"/>
                <w:szCs w:val="20"/>
                <w:lang w:val="en-US"/>
              </w:rPr>
              <w:instrText>‐</w:instrText>
            </w:r>
            <w:r>
              <w:rPr>
                <w:rFonts w:asciiTheme="minorHAnsi" w:hAnsiTheme="minorHAnsi" w:cstheme="minorHAnsi"/>
                <w:szCs w:val="20"/>
                <w:lang w:val="en-US"/>
              </w:rPr>
              <w:instrText>term complication in patients with diabetes and pose a major health concern because of the increasing number of patients diagnosed with diabetes each year. This study sought to evaluate the clinical benefit of topical activated protein C (APC) on chronic lower leg ulcers in patients with diabetes. Twelve patients were randomly assigned to receive either APC (N = 6) or physiological saline (placebo; N = 6) in a randomised, placebo</w:instrText>
            </w:r>
            <w:r>
              <w:rPr>
                <w:rFonts w:ascii="Cambria Math" w:hAnsi="Cambria Math" w:cs="Cambria Math"/>
                <w:szCs w:val="20"/>
                <w:lang w:val="en-US"/>
              </w:rPr>
              <w:instrText>‐</w:instrText>
            </w:r>
            <w:r>
              <w:rPr>
                <w:rFonts w:asciiTheme="minorHAnsi" w:hAnsiTheme="minorHAnsi" w:cstheme="minorHAnsi"/>
                <w:szCs w:val="20"/>
                <w:lang w:val="en-US"/>
              </w:rPr>
              <w:instrText>controlled, double</w:instrText>
            </w:r>
            <w:r>
              <w:rPr>
                <w:rFonts w:ascii="Cambria Math" w:hAnsi="Cambria Math" w:cs="Cambria Math"/>
                <w:szCs w:val="20"/>
                <w:lang w:val="en-US"/>
              </w:rPr>
              <w:instrText>‐</w:instrText>
            </w:r>
            <w:r>
              <w:rPr>
                <w:rFonts w:asciiTheme="minorHAnsi" w:hAnsiTheme="minorHAnsi" w:cstheme="minorHAnsi"/>
                <w:szCs w:val="20"/>
                <w:lang w:val="en-US"/>
              </w:rPr>
              <w:instrText>blind pilot clinical trial. Treatment was administered topically, twice weekly for 6 weeks with final follow</w:instrText>
            </w:r>
            <w:r>
              <w:rPr>
                <w:rFonts w:ascii="Cambria Math" w:hAnsi="Cambria Math" w:cs="Cambria Math"/>
                <w:szCs w:val="20"/>
                <w:lang w:val="en-US"/>
              </w:rPr>
              <w:instrText>‐</w:instrText>
            </w:r>
            <w:r>
              <w:rPr>
                <w:rFonts w:asciiTheme="minorHAnsi" w:hAnsiTheme="minorHAnsi" w:cstheme="minorHAnsi"/>
                <w:szCs w:val="20"/>
                <w:lang w:val="en-US"/>
              </w:rPr>
              <w:instrText>up at 20 weeks. Wound area was significantly reduced to 34</w:instrText>
            </w:r>
            <w:r>
              <w:rPr>
                <w:rFonts w:cs="Arial"/>
                <w:szCs w:val="20"/>
                <w:lang w:val="en-US"/>
              </w:rPr>
              <w:instrText>·</w:instrText>
            </w:r>
            <w:r>
              <w:rPr>
                <w:rFonts w:asciiTheme="minorHAnsi" w:hAnsiTheme="minorHAnsi" w:cstheme="minorHAnsi"/>
                <w:szCs w:val="20"/>
                <w:lang w:val="en-US"/>
              </w:rPr>
              <w:instrText xml:space="preserve">8 </w:instrText>
            </w:r>
            <w:r>
              <w:rPr>
                <w:rFonts w:cs="Arial"/>
                <w:szCs w:val="20"/>
                <w:lang w:val="en-US"/>
              </w:rPr>
              <w:instrText>±</w:instrText>
            </w:r>
            <w:r>
              <w:rPr>
                <w:rFonts w:asciiTheme="minorHAnsi" w:hAnsiTheme="minorHAnsi" w:cstheme="minorHAnsi"/>
                <w:szCs w:val="20"/>
                <w:lang w:val="en-US"/>
              </w:rPr>
              <w:instrText xml:space="preserve"> 16</w:instrText>
            </w:r>
            <w:r>
              <w:rPr>
                <w:rFonts w:cs="Arial"/>
                <w:szCs w:val="20"/>
                <w:lang w:val="en-US"/>
              </w:rPr>
              <w:instrText>·</w:instrText>
            </w:r>
            <w:r>
              <w:rPr>
                <w:rFonts w:asciiTheme="minorHAnsi" w:hAnsiTheme="minorHAnsi" w:cstheme="minorHAnsi"/>
                <w:szCs w:val="20"/>
                <w:lang w:val="en-US"/>
              </w:rPr>
              <w:instrText>4% of week 0 levels at 20 weeks in APC</w:instrText>
            </w:r>
            <w:r>
              <w:rPr>
                <w:rFonts w:ascii="Cambria Math" w:hAnsi="Cambria Math" w:cs="Cambria Math"/>
                <w:szCs w:val="20"/>
                <w:lang w:val="en-US"/>
              </w:rPr>
              <w:instrText>‐</w:instrText>
            </w:r>
            <w:r>
              <w:rPr>
                <w:rFonts w:asciiTheme="minorHAnsi" w:hAnsiTheme="minorHAnsi" w:cstheme="minorHAnsi"/>
                <w:szCs w:val="20"/>
                <w:lang w:val="en-US"/>
              </w:rPr>
              <w:instrText>treated wounds (p = 0</w:instrText>
            </w:r>
            <w:r>
              <w:rPr>
                <w:rFonts w:cs="Arial"/>
                <w:szCs w:val="20"/>
                <w:lang w:val="en-US"/>
              </w:rPr>
              <w:instrText>·</w:instrText>
            </w:r>
            <w:r>
              <w:rPr>
                <w:rFonts w:asciiTheme="minorHAnsi" w:hAnsiTheme="minorHAnsi" w:cstheme="minorHAnsi"/>
                <w:szCs w:val="20"/>
                <w:lang w:val="en-US"/>
              </w:rPr>
              <w:instrText>01). At 20 weeks, three APC</w:instrText>
            </w:r>
            <w:r>
              <w:rPr>
                <w:rFonts w:ascii="Cambria Math" w:hAnsi="Cambria Math" w:cs="Cambria Math"/>
                <w:szCs w:val="20"/>
                <w:lang w:val="en-US"/>
              </w:rPr>
              <w:instrText>‐</w:instrText>
            </w:r>
            <w:r>
              <w:rPr>
                <w:rFonts w:asciiTheme="minorHAnsi" w:hAnsiTheme="minorHAnsi" w:cstheme="minorHAnsi"/>
                <w:szCs w:val="20"/>
                <w:lang w:val="en-US"/>
              </w:rPr>
              <w:instrText>treated wounds had completely healed, compared to one saline</w:instrText>
            </w:r>
            <w:r>
              <w:rPr>
                <w:rFonts w:ascii="Cambria Math" w:hAnsi="Cambria Math" w:cs="Cambria Math"/>
                <w:szCs w:val="20"/>
                <w:lang w:val="en-US"/>
              </w:rPr>
              <w:instrText>‐</w:instrText>
            </w:r>
            <w:r>
              <w:rPr>
                <w:rFonts w:asciiTheme="minorHAnsi" w:hAnsiTheme="minorHAnsi" w:cstheme="minorHAnsi"/>
                <w:szCs w:val="20"/>
                <w:lang w:val="en-US"/>
              </w:rPr>
              <w:instrText>treated wound. Full</w:instrText>
            </w:r>
            <w:r>
              <w:rPr>
                <w:rFonts w:ascii="Cambria Math" w:hAnsi="Cambria Math" w:cs="Cambria Math"/>
                <w:szCs w:val="20"/>
                <w:lang w:val="en-US"/>
              </w:rPr>
              <w:instrText>‐</w:instrText>
            </w:r>
            <w:r>
              <w:rPr>
                <w:rFonts w:asciiTheme="minorHAnsi" w:hAnsiTheme="minorHAnsi" w:cstheme="minorHAnsi"/>
                <w:szCs w:val="20"/>
                <w:lang w:val="en-US"/>
              </w:rPr>
              <w:instrText>thickness wound edge skin biopsies showed reduced inflammatory cell infiltration and increased vascular proliferation following APC treatment. Patient stress scores were also significantly reduced following APC treatment (p &lt; 0·05), demonstrating improved patient quality of life as assessed by the Cardiff Wound Impact Questionnaire. This pilot trial suggests that APC is a safe topical agent for healing chronic lower leg ulcers in patients with diabetes and provides supporting evidence for a larger clinical trial.","archive_location":"CN-01108306","container-title":"International wound journal","issue":"4","journalAbbreviation":"International wound journal","page":"422</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427","title":"Treatment of chronic diabetic lower leg ulcers with activated protein C: a randomised placebo-controlled, double-blind pilot clinical trial","volume":"12","author":[{"family":"Whitmont","given":"K"},{"family":"McKelvey","given":"KJ"},{"family":"Fulcher","given":"G"},{"family":"Reid","given":"I"},{"family":"March","given":"L"},{"family":"Xue","given":"M"},{"family":"Cooper","given":"A"},{"family":"Jackson","given":"CJ"}],"issued":{"date-parts":[["2015"]]}}},{"id":53429,"uris":["http://zotero.org/users/5328021/items/63GY9Q3V"],"uri":["http://zotero.org/users/5328021/items/63GY9Q3V"],"itemData":{"id":53429,"type":"article-journal","abstract":"The efficacy and safety of transplanting autologous mesenchymal stem cells (MSCs), from granulocyte-colony-stimulating factor (G-CSF)-mobilised peripheral blood, was investigated in diabetic patients with critical limb ischaemia (CLI). After 3 months, the transplanted group of patients (n=7) showed a significant improvement in ischaemia manifestations, including pain and neurological signs, wound healing and the rate of lower-limb amputation, compared to the control group of patients (n=14). Pain was significantly reduced in the transplanted group compared to controls (P=0.014). The ankle-brachial index (ABI) and the pulse strength within ischaemic tissues of the transplanted group were significantly improved (P=0.035 and P=0.01, respectively). Importantly, 50% of the control group (7/14 patients) faced major amputation of a limb at the study's conclusion, compared to none of 7 patients in the transplanted group (P=0.047). The safety of transplantation was confirmed by observing no adverse reactions among the transplanted group, including infection and immunological rejection. Hence, this study provides further evidence that transplantation of autologous peripheral blood MSCs, mobilised by G-CSF, induces angiogenesis and improves the wound healing process in diabetic patients with CLI.","container-title":"Experimental and Clinical Endocrinology &amp; Diabetes: Official Journal, German Society of Endocrinology [and] German Diabetes Association","issue":"1","journalAbbreviation":"Exp. Clin. Endocrinol. Diabetes","language":"eng","note":"PMID: 23329572","page":"48-53","title":"Therapeutic outcomes of transplanting autologous granulocyte colony-stimulating factor-mobilised peripheral mononuclear cells in diabetic patients with critical limb ischaemia","volume":"121","author":[{"family":"Mohammadzadeh","given":"L."},{"family":"Samedanifard","given":"S. H."},{"family":"Keshavarzi","given":"A."},{"family":"Alimoghaddam","given":"K."},{"family":"Larijani","given":"B."},{"family":"Ghavamzadeh","given":"A."},{"family":"Ahmadi","given":"A. S."},{"family":"Shojaeifard","given":"A."},{"family":"Ostadali","given":"M. R."},{"family":"Sharifi","given":"A. M."},{"family":"Amini","given":"M. R."},{"family":"Mahmoudian","given":"A."},{"family":"Fakhraei","given":"H."},{"family":"Aalaa","given":"M."},{"family":"Mohajeri-Tehrani","given":"M. R."}],"issued":{"date-parts":[["2013",1]]}}}],"schema":"https://github.com/citation-style-language/schema/raw/master/csl-citation.json"}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(153,154,160,163–165)</w:t>
            </w:r>
            <w:r w:rsidRPr="00CA32B9">
              <w:rPr>
                <w:rFonts w:asciiTheme="minorHAnsi" w:hAnsiTheme="minorHAnsi" w:cstheme="minorHAnsi"/>
                <w:szCs w:val="20"/>
                <w:lang w:val="en-US"/>
              </w:rPr>
              <w:fldChar w:fldCharType="end"/>
            </w:r>
          </w:p>
        </w:tc>
      </w:tr>
      <w:tr w:rsidR="0056668F" w14:paraId="6E4C7804" w14:textId="77777777" w:rsidTr="0056668F">
        <w:tc>
          <w:tcPr>
            <w:tcW w:w="9060" w:type="dxa"/>
            <w:gridSpan w:val="4"/>
            <w:vAlign w:val="center"/>
          </w:tcPr>
          <w:p w14:paraId="1A66A173" w14:textId="6C25BD70" w:rsidR="0056668F" w:rsidRDefault="0056668F" w:rsidP="0056668F">
            <w:pPr>
              <w:jc w:val="left"/>
              <w:rPr>
                <w:lang w:val="en-US"/>
              </w:rPr>
            </w:pPr>
            <w:r w:rsidRPr="00CA32B9">
              <w:rPr>
                <w:rFonts w:asciiTheme="minorHAnsi" w:hAnsiTheme="minorHAnsi" w:cstheme="minorHAnsi"/>
                <w:b/>
                <w:szCs w:val="20"/>
                <w:lang w:val="en-US"/>
              </w:rPr>
              <w:t>Time to healing</w:t>
            </w:r>
          </w:p>
        </w:tc>
      </w:tr>
      <w:tr w:rsidR="0056668F" w14:paraId="112D03C4" w14:textId="77777777" w:rsidTr="0022700A">
        <w:tc>
          <w:tcPr>
            <w:tcW w:w="2830" w:type="dxa"/>
            <w:vAlign w:val="center"/>
          </w:tcPr>
          <w:p w14:paraId="5B10F152" w14:textId="70F6A089" w:rsidR="0056668F" w:rsidRDefault="0056668F" w:rsidP="0056668F">
            <w:pPr>
              <w:jc w:val="center"/>
              <w:rPr>
                <w:lang w:val="en-US"/>
              </w:rPr>
            </w:pPr>
            <w:r w:rsidRPr="00CA32B9">
              <w:rPr>
                <w:rFonts w:asciiTheme="minorHAnsi" w:hAnsiTheme="minorHAnsi" w:cstheme="minorHAnsi"/>
                <w:szCs w:val="20"/>
                <w:lang w:val="en-US"/>
              </w:rPr>
              <w:t>3 studies (I) - 6 studies (</w:t>
            </w:r>
            <w:r w:rsidRPr="00CA32B9">
              <w:rPr>
                <w:rFonts w:asciiTheme="minorHAnsi" w:eastAsia="Times New Roman" w:hAnsiTheme="minorHAnsi" w:cstheme="minorHAnsi"/>
                <w:szCs w:val="20"/>
                <w:lang w:val="en-US"/>
              </w:rPr>
              <w:t>II)</w:t>
            </w:r>
          </w:p>
        </w:tc>
        <w:tc>
          <w:tcPr>
            <w:tcW w:w="1157" w:type="dxa"/>
            <w:vAlign w:val="center"/>
          </w:tcPr>
          <w:p w14:paraId="3406C143" w14:textId="40798F65" w:rsidR="0056668F" w:rsidRDefault="0056668F" w:rsidP="0056668F">
            <w:pPr>
              <w:jc w:val="center"/>
              <w:rPr>
                <w:lang w:val="en-US"/>
              </w:rPr>
            </w:pPr>
            <w:r w:rsidRPr="00CA32B9">
              <w:rPr>
                <w:rFonts w:asciiTheme="minorHAnsi" w:hAnsiTheme="minorHAnsi" w:cstheme="minorHAnsi"/>
                <w:szCs w:val="20"/>
                <w:lang w:val="en-US"/>
              </w:rPr>
              <w:t>7</w:t>
            </w:r>
          </w:p>
        </w:tc>
        <w:tc>
          <w:tcPr>
            <w:tcW w:w="2009" w:type="dxa"/>
            <w:vMerge w:val="restart"/>
            <w:vAlign w:val="center"/>
          </w:tcPr>
          <w:p w14:paraId="02310574" w14:textId="127EF7A0" w:rsidR="0056668F" w:rsidRDefault="0056668F" w:rsidP="0056668F">
            <w:pPr>
              <w:jc w:val="center"/>
              <w:rPr>
                <w:lang w:val="en-US"/>
              </w:rPr>
            </w:pPr>
            <w:r w:rsidRPr="00CA32B9">
              <w:rPr>
                <w:rFonts w:asciiTheme="minorHAnsi" w:hAnsiTheme="minorHAnsi" w:cstheme="minorHAnsi"/>
                <w:szCs w:val="20"/>
                <w:lang w:val="en-US"/>
              </w:rPr>
              <w:t>Moderate</w:t>
            </w:r>
          </w:p>
        </w:tc>
        <w:tc>
          <w:tcPr>
            <w:tcW w:w="3064" w:type="dxa"/>
            <w:vAlign w:val="center"/>
          </w:tcPr>
          <w:p w14:paraId="2DAAEC03" w14:textId="2BEE781D"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7FzEdoK8","properties":{"formattedCitation":"(144,150,151,153,154,159,166\\uc0\\u8211{}168)","plainCitation":"(144,150,151,153,154,159,166–168)","noteIndex":0},"citationItems":[{"id":45546,"uris":["http://zotero.org/users/5328021/items/MDK44T2C"],"uri":["http://zotero.org/users/5328021/items/MDK44T2C"],"itemData":{"id":45546,"type":"article-journal","abstract":"AIMS: This study was conducted to evaluate the efficacy and safety of a novel spray-applied growth factor therapy containing recombinant human epidermal growth factor (rhEGF) for the treatment of chronic diabetic foot ulcers (DFU).\nMETHODS: This study was a phase III double-blind, randomized, placebo-controlled trial. 167 adult patients at six medical centers were randomized to receive routine wound care plus either topical spray treatment with 0.005% rhEGF (n = 82) or an equivalent volume of saline spray (n = 85) twice a day until ulcer healing or for up to 12 weeks.\nRESULTS: Demographics, medical status, and wound characteristics were comparable between rhEGF and placebo groups. More patients in the rhEGF group significantly had complete wound healing compared to placebo (73.2% versus 50.6%, respectively; P = .001). Wound healing velocity was faster in the rhEGF group (P = .029) regardless of HbA1c levels. The rhEGF group had a shorter median time to 50% ulcer size reduction (21 versus 35 days; hazard ratio = 3.13, P &lt; .001) and shorter time to complete ulcer healing (56 versus 84 days; hazard ratio = 2.13, P &lt; .001).\nCONCLUSIONS: This study confirms that application of spray-applied rhEGF in DFU patients results in faster healing velocity and higher complete healing rate regardless of HbA1c levels.","container-title":"Diabetes Research and Clinical Practice","journalAbbreviation":"Diabetes Res. Clin. Pract.","language":"eng","note":"PMID: 29902542","page":"335-344","title":"Topical epidermal growth factor spray for the treatment of chronic diabetic foot ulcers: A phase III multicenter, double-blind, randomized, placebo-controlled trial","volume":"142","author":[{"family":"Park","given":"Kwang Hwan"},{"family":"Han","given":"Seung Hwan"},{"family":"Hong","given":"Joon Pio"},{"family":"Han","given":"Seung-Kyu"},{"family":"Lee","given":"Doo-Hyung"},{"family":"Kim","given":"Bom Soo"},{"family":"Ahn","given":"Jae Hoon"},{"family":"Lee","given":"Jin Woo"}],"issued":{"date-parts":[["2018",8]]}}},{"id":74043,"uris":["http://zotero.org/users/5328021/items/FXG8LMHG"],"uri":["http://zotero.org/users/5328021/items/FXG8LMHG"],"itemData":{"id":74043,"type":"article-journal","abstract":"BACKGROUND: This randomized clinical trial was conducted to assess the role of platelet-rich plasma (PRP) gel as a treatment of clean non-healing diabetic foot  ulcer (DFU) in comparison with regular dressing with saline as a control. METHODS: Patients with DFU were randomly assigned to one of two equal groups: group I received dressing with PRP gel and group II received regular saline dressing. The main outcomes of the study were percent reduction in the dimensions of the DFU, healing of DFU, and complications at 20 weeks of follow-up. RESULTS:  Twenty-four patients were included to the study. The mean age of patients was 55.2 +/- 6.4 years. Only three (25%) patients in group I achieved complete healing versus none of group II patients. In total, 8.3% of group I and 41.6% of  group II patients did not show any response to treatment. The percent of reduction in the longitudinal and horizontal dimensions of the DFU was significantly greater in group I than group II (43.2% vs 4.1%) and (42.3% vs 8.2%), respectively. The time required to maximum healing was significantly shorter in group I than group II (6.3 +/- 2.1 vs 10.4 +/- 1.7 weeks, P &lt; 0.0001). CONCLUSION: The use of PRP gel as a dressing for chronic DFU resulted in a more significant reduction in the size of the ulcer when compared to regular saline dressing. Also the time to reach the point of maximal possible healing with the least wound dimensions was significantly shorter when using PRP as a dressing protocol.","container-title":"World journal of surgery","issue":"4","journalAbbreviation":"World J Surg","language":"eng","note":"PMID: 31811339","page":"1294-1301","title":"Randomized Controlled Trial on Autologous Platelet-Rich Plasma Versus Saline Dressing in Treatment of Non-healing Diabetic Foot Ulcers.","volume":"44","author":[{"family":"Elsaid","given":"Ahmed"},{"family":"El-Said","given":"Mohammed"},{"family":"Emile","given":"Sameh"},{"family":"Youssef","given":"Mohamed"},{"family":"Khafagy","given":"Wael"},{"family":"Elshobaky","given":"Ayman"}],"issued":{"date-parts":[["2020",4]]}}},{"id":73351,"uris":["http://zotero.org/users/5328021/items/7T23HS62"],"uri":["http://zotero.org/users/5328021/items/7T23HS62"],"itemData":{"id":73351,"type":"article-journal","abstract":"BACKGROUND: Autologous platelet-rich plasma products can significantly vary with  respect to platelet concentration, the presence of additional cellularity, and the use of additives. Therefore, the utility of each formulation for treating chronic wounds needs to be established. OBJECTIVE: To establish the efficacy of up to 12 weeks of treatment with Aurix hematogel for healing diabetic foot ulcers against usual and customary care including any wound modality in 129 patients using a Medicare Coverage with Evidence Development paradigm. METHODS: This pragmatic randomized controlled trial was conducted in 28 real-world outpatient wound care sites using an inclusive design that included participants with various health risks, comorbidities (eg, peripheral arterial disease, smoking), and any wound severity (Wagner 1-4). RESULTS: Kaplan-Meier analysis showed a significant (log-rank P = .0476) time-to-heal advantage, with 48.5% of wounds healing with Aurix hematogel compared with 30.2% with usual and customary care. A higher percentage of healing was observed for Aurix across all wound severities (Wagner grade 1-4). Subgroup analysis revealed a significant healing advantage for Aurix when treating wounds accompanied by peripheral arterial disease and a demonstrated advantage for smokers. CONCLUSIONS: This first Coverage with Evidence Development study in wound care demonstrates the effectiveness of Aurix  for treating diabetic foot ulcers in Medicare beneficiaries.","container-title":"Advances in skin &amp; wound care","issue":"9","journalAbbreviation":"Adv Skin Wound Care","language":"eng","note":"PMID: 31436621","page":"416-426","title":"Aurix Gel Is an Effective Intervention for Chronic Diabetic Foot Ulcers: A Pragmatic Randomized Controlled Trial.","volume":"32","author":[{"family":"Gude","given":"Warren"},{"family":"Hagan","given":"Daniel"},{"family":"Abood","given":"Ferial"},{"family":"Clausen","given":"Peter"}],"issued":{"date-parts":[["2019",9]]}}},{"id":45092,"uris":["http://zotero.org/users/5328021/items/YYPW4L66"],"uri":["http://zotero.org/users/5328021/items/YYPW4L66"],"itemData":{"id":45092,"type":"article-journal","abstract":"Foot ulcer is a major complication of diabetes mellitus and often precedes leg amputation. Among the different methods to achieve ulcer healing, the use of platelet-rich plasma, which is rich in multiple growth factors and cytokines and may have similarities to the natural wound healing process, is gaining in popularity. A systematic review with meta-analyses was performed to evaluate the safety and clinical effectiveness of platelet-rich plasma for the treatment of diabetic foot ulcers compared to standard treatment or any other alternative therapy. The electronic databases Medline, EMBASE, CINAHL, and Cochrane Central Register of Controlled Trials were consulted in March 2017 with no restrictions placed on the publication date. Predefined criteria were used to determine inclusion of studies and to assess their methodologic quality. Eight randomized clinical trials and two prospective longitudinal-observational studies with control group were included. Platelet-rich plasma treatment increased the likelihood of chronic wound healing (RR = 1.32; 95% CI: 1.11, 1.57, I2 = 15%) while the volume of the ulcer (MD = 0.12 cm2 ; 95% CI: 0.08, 0.16; p &lt; 0.01; I2 = 0%) and time to complete wound healing (MD = -11.18 days; 95% CI: -20.69, -1.68; I2 = 53%) decreased. Regarding safety profile, platelet-rich plasma did not differ from standard treatment in terms of probability of occurrence of wound complications (RR = 0.57; 95% CI: 0.25, 1.28; I2 = 0%) or recurrences (RR = 2.76; 95% CI: 0.23, 33.36; p = 0.43; I2 = 82%) but it decreased the rate of adverse events (RR = 0.80; 95% CI: 0.66, 0.96; p = 0.02; I2 = 0%). Cumulative meta-analysis revealed that there is enough evidence to demonstrate a statistically significant benefit. However, studies included presented serious methodologic flaws. According to the results, platelet-rich plasma could be considered a candidate treatment for nonhealing of diabetic foot ulcers.","container-title":"Wound Repair and Regeneration: Official Publication of the Wound Healing Society [and] the European Tissue Repair Society","issue":"2","journalAbbreviation":"Wound Repair Regen","language":"eng","note":"PMID: 30575212","page":"170-182","title":"Platelet-rich plasma for the treatment of diabetic foot ulcers: A meta-analysis","volume":"27","author":[{"family":"Del Pino-Sedeño","given":"Tasmania"},{"family":"Trujillo-Martín","given":"María M."},{"family":"Andia","given":"Isabel"},{"family":"Aragón-Sánchez","given":"Javier"},{"family":"Herrera-Ramos","given":"Estefanía"},{"family":"Iruzubieta Barragán","given":"Francisco J."},{"family":"Serrano-Aguilar","given":"Pedro"}],"issued":{"date-parts":[["2019"]]}}},{"id":73609,"uris":["http://zotero.org/users/5328021/items/IXYYWU8P"],"uri":["http://zotero.org/users/5328021/items/IXYYWU8P"],"itemData":{"id":73609,"type":"article-journal","abstract":"BACKGROUND: Several randomized controlled trials comparing platelet-rich plasma to standard wound care for chronic wounds have been published. Previous articles  have revealed that the role of platelet-rich plasma in promoting chronic wound healing is uncertain. This quantitative meta-analysis was conducted to evaluate whether superior outcomes can be obtained by using platelet-rich plasma in nonhealing ulcers compared with traditional wound care. METHODS: The PubMed, EMBASE, EBSCO (Cumulative Index to Nursing and Allied Health Literature), and Cochrane databases were searched through November of 2018 for randomized controlled trials comparing platelet-rich plasma to standard wound care for chronic wounds. For binary outcome measures, we calculated the risk ratio. The continuous outcomes were expressed as the mean differences. Subgroup analyses were also performed according to the type of chronic ulcer. RESULTS: Overall, 630 adult patients in 15 randomized controlled trials from 2000 to 2018 were included. The number of ulcers healed in the platelet-rich plasma group was higher than in the control group, and the difference was statistically significant (risk ratio, 1.26; 95 percent CI, 1.11 to 1.42; p = 0.0003). During the fourth week of follow-up, the number of ulcers healed in the platelet-rich plasma group was significantly greater than in the control group (risk ratio, 3.50; 95 percent CI, 1.80 to 6.81; p = 0.0002). CONCLUSIONS: Platelet-rich plasma is a valuable and safe treatment dressing for chronic nonhealing ulcers; it is simple to prepare and has remarkable effects. Further high-quality prospective studies are necessary to validate these results. CLINICAL QUESTION/LEVEL OF EVIDENCE: Therapeutic, II.","container-title":"Plastic and reconstructive surgery","issue":"6","journalAbbreviation":"Plast Reconstr Surg","language":"eng","note":"PMID: 31764670","page":"1463-1474","title":"The Efficacy of Platelet-Rich Plasma Dressing for Chronic Nonhealing Ulcers: A Meta-Analysis of 15 Randomized Controlled Trials.","volume":"144","author":[{"family":"Xia","given":"YiJun"},{"family":"Zhao","given":"Jun"},{"family":"Xie","given":"Juan"},{"family":"Lv","given":"Yang"},{"family":"Cao","given":"Dong Sheng"}],"issued":{"date-parts":[["2019",12]]}}},{"id":73605,"uris":["http://zotero.org/users/5328021/items/XGGWX6FF"],"uri":["http://zotero.org/users/5328021/items/XGGWX6FF"],"itemData":{"id":73605,"type":"article-journal","abstract":"Objectives: The meta-analysis was performed to summarize the available evidence and determine the healing effectiveness of autologous platelet-rich gel (APG) on  diabetic foot (DF) wounds. Approach: PubMed and The Cochrane Library and CNKI databases were searched to identify prior randomized controlled trials. Methodological qualities of included studies were assessed using Cochrane Handbook for Systematic Reviews of Intervention. Healing rate was considered the  primary outcome; the secondary outcomes included healing time and adverse events. Results: Fifteen studies involving a total of 827 subjects were analyzed in the meta-analysis. Considering the primary outcome, the average healing rate in APG group was 85.8% and ranged from 68.4% to 100%. Relatively, the control group was  57.4% and ranged from 18.2% to 75.0%. Eligible studies were compared with a fixed effects model (I (2) = 0.0%, p = 0.496), indicating a higher healing rate with APG (risk ratio [RR] 1.44, 95% confidence interval [CI]: 1.32-1.57, z = 8.50, p &lt; 0.001). The leave-one-out sensitivity analysis is robust. Considering the secondary outcomes, APG therapy needed less time (weighted mean difference -10.75 days, 95% CI: -11.67 to 8.86 days, z = 14.34, p &lt; 0.001) and had fewer adverse events (RR 0.44, 95% CI: 0.25-0.76, z = 2.94, p = 0.003). Innovation: APG therapy is an innovative and effective approach to promote DF wound healing and reduce healing time and adverse events. Conclusion: The meta-analysis demonstrates that  APG therapy has a positive effect on the treatment of DF wounds. However, additional well-designed and high-quality studies are needed to reach a conclusion with more confidence.","container-title":"Advances in wound care","issue":"5","journalAbbreviation":"Adv Wound Care (New Rochelle)","language":"eng","note":"PMID: 31737414 \nPMCID: PMC6855285","page":"195-207","title":"Efficacy of Autologous Platelet-Rich Gel for Diabetic Foot Wound Healing: A Meta-Analysis of 15 Randomized Controlled Trials.","volume":"8","author":[{"family":"Ding","given":"Hui"},{"family":"Fu","given":"Xue-Lei"},{"family":"Miao","given":"Wei-Wei"},{"family":"Mao","given":"Xing-Chun"},{"family":"Zhan","given":"Min-Qi"},{"family":"Chen","given":"Hong-Lin"}],"issued":{"date-parts":[["2019",5,1]]}}},{"id":45544,"uris":["http://zotero.org/users/5328021/items/GEF8VY5U"],"uri":["http://zotero.org/users/5328021/items/GEF8VY5U"],"itemData":{"id":45544,"type":"article-journal","abstract":"The aim of the present study was to investigate the effect of epidermal growth factor (EGF) and acidic fibroblast growth factor (aFGF) on the healing of diabetic foot wounds. A total of 199 patients with diabetic foot ulcers were recruited and randomly divided into four groups: A recombinant human EGF group (n=50), an aFGF group (n=50), a combined EGF and aFGF group (n=50) and a normal saline control group (n=49). Patients in all groups received a daily dressing change and growth factor reagents were applied topically when dressing. To observe the time required for each stage of wound healing, the epidermal healing rate and granulation tissue growth were recorded. Following 3-4 days of treatment, the wound healing stage was similar in all groups. Later stages (following 4 days) of wound healing were achieved significantly faster in the combined group compared with the control group (P&lt;0.05). The rate of wound healing in the EGF group was similar to that observed in the combination group. No significant difference was observed between the EGF and aFGF groups during the initial period of wound healing. However, in the later stage (following 4 days), the combined use of recombinant human EGF and aFGF had a marked positive effect on wound healing when compared with the control group. Growth factors have extensive biological activities with functions including promoting cell proliferation as well as rehabilitating and regenerating tissues, which serve important roles in wound healing.","container-title":"Experimental and Therapeutic Medicine","issue":"6","journalAbbreviation":"Exp Ther Med","language":"eng","note":"PMID: 29904416\nPMCID: PMC5996667","page":"5365-5370","title":"Experimental study of epidermal growth factor and acidic fibroblast growth factor in the treatment of diabetic foot wounds","volume":"15","author":[{"family":"Xu","given":"Jiasheng"},{"family":"Min","given":"Dinghong"},{"family":"Guo","given":"Guanghua"},{"family":"Liao","given":"Xincheng"},{"family":"Fu","given":"Zhonghua"}],"issued":{"date-parts":[["2018",6]]}}},{"id":73610,"uris":["http://zotero.org/users/5328021/items/S88KKR9J"],"uri":["http://zotero.org/users/5328021/items/S88KKR9J"],"itemData":{"id":73610,"type":"article-journal","abstract":"To validate the efficacy of recombinant human epidermal growth factor (hEGH) in healing diabetic foot ulcers (DFUs) at biochemical and molecular levels. A total  of 50 noninfected DFU subjects were recruited for the study and divided into 2 groups based on the treatment application on the subjects. Group 1: DFU subjects  treated with hEGH gel-based product called Regen-D 150 (n = 27) and group 2: DFU  subjects treated with alternative placebo as the control group (n = 23). Patients were observed for 30 days and punch biopsy was taken at days 0 and 14. Histologic analysis was done to study the matrix alignment, cellular infiltration, and differentiation of epithelial layers. Biochemical analysis was done to quantitatively estimate the amount of collagen and proteoglycans regenerated in the wound area. Complete healing of ulcers was observed in 21 (78%) subjects in group 1, whereas only 12 (52%) subjects among group 2 reported of complete healing of ulcer after completion of the study period of 30 days. Collagen and fibroblasts were significantly developed in group 1 when observed in the follow-up samples. Healing time of the wound among the group 1 subjects was significantly less than the group 2 subjects (45 +/- 12 vs 72 +/- 18 days, P &lt; .0001) and even showed a better blood glucose level. Early and regular application of the hEGH on DFUs will lead to prevention of leg amputations and would serve to act as a major treatment therapy for healing of chronic wounds.","container-title":"The international journal of lower extremity wounds","journalAbbreviation":"Int J Low Extrem Wounds","language":"eng","note":"PMID: 31878810","page":"1534734619892791","title":"Efficacy of Recombinant Human Epidermal Growth Factor (Regen-D 150) in Healing Diabetic Foot Ulcers: A Hospital-Based Randomized Controlled Trial.","author":[{"family":"Viswanathan","given":"Vijay"},{"family":"Juttada","given":"Udyama"},{"family":"Babu","given":"Mary"}],"issued":{"date-parts":[["2019",12,26]]}}},{"id":45237,"uris":["http://zotero.org/users/5328021/items/CXGFR87W"],"uri":["http://zotero.org/users/5328021/items/CXGFR87W"],"itemData":{"id":45237,"type":"article-journal","abstract":"AIM: To determine if topical application of platelet-rich plasma (PRP) to diabetic foot ulcers (DFUs) results in superior healing rates.\nMETHODS: A systematic review was registered with PROSPERO and performed using PRISMA guidelines. Level I-IV investigations of topical PRP application in DFUs were sought in multiple databases including: MEDLINE, Web of Science, and Cochrane Central Register of Controlled Trials. The search terms used were \"platelet rich plasma\", \"diabetes\", \"ulcers\", and \"wound\". The Modified Coleman Methodology Score (MCMS) was used to analyze study methodological quality. Study heterogeneity and a mostly non-comparative nature of evidence precluded meta-analysis. Only the outcome measurements used by more than 50% of the studies were included in the data synthesis to increase power of the measurement over that of individual studies. A weighted mean of healing rate per week between PRP group vs controls were compared using two-sample z-tests using P-value of less than 0.05 for significance.\nRESULTS: One thousand two hundred and seventeen articles were screened. Eleven articles (322 PRP subjects, 126 controls, PRP subject mean age 58.4 ± 7.2 years, control mean age 58.7 ± 5.9 years) were analyzed. Six articles were level II evidence, four were level III, and one article was level IV. The mean MCMS was 61.8 ± 7.3. Healing rate was significantly faster with PRP application compared to controls (0.68 ± 0.56 cm2/wk vs 0.39 ± 0.09 cm2/wk; P &lt; 0.001). Mean heal time to &gt; 90% of the original ulcer area was 7.8 ± 2.7 wk and 8.3 ± 3.7 wk for patients in the PRP group and control groups, respectively (P = 0.115). There were significantly lower adverse effects reported with PRP application compared to controls (7 wound infections, 1 contact dermatitis vs 14 wound infections, 1 maceration; P &lt; 0.001).\nCONCLUSION: The topical application of PRP for DFUs results in statistically superior healing rates and lower complication rates compared to controls.","container-title":"World Journal of Diabetes","issue":"10","journalAbbreviation":"World J Diabetes","language":"eng","note":"PMID: 30364787\nPMCID: PMC6198285","page":"172-179","title":"Topical application of platelet-rich plasma for diabetic foot ulcers: A systematic review","volume":"9","author":[{"family":"Hirase","given":"Takashi"},{"family":"Ruff","given":"Eric"},{"family":"Surani","given":"Salim"},{"family":"Ratnani","given":"Iqbal"}],"issued":{"date-parts":[["2018",10,15]]}}}],"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(144,150,151,153,154,159,166–168)</w:t>
            </w:r>
            <w:r w:rsidRPr="00CA32B9">
              <w:rPr>
                <w:rFonts w:asciiTheme="minorHAnsi" w:hAnsiTheme="minorHAnsi" w:cstheme="minorHAnsi"/>
                <w:szCs w:val="20"/>
                <w:lang w:val="en-US"/>
              </w:rPr>
              <w:fldChar w:fldCharType="end"/>
            </w:r>
          </w:p>
        </w:tc>
      </w:tr>
      <w:tr w:rsidR="0056668F" w14:paraId="5703B2E9" w14:textId="77777777" w:rsidTr="0022700A">
        <w:tc>
          <w:tcPr>
            <w:tcW w:w="2830" w:type="dxa"/>
            <w:vAlign w:val="center"/>
          </w:tcPr>
          <w:p w14:paraId="0A843FDD" w14:textId="7A968BC2"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 study</w:t>
            </w:r>
            <w:r w:rsidR="003E443A">
              <w:rPr>
                <w:rFonts w:asciiTheme="minorHAnsi" w:hAnsiTheme="minorHAnsi" w:cstheme="minorHAnsi"/>
                <w:color w:val="9A9B9D" w:themeColor="text1" w:themeTint="99"/>
                <w:szCs w:val="20"/>
                <w:lang w:val="en-US"/>
              </w:rPr>
              <w:t xml:space="preserve"> </w:t>
            </w:r>
            <w:r w:rsidR="003E443A" w:rsidRPr="00CA32B9">
              <w:rPr>
                <w:rFonts w:asciiTheme="minorHAnsi" w:hAnsiTheme="minorHAnsi" w:cstheme="minorHAnsi"/>
                <w:color w:val="9A9B9D" w:themeColor="text1" w:themeTint="99"/>
                <w:szCs w:val="20"/>
                <w:lang w:val="en-US"/>
              </w:rPr>
              <w:t>(I)</w:t>
            </w:r>
          </w:p>
        </w:tc>
        <w:tc>
          <w:tcPr>
            <w:tcW w:w="1157" w:type="dxa"/>
            <w:vAlign w:val="center"/>
          </w:tcPr>
          <w:p w14:paraId="0E92B789" w14:textId="0F13FF29"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10</w:t>
            </w:r>
          </w:p>
        </w:tc>
        <w:tc>
          <w:tcPr>
            <w:tcW w:w="2009" w:type="dxa"/>
            <w:vMerge/>
            <w:vAlign w:val="center"/>
          </w:tcPr>
          <w:p w14:paraId="2D97C9BA" w14:textId="77777777" w:rsidR="0056668F" w:rsidRDefault="0056668F" w:rsidP="0056668F">
            <w:pPr>
              <w:jc w:val="center"/>
              <w:rPr>
                <w:lang w:val="en-US"/>
              </w:rPr>
            </w:pPr>
          </w:p>
        </w:tc>
        <w:tc>
          <w:tcPr>
            <w:tcW w:w="3064" w:type="dxa"/>
            <w:vAlign w:val="center"/>
          </w:tcPr>
          <w:p w14:paraId="3322BEEF" w14:textId="0D307096"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bjWx8KlA","properties":{"formattedCitation":"(155)","plainCitation":"(155)","noteIndex":0},"citationItems":[{"id":73601,"uris":["http://zotero.org/users/5328021/items/MGTTZ4AB"],"uri":["http://zotero.org/users/5328021/items/MGTTZ4AB"],"itemData":{"id":73601,"type":"article-journal","abstract":"Significance: Autologous platelet-rich plasma (PRP) has been suggested to be effective for wound healing. However, clinical evidence for its use in patients with diabetic ulcer remains inconsistent. The aim of this systematic review and meta-analysis was to evaluate the efficacy and safety of PRP in patients with diabetic ulcer. Recent Advances: Relevant randomized controlled trials (RCTs) were identified via systematic search of PubMed, MEDLINE, EMBASE, the Cochrane Library, and Web of Knowledge databases. Results were pooled using a random-effects model. The primary outcome of the study was the healing rate of ulcers in patients with PRP, when compared with controls. Secondary outcomes included the percentage of ulcer area reduction, recurrence rate, and amputation  rate. Critical Issues: Eight RCTs that involved 431 participants were included. Compared with controls, PRP was associated with a significantly increased ratio of complete ulcer healing (odds ratio [OR] = 3.77, 95% confidence interval [CI] = 1.91-7.45, I(2) (=) 42.2%) and reduced areas of ulcers (standard mean difference  = 0.86, 95% CI = 0.27-1.45, I(2) (=) 0.0%). No differences were observed between  patients allocated to PRP or controls, in terms of the outcomes of recurrence rate (OR = 3.32, 95% CI = 0.41-27.18, I(2) (=) 66.3%) or amputation rate (OR = 0.15, 95% CI = 0.15-1.28). The results of the trial sequence analyses revealed that the cumulative Z-curve crossed both the traditional boundary (p = 0.05) and  trial sequential monitoring boundary. Future Directions: Our findings suggest that PRP may improve ulcer healing without significant adverse effects for patients with diabetic ulcers.","container-title":"Advances in wound care","issue":"7","journalAbbreviation":"Adv Wound Care (New Rochelle)","language":"eng","note":"PMID: 31832277 \nPMCID: PMC6906759","page":"298-308","title":"Efficacy and Safety of Platelet-Rich Plasma for Patients with Diabetic Ulcers: A  Systematic Review and Meta-analysis.","volume":"8","author":[{"family":"Hu","given":"Zhicheng"},{"family":"Qu","given":"Shanqiang"},{"family":"Zhang","given":"Jian"},{"family":"Cao","given":"Xiaoling"},{"family":"Wang","given":"Peng"},{"family":"Huang","given":"Shaobin"},{"family":"Shi","given":"Fen"},{"family":"Dong","given":"Yunxian"},{"family":"Wu","given":"Jun"},{"family":"Tang","given":"Bing"},{"family":"Zhu","given":"Jiayuan"}],"issued":{"date-parts":[["2019",7,1]]}}}],"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(155)</w:t>
            </w:r>
            <w:r w:rsidRPr="00CA32B9">
              <w:rPr>
                <w:rFonts w:asciiTheme="minorHAnsi" w:hAnsiTheme="minorHAnsi" w:cstheme="minorHAnsi"/>
                <w:szCs w:val="20"/>
                <w:lang w:val="en-US"/>
              </w:rPr>
              <w:fldChar w:fldCharType="end"/>
            </w:r>
          </w:p>
        </w:tc>
      </w:tr>
      <w:tr w:rsidR="0056668F" w14:paraId="57AAFAC0" w14:textId="77777777" w:rsidTr="0056668F">
        <w:tc>
          <w:tcPr>
            <w:tcW w:w="9060" w:type="dxa"/>
            <w:gridSpan w:val="4"/>
            <w:vAlign w:val="center"/>
          </w:tcPr>
          <w:p w14:paraId="67EBAF25" w14:textId="6C368E4A" w:rsidR="0056668F" w:rsidRDefault="0056668F" w:rsidP="0056668F">
            <w:pPr>
              <w:jc w:val="left"/>
              <w:rPr>
                <w:lang w:val="en-US"/>
              </w:rPr>
            </w:pPr>
            <w:r w:rsidRPr="00CA32B9">
              <w:rPr>
                <w:rFonts w:asciiTheme="minorHAnsi" w:hAnsiTheme="minorHAnsi" w:cstheme="minorHAnsi"/>
                <w:b/>
                <w:szCs w:val="20"/>
                <w:lang w:val="en-US"/>
              </w:rPr>
              <w:t>Reduction of amputation events</w:t>
            </w:r>
          </w:p>
        </w:tc>
      </w:tr>
      <w:tr w:rsidR="0056668F" w14:paraId="1E0182AC" w14:textId="77777777" w:rsidTr="0022700A">
        <w:tc>
          <w:tcPr>
            <w:tcW w:w="2830" w:type="dxa"/>
            <w:vAlign w:val="center"/>
          </w:tcPr>
          <w:p w14:paraId="3F7B6FD8" w14:textId="5B3FFD35" w:rsidR="0056668F" w:rsidRDefault="0056668F" w:rsidP="0056668F">
            <w:pPr>
              <w:jc w:val="center"/>
              <w:rPr>
                <w:lang w:val="en-US"/>
              </w:rPr>
            </w:pPr>
            <w:r w:rsidRPr="00CA32B9">
              <w:rPr>
                <w:rFonts w:asciiTheme="minorHAnsi" w:hAnsiTheme="minorHAnsi" w:cstheme="minorHAnsi"/>
                <w:szCs w:val="20"/>
                <w:lang w:val="en-US"/>
              </w:rPr>
              <w:t>1 study (I) - 1 study (</w:t>
            </w:r>
            <w:r w:rsidRPr="00CA32B9">
              <w:rPr>
                <w:rFonts w:asciiTheme="minorHAnsi" w:eastAsia="Times New Roman" w:hAnsiTheme="minorHAnsi" w:cstheme="minorHAnsi"/>
                <w:szCs w:val="20"/>
                <w:lang w:val="en-US"/>
              </w:rPr>
              <w:t>II)</w:t>
            </w:r>
          </w:p>
        </w:tc>
        <w:tc>
          <w:tcPr>
            <w:tcW w:w="1157" w:type="dxa"/>
            <w:vAlign w:val="center"/>
          </w:tcPr>
          <w:p w14:paraId="7D7E93B2" w14:textId="40E1BF42" w:rsidR="0056668F" w:rsidRDefault="0056668F" w:rsidP="0056668F">
            <w:pPr>
              <w:jc w:val="center"/>
              <w:rPr>
                <w:lang w:val="en-US"/>
              </w:rPr>
            </w:pPr>
            <w:r w:rsidRPr="00CA32B9">
              <w:rPr>
                <w:rFonts w:asciiTheme="minorHAnsi" w:hAnsiTheme="minorHAnsi" w:cstheme="minorHAnsi"/>
                <w:szCs w:val="20"/>
                <w:lang w:val="en-US"/>
              </w:rPr>
              <w:t>7</w:t>
            </w:r>
          </w:p>
        </w:tc>
        <w:tc>
          <w:tcPr>
            <w:tcW w:w="2009" w:type="dxa"/>
            <w:vMerge w:val="restart"/>
            <w:vAlign w:val="center"/>
          </w:tcPr>
          <w:p w14:paraId="7BF518E2" w14:textId="2F731B1F" w:rsidR="0056668F" w:rsidRDefault="0056668F" w:rsidP="0056668F">
            <w:pPr>
              <w:jc w:val="center"/>
              <w:rPr>
                <w:lang w:val="en-US"/>
              </w:rPr>
            </w:pPr>
            <w:r w:rsidRPr="00CA32B9">
              <w:rPr>
                <w:rFonts w:asciiTheme="minorHAnsi" w:hAnsiTheme="minorHAnsi" w:cstheme="minorHAnsi"/>
                <w:szCs w:val="20"/>
                <w:lang w:val="en-US"/>
              </w:rPr>
              <w:t>Moderate</w:t>
            </w:r>
          </w:p>
        </w:tc>
        <w:tc>
          <w:tcPr>
            <w:tcW w:w="3064" w:type="dxa"/>
            <w:vAlign w:val="center"/>
          </w:tcPr>
          <w:p w14:paraId="04C894CF" w14:textId="6DE44D6D"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FXPZMOTk","properties":{"formattedCitation":"(161,165)","plainCitation":"(161,165)","noteIndex":0},"citationItems":[{"id":53083,"uris":["http://zotero.org/users/5328021/items/T6EDLFEX"],"uri":["http://zotero.org/users/5328021/items/T6EDLFEX"],"itemData":{"id":53083,"type":"article-journal","abstract":"BACKGROUND: Granulocyte-colony stimulating factor (G-CSF) increases the release of neutrophil endothelial progenitor cells from the bone marrow and improves neutrophil functions, which are often impaired in people with diabetes.\nOBJECTIVES: To examine the effects of adjunctive G-CSF compared with placebo or no growth factor added to usual care on rates of infection, cure and wound healing in people with diabetes who have a foot infection.\nSEARCH METHODS: In March 2013, for this second update, we searched the Cochrane Wounds Group Specialised Register (searched 14 March 2013); the Cochrane Central Register of Controlled Trials (CENTRAL) (The Cochrane Library 2013, Issue 2); Ovid MEDLINE (1948 to March Week 1 2013); Ovid EMBASE (1974 to 2013 March 13); Ovid MEDLINE (In-Process march 13,2013); and EBSCO CINAHL (1982 to 28 February 2013).\nSELECTION CRITERIA: Randomised controlled trials (RCTs) that evaluated the effect of adding G-CSF to usual care in people with a diabetic foot infection.\nDATA COLLECTION AND ANALYSIS: Three review authors independently assessed trial eligibility, methodological quality and extracted data. We reported risk ratio (RR) or, for continuous outcomes, mean differences (MD), with 95% confidence intervals (CI). In the case of low or no heterogeneity we pooled studies using a fixed-effect model.\nMAIN RESULTS: We identified and included five eligible trials with a total of 167 patients. The investigators administered various G-CSF preparations, at different doses and for different durations of time. Adding G-CSF did not significantly affect the likelihood of resolution of infection or wound healing, but it was associated with a significantly reduced likelihood of lower extremity surgical interventions (RR 0.38; 95 % CI 0.21 to 0.70), including amputation (RR 0.41; 95 % CI 0.18 to 0.95). Moreover, providing G-CSF reduced the duration of hospital stay (MD -1.40 days; 95% CI -2.27 to -0.53 days), but did not significantly affect the duration of systemic antibiotic therapy (MD -0.27 days; 95% CI -1.30 to 0.77 days).\nAUTHORS' CONCLUSIONS: The available evidence is limited, but suggests that adjunctive G-CSF treatment in people with a diabetic foot infection, including infected ulcers, does not appear to increase the likelihood of resolution of infection or healing of the foot ulcer. However, it does appear to reduce the need for surgical interventions, especially amputations, and the duration of hospitalisation. Clinicians might consider adding G-CSF to the usual treatment of diabetic foot infections, especially in patients with a limb-threatening infection, but it is not clear which patients might benefit.","container-title":"The Cochrane Database of Systematic Reviews","issue":"8","journalAbbreviation":"Cochrane Database Syst Rev","language":"eng","note":"PMID: 23955465","page":"CD006810","title":"Granulocyte-colony stimulating factors as adjunctive therapy for diabetic foot infections","author":[{"family":"Cruciani","given":"Mario"},{"family":"Lipsky","given":"Benjamin A."},{"family":"Mengoli","given":"Carlo"},{"family":"Lalla","given":"Fausto","non-dropping-particle":"de"}],"issued":{"date-parts":[["2013",8,17]]}}},{"id":53429,"uris":["http://zotero.org/users/5328021/items/63GY9Q3V"],"uri":["http://zotero.org/users/5328021/items/63GY9Q3V"],"itemData":{"id":53429,"type":"article-journal","abstract":"The efficacy and safety of transplanting autologous mesenchymal stem cells (MSCs), from granulocyte-colony-stimulating factor (G-CSF)-mobilised peripheral blood, was investigated in diabetic patients with critical limb ischaemia (CLI). After 3 months, the transplanted group of patients (n=7) showed a significant improvement in ischaemia manifestations, including pain and neurological signs, wound healing and the rate of lower-limb amputation, compared to the control group of patients (n=14). Pain was significantly reduced in the transplanted group compared to controls (P=0.014). The ankle-brachial index (ABI) and the pulse strength within ischaemic tissues of the transplanted group were significantly improved (P=0.035 and P=0.01, respectively). Importantly, 50% of the control group (7/14 patients) faced major amputation of a limb at the study's conclusion, compared to none of 7 patients in the transplanted group (P=0.047). The safety of transplantation was confirmed by observing no adverse reactions among the transplanted group, including infection and immunological rejection. Hence, this study provides further evidence that transplantation of autologous peripheral blood MSCs, mobilised by G-CSF, induces angiogenesis and improves the wound healing process in diabetic patients with CLI.","container-title":"Experimental and Clinical Endocrinology &amp; Diabetes: Official Journal, German Society of Endocrinology [and] German Diabetes Association","issue":"1","journalAbbreviation":"Exp. Clin. Endocrinol. Diabetes","language":"eng","note":"PMID: 23329572","page":"48-53","title":"Therapeutic outcomes of transplanting autologous granulocyte colony-stimulating factor-mobilised peripheral mononuclear cells in diabetic patients with critical limb ischaemia","volume":"121","author":[{"family":"Mohammadzadeh","given":"L."},{"family":"Samedanifard","given":"S. H."},{"family":"Keshavarzi","given":"A."},{"family":"Alimoghaddam","given":"K."},{"family":"Larijani","given":"B."},{"family":"Ghavamzadeh","given":"A."},{"family":"Ahmadi","given":"A. S."},{"family":"Shojaeifard","given":"A."},{"family":"Ostadali","given":"M. R."},{"family":"Sharifi","given":"A. M."},{"family":"Amini","given":"M. R."},{"family":"Mahmoudian","given":"A."},{"family":"Fakhraei","given":"H."},{"family":"Aalaa","given":"M."},{"family":"Mohajeri-Tehrani","given":"M. R."}],"issued":{"date-parts":[["2013",1]]}}}],"schema":"https://github.com/citation-style-language/schema/raw/master/csl-citation.json"}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(161,165)</w:t>
            </w:r>
            <w:r w:rsidRPr="00CA32B9">
              <w:rPr>
                <w:rFonts w:asciiTheme="minorHAnsi" w:hAnsiTheme="minorHAnsi" w:cstheme="minorHAnsi"/>
                <w:szCs w:val="20"/>
                <w:lang w:val="en-US"/>
              </w:rPr>
              <w:fldChar w:fldCharType="end"/>
            </w:r>
          </w:p>
        </w:tc>
      </w:tr>
      <w:tr w:rsidR="0056668F" w14:paraId="10B16FDB" w14:textId="77777777" w:rsidTr="0022700A">
        <w:tc>
          <w:tcPr>
            <w:tcW w:w="2830" w:type="dxa"/>
            <w:vAlign w:val="center"/>
          </w:tcPr>
          <w:p w14:paraId="1F8E1CA5" w14:textId="6A7B2E47"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 study (I) - 1 study (II)</w:t>
            </w:r>
          </w:p>
        </w:tc>
        <w:tc>
          <w:tcPr>
            <w:tcW w:w="1157" w:type="dxa"/>
            <w:vAlign w:val="center"/>
          </w:tcPr>
          <w:p w14:paraId="29ED985F" w14:textId="12AB585A"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7,5</w:t>
            </w:r>
          </w:p>
        </w:tc>
        <w:tc>
          <w:tcPr>
            <w:tcW w:w="2009" w:type="dxa"/>
            <w:vMerge/>
            <w:vAlign w:val="center"/>
          </w:tcPr>
          <w:p w14:paraId="1AFB315B" w14:textId="77777777" w:rsidR="0056668F" w:rsidRDefault="0056668F" w:rsidP="0056668F">
            <w:pPr>
              <w:jc w:val="center"/>
              <w:rPr>
                <w:lang w:val="en-US"/>
              </w:rPr>
            </w:pPr>
          </w:p>
        </w:tc>
        <w:tc>
          <w:tcPr>
            <w:tcW w:w="3064" w:type="dxa"/>
            <w:vAlign w:val="center"/>
          </w:tcPr>
          <w:p w14:paraId="31A1366B" w14:textId="52692027"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B0T5gWOx","properties":{"formattedCitation":"(155,169)","plainCitation":"(155,169)","noteIndex":0},"citationItems":[{"id":73601,"uris":["http://zotero.org/users/5328021/items/MGTTZ4AB"],"uri":["http://zotero.org/users/5328021/items/MGTTZ4AB"],"itemData":{"id":73601,"type":"article-journal","abstract":"Significance: Autologous platelet-rich plasma (PRP) has been suggested to be effective for wound healing. However, clinical evidence for its use in patients with diabetic ulcer remains inconsistent. The aim of this systematic review and meta-analysis was to evaluate the efficacy and safety of PRP in patients with diabetic ulcer. Recent Advances: Relevant randomized controlled trials (RCTs) were identified via systematic search of PubMed, MEDLINE, EMBASE, the Cochrane Library, and Web of Knowledge databases. Results were pooled using a random-effects model. The primary outcome of the study was the healing rate of ulcers in patients with PRP, when compared with controls. Secondary outcomes included the percentage of ulcer area reduction, recurrence rate, and amputation  rate. Critical Issues: Eight RCTs that involved 431 participants were included. Compared with controls, PRP was associated with a significantly increased ratio of complete ulcer healing (odds ratio [OR] = 3.77, 95% confidence interval [CI] = 1.91-7.45, I(2) (=) 42.2%) and reduced areas of ulcers (standard mean difference  = 0.86, 95% CI = 0.27-1.45, I(2) (=) 0.0%). No differences were observed between  patients allocated to PRP or controls, in terms of the outcomes of recurrence rate (OR = 3.32, 95% CI = 0.41-27.18, I(2) (=) 66.3%) or amputation rate (OR = 0.15, 95% CI = 0.15-1.28). The results of the trial sequence analyses revealed that the cumulative Z-curve crossed both the traditional boundary (p = 0.05) and  trial sequential monitoring boundary. Future Directions: Our findings suggest that PRP may improve ulcer healing without significant adverse effects for patients with diabetic ulcers.","container-title":"Advances in wound care","issue":"7","journalAbbreviation":"Adv Wound Care (New Rochelle)","language":"eng","note":"PMID: 31832277 \nPMCID: PMC6906759","page":"298-308","title":"Efficacy and Safety of Platelet-Rich Plasma for Patients with Diabetic Ulcers: A  Systematic Review and Meta-analysis.","volume":"8","author":[{"family":"Hu","given":"Zhicheng"},{"family":"Qu","given":"Shanqiang"},{"family":"Zhang","given":"Jian"},{"family":"Cao","given":"Xiaoling"},{"family":"Wang","given":"Peng"},{"family":"Huang","given":"Shaobin"},{"family":"Shi","given":"Fen"},{"family":"Dong","given":"Yunxian"},{"family":"Wu","given":"Jun"},{"family":"Tang","given":"Bing"},{"family":"Zhu","given":"Jiayuan"}],"issued":{"date-parts":[["2019",7,1]]}}},{"id":55031,"uris":["http://zotero.org/users/5328021/items/ACEMMFZR"],"uri":["http://zotero.org/users/5328021/items/ACEMMFZR"],"itemData":{"id":55031,"type":"article-journal","abstract":"AIM: The aim was to evaluate the therapeutic effectiveness of granulocyte colony-stimulating factor (G-CSF) mobilized peripheral blood mononuclear cells (PBMNCs) in critical limb ischemia (CLI) of type 2 diabetic patients.\nMETHOD: Forty diabetic patients with CLI were enrolled and randomized to treatment and control groups. In the treatment group, the patients received subcutaneous injections of recombinant human G-CSF (30 MU/day) for 5 days to mobilize stem cells. PBMNCs were collected and transplanted by multiple intramuscular injections of 1 ml in 1-1.5-cm depth into ischemic limbs.\nRESULTS: At the end of 12 weeks of follow-up, the baseline and end point results in transplant group were as follows: Fontaine score improved from 3.8±03 to 3±0.5 (P=.0001), ankle brachial pressure index increased from 0.68±0.24 to 0.87±024 (P=.001), transcutaneous oxygen increased from 33±14 mmHg to 44±10 mmHg (P=.0001), and 6-min walking distance improved from 280±82 m to 338±98 m (P=.0001). Pain score decreased from 8.2±1.3 to 5.63±1.6 (P=.001), and the number of patients with limb ulcers was reduced from 9/20 (45%) to 3/20 (15%) (P=.031). In the control group, Fontaine score, 6-min walking distance, and pain score were improved; ankle brachial pressure index and transcutaneous oxygen pressure were not improved. The number of patients with limb ulcers did not change in the control group. There are improvement in amputation rates, collateral vessel development, and number of limb ulcers healed.\nCONCLUSIONS: These results indicate that the autologous transplantation of G-CSF that mobilized PBMNCs in CLI diabetic patients is safe and effective in patient compliant reduction and improved perfusion.","container-title":"Journal of Diabetes and Its Complications","issue":"1","journalAbbreviation":"J. Diabetes Complicat.","language":"eng","note":"PMID: 22240264","page":"29-33","title":"Therapeutical potential of autologous peripheral blood mononuclear cell transplantation in patients with type 2 diabetic critical limb ischemia","volume":"26","author":[{"family":"Ozturk","given":"Ahmet"},{"family":"Kucukardali","given":"Yasar"},{"family":"Tangi","given":"Fatih"},{"family":"Erikci","given":"Alev"},{"family":"Uzun","given":"Gunalp"},{"family":"Bashekim","given":"Cınar"},{"family":"Sen","given":"Huseyin"},{"family":"Terekeci","given":"Hakan"},{"family":"Narin","given":"Yavuz"},{"family":"Ozyurt","given":"Mustafa"},{"family":"Ozkan","given":"Sezai"},{"family":"Sayan","given":"Ozkan"},{"family":"Rodop","given":"Osman"},{"family":"Nalbant","given":"Selim"},{"family":"Sıldıroglu","given":"Onur"},{"family":"Yalnız","given":"Fevzi Firat"},{"family":"Senkal","given":"Ibrahim Volkan"},{"family":"Sabuncu","given":"Hilmi"},{"family":"Oktenli","given":"Cagatay"}],"issued":{"date-parts":[["2012",2]]}}}],"schema":"https://github.com/citation-style-language/schema/raw/master/csl-citation.json"}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(155,169)</w:t>
            </w:r>
            <w:r w:rsidRPr="00CA32B9">
              <w:rPr>
                <w:rFonts w:asciiTheme="minorHAnsi" w:hAnsiTheme="minorHAnsi" w:cstheme="minorHAnsi"/>
                <w:szCs w:val="20"/>
                <w:lang w:val="en-US"/>
              </w:rPr>
              <w:fldChar w:fldCharType="end"/>
            </w:r>
          </w:p>
        </w:tc>
      </w:tr>
      <w:tr w:rsidR="0056668F" w14:paraId="024FE1D5" w14:textId="77777777" w:rsidTr="0056668F">
        <w:tc>
          <w:tcPr>
            <w:tcW w:w="9060" w:type="dxa"/>
            <w:gridSpan w:val="4"/>
            <w:vAlign w:val="center"/>
          </w:tcPr>
          <w:p w14:paraId="445EC246" w14:textId="6BC490A2" w:rsidR="0056668F" w:rsidRDefault="0056668F" w:rsidP="0056668F">
            <w:pPr>
              <w:jc w:val="left"/>
              <w:rPr>
                <w:lang w:val="en-US"/>
              </w:rPr>
            </w:pPr>
            <w:r w:rsidRPr="00CA32B9">
              <w:rPr>
                <w:rFonts w:asciiTheme="minorHAnsi" w:hAnsiTheme="minorHAnsi" w:cstheme="minorHAnsi"/>
                <w:b/>
                <w:szCs w:val="20"/>
                <w:lang w:val="en-US"/>
              </w:rPr>
              <w:t>Cost-effectiveness</w:t>
            </w:r>
          </w:p>
        </w:tc>
      </w:tr>
      <w:tr w:rsidR="0056668F" w14:paraId="6E1B6FA4" w14:textId="77777777" w:rsidTr="0022700A">
        <w:tc>
          <w:tcPr>
            <w:tcW w:w="2830" w:type="dxa"/>
            <w:vAlign w:val="center"/>
          </w:tcPr>
          <w:p w14:paraId="4BC32566" w14:textId="6A73511E" w:rsidR="0056668F" w:rsidRDefault="0056668F" w:rsidP="0056668F">
            <w:pPr>
              <w:jc w:val="center"/>
              <w:rPr>
                <w:lang w:val="en-US"/>
              </w:rPr>
            </w:pPr>
            <w:r w:rsidRPr="00CA32B9">
              <w:rPr>
                <w:rFonts w:asciiTheme="minorHAnsi" w:hAnsiTheme="minorHAnsi" w:cstheme="minorHAnsi"/>
                <w:szCs w:val="20"/>
                <w:lang w:val="en-US"/>
              </w:rPr>
              <w:t xml:space="preserve">4 </w:t>
            </w:r>
            <w:r w:rsidRPr="00CA32B9">
              <w:rPr>
                <w:rFonts w:asciiTheme="minorHAnsi" w:eastAsia="Times New Roman" w:hAnsiTheme="minorHAnsi" w:cstheme="minorHAnsi"/>
                <w:szCs w:val="20"/>
                <w:lang w:val="en-US"/>
              </w:rPr>
              <w:t>studies (III)</w:t>
            </w:r>
          </w:p>
        </w:tc>
        <w:tc>
          <w:tcPr>
            <w:tcW w:w="1157" w:type="dxa"/>
            <w:vAlign w:val="center"/>
          </w:tcPr>
          <w:p w14:paraId="187EA8CD" w14:textId="64FBDEC3" w:rsidR="0056668F" w:rsidRDefault="0056668F" w:rsidP="0056668F">
            <w:pPr>
              <w:jc w:val="center"/>
              <w:rPr>
                <w:lang w:val="en-US"/>
              </w:rPr>
            </w:pPr>
            <w:r w:rsidRPr="00CA32B9">
              <w:rPr>
                <w:rFonts w:asciiTheme="minorHAnsi" w:hAnsiTheme="minorHAnsi" w:cstheme="minorHAnsi"/>
                <w:szCs w:val="20"/>
                <w:lang w:val="en-US"/>
              </w:rPr>
              <w:t>3</w:t>
            </w:r>
          </w:p>
        </w:tc>
        <w:tc>
          <w:tcPr>
            <w:tcW w:w="2009" w:type="dxa"/>
            <w:vMerge w:val="restart"/>
            <w:vAlign w:val="center"/>
          </w:tcPr>
          <w:p w14:paraId="4E1E85C8" w14:textId="2D9DCA23" w:rsidR="0056668F" w:rsidRDefault="0056668F" w:rsidP="0056668F">
            <w:pPr>
              <w:jc w:val="center"/>
              <w:rPr>
                <w:lang w:val="en-US"/>
              </w:rPr>
            </w:pPr>
            <w:r w:rsidRPr="00CA32B9">
              <w:rPr>
                <w:rFonts w:asciiTheme="minorHAnsi" w:hAnsiTheme="minorHAnsi" w:cstheme="minorHAnsi"/>
                <w:szCs w:val="20"/>
                <w:lang w:val="en-US"/>
              </w:rPr>
              <w:t>Low</w:t>
            </w:r>
          </w:p>
        </w:tc>
        <w:tc>
          <w:tcPr>
            <w:tcW w:w="3064" w:type="dxa"/>
            <w:vAlign w:val="center"/>
          </w:tcPr>
          <w:p w14:paraId="03FF242C" w14:textId="19607EC1"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ouU2IsBD","properties":{"formattedCitation":"(170\\uc0\\u8211{}173)","plainCitation":"(170–173)","noteIndex":0},"citationItems":[{"id":45503,"uris":["http://zotero.org/users/5328021/items/NGL3ZG8E"],"uri":["http://zotero.org/users/5328021/items/NGL3ZG8E"],"itemData":{"id":45503,"type":"article-journal","abstract":"Introduction: Diabetic foot ulcers are one of the most frequent complications of diabetes; such ulcers cause an increase in the costs of the health care of the diabetic patient and can even cause disability due to amputation in the patient. Although a proportion of patients achieve a spontaneous closure of ulcers, others require medical or surgical treatment. Objective: To determine the cost-effectiveness of the intra- and perilesional application of recombinant human epidermal growth factor (rhEGF), as opposed to conventional therapy for the management of patients diagnosed with Wagner's 3 or 4 diabetic foot ulcer in Colombia. Methodology: Using a Markov model, the process of care of a diabetic patient with diagnosis of Wagner's 3 or 4 ulcer receiving conventional treatment, or intra- and perilesional rhEGF, is configured. The evaluation cycles of the treatments are weekly over a 5-year horizon and the outcomes evaluated are quality-adjusted life years (QALYs) and the number of amputations avoided by each treatment scheme, in addition to the total costs for treatments. Results: For the analysed base case, in the outcome of amputations, it was found that the factor presents 39 fewer amputations, in a cohort of 100 patients, compared with conventional treatment. Likewise, QALYs are 0.65 more with the use of rhEGF in an average patient. The estimated cost-utility ratio for the base case would be below the threshold established for Colombia. Conclusions: The intra- and perilesional application of rhEGF is a more effective therapeutic option than conventional therapy in the treatment of patients with Wagner's 3 or 4 diabetic foot ulcers and is cost-effective, taking as an outcome the QALYs for Colombia from the perspective of the health system.","container-title":"Diabetic Foot &amp; Ankle","issue":"1","journalAbbreviation":"Diabet Foot Ankle","language":"eng","note":"PMID: 29963295\nPMCID: PMC6022247","page":"1480249","title":"Cost-effectiveness analysis of the human recombinant epidermal growth factor in the management of patients with diabetic foot ulcers","volume":"9","author":[{"family":"Romero Prada","given":"Martin"},{"family":"Roa","given":"Carolina"},{"family":"Alfonso","given":"Pamela"},{"family":"Acero","given":"German"},{"family":"Huérfano","given":"Lina"},{"family":"Vivas-Consuelo","given":"David"}],"issued":{"date-parts":[["2018"]]}}},{"id":49287,"uris":["http://zotero.org/users/5328021/items/2534YYG6"],"uri":["http://zotero.org/users/5328021/items/2534YYG6"],"itemData":{"id":49287,"type":"article-journal","abstract":"BACKGROUND: A comparison of the cost-effectiveness of becaplermin plus good wound care (BGWC) versus good wound care (GWC) alone in treating patients with diabetic foot ulcers (DFUs) may enable physicians and health-care decision makers in the United States to make better-informed choices about treating DFUs, which currently contribute to a substantial portion of the economic burden of diabetes.\nMETHODS: Data from three phase III trials were used to predict expected 1-year costs and outcomes, including the average percentage reduction from baseline in wound surface area (WSA), the direct costs of DFU therapy, and the cost per cm(2) of WSA reduction.\nRESULTS: At 20 weeks, the BGWC group had a statistically greater probability of complete wound closure than the GWC group (50% versus 35%; P = .015). Based on reported WSA reduction rates, DFUs in the BGWC group were predicted to close by 100% at 27 weeks, and those in the GWC group were predicted to close by 88% at 52 weeks. The GWC group had higher total estimated 1-year direct cost of DFU care ($6,809 versus $4,414) and higher cost per cm(2) of wound closure ($3,501 versus $2,006).\nCONCLUSIONS: Becaplermin plus good wound care demonstrated economic dominance compared with GWC by providing better clinical outcomes via faster reduction in WSA and higher rates of closure at a lower direct cost.","container-title":"Journal of the American Podiatric Medical Association","issue":"4","journalAbbreviation":"J Am Podiatr Med Assoc","language":"eng","note":"PMID: 27049838","page":"273-282","title":"Cost-Effectiveness of Becaplermin Gel on Diabetic Foot Ulcer HealingChanges in Wound Surface Area","volume":"106","author":[{"family":"Waycaster","given":"Curtis R."},{"family":"Gilligan","given":"Adrienne M."},{"family":"Motley","given":"Travis A."}],"issued":{"date-parts":[["2016",7]]}}},{"id":4483,"uris":["http://zotero.org/users/5328021/items/DYBCBUDR"],"uri":["http://zotero.org/users/5328021/items/DYBCBUDR"],"itemData":{"id":4483,"type":"article-journal","abstract":"Objectives: Platelet-rich plasma (PRP) has shown certain effectiveness applied in diabetic foot ulcers but there is uncertainty about its efficiency. Methods: We performed an economic evaluation of PRP treatment versus standard treatment in patients with diabetic foot ulcer without severe ischaemia, using a Markov model with a 5-year time horizon and Spanish health-care perspective. Treatment costs and outcomes, complications (infections and amputations), recurrences and follow-up (cured and amputated patients) were modeled. Treatment effectiveness was estimated through own meta-analysis, the transition probabilities and utility weights were cited from literature, and the resources were valued with Spanish unit costs, expressed in Euros for 2017. A 3% discount was used for costs and utilities. Results: For the base case, where the PRP price was set at 174€/session, PRP treatment was 597€ more expensive and provided 0.0143 quality-adjusted life years (QALYs) gained per patient. The incremental cost-effectiveness ratio (ICER) was estimated at 41,800 €/QALY. The sensitivity analysis revealed that the results are sensitive to effectiveness values and the unit price of the PRP. With the price of the PRP falling to 124€, the ICER would fall to 3,550€/QALY, resulting highly cost-effective. Conclusions: PRP treatment is more effective and more expensive than standard treatment, currently with a cost-effectiveness ratio above the threshold of acceptability in Spain. This result depends to a large extent on the unit price of the PRP, which is likely to fall over time, with more extensive use.","archive":"Embase","container-title":"Value in Health","issue":"(Linertová R.) Fundación Canaria de Investigación Sanitaria (FUNCANIS), Santa Cruz de Tenerife, Spain","journalAbbreviation":"Value Health","language":"English","page":"S130","title":"PLATELET-RICH PLASMA IN DIABETIC FOOT ULCERS: COST-EFFECTIVENESS ANALYSIS FOR SPAIN","volume":"21","author":[{"literal":"Linertová R."},{"literal":"Del Pino Sedeño T."},{"literal":"García-Pérez L."},{"literal":"Aragón-Sánchez J."},{"literal":"Kaiser-Girardot S."},{"literal":"Trujillo-Martín M."},{"literal":"Serrano-Aguilar P."}],"issued":{"date-parts":[["2018"]]}}},{"id":51010,"uris":["http://zotero.org/users/5328021/items/83UJUHBB"],"uri":["http://zotero.org/users/5328021/items/83UJUHBB"],"itemData":{"id":51010,"type":"article-journal","abstract":"We sought to determine the long-term cost effectiveness (payer's perspective) of becaplermin gel plus good wound care (BGWC) vs. good wound care (GWC) alone in terms of wound healing and risk of amputation in patients with diabetic foot ulcers (DFUs). Outcomes data were derived from a propensity score-matched cohort from the Curative Health Services database between 1998 and 2004, which was followed for 20 weeks. A four-state Markov model was used to predict costs and outcomes of wound healing and risk of amputation for BGWC vs. GWC alone over 1 year in patients with DFU. The primary outcome was closed-wound weeks. Transition probabilities for healing and amputation were derived from the aforementioned propensity score-matched cohorts. Ulcer recurrence was estimated from the medical literature. Utilization for becaplermin was calculated using the dosing algorithm in the product labeling. Of 24,898 eligible patients, 9.6% received BGWC. Based on the model, patients treated with BGWC had substantially more closed-wound weeks compared with GWC (16.1 vs. 12.5 weeks, respectively). More patients receiving BGWC had healed wounds at 1 year compared with those receiving GWC (48.1% vs. 38.3%). Risk of amputation was lower in the BGWC cohort (6.8% vs. 9.8%). Expected annual direct costs for DFU were $21,920 for BGWC and $24,640 for GWC. BGWC was economically dominant over GWC, providing better outcomes at a lower cost in patients with DFU. Compared with GWC alone, BGWC is more effective in healing wounds and lowering amputation risk, thereby decreasing long-term costs for DFU.","container-title":"Wound Repair and Regeneration: Official Publication of the Wound Healing Society [and] the European Tissue Repair Society","issue":"3","journalAbbreviation":"Wound Repair Regen","language":"eng","note":"PMID: 25810233","page":"353-360","title":"Cost-effectiveness of becaplermin gel on wound healing of diabetic foot ulcers","volume":"23","author":[{"family":"Gilligan","given":"Adrienne M."},{"family":"Waycaster","given":"Curtis R."},{"family":"Motley","given":"Travis A."}],"issued":{"date-parts":[["2015",6]]}}}],"schema":"https://github.com/citation-style-language/schema/raw/master/csl-citation.json"}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(170–173)</w:t>
            </w:r>
            <w:r w:rsidRPr="00CA32B9">
              <w:rPr>
                <w:rFonts w:asciiTheme="minorHAnsi" w:hAnsiTheme="minorHAnsi" w:cstheme="minorHAnsi"/>
                <w:szCs w:val="20"/>
                <w:lang w:val="en-US"/>
              </w:rPr>
              <w:fldChar w:fldCharType="end"/>
            </w:r>
          </w:p>
        </w:tc>
      </w:tr>
      <w:tr w:rsidR="0056668F" w14:paraId="69E7E2ED" w14:textId="77777777" w:rsidTr="0022700A">
        <w:tc>
          <w:tcPr>
            <w:tcW w:w="2830" w:type="dxa"/>
            <w:vAlign w:val="center"/>
          </w:tcPr>
          <w:p w14:paraId="55924C58" w14:textId="25EB6404"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 study (III)</w:t>
            </w:r>
          </w:p>
        </w:tc>
        <w:tc>
          <w:tcPr>
            <w:tcW w:w="1157" w:type="dxa"/>
            <w:vAlign w:val="center"/>
          </w:tcPr>
          <w:p w14:paraId="6887B863" w14:textId="5268C63E"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5</w:t>
            </w:r>
          </w:p>
        </w:tc>
        <w:tc>
          <w:tcPr>
            <w:tcW w:w="2009" w:type="dxa"/>
            <w:vMerge/>
            <w:vAlign w:val="center"/>
          </w:tcPr>
          <w:p w14:paraId="39B9A7CD" w14:textId="77777777" w:rsidR="0056668F" w:rsidRDefault="0056668F" w:rsidP="0056668F">
            <w:pPr>
              <w:jc w:val="center"/>
              <w:rPr>
                <w:lang w:val="en-US"/>
              </w:rPr>
            </w:pPr>
          </w:p>
        </w:tc>
        <w:tc>
          <w:tcPr>
            <w:tcW w:w="3064" w:type="dxa"/>
            <w:vAlign w:val="center"/>
          </w:tcPr>
          <w:p w14:paraId="2267244A" w14:textId="188A1BBB"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UjWshqsL","properties":{"formattedCitation":"(174)","plainCitation":"(174)","noteIndex":0},"citationItems":[{"id":46925,"uris":["http://zotero.org/users/5328021/items/BSPH9YKU"],"uri":["http://zotero.org/users/5328021/items/BSPH9YKU"],"itemData":{"id":46925,"type":"article-journal","abstract":"Objectives: To explore whether Heberprot-P (an epidermal growth factor) is a cost-effective option for the treatment of advanced diabetic foot ulcer as an add-on therapy to good wound care (GWC) in Slovakia from the perspective of health care payers. Methods: A Markov model was constructed to compare the costs and effects of Heberprot-P plus GWC to those of GWC alone from the perspective of health care payers. The 52-week clinical trial period was extended to 5- and 10-year time horizons. Transition probabilities were calculated based on a previous clinical trial of Heberprot, utility values were derived from the scientific literature, and cost vectors were collected from the General Health Insurance Fund database in Slovakia. A one-way deterministic sensitivity analysis was employed to explore the influence of uncertainty for each input parameter on the incremental cost-effectiveness ratio (ICER). Results: Based on the ICER threshold of €30,030 per quality-adjusted life year (QALY) recommended by the Slovak Ministry of Health, Heberprot-P therapy plus GWC is not a cost-effective alternative to GWC alone over a 10-year time horizon. The ICER increases if a longer time horizon is applied, as the incremental costs are similar, but the aggregated utility gain from avoided amputation is lower. Based on the sensitivity analysis, the utility multiplier for the health state \"no ulcer after small amputation\" had the most impact on the ICER; however, the model was robust to changes in all input parameters. Conclusions: Heberprot-P, as an add-on therapy to GWC in the treatment of advanced diabetic foot ulcer, is not a cost-effective alternative to GWC alone. However, if the unit cost of Heberprot-P were to be reduced to &lt;€273, its ICER would be &lt;€30,030.","container-title":"Frontiers in Pharmacology","journalAbbreviation":"Front Pharmacol","language":"eng","note":"PMID: 29311943\nPMCID: PMC5743698","page":"946","title":"Cost-Utility Analysis of Heberprot-P as an Add-on Therapy to Good Wound Care for Patients in Slovakia with Advanced Diabetic Foot Ulcer","volume":"8","author":[{"family":"Tesar","given":"Tomas"},{"family":"Szilberhorn","given":"Laszlo"},{"family":"Nemeth","given":"Bertalan"},{"family":"Nagy","given":"Balazs"},{"family":"Wawruch","given":"Martin"},{"family":"Kalo","given":"Zoltan"}],"issued":{"date-parts":[["2017"]]}}}],"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(174)</w:t>
            </w:r>
            <w:r w:rsidRPr="00CA32B9">
              <w:rPr>
                <w:rFonts w:asciiTheme="minorHAnsi" w:hAnsiTheme="minorHAnsi" w:cstheme="minorHAnsi"/>
                <w:szCs w:val="20"/>
                <w:lang w:val="en-US"/>
              </w:rPr>
              <w:fldChar w:fldCharType="end"/>
            </w:r>
          </w:p>
        </w:tc>
      </w:tr>
      <w:tr w:rsidR="0056668F" w:rsidRPr="00166EC2" w14:paraId="66885D16" w14:textId="77777777" w:rsidTr="0056668F">
        <w:tc>
          <w:tcPr>
            <w:tcW w:w="9060" w:type="dxa"/>
            <w:gridSpan w:val="4"/>
            <w:shd w:val="clear" w:color="auto" w:fill="D4F1D3" w:themeFill="background2" w:themeFillTint="33"/>
          </w:tcPr>
          <w:p w14:paraId="5F7354C8" w14:textId="64D3281C" w:rsidR="0056668F" w:rsidRDefault="0056668F" w:rsidP="0056668F">
            <w:pPr>
              <w:jc w:val="center"/>
              <w:rPr>
                <w:lang w:val="en-US"/>
              </w:rPr>
            </w:pPr>
            <w:r w:rsidRPr="00CA32B9">
              <w:rPr>
                <w:rFonts w:asciiTheme="minorHAnsi" w:hAnsiTheme="minorHAnsi" w:cstheme="minorHAnsi"/>
                <w:b/>
                <w:bCs/>
                <w:color w:val="56575A"/>
                <w:szCs w:val="20"/>
                <w:lang w:val="en-US"/>
              </w:rPr>
              <w:t>Treatment with negative pressure</w:t>
            </w:r>
            <w:r w:rsidR="004B1A5D">
              <w:rPr>
                <w:rFonts w:asciiTheme="minorHAnsi" w:hAnsiTheme="minorHAnsi" w:cstheme="minorHAnsi"/>
                <w:b/>
                <w:bCs/>
                <w:color w:val="56575A"/>
                <w:szCs w:val="20"/>
                <w:lang w:val="en-US"/>
              </w:rPr>
              <w:t xml:space="preserve"> wound</w:t>
            </w:r>
            <w:r w:rsidRPr="00CA32B9">
              <w:rPr>
                <w:rFonts w:asciiTheme="minorHAnsi" w:hAnsiTheme="minorHAnsi" w:cstheme="minorHAnsi"/>
                <w:b/>
                <w:bCs/>
                <w:color w:val="56575A"/>
                <w:szCs w:val="20"/>
                <w:lang w:val="en-US"/>
              </w:rPr>
              <w:t xml:space="preserve"> therapy</w:t>
            </w:r>
          </w:p>
        </w:tc>
      </w:tr>
      <w:tr w:rsidR="0056668F" w14:paraId="27ACF595" w14:textId="77777777" w:rsidTr="0056668F">
        <w:tc>
          <w:tcPr>
            <w:tcW w:w="9060" w:type="dxa"/>
            <w:gridSpan w:val="4"/>
            <w:vAlign w:val="center"/>
          </w:tcPr>
          <w:p w14:paraId="00390CCE" w14:textId="56B80385" w:rsidR="0056668F" w:rsidRDefault="0056668F" w:rsidP="0056668F">
            <w:pPr>
              <w:jc w:val="left"/>
              <w:rPr>
                <w:lang w:val="en-US"/>
              </w:rPr>
            </w:pPr>
            <w:r w:rsidRPr="00CA32B9">
              <w:rPr>
                <w:rFonts w:asciiTheme="minorHAnsi" w:hAnsiTheme="minorHAnsi" w:cstheme="minorHAnsi"/>
                <w:b/>
                <w:szCs w:val="20"/>
                <w:lang w:val="en-US"/>
              </w:rPr>
              <w:t>Ulcer healing</w:t>
            </w:r>
          </w:p>
        </w:tc>
      </w:tr>
      <w:tr w:rsidR="0056668F" w14:paraId="546E1906" w14:textId="77777777" w:rsidTr="0022700A">
        <w:tc>
          <w:tcPr>
            <w:tcW w:w="2830" w:type="dxa"/>
            <w:vAlign w:val="center"/>
          </w:tcPr>
          <w:p w14:paraId="2C86F518" w14:textId="0BE6BECF" w:rsidR="0056668F" w:rsidRDefault="0056668F" w:rsidP="0056668F">
            <w:pPr>
              <w:jc w:val="center"/>
              <w:rPr>
                <w:lang w:val="en-US"/>
              </w:rPr>
            </w:pPr>
            <w:r w:rsidRPr="00CA32B9">
              <w:rPr>
                <w:rFonts w:asciiTheme="minorHAnsi" w:hAnsiTheme="minorHAnsi" w:cstheme="minorHAnsi"/>
                <w:szCs w:val="20"/>
                <w:lang w:val="en-US"/>
              </w:rPr>
              <w:t>5 studies (I) - 2 studies (</w:t>
            </w:r>
            <w:r w:rsidRPr="00CA32B9">
              <w:rPr>
                <w:rFonts w:asciiTheme="minorHAnsi" w:eastAsia="Times New Roman" w:hAnsiTheme="minorHAnsi" w:cstheme="minorHAnsi"/>
                <w:szCs w:val="20"/>
                <w:lang w:val="en-US"/>
              </w:rPr>
              <w:t>II)</w:t>
            </w:r>
          </w:p>
        </w:tc>
        <w:tc>
          <w:tcPr>
            <w:tcW w:w="1157" w:type="dxa"/>
            <w:vAlign w:val="center"/>
          </w:tcPr>
          <w:p w14:paraId="50756EFD" w14:textId="2E32D11C" w:rsidR="0056668F" w:rsidRDefault="0056668F" w:rsidP="0056668F">
            <w:pPr>
              <w:jc w:val="center"/>
              <w:rPr>
                <w:lang w:val="en-US"/>
              </w:rPr>
            </w:pPr>
            <w:r w:rsidRPr="00CA32B9">
              <w:rPr>
                <w:rFonts w:asciiTheme="minorHAnsi" w:hAnsiTheme="minorHAnsi" w:cstheme="minorHAnsi"/>
                <w:szCs w:val="20"/>
                <w:lang w:val="en-US"/>
              </w:rPr>
              <w:t>7,8</w:t>
            </w:r>
          </w:p>
        </w:tc>
        <w:tc>
          <w:tcPr>
            <w:tcW w:w="2009" w:type="dxa"/>
            <w:vMerge w:val="restart"/>
            <w:vAlign w:val="center"/>
          </w:tcPr>
          <w:p w14:paraId="442FAE83" w14:textId="6E8CE4B4" w:rsidR="0056668F" w:rsidRDefault="0056668F" w:rsidP="0056668F">
            <w:pPr>
              <w:jc w:val="center"/>
              <w:rPr>
                <w:lang w:val="en-US"/>
              </w:rPr>
            </w:pPr>
            <w:r w:rsidRPr="00CA32B9">
              <w:rPr>
                <w:rFonts w:asciiTheme="minorHAnsi" w:hAnsiTheme="minorHAnsi" w:cstheme="minorHAnsi"/>
                <w:szCs w:val="20"/>
                <w:lang w:val="en-US"/>
              </w:rPr>
              <w:t>Good</w:t>
            </w:r>
          </w:p>
        </w:tc>
        <w:tc>
          <w:tcPr>
            <w:tcW w:w="3064" w:type="dxa"/>
            <w:vAlign w:val="center"/>
          </w:tcPr>
          <w:p w14:paraId="74469FD1" w14:textId="2E2EBCCF"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1L1AIdBz","properties":{"formattedCitation":"(175\\uc0\\u8211{}181)","plainCitation":"(175–181)","noteIndex":0},"citationItems":[{"id":73581,"uris":["http://zotero.org/users/5328021/items/GDB89Q8C"],"uri":["http://zotero.org/users/5328021/items/GDB89Q8C"],"itemData":{"id":73581,"type":"article-journal","abstract":"Background: Diabetic foot ulcer (DFU) is one the serious disabling conditions in  patients with diabetes. Several approaches are available to manage DFU including  Negative Pressure Wound Therapy (NPWT). The objective of this overview is systematically reviewing the related reviews about the effectiveness, safety, and cost benefits of NPWT interventions. Methods: In October 2018, electronic databases including Medline, Embase, Scopous, Web of Science, the Cochrane Library and Google scholar were searched for systematic reviews about the NPWT's  effectiveness and safety in DFUs. The Assessment of Multiple Systematic Reviews 2 (AMSTAR2) checklist was used for the appraisal of the systematic reviews. According to this checklist the studies were categorized as high, moderate, low and critically low quality. Results: The electronic searches yielded 6889 studies. After excluding duplicates and those not fellfield the inclusion criteria, 23 systematic reviews were considered. The sample size of the reviews ranged between 20 and 2800 patients published since 2004 to 2018. Twenty systematic reviews (86.95%) included only randomized clinical trials (RCT). Regarding the AMSTAR-2 checklist, 7 studies were assigned to high quality, 8 were categorized as low quality and 8 studies belonged to the critically low quality groups. Accordingly, three, two and one out of seven high quality studies approved the effectiveness, safety and cost benefit of the NPWT therapy, respectively. However, some of them declared that there is some flaws in RCTs designing. Conclusion: This overview illustrated that either systematic reviews or the included RCTs had wide variety of quality and heterogeneity in order to provide high level of evidence. Hence, well-designed RCTs as well as meta-analysis are required to shade the light on different aspects of NPWT.","container-title":"Journal of diabetes and metabolic disorders","issue":"2","journalAbbreviation":"J Diabetes Metab Disord","language":"eng","note":"PMID: 31890688 \nPMCID: PMC6915190","page":"625-641","title":"The effectiveness of negative pressure wound therapy as a novel management of diabetic foot ulcers: an overview of systematic reviews.","volume":"18","author":[{"family":"Mohseni","given":"Shahrzad"},{"family":"Aalaa","given":"Maryam"},{"family":"Atlasi","given":"Rasha"},{"family":"Mohajeri Tehrani","given":"Mohamad Reza"},{"family":"Sanjari","given":"Mahnaz"},{"family":"Amini","given":"Mohamad Reza"}],"issued":{"date-parts":[["2019",12]]}}},{"id":45260,"uris":["http://zotero.org/users/5328021/items/55NQ6PRQ"],"uri":["http://zotero.org/users/5328021/items/55NQ6PRQ"],"itemData":{"id":45260,"type":"article-journal","abstract":"BACKGROUND: Foot wounds in people with diabetes mellitus (DM) are a common and serious global health issue. People with DM are prone to developing foot ulcers and, if these do not heal, they may also undergo foot amputation surgery resulting in postoperative wounds. Negative pressure wound therapy (NPWT) is a technology that is currently used widely in wound care. NPWT involves the application of a wound dressing attached to a vacuum suction machine. A carefully controlled negative pressure (or vacuum) sucks wound and tissue fluid away from the treated area into a canister. A clear and current overview of current evidence is required to facilitate decision-making regarding its use.\nOBJECTIVES: To assess the effects of negative pressure wound therapy compared with standard care or other therapies in the treatment of foot wounds in people with DM in any care setting.\nSEARCH METHODS: In January 2018, for this first update of this review, we searched the Cochrane Wounds Specialised Register; the Cochrane Central Register of Controlled Trials (CENTRAL); Ovid MEDLINE (including In-Process &amp; Other Non-Indexed Citations); Ovid Embase and EBSCO CINAHL Plus. We also searched clinical trials registries for ongoing and unpublished studies, and scanned reference lists of relevant included studies, reviews, meta-analyses and health technology reports to identify additional studies. There were no restrictions with respect to language, date of publication or study setting. We identified six additional studies for inclusion in the review.\nSELECTION CRITERIA: Published or unpublished randomised controlled trials (RCTs) that evaluated the effects of any brand of NPWT in the treatment of foot wounds in people with DM, irrespective of date or language of publication. Particular effort was made to identify unpublished studies.\nDATA COLLECTION AND ANALYSIS: Two review authors independently performed study selection, risk of bias assessment and data extraction. Initial disagreements were resolved by discussion, or by including a third review author when necessary. We presented and analysed data separately for foot ulcers and postoperative wounds.\nMAIN RESULTS: Eleven RCTs (972 participants) met the inclusion criteria. Study sample sizes ranged from 15 to 341 participants. One study had three arms, which were all included in the review. The remaining 10 studies had two arms. Two studies focused on postamputation wounds and all other studies included foot ulcers in people with DM. Ten studies compared NPWT with dressings; and one study compared NPWT delivered at 75 mmHg with NPWT delivered at 125 mmHg. Our primary outcome measures were the number of wounds healed and time to wound healing.NPWT compared with dressings for postoperative woundsTwo studies (292 participants) compared NPWT with moist wound dressings in postoperative wounds (postamputation wounds). Only one study specified a follow-up time, which was 16 weeks. This study (162 participants) reported an increased number of healed wounds in the NPWT group compared with the dressings group (risk ratio (RR) 1.44, 95% confidence interval (CI) 1.03 to 2.01; low-certainty evidence, downgraded for risk of bias and imprecision). This study also reported that median time to healing was 21 days shorter with NPWT compared with moist dressings (hazard ratio (HR) calculated by review authors 1.91, 95% CI 1.21 to 2.99; low-certainty evidence, downgraded for risk of bias and imprecision). Data from the two studies suggest that it is uncertain whether there is a difference between groups in amputation risk (RR 0.38, 95% CI 0.14 to 1.02; 292 participants; very low-certainty evidence, downgraded once for risk of bias and twice for imprecision).NPWT compared with dressings for foot ulcersThere were eight studies (640 participants) in this analysis and follow-up times varied between studies. Six studies (513 participants) reported the proportion of wounds healed and data could be pooled for five studies. Pooled data (486 participants) suggest that NPWT may increase the number of healed wounds compared with dressings (RR 1.40, 95% CI 1.14 to 1.72; I² = 0%; low-certainty evidence, downgraded once for risk of bias and once for imprecision). Three studies assessed time to healing, but only one study reported usable data. This study reported that NPWT reduced the time to healing compared with dressings (hazard ratio (HR) calculated by review authors 1.82, 95% CI 1.27 to 2.60; 341 participants; low-certainty evidence, downgraded once for risk of bias and once for imprecision).Data from three studies (441 participants) suggest that people allocated to NPWT may be at reduced risk of amputation compared with people allocated to dressings (RR 0.33, 95% CI 0.15 to 0.70; I² = 0%; low-certainty evidence; downgraded once for risk of bias and once for imprecision).Low-pressure compared with high-pressure NPWT for foot ulcersOne study (40 participants) compared NPWT 75 mmHg and NPWT 125 mmHg. Follow-up time was four weeks. There were no data on primary outcomes. There was no clear difference in the number of wounds closed or covered with surgery between groups (RR 0.83, 95% CI 0.47 to 1.47; very low-certainty evidence, downgraded once for risk of bias and twice for serious imprecision) and adverse events (RR 1.50, 95% CI 0.28 to 8.04; very low-certainty evidence, downgraded once for risk of bias and twice for serious imprecision).\nAUTHORS' CONCLUSIONS: There is low-certainty evidence to suggest that NPWT, when compared with wound dressings, may increase the proportion of wounds healed and reduce the time to healing for postoperative foot wounds and ulcers of the foot in people with DM. For the comparisons of different pressures of NPWT for treating foot ulcers in people with DM, it is uncertain whether there is a difference in the number of wounds closed or covered with surgery, and adverse events. None of the included studies provided evidence on time to closure or coverage surgery, health-related quality of life or cost-effectiveness. The limitations in current RCT evidence suggest that further trials are required to reduce uncertainty around decision-making regarding the use of NPWT to treat foot wounds in people with DM.","container-title":"The Cochrane Database of Systematic Reviews","journalAbbreviation":"Cochrane Database Syst Rev","language":"eng","note":"PMID: 30328611\nPMCID: PMC6517143","page":"CD010318","title":"Negative pressure wound therapy for treating foot wounds in people with diabetes mellitus","volume":"10","author":[{"family":"Liu","given":"Zhenmi"},{"family":"Dumville","given":"Jo C."},{"family":"Hinchliffe","given":"Robert J."},{"family":"Cullum","given":"Nicky"},{"family":"Game","given":"Fran"},{"family":"Stubbs","given":"Nikki"},{"family":"Sweeting","given":"Michael"},{"family":"Peinemann","given":"Frank"}],"issued":{"date-parts":[["2018"]],"season":"17"}}},{"id":47518,"uris":["http://zotero.org/users/5328021/items/47EC82ZD"],"uri":["http://zotero.org/users/5328021/items/47EC82ZD"],"itemData":{"id":47518,"type":"article-journal","abstract":"OBJECTIVES: The aim of this study was to perform an updated systematic review and meta-analysis to assess the clinical efficacy, safety, and cost-effectiveness of negative-pressure wound therapy (NPWT) in the treatment of diabetic foot ulcers (DFUs).\nMETHODS: We searched the Cochrane Library, MEDLINE, EMBASE, Ovid, and Chinese Biological Medicine databases up to June 30, 2016. We also manually searched the articles from reference lists of the retrieved articles, which used the NPWT system in studies of vacuum-assisted closure therapy. Studies were identified and selected, and two independent reviewers extracted data from the studies.\nRESULTS: A total of eleven randomized controlled trials, which included a total of 1,044 patients, were selected from 691 identified studies. Compared with standard dressing changes, NPWT had a higher rate of complete healing of ulcers (relative risk, 1.48; 95% confidence interval [CI]: 1.24-1.76; P&lt;0.001), shorter healing time (mean difference, -8.07; 95% CI: -13.70- -2.45; P=0.005), greater reduction in ulcer area (mean difference, 12.18; 95% CI: 8.50-15.86; P&lt;0.00001), greater reduction in ulcer depth (mean difference, 40.82; 95% CI: 35.97-45.67; P&lt;0.00001), fewer amputations (relative risk, 0.31; 95% CI: 0.15-0.62; P=0.001), and no effect on the incidence of treatment-related adverse effects (relative risk, 1.12; 95% CI: 0.66-1.89; P=0.68). Meanwhile, many analyses showed that the NPWT was more cost-effective than standard dressing changes.\nCONCLUSION: These results indicate that NPWT is efficacious, safe, and cost-effective in treating DFUs.","container-title":"Therapeutics and Clinical Risk Management","journalAbbreviation":"Ther Clin Risk Manag","language":"eng","note":"PMID: 28458556\nPMCID: PMC5403129","page":"533-544","title":"Evaluation of negative-pressure wound therapy for patients with diabetic foot ulcers: systematic review and meta-analysis","volume":"13","author":[{"family":"Liu","given":"Si"},{"family":"He","given":"Chao-Zhu"},{"family":"Cai","given":"Yan-Ting"},{"family":"Xing","given":"Qiu-Ping"},{"family":"Guo","given":"Ying-Zhen"},{"family":"Chen","given":"Zhi-Long"},{"family":"Su","given":"Ji-Liang"},{"family":"Yang","given":"Li-Ping"}],"issued":{"date-parts":[["2017"]]}}},{"id":84228,"uris":["http://zotero.org/users/5328021/items/8ZL3TLI5"],"uri":["http://zotero.org/users/5328021/items/8ZL3TLI5"],"itemData":{"id":84228,"type":"article-journal","abstract":"Objective: To assess the efficacy of Vacuum Assisted Closure therapy as compared with conventional dressing in chronic leg ulcer in type 2 diabetes mellitus. Methods: 100 patients were included in this case</w:instrText>
            </w:r>
            <w:r>
              <w:rPr>
                <w:rFonts w:ascii="Cambria Math" w:hAnsi="Cambria Math" w:cs="Cambria Math"/>
                <w:szCs w:val="20"/>
                <w:lang w:val="en-US"/>
              </w:rPr>
              <w:instrText>‐</w:instrText>
            </w:r>
            <w:r>
              <w:rPr>
                <w:rFonts w:asciiTheme="minorHAnsi" w:hAnsiTheme="minorHAnsi" w:cstheme="minorHAnsi"/>
                <w:szCs w:val="20"/>
                <w:lang w:val="en-US"/>
              </w:rPr>
              <w:instrText>control study and randomly assigned in equal numbers to receive either VAC therapy once weekly or conventional dressing once daily in addition to the standard treatment for good glycemic control by insulin and control of infection by appropriate antibiotics and debridement, if needed. Effect was observed every week to see the response up to a maximum of 12 weeks. Primary endpoint of ulcer healing was measured by reduction in the ulcer area of the two longest perpendicular diameters from baseline and defined as complete, partial (&gt;50% reduction), non</w:instrText>
            </w:r>
            <w:r>
              <w:rPr>
                <w:rFonts w:ascii="Cambria Math" w:hAnsi="Cambria Math" w:cs="Cambria Math"/>
                <w:szCs w:val="20"/>
                <w:lang w:val="en-US"/>
              </w:rPr>
              <w:instrText>‐</w:instrText>
            </w:r>
            <w:r>
              <w:rPr>
                <w:rFonts w:asciiTheme="minorHAnsi" w:hAnsiTheme="minorHAnsi" w:cstheme="minorHAnsi"/>
                <w:szCs w:val="20"/>
                <w:lang w:val="en-US"/>
              </w:rPr>
              <w:instrText>complete (&lt;50% reduction) and non</w:instrText>
            </w:r>
            <w:r>
              <w:rPr>
                <w:rFonts w:ascii="Cambria Math" w:hAnsi="Cambria Math" w:cs="Cambria Math"/>
                <w:szCs w:val="20"/>
                <w:lang w:val="en-US"/>
              </w:rPr>
              <w:instrText>‐</w:instrText>
            </w:r>
            <w:r>
              <w:rPr>
                <w:rFonts w:asciiTheme="minorHAnsi" w:hAnsiTheme="minorHAnsi" w:cstheme="minorHAnsi"/>
                <w:szCs w:val="20"/>
                <w:lang w:val="en-US"/>
              </w:rPr>
              <w:instrText>responder. Results: Findings at sixth week revealed complete healing in 15 (30%) among study group compared to 4 (8%) in controls with statistically signifi</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 cant association. After 12 weeks, 10 (20%) cases in control group had complete healing 19 (38%) had partial healing, 16 (32%) had non</w:instrText>
            </w:r>
            <w:r>
              <w:rPr>
                <w:rFonts w:ascii="Cambria Math" w:hAnsi="Cambria Math" w:cs="Cambria Math"/>
                <w:szCs w:val="20"/>
                <w:lang w:val="en-US"/>
              </w:rPr>
              <w:instrText>‐</w:instrText>
            </w:r>
            <w:r>
              <w:rPr>
                <w:rFonts w:asciiTheme="minorHAnsi" w:hAnsiTheme="minorHAnsi" w:cstheme="minorHAnsi"/>
                <w:szCs w:val="20"/>
                <w:lang w:val="en-US"/>
              </w:rPr>
              <w:instrText>complete healing, 5 (10%) were non responders/drop</w:instrText>
            </w:r>
            <w:r>
              <w:rPr>
                <w:rFonts w:ascii="Cambria Math" w:hAnsi="Cambria Math" w:cs="Cambria Math"/>
                <w:szCs w:val="20"/>
                <w:lang w:val="en-US"/>
              </w:rPr>
              <w:instrText>‐</w:instrText>
            </w:r>
            <w:r>
              <w:rPr>
                <w:rFonts w:asciiTheme="minorHAnsi" w:hAnsiTheme="minorHAnsi" w:cstheme="minorHAnsi"/>
                <w:szCs w:val="20"/>
                <w:lang w:val="en-US"/>
              </w:rPr>
              <w:instrText>out while in study group 27 (54%) had complete healing, 15 (30%) had partial healing, 4 (8%) had non</w:instrText>
            </w:r>
            <w:r>
              <w:rPr>
                <w:rFonts w:ascii="Cambria Math" w:hAnsi="Cambria Math" w:cs="Cambria Math"/>
                <w:szCs w:val="20"/>
                <w:lang w:val="en-US"/>
              </w:rPr>
              <w:instrText>‐</w:instrText>
            </w:r>
            <w:r>
              <w:rPr>
                <w:rFonts w:asciiTheme="minorHAnsi" w:hAnsiTheme="minorHAnsi" w:cstheme="minorHAnsi"/>
                <w:szCs w:val="20"/>
                <w:lang w:val="en-US"/>
              </w:rPr>
              <w:instrText>complete and 4 (8%) were non responders/drop</w:instrText>
            </w:r>
            <w:r>
              <w:rPr>
                <w:rFonts w:ascii="Cambria Math" w:hAnsi="Cambria Math" w:cs="Cambria Math"/>
                <w:szCs w:val="20"/>
                <w:lang w:val="en-US"/>
              </w:rPr>
              <w:instrText>‐</w:instrText>
            </w:r>
            <w:r>
              <w:rPr>
                <w:rFonts w:asciiTheme="minorHAnsi" w:hAnsiTheme="minorHAnsi" w:cstheme="minorHAnsi"/>
                <w:szCs w:val="20"/>
                <w:lang w:val="en-US"/>
              </w:rPr>
              <w:instrText>out with the differences being statistically significant (X2=15.593; p&lt;0.001). Conclusion: Application of VAC therapy appears to be more efficacious than conventional dressing for treatment of diabetic foot ulcer.","archive_location":"CN-01449857","container-title":"Diabetes","journalAbbreviation":"Diabetes","page":"A555</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","title":"Trial of vacuum-assisted closure in patients with chronic nonhealing leg ulcers in type 2 diabetes mellitus","volume":"65","author":[{"family":"Sihag","given":"B"},{"family":"Chahar","given":"C"},{"family":"Sharma","given":"JK"},{"family":"Agrawal","given":"RP"}],"issued":{"date-parts":[["2016"]]}}},{"id":49564,"uris":["http://zotero.org/users/5328021/items/ZUVSZ3P7"],"uri":["http://zotero.org/users/5328021/items/ZUVSZ3P7"],"itemData":{"id":49564,"type":"article-journal","abstract":"OBJECTIVE: a network meta-analysis was performed to compare the strength and weakness of negative pressure wound therapy (NPWT) with ultrasound debridement (UD) as for diabetic foot ulcers (DFU).\nMETHODS: PubMed, Ovid EMBASE, Web of Science, Cochrane library databases, and Chinese Biomedical Literature Database were searched till February 2015. Clinical compared studies of negative pressure wound therapy and ultrasound debridement were enrolled. The primary efficacy outcomes included healed ulcers, reduction of ulcer areas and time to closure. Secondary amputation including major and minor amputations was used to assess the safety profile.\nRESULTS: Out of 715 studies, 32 were selected which enrolled 2880 diabetic patients. The pooled analysis revealed that NPWT including vacuum assisted closure (VAC) and vacuum sealing drainage (VSD) were as efficacious as ultrasound debridement improving healed ulcers, odds ratio, 0.86; 95% CI 0.28 to 2.6 and 1.2; 95% CI 0.38 to 4, respectively. However, both were better to standard wound care in wound healing patients. Compared with the standard wound care treated diabetic foot ulcers, NPWT and UD resulted in a significantly superior efficacy in time to wound closure and decrement in area of wound. No significances were observed between NPWT and UD groups in both indicators. Fewer patients tended to receive amputation in NPWT and UD groups compared to standard wound care group.\nCONCLUSIONS: The results of the network meta-analysis indicated that negative pressure wound therapy was similar to ultrasound debridement for diabetic foot ulcers, but better than standard wound care both in efficacy and safety profile.","container-title":"International Journal of Clinical and Experimental Medicine","issue":"8","journalAbbreviation":"Int J Clin Exp Med","language":"eng","note":"PMID: 26550165\nPMCID: PMC4612850","page":"12548-12556","title":"Comparisons of negative pressure wound therapy and ultrasonic debridement for diabetic foot ulcers: a network meta-analysis","volume":"8","author":[{"family":"Wang","given":"Ruran"},{"family":"Feng","given":"Yanhua"},{"family":"Di","given":"Bo"}],"issued":{"date-parts":[["2015"]]}}},{"id":51695,"uris":["http://zotero.org/users/5328021/items/YZRJPWCQ"],"uri":["http://zotero.org/users/5328021/items/YZRJPWCQ"],"itemData":{"id":51695,"type":"article-journal","abstract":"BACKGROUND: The authors conducted a meta-analysis to evaluate the effectiveness and safety of negative-pressure wound therapy for diabetic foot ulcers.\nMETHODS: PubMed, EMBASE, and the Cochrane Library were searched to identify relevant studies published up to February of 2013. All randomized controlled trials comparing negative-pressure wound therapy and non-negative-pressure wound therapy (i.e., standard wound care) for diabetic foot ulcers were included. Results were pooled using meta-analysis to assess the efficacy and safety of negative pressure in managing diabetic foot ulcers.\nRESULTS: The databases were derived from eight qualified studies that included a total of 669 patients. Overall, compared with the non-negative-pressure wound therapy-treated diabetic foot ulcers, negative pressure resulted in a significantly higher proportion of healed ulcers (relative risk, 1.52; 95 percent CI, 1.23 to 1.89; p&lt;0.001), more reduction of ulcer area (standardized mean difference, 0.89; 95 percent CI, 0.41 to 1.37; p=0.003), and shorter time to wound healing (standardized mean difference, -1.10; 95 percent CI, -1.83 to -0.37; p=0.003). Negative-pressure wound therapy patients also experienced significantly fewer major amputations (relative risk, 0.14; 95 percent CI, 0.04 to 0.51; p=0.003), but the rate of minor amputations was not affected (p=0.837). No significant difference was observed between negative-pressure wound therapy and non-negative-pressure wound therapy (p=0.683). No heterogeneity among studies was detected.\nCONCLUSION: Negative-pressure wound therapy appears to be more effective for diabetic foot ulcers compared with non-negative-pressure wound therapy, and has a similar safety profile.\nCLINICAL QUESTION/LEVEL OF EVIDENCE: Therapeutic, II.","container-title":"Plastic and Reconstructive Surgery","issue":"1","journalAbbreviation":"Plast. Reconstr. Surg.","language":"eng","note":"PMID: 24622569","page":"141-151","title":"Effectiveness and safety of negative-pressure wound therapy for diabetic foot ulcers: a meta-analysis","volume":"134","author":[{"family":"Zhang","given":"Jian"},{"family":"Hu","given":"Zhi-Cheng"},{"family":"Chen","given":"Dong"},{"family":"Guo","given":"Dong"},{"family":"Zhu","given":"Jia-Yuan"},{"family":"Tang","given":"Bing"}],"issued":{"date-parts":[["2014",7]]}}},{"id":51592,"uris":["http://zotero.org/users/5328021/items/SXLVPVI2"],"uri":["http://zotero.org/users/5328021/items/SXLVPVI2"],"itemData":{"id":51592,"type":"article-journal","abstract":"Negative pressure wound therapy (NPWT) is an option for management of complex wounds such as diabetic foot ulcers; therefore, the nursing literature from 2000 to 2010 was reviewed for studies comparing clinical outcomes for diabetic foot ulcers treated with NPWT and those treated with standard moist wound therapy (SMWT). PubMed and OVID databases were explored using the following search terms: vacuum-assisted closure, NPWT, diabetic wounds, and standard most wound therapy. Research studies to judge efficacy were limited to the results from studies of experimental studies with randomized clinical trials on patients with diabetic foot wounds as the inclusion criteria. Four studies were identified that met the established criteria. Despite variations in patient population, methodology, and additional outcome variables studied, NPWT systems were shown to be more effective than SMWT with regard to proportion of healed wounds and rate of wound closure.","container-title":"Journal of Wound, Ostomy, and Continence Nursing: Official Publication of The Wound, Ostomy and Continence Nurses Society","issue":"3","journalAbbreviation":"J Wound Ostomy Continence Nurs","language":"eng","note":"PMID: 24805174","page":"233-237","title":"Negative pressure wound therapy in the treatment of diabetic foot ulcers: a systematic review of the literature","volume":"41","author":[{"family":"Guffanti","given":"Alan"}],"issued":{"date-parts":[["2014",6]]}}}],"schema":"https://github.com/citation-style-language/schema/raw/master/csl-citation.json"}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(175–181)</w:t>
            </w:r>
            <w:r w:rsidRPr="00CA32B9">
              <w:rPr>
                <w:rFonts w:asciiTheme="minorHAnsi" w:hAnsiTheme="minorHAnsi" w:cstheme="minorHAnsi"/>
                <w:szCs w:val="20"/>
                <w:lang w:val="en-US"/>
              </w:rPr>
              <w:fldChar w:fldCharType="end"/>
            </w:r>
          </w:p>
        </w:tc>
      </w:tr>
      <w:tr w:rsidR="0056668F" w14:paraId="497258CD" w14:textId="77777777" w:rsidTr="0022700A">
        <w:tc>
          <w:tcPr>
            <w:tcW w:w="2830" w:type="dxa"/>
            <w:vAlign w:val="center"/>
          </w:tcPr>
          <w:p w14:paraId="25BDA537" w14:textId="520E2EEF"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 study (II)</w:t>
            </w:r>
          </w:p>
        </w:tc>
        <w:tc>
          <w:tcPr>
            <w:tcW w:w="1157" w:type="dxa"/>
            <w:vAlign w:val="center"/>
          </w:tcPr>
          <w:p w14:paraId="7777EC58" w14:textId="052B6995"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7</w:t>
            </w:r>
          </w:p>
        </w:tc>
        <w:tc>
          <w:tcPr>
            <w:tcW w:w="2009" w:type="dxa"/>
            <w:vMerge/>
            <w:vAlign w:val="center"/>
          </w:tcPr>
          <w:p w14:paraId="4EB2EE9B" w14:textId="77777777" w:rsidR="0056668F" w:rsidRDefault="0056668F" w:rsidP="0056668F">
            <w:pPr>
              <w:jc w:val="center"/>
              <w:rPr>
                <w:lang w:val="en-US"/>
              </w:rPr>
            </w:pPr>
          </w:p>
        </w:tc>
        <w:tc>
          <w:tcPr>
            <w:tcW w:w="3064" w:type="dxa"/>
            <w:vAlign w:val="center"/>
          </w:tcPr>
          <w:p w14:paraId="4178917E" w14:textId="6D7E3C0A"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tMAKNhAp","properties":{"formattedCitation":"(182)","plainCitation":"(182)","noteIndex":0},"citationItems":[{"id":83073,"uris":["http://zotero.org/users/5328021/items/ERDK7IIW"],"uri":["http://zotero.org/users/5328021/items/ERDK7IIW"],"itemData":{"id":83073,"type":"article-journal","abstract":"This study project as part of a European tender has the aim to prove efficacy and effectiveness of negative pressure wound therapy in the management of patients with chronic diabetic foot wounds. The tasks within the study project have been assigned to three contractors / institutions. On behalf of a consortium of 19 health insurance companies with a central contact consisting of the \"AOK</w:instrText>
            </w:r>
            <w:r>
              <w:rPr>
                <w:rFonts w:ascii="Cambria Math" w:hAnsi="Cambria Math" w:cs="Cambria Math"/>
                <w:szCs w:val="20"/>
                <w:lang w:val="en-US"/>
              </w:rPr>
              <w:instrText>‐</w:instrText>
            </w:r>
            <w:r>
              <w:rPr>
                <w:rFonts w:asciiTheme="minorHAnsi" w:hAnsiTheme="minorHAnsi" w:cstheme="minorHAnsi"/>
                <w:szCs w:val="20"/>
                <w:lang w:val="en-US"/>
              </w:rPr>
              <w:instrText>Bundesverband GbR\", \"Verband der Ersatzkassen e.V.\" (vdek) and the \"Knappschaft\" these contractors are responsible for conducting the trial. The Institute for Research in Operative Medicine (IFOM) as part of the University of Witten / Herdecke gGmbH is responsible for the planning, implementation, analysis and publication of the study. The Private University of Witten / Herdecke takes over the sponsorship of the study project. The duties and responsibilities of the sponsor are transferred to the staff of the Institute for Research in Operative Medicine of University of Witten / Herdecke. The financial support of the clinical study is provided by the manufacturers of the negative pressure wound therapy systems. The task of payment processing and the contractual provisions is taken over by a management company \"Gesundheitsforen Leipzig\". Therapy systems used within the treatment arm of the study will be provided by two manufacturers Kinetic Concepts Incorporated (KCI) and Smith &amp; Nephew Inc. All used treatment systems bear the CE mark and will be used within normal conditions of clinical routine and according to manufacturer's instructions. This research project is performed because of a decision of the Federal Joint Committee Germany, which states that negative pressure wound therapy can´t be accepted as a standard therapy with full reimbursement by the health insurance companies in Germany. This decision is based on the rapid report and the final report of the Institute for Quality and Efficiency in Health Care, which showed through systematic reviews and meta</w:instrText>
            </w:r>
            <w:r>
              <w:rPr>
                <w:rFonts w:ascii="Cambria Math" w:hAnsi="Cambria Math" w:cs="Cambria Math"/>
                <w:szCs w:val="20"/>
                <w:lang w:val="en-US"/>
              </w:rPr>
              <w:instrText>‐</w:instrText>
            </w:r>
            <w:r>
              <w:rPr>
                <w:rFonts w:asciiTheme="minorHAnsi" w:hAnsiTheme="minorHAnsi" w:cstheme="minorHAnsi"/>
                <w:szCs w:val="20"/>
                <w:lang w:val="en-US"/>
              </w:rPr>
              <w:instrText>analysis of previous study projects that an insufficient state evidence regarding the use of negative pressure wound therapy for the treatment of acute and chronic wounds is existing. This study evaluates the treatment outcome of the application of a technical medical device, which is based on the principle of negative pressure wound therapy (treatment group 1: Intervention Group) in comparison to standard wound therapy (treatment group 2: Control group) in the treatment of chronic foot wounds after adequate (debridement of avital tissue) wound preparation or amputation wounds resulting from a scheduled amputation below the ankle (talocrural articulation), which are caused in the context of a diabetic foot syndrome. The clinical trial is designed as a national, multicenter, prospective, randomized controlled superiority study. A blinded evaluation of wound photographs will be performed. Patients will be randomized 1:1 to the treatment arm: negative pressure wound therapy and the control arm: standard wound therapy. Patients will be stratified according to assignment to the participating institution (hospital) and by Wagner</w:instrText>
            </w:r>
            <w:r>
              <w:rPr>
                <w:rFonts w:ascii="Cambria Math" w:hAnsi="Cambria Math" w:cs="Cambria Math"/>
                <w:szCs w:val="20"/>
                <w:lang w:val="en-US"/>
              </w:rPr>
              <w:instrText>‐</w:instrText>
            </w:r>
            <w:r>
              <w:rPr>
                <w:rFonts w:asciiTheme="minorHAnsi" w:hAnsiTheme="minorHAnsi" w:cstheme="minorHAnsi"/>
                <w:szCs w:val="20"/>
                <w:lang w:val="en-US"/>
              </w:rPr>
              <w:instrText>Armstrong Stadium. The inclusion and exclusion criteria are based on the presence of a diagnosis of a diabetic foot wound, the regulatory requirements to the participants in a clinical study and the examination and treatment according to current treatment regulations, evidence</w:instrText>
            </w:r>
            <w:r>
              <w:rPr>
                <w:rFonts w:ascii="Cambria Math" w:hAnsi="Cambria Math" w:cs="Cambria Math"/>
                <w:szCs w:val="20"/>
                <w:lang w:val="en-US"/>
              </w:rPr>
              <w:instrText>‐</w:instrText>
            </w:r>
            <w:r>
              <w:rPr>
                <w:rFonts w:asciiTheme="minorHAnsi" w:hAnsiTheme="minorHAnsi" w:cstheme="minorHAnsi"/>
                <w:szCs w:val="20"/>
                <w:lang w:val="en-US"/>
              </w:rPr>
              <w:instrText>based guidelines and the specifications of the manufacturers of the medical devices. Only patients meeting all inclusion criteria and no exclusion criterion are allowed to be included into the trial. The aim of this study is to compare the clinical, safety and economic results of both treatment arms. The primary endpoints to evaluate the efficacy of negative pressure wound therapy in the treatment of chronic foot wounds caused by a diabetic foot syndrome are both the number of complete wound closure within the maximum treatment period (measured in days) as well as the time until complete wound closure. Complete wound closure should be achieved within the maximum study treatment period of 16 weeks. In addition, secondary clinical endpoints and safety endpoints, patient</w:instrText>
            </w:r>
            <w:r>
              <w:rPr>
                <w:rFonts w:ascii="Cambria Math" w:hAnsi="Cambria Math" w:cs="Cambria Math"/>
                <w:szCs w:val="20"/>
                <w:lang w:val="en-US"/>
              </w:rPr>
              <w:instrText>‐</w:instrText>
            </w:r>
            <w:r>
              <w:rPr>
                <w:rFonts w:asciiTheme="minorHAnsi" w:hAnsiTheme="minorHAnsi" w:cstheme="minorHAnsi"/>
                <w:szCs w:val="20"/>
                <w:lang w:val="en-US"/>
              </w:rPr>
              <w:instrText>reported outcome endpoints and health economic endpoints are evaluated. The clinical examination includes parameters that can be used for the analysis of resource use in the inpatient and outpatient care. This includes a comparative analysis of parameters of direct and indirect resource use. Primarily the perspective of the Statutory Health Insurance is considered. As a secondary perspective the view of society was selected. Sample size calculation was performed considering results of existing trials, which revealed that a number n = 324 patients must be included in the study in order to carry out the analysis of the primary endpoint \"Closure rate\". In due consideration of screening failures, discontinuation of therapy of any cause and losses to Follow</w:instrText>
            </w:r>
            <w:r>
              <w:rPr>
                <w:rFonts w:ascii="Cambria Math" w:hAnsi="Cambria Math" w:cs="Cambria Math"/>
                <w:szCs w:val="20"/>
                <w:lang w:val="en-US"/>
              </w:rPr>
              <w:instrText>‐</w:instrText>
            </w:r>
            <w:r>
              <w:rPr>
                <w:rFonts w:asciiTheme="minorHAnsi" w:hAnsiTheme="minorHAnsi" w:cstheme="minorHAnsi"/>
                <w:szCs w:val="20"/>
                <w:lang w:val="en-US"/>
              </w:rPr>
              <w:instrText>Up a screening of a total of 464 patients must be performed to provide the calculated sample size.The primary efficacy analysis is performed using the intention</w:instrText>
            </w:r>
            <w:r>
              <w:rPr>
                <w:rFonts w:ascii="Cambria Math" w:hAnsi="Cambria Math" w:cs="Cambria Math"/>
                <w:szCs w:val="20"/>
                <w:lang w:val="en-US"/>
              </w:rPr>
              <w:instrText>‐</w:instrText>
            </w:r>
            <w:r>
              <w:rPr>
                <w:rFonts w:asciiTheme="minorHAnsi" w:hAnsiTheme="minorHAnsi" w:cstheme="minorHAnsi"/>
                <w:szCs w:val="20"/>
                <w:lang w:val="en-US"/>
              </w:rPr>
              <w:instrText>to</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treat group. Study results will be provided until the end of 2015 to contribute to the final decision of the Federal Joint Committee Germany regarding the general admission of negative pressure wound therapy as a standard of performance within both medical sectors.","archive_location":"CN-01534125","container-title":"https://clinicaltrials.gov/show/NCT01480362","DOI":"http://dx.doi.org/10.1136/bmjopen-2018-026345","journalAbbreviation":"BMJ Open","title":"Negative pressure wound therapy compared with standard moist wound care on diabetic foot ulcers in real-life clinical practice: results of the German DiaFu-RCT - NCT01480362","URL":"https://www.cochranelibrary.com/central/doi/10.1002/central/CN-01534125/full","author":[{"family":"Seidel","given":"Dörthe"},{"family":"Storck","given":"Martin"},{"family":"Lawall","given":"Holger"},{"family":"Wozniak","given":"Gernold"}],"issued":{"date-parts":[["2020"]]}}}],"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(182)</w:t>
            </w:r>
            <w:r w:rsidRPr="00CA32B9">
              <w:rPr>
                <w:rFonts w:asciiTheme="minorHAnsi" w:hAnsiTheme="minorHAnsi" w:cstheme="minorHAnsi"/>
                <w:szCs w:val="20"/>
                <w:lang w:val="en-US"/>
              </w:rPr>
              <w:fldChar w:fldCharType="end"/>
            </w:r>
          </w:p>
        </w:tc>
      </w:tr>
      <w:tr w:rsidR="0056668F" w14:paraId="0B8FCD98" w14:textId="77777777" w:rsidTr="0056668F">
        <w:tc>
          <w:tcPr>
            <w:tcW w:w="9060" w:type="dxa"/>
            <w:gridSpan w:val="4"/>
            <w:vAlign w:val="center"/>
          </w:tcPr>
          <w:p w14:paraId="1A781379" w14:textId="3F91180C" w:rsidR="0056668F" w:rsidRDefault="0056668F" w:rsidP="0056668F">
            <w:pPr>
              <w:jc w:val="left"/>
              <w:rPr>
                <w:lang w:val="en-US"/>
              </w:rPr>
            </w:pPr>
            <w:r w:rsidRPr="00CA32B9">
              <w:rPr>
                <w:rFonts w:asciiTheme="minorHAnsi" w:hAnsiTheme="minorHAnsi" w:cstheme="minorHAnsi"/>
                <w:b/>
                <w:szCs w:val="20"/>
                <w:lang w:val="en-US"/>
              </w:rPr>
              <w:t>Ulcer area reduction</w:t>
            </w:r>
          </w:p>
        </w:tc>
      </w:tr>
      <w:tr w:rsidR="0056668F" w14:paraId="7EFBD3A2" w14:textId="77777777" w:rsidTr="0022700A">
        <w:tc>
          <w:tcPr>
            <w:tcW w:w="2830" w:type="dxa"/>
            <w:vAlign w:val="center"/>
          </w:tcPr>
          <w:p w14:paraId="7A770555" w14:textId="0022370E" w:rsidR="0056668F" w:rsidRDefault="0056668F" w:rsidP="0056668F">
            <w:pPr>
              <w:jc w:val="center"/>
              <w:rPr>
                <w:lang w:val="en-US"/>
              </w:rPr>
            </w:pPr>
            <w:r w:rsidRPr="00CA32B9">
              <w:rPr>
                <w:rFonts w:asciiTheme="minorHAnsi" w:hAnsiTheme="minorHAnsi" w:cstheme="minorHAnsi"/>
                <w:szCs w:val="20"/>
                <w:lang w:val="en-US"/>
              </w:rPr>
              <w:t>4 studies (I) - 5 studies (</w:t>
            </w:r>
            <w:r w:rsidRPr="00CA32B9">
              <w:rPr>
                <w:rFonts w:asciiTheme="minorHAnsi" w:eastAsia="Times New Roman" w:hAnsiTheme="minorHAnsi" w:cstheme="minorHAnsi"/>
                <w:szCs w:val="20"/>
                <w:lang w:val="en-US"/>
              </w:rPr>
              <w:t>II)</w:t>
            </w:r>
          </w:p>
        </w:tc>
        <w:tc>
          <w:tcPr>
            <w:tcW w:w="1157" w:type="dxa"/>
            <w:vAlign w:val="center"/>
          </w:tcPr>
          <w:p w14:paraId="4314846A" w14:textId="3BA6BC66" w:rsidR="0056668F" w:rsidRDefault="0056668F" w:rsidP="0056668F">
            <w:pPr>
              <w:jc w:val="center"/>
              <w:rPr>
                <w:lang w:val="en-US"/>
              </w:rPr>
            </w:pPr>
            <w:r w:rsidRPr="00CA32B9">
              <w:rPr>
                <w:rFonts w:asciiTheme="minorHAnsi" w:hAnsiTheme="minorHAnsi" w:cstheme="minorHAnsi"/>
                <w:szCs w:val="20"/>
                <w:lang w:val="en-US"/>
              </w:rPr>
              <w:t>6,1</w:t>
            </w:r>
          </w:p>
        </w:tc>
        <w:tc>
          <w:tcPr>
            <w:tcW w:w="2009" w:type="dxa"/>
            <w:vMerge w:val="restart"/>
            <w:vAlign w:val="center"/>
          </w:tcPr>
          <w:p w14:paraId="0528BE23" w14:textId="06966442" w:rsidR="0056668F" w:rsidRDefault="0056668F" w:rsidP="0056668F">
            <w:pPr>
              <w:jc w:val="center"/>
              <w:rPr>
                <w:lang w:val="en-US"/>
              </w:rPr>
            </w:pPr>
            <w:r w:rsidRPr="00CA32B9">
              <w:rPr>
                <w:rFonts w:asciiTheme="minorHAnsi" w:hAnsiTheme="minorHAnsi" w:cstheme="minorHAnsi"/>
                <w:szCs w:val="20"/>
                <w:lang w:val="en-US"/>
              </w:rPr>
              <w:t>Moderate</w:t>
            </w:r>
          </w:p>
        </w:tc>
        <w:tc>
          <w:tcPr>
            <w:tcW w:w="3064" w:type="dxa"/>
            <w:vAlign w:val="center"/>
          </w:tcPr>
          <w:p w14:paraId="07130036" w14:textId="5290F99D"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kY9ywQ6b","properties":{"formattedCitation":"(175,177\\uc0\\u8211{}180,183\\uc0\\u8211{}186)","plainCitation":"(175,177–180,183–186)","noteIndex":0},"citationItems":[{"id":73581,"uris":["http://zotero.org/users/5328021/items/GDB89Q8C"],"uri":["http://zotero.org/users/5328021/items/GDB89Q8C"],"itemData":{"id":73581,"type":"article-journal","abstract":"Background: Diabetic foot ulcer (DFU) is one the serious disabling conditions in  patients with diabetes. Several approaches are available to manage DFU including  Negative Pressure Wound Therapy (NPWT). The objective of this overview is systematically reviewing the related reviews about the effectiveness, safety, and cost benefits of NPWT interventions. Methods: In October 2018, electronic databases including Medline, Embase, Scopous, Web of Science, the Cochrane Library and Google scholar were searched for systematic reviews about the NPWT's  effectiveness and safety in DFUs. The Assessment of Multiple Systematic Reviews 2 (AMSTAR2) checklist was used for the appraisal of the systematic reviews. According to this checklist the studies were categorized as high, moderate, low and critically low quality. Results: The electronic searches yielded 6889 studies. After excluding duplicates and those not fellfield the inclusion criteria, 23 systematic reviews were considered. The sample size of the reviews ranged between 20 and 2800 patients published since 2004 to 2018. Twenty systematic reviews (86.95%) included only randomized clinical trials (RCT). Regarding the AMSTAR-2 checklist, 7 studies were assigned to high quality, 8 were categorized as low quality and 8 studies belonged to the critically low quality groups. Accordingly, three, two and one out of seven high quality studies approved the effectiveness, safety and cost benefit of the NPWT therapy, respectively. However, some of them declared that there is some flaws in RCTs designing. Conclusion: This overview illustrated that either systematic reviews or the included RCTs had wide variety of quality and heterogeneity in order to provide high level of evidence. Hence, well-designed RCTs as well as meta-analysis are required to shade the light on different aspects of NPWT.","container-title":"Journal of diabetes and metabolic disorders","issue":"2","journalAbbreviation":"J Diabetes Metab Disord","language":"eng","note":"PMID: 31890688 \nPMCID: PMC6915190","page":"625-641","title":"The effectiveness of negative pressure wound therapy as a novel management of diabetic foot ulcers: an overview of systematic reviews.","volume":"18","author":[{"family":"Mohseni","given":"Shahrzad"},{"family":"Aalaa","given":"Maryam"},{"family":"Atlasi","given":"Rasha"},{"family":"Mohajeri Tehrani","given":"Mohamad Reza"},{"family":"Sanjari","given":"Mahnaz"},{"family":"Amini","given":"Mohamad Reza"}],"issued":{"date-parts":[["2019",12]]}}},{"id":47518,"uris":["http://zotero.org/users/5328021/items/47EC82ZD"],"uri":["http://zotero.org/users/5328021/items/47EC82ZD"],"itemData":{"id":47518,"type":"article-journal","abstract":"OBJECTIVES: The aim of this study was to perform an updated systematic review and meta-analysis to assess the clinical efficacy, safety, and cost-effectiveness of negative-pressure wound therapy (NPWT) in the treatment of diabetic foot ulcers (DFUs).\nMETHODS: We searched the Cochrane Library, MEDLINE, EMBASE, Ovid, and Chinese Biological Medicine databases up to June 30, 2016. We also manually searched the articles from reference lists of the retrieved articles, which used the NPWT system in studies of vacuum-assisted closure therapy. Studies were identified and selected, and two independent reviewers extracted data from the studies.\nRESULTS: A total of eleven randomized controlled trials, which included a total of 1,044 patients, were selected from 691 identified studies. Compared with standard dressing changes, NPWT had a higher rate of complete healing of ulcers (relative risk, 1.48; 95% confidence interval [CI]: 1.24-1.76; P&lt;0.001), shorter healing time (mean difference, -8.07; 95% CI: -13.70- -2.45; P=0.005), greater reduction in ulcer area (mean difference, 12.18; 95% CI: 8.50-15.86; P&lt;0.00001), greater reduction in ulcer depth (mean difference, 40.82; 95% CI: 35.97-45.67; P&lt;0.00001), fewer amputations (relative risk, 0.31; 95% CI: 0.15-0.62; P=0.001), and no effect on the incidence of treatment-related adverse effects (relative risk, 1.12; 95% CI: 0.66-1.89; P=0.68). Meanwhile, many analyses showed that the NPWT was more cost-effective than standard dressing changes.\nCONCLUSION: These results indicate that NPWT is efficacious, safe, and cost-effective in treating DFUs.","container-title":"Therapeutics and Clinical Risk Management","journalAbbreviation":"Ther Clin Risk Manag","language":"eng","note":"PMID: 28458556\nPMCID: PMC5403129","page":"533-544","title":"Evaluation of negative-pressure wound therapy for patients with diabetic foot ulcers: systematic review and meta-analysis","volume":"13","author":[{"family":"Liu","given":"Si"},{"family":"He","given":"Chao-Zhu"},{"family":"Cai","given":"Yan-Ting"},{"family":"Xing","given":"Qiu-Ping"},{"family":"Guo","given":"Ying-Zhen"},{"family":"Chen","given":"Zhi-Long"},{"family":"Su","given":"Ji-Liang"},{"family":"Yang","given":"Li-Ping"}],"issued":{"date-parts":[["2017"]]}}},{"id":84228,"uris":["http://zotero.org/users/5328021/items/8ZL3TLI5"],"uri":["http://zotero.org/users/5328021/items/8ZL3TLI5"],"itemData":{"id":84228,"type":"article-journal","abstract":"Objective: To assess the efficacy of Vacuum Assisted Closure therapy as compared with conventional dressing in chronic leg ulcer in type 2 diabetes mellitus. Methods: 100 patients were included in this case</w:instrText>
            </w:r>
            <w:r>
              <w:rPr>
                <w:rFonts w:ascii="Cambria Math" w:hAnsi="Cambria Math" w:cs="Cambria Math"/>
                <w:szCs w:val="20"/>
                <w:lang w:val="en-US"/>
              </w:rPr>
              <w:instrText>‐</w:instrText>
            </w:r>
            <w:r>
              <w:rPr>
                <w:rFonts w:asciiTheme="minorHAnsi" w:hAnsiTheme="minorHAnsi" w:cstheme="minorHAnsi"/>
                <w:szCs w:val="20"/>
                <w:lang w:val="en-US"/>
              </w:rPr>
              <w:instrText>control study and randomly assigned in equal numbers to receive either VAC therapy once weekly or conventional dressing once daily in addition to the standard treatment for good glycemic control by insulin and control of infection by appropriate antibiotics and debridement, if needed. Effect was observed every week to see the response up to a maximum of 12 weeks. Primary endpoint of ulcer healing was measured by reduction in the ulcer area of the two longest perpendicular diameters from baseline and defined as complete, partial (&gt;50% reduction), non</w:instrText>
            </w:r>
            <w:r>
              <w:rPr>
                <w:rFonts w:ascii="Cambria Math" w:hAnsi="Cambria Math" w:cs="Cambria Math"/>
                <w:szCs w:val="20"/>
                <w:lang w:val="en-US"/>
              </w:rPr>
              <w:instrText>‐</w:instrText>
            </w:r>
            <w:r>
              <w:rPr>
                <w:rFonts w:asciiTheme="minorHAnsi" w:hAnsiTheme="minorHAnsi" w:cstheme="minorHAnsi"/>
                <w:szCs w:val="20"/>
                <w:lang w:val="en-US"/>
              </w:rPr>
              <w:instrText>complete (&lt;50% reduction) and non</w:instrText>
            </w:r>
            <w:r>
              <w:rPr>
                <w:rFonts w:ascii="Cambria Math" w:hAnsi="Cambria Math" w:cs="Cambria Math"/>
                <w:szCs w:val="20"/>
                <w:lang w:val="en-US"/>
              </w:rPr>
              <w:instrText>‐</w:instrText>
            </w:r>
            <w:r>
              <w:rPr>
                <w:rFonts w:asciiTheme="minorHAnsi" w:hAnsiTheme="minorHAnsi" w:cstheme="minorHAnsi"/>
                <w:szCs w:val="20"/>
                <w:lang w:val="en-US"/>
              </w:rPr>
              <w:instrText>responder. Results: Findings at sixth week revealed complete healing in 15 (30%) among study group compared to 4 (8%) in controls with statistically signifi</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 cant association. After 12 weeks, 10 (20%) cases in control group had complete healing 19 (38%) had partial healing, 16 (32%) had non</w:instrText>
            </w:r>
            <w:r>
              <w:rPr>
                <w:rFonts w:ascii="Cambria Math" w:hAnsi="Cambria Math" w:cs="Cambria Math"/>
                <w:szCs w:val="20"/>
                <w:lang w:val="en-US"/>
              </w:rPr>
              <w:instrText>‐</w:instrText>
            </w:r>
            <w:r>
              <w:rPr>
                <w:rFonts w:asciiTheme="minorHAnsi" w:hAnsiTheme="minorHAnsi" w:cstheme="minorHAnsi"/>
                <w:szCs w:val="20"/>
                <w:lang w:val="en-US"/>
              </w:rPr>
              <w:instrText>complete healing, 5 (10%) were non responders/drop</w:instrText>
            </w:r>
            <w:r>
              <w:rPr>
                <w:rFonts w:ascii="Cambria Math" w:hAnsi="Cambria Math" w:cs="Cambria Math"/>
                <w:szCs w:val="20"/>
                <w:lang w:val="en-US"/>
              </w:rPr>
              <w:instrText>‐</w:instrText>
            </w:r>
            <w:r>
              <w:rPr>
                <w:rFonts w:asciiTheme="minorHAnsi" w:hAnsiTheme="minorHAnsi" w:cstheme="minorHAnsi"/>
                <w:szCs w:val="20"/>
                <w:lang w:val="en-US"/>
              </w:rPr>
              <w:instrText>out while in study group 27 (54%) had complete healing, 15 (30%) had partial healing, 4 (8%) had non</w:instrText>
            </w:r>
            <w:r>
              <w:rPr>
                <w:rFonts w:ascii="Cambria Math" w:hAnsi="Cambria Math" w:cs="Cambria Math"/>
                <w:szCs w:val="20"/>
                <w:lang w:val="en-US"/>
              </w:rPr>
              <w:instrText>‐</w:instrText>
            </w:r>
            <w:r>
              <w:rPr>
                <w:rFonts w:asciiTheme="minorHAnsi" w:hAnsiTheme="minorHAnsi" w:cstheme="minorHAnsi"/>
                <w:szCs w:val="20"/>
                <w:lang w:val="en-US"/>
              </w:rPr>
              <w:instrText>complete and 4 (8%) were non responders/drop</w:instrText>
            </w:r>
            <w:r>
              <w:rPr>
                <w:rFonts w:ascii="Cambria Math" w:hAnsi="Cambria Math" w:cs="Cambria Math"/>
                <w:szCs w:val="20"/>
                <w:lang w:val="en-US"/>
              </w:rPr>
              <w:instrText>‐</w:instrText>
            </w:r>
            <w:r>
              <w:rPr>
                <w:rFonts w:asciiTheme="minorHAnsi" w:hAnsiTheme="minorHAnsi" w:cstheme="minorHAnsi"/>
                <w:szCs w:val="20"/>
                <w:lang w:val="en-US"/>
              </w:rPr>
              <w:instrText>out with the differences being statistically significant (X2=15.593; p&lt;0.001). Conclusion: Application of VAC therapy appears to be more efficacious than conventional dressing for treatment of diabetic foot ulcer.","archive_location":"CN-01449857","container-title":"Diabetes","journalAbbreviation":"Diabetes","page":"A555</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","title":"Trial of vacuum-assisted closure in patients with chronic nonhealing leg ulcers in type 2 diabetes mellitus","volume":"65","author":[{"family":"Sihag","given":"B"},{"family":"Chahar","given":"C"},{"family":"Sharma","given":"JK"},{"family":"Agrawal","given":"RP"}],"issued":{"date-parts":[["2016"]]}}},{"id":49564,"uris":["http://zotero.org/users/5328021/items/ZUVSZ3P7"],"uri":["http://zotero.org/users/5328021/items/ZUVSZ3P7"],"itemData":{"id":49564,"type":"article-journal","abstract":"OBJECTIVE: a network meta-analysis was performed to compare the strength and weakness of negative pressure wound therapy (NPWT) with ultrasound debridement (UD) as for diabetic foot ulcers (DFU).\nMETHODS: PubMed, Ovid EMBASE, Web of Science, Cochrane library databases, and Chinese Biomedical Literature Database were searched till February 2015. Clinical compared studies of negative pressure wound therapy and ultrasound debridement were enrolled. The primary efficacy outcomes included healed ulcers, reduction of ulcer areas and time to closure. Secondary amputation including major and minor amputations was used to assess the safety profile.\nRESULTS: Out of 715 studies, 32 were selected which enrolled 2880 diabetic patients. The pooled analysis revealed that NPWT including vacuum assisted closure (VAC) and vacuum sealing drainage (VSD) were as efficacious as ultrasound debridement improving healed ulcers, odds ratio, 0.86; 95% CI 0.28 to 2.6 and 1.2; 95% CI 0.38 to 4, respectively. However, both were better to standard wound care in wound healing patients. Compared with the standard wound care treated diabetic foot ulcers, NPWT and UD resulted in a significantly superior efficacy in time to wound closure and decrement in area of wound. No significances were observed between NPWT and UD groups in both indicators. Fewer patients tended to receive amputation in NPWT and UD groups compared to standard wound care group.\nCONCLUSIONS: The results of the network meta-analysis indicated that negative pressure wound therapy was similar to ultrasound debridement for diabetic foot ulcers, but better than standard wound care both in efficacy and safety profile.","container-title":"International Journal of Clinical and Experimental Medicine","issue":"8","journalAbbreviation":"Int J Clin Exp Med","language":"eng","note":"PMID: 26550165\nPMCID: PMC4612850","page":"12548-12556","title":"Comparisons of negative pressure wound therapy and ultrasonic debridement for diabetic foot ulcers: a network meta-analysis","volume":"8","author":[{"family":"Wang","given":"Ruran"},{"family":"Feng","given":"Yanhua"},{"family":"Di","given":"Bo"}],"issued":{"date-parts":[["2015"]]}}},{"id":51695,"uris":["http://zotero.org/users/5328021/items/YZRJPWCQ"],"uri":["http://zotero.org/users/5328021/items/YZRJPWCQ"],"itemData":{"id":51695,"type":"article-journal","abstract":"BACKGROUND: The authors conducted a meta-analysis to evaluate the effectiveness and safety of negative-pressure wound therapy for diabetic foot ulcers.\nMETHODS: PubMed, EMBASE, and the Cochrane Library were searched to identify relevant studies published up to February of 2013. All randomized controlled trials comparing negative-pressure wound therapy and non-negative-pressure wound therapy (i.e., standard wound care) for diabetic foot ulcers were included. Results were pooled using meta-analysis to assess the efficacy and safety of negative pressure in managing diabetic foot ulcers.\nRESULTS: The databases were derived from eight qualified studies that included a total of 669 patients. Overall, compared with the non-negative-pressure wound therapy-treated diabetic foot ulcers, negative pressure resulted in a significantly higher proportion of healed ulcers (relative risk, 1.52; 95 percent CI, 1.23 to 1.89; p&lt;0.001), more reduction of ulcer area (standardized mean difference, 0.89; 95 percent CI, 0.41 to 1.37; p=0.003), and shorter time to wound healing (standardized mean difference, -1.10; 95 percent CI, -1.83 to -0.37; p=0.003). Negative-pressure wound therapy patients also experienced significantly fewer major amputations (relative risk, 0.14; 95 percent CI, 0.04 to 0.51; p=0.003), but the rate of minor amputations was not affected (p=0.837). No significant difference was observed between negative-pressure wound therapy and non-negative-pressure wound therapy (p=0.683). No heterogeneity among studies was detected.\nCONCLUSION: Negative-pressure wound therapy appears to be more effective for diabetic foot ulcers compared with non-negative-pressure wound therapy, and has a similar safety profile.\nCLINICAL QUESTION/LEVEL OF EVIDENCE: Therapeutic, II.","container-title":"Plastic and Reconstructive Surgery","issue":"1","journalAbbreviation":"Plast. Reconstr. Surg.","language":"eng","note":"PMID: 24622569","page":"141-151","title":"Effectiveness and safety of negative-pressure wound therapy for diabetic foot ulcers: a meta-analysis","volume":"134","author":[{"family":"Zhang","given":"Jian"},{"family":"Hu","given":"Zhi-Cheng"},{"family":"Chen","given":"Dong"},{"family":"Guo","given":"Dong"},{"family":"Zhu","given":"Jia-Yuan"},{"family":"Tang","given":"Bing"}],"issued":{"date-parts":[["2014",7]]}}},{"id":73447,"uris":["http://zotero.org/users/5328021/items/JFDQV6K6"],"uri":["http://zotero.org/users/5328021/items/JFDQV6K6"],"itemData":{"id":73447,"type":"article-journal","abstract":"Vacuum sealing drainage (VSD) is a noninvasive adjunctive therapy to help patients with diabetic foot ulcers by reducing edema and promoting wound healing  and formation of granulation tissue. Multiple databases were searched for relevant studies, and full-text articles comparing VSD and conventional therapy were reviewed. Meta-analyses were conducted with Review Manager 5.0 software to estimate the results of the selected articles. Forest plots, sensitivity analysis, and bias analysis were also performed on the included articles. In total, 10 studies satisfied the inclusion criteria and were selected in this study. The meta-analysis suggested that the duration of therapy, decrease of wound size, and efficacy rate showed statistically significant differences between the 2 groups (mean difference=-12.86; 95% confidence interval [CI] -12.86 to -8.52; p &lt; .00001; mean difference=8.71; 95% CI 3.25 to 14.17; p=.002; relative risk=1.41; 95% CI 1.22 to 1.62; p &lt; .00001, respectively) although the complication rate between the 2 groups was comparable (relative risk=0.83; 95% CI 0.60 to 1.16; p=.28). Publication bias was not assessed because only a few articles were included. In conclusion, VSD is a more effective therapy and is associated with a greater decrease in wound size and shorter time to wound healing, compared to the conventional method.","container-title":"The Journal of foot and ankle surgery : official publication of the American College of Foot and Ankle Surgeons","issue":"5","journalAbbreviation":"J Foot Ankle Surg","language":"eng","note":"PMID: 31474407","page":"954-958","title":"Comparison of Vacuum Sealing Drainage and Traditional Therapy for Treatment of Diabetic Foot Ulcers: A Meta-Analysis.","volume":"58","author":[{"family":"Huang","given":"Qiang"},{"family":"Wang","given":"Ji-Ting"},{"family":"Gu","given":"Han-Cheng"},{"family":"Cao","given":"Gang"},{"family":"Cao","given":"Jian-Chun"}],"issued":{"date-parts":[["2019",9]]}}},{"id":49548,"uris":["http://zotero.org/users/5328021/items/6UU4SNYN"],"uri":["http://zotero.org/users/5328021/items/6UU4SNYN"],"itemData":{"id":49548,"type":"article-journal","abstract":"OBJECTIVE: To evaluate the clinical efficacy of Negative Pressure Wound Therapy (NPWT) using Vacuum Assisted Closure (VAC) compared with Advanced Moist Wound Therapy (AMWT) to treat Diabetic Foot Ulcer (DFU).\nSTUDY DESIGN: Randomized control trial.\nPLACE AND DURATION OF STUDY: Surgical Department, Combined Military Hospital (CMH) / Military Hospital (MH), Rawalpindi, from November 2010 to June 2012.\nMETHODOLOGY: The study consisted of 278 patients, with 139 patients each in Group 'A' and 'B', who were subjected to AMWT and NPWT, respectively. Wound was assessed digitally every week for 2 weeks. Wound dimension and surface area were determined using University of Texas Health Centre at San Antonio (UTHCSA) image tool version 3.0. Efficacies of AMWT and NPWT were compared in terms of reduction in wound area over 2 weeks.\nRESULTS: Mean age of presentation in group A was 55.88 ± 10.97 years while in group B, it was 56.83 ± 11.3 (p=0.48). Mean duration of diabetes at presentation was 15.65 ± 4.86 and 15.96 ± 5.79 years in group A and B, respectively (p=0.74). Majority of patients had Wagner's grade 2 ulcer (82% in group A and 87.8% in group B, p= 0.18). Initial wound size in group A was 15.07 ± 2.92 cm2 and in group B 15.09 ± 2.81 cm2 (p = 0.95). Wound size measured after 2 weeks, treatment was in group A13.70 ± 2.92 cm2 and in group B 11.53 ± 2.78 cm2 (p &lt; 0.001). Wound area reduction in both groups revealed statistically significant faster healing in group B as compared to group A (p &lt; 0.001).\nCONCLUSION: NPWT using VAC was more efficacious than AMWT in the management of diabetic foot ulcers.","container-title":"Journal of the College of Physicians and Surgeons--Pakistan: JCPSP","issue":"11","journalAbbreviation":"J Coll Physicians Surg Pak","language":"eng","note":"PMID: 26577962","page":"789-793","title":"Comparison of Negative Pressure Wound Therapy Using Vacuum-Assisted Closure with Advanced Moist Wound Therapy in the Treatment of Diabetic Foot Ulcers","volume":"25","author":[{"family":"Sajid","given":"Muhammad Tanveer"},{"family":"Mustafa","given":"Qurat ul Ain"},{"family":"Shaheen","given":"Neelofar"},{"family":"Hussain","given":"Syed Mukarram"},{"family":"Shukr","given":"Irfan"},{"family":"Ahmed","given":"Muhammad"}],"issued":{"date-parts":[["2015",11]]}}},{"id":53200,"uris":["http://zotero.org/users/5328021/items/AW7M9V37"],"uri":["http://zotero.org/users/5328021/items/AW7M9V37"],"itemData":{"id":53200,"type":"article-journal","abstract":"BACKGROUND: Vacuum-assisted closure (VAC) is a new method in wound care which speeds wound healing by causing vacuum, improving tissue perfusion and suctioning the exudates. This study aims to evaluate its efficacy in the treatment of diabetic foot ulcers.\nMATERIALS AND METHODS: Thirteen patients with diabetic foot ulcers were enrolled in the moist dressing group, and 10 patients in the VAC group. The site, size and depth of the wound were inspected and recorded before and every three days during the study period. Patient satisfaction and formation of granulation tissue were also assessed.\nRESULTS: Improvement of the wound in the form of reducing the diameter and depth and increasing proliferation of granulation tissue was significant in most of the patients of the VAC group after two weeks. Satisfaction of patients in the VAC group was evaluated as excellent as no amputation was done in this group. Wagner score was reduced in both the study groups, although this decrement was not significant in the moist dressing group.\nCONCLUSION: VAC appears to be as safe as and more efficacious than moist dressing for the treatment of diabetic foot ulcers.","container-title":"Journal of Cutaneous and Aesthetic Surgery","issue":"1","journalAbbreviation":"J Cutan Aesthet Surg","language":"eng","note":"PMID: 23723599\nPMCID: PMC3663170","page":"17-20","title":"Comparision of vacuum-asisted closure and moist wound dressing in the treatment of diabetic foot ulcers","volume":"6","author":[{"family":"Ravari","given":"Hassan"},{"family":"Modaghegh","given":"Mohammad-Hadi Saeed"},{"family":"Kazemzadeh","given":"Gholam Hosein"},{"family":"Johari","given":"Hamed Ghoddusi"},{"family":"Vatanchi","given":"Attieh Mohammadzadeh"},{"family":"Sangaki","given":"Abolghasem"},{"family":"Shahrodi","given":"Mohammad Vahedian"}],"issued":{"date-parts":[["2013",1]]}}},{"id":55153,"uris":["http://zotero.org/users/5328021/items/N3QY8RUI"],"uri":["http://zotero.org/users/5328021/items/N3QY8RUI"],"itemData":{"id":55153,"type":"article-journal","abstract":"INTRODUCTION: Foot disorders such as ulceration, infection and gangrene are the most common, complex and costly sequelae of diabetes mellitus.[1-3] Even for the most superficial wounds, treatment is often difficult with poor healing responses and high rates of complications. The purpose of this study is to compare the rate of ulcer healing with the negative pressure dressing technique to conventional moist dressings in the treatment of diabetic foot ulcers.\nMATERIALS AND METHODS: The study was conducted on 30 patients, which were divided into two groups. One group received negative pressure dressing while other group received conventional saline moistened gauze dressing. Results were compared for rate of wound healing.\nRESULTS: There was a statistically significant difference in the rate of appearance of granulation tissue between the two groups; with granulation tissue appearing earlier in the study group. The study group promised a better outcome (80% complete responders) as compared to the control group (60% complete responders).\nCONCLUSIONS: Negative pressure wound therapy has a definitive role in healing of diabetic foot ulcers.","container-title":"Journal of Surgical Technique and Case Report","issue":"1","journalAbbreviation":"J Surg Tech Case Rep","language":"eng","note":"PMID: 22022649\nPMCID: PMC3192517","page":"17-22","title":"Role of negative pressure wound therapy in healing of diabetic foot ulcers","volume":"3","author":[{"family":"Nain","given":"Prabhdeep Singh"},{"family":"Uppal","given":"Sanjeev K."},{"family":"Garg","given":"Ramneesh"},{"family":"Bajaj","given":"Kuljyot"},{"family":"Garg","given":"Shirin"}],"issued":{"date-parts":[["2011",1]]}}}],"schema":"https://github.com/citation-style-language/schema/raw/master/csl-citation.json"}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(175,177–180,183–186)</w:t>
            </w:r>
            <w:r w:rsidRPr="00CA32B9">
              <w:rPr>
                <w:rFonts w:asciiTheme="minorHAnsi" w:hAnsiTheme="minorHAnsi" w:cstheme="minorHAnsi"/>
                <w:szCs w:val="20"/>
                <w:lang w:val="en-US"/>
              </w:rPr>
              <w:fldChar w:fldCharType="end"/>
            </w:r>
          </w:p>
        </w:tc>
      </w:tr>
      <w:tr w:rsidR="0056668F" w14:paraId="39139625" w14:textId="77777777" w:rsidTr="0022700A">
        <w:tc>
          <w:tcPr>
            <w:tcW w:w="2830" w:type="dxa"/>
            <w:vAlign w:val="center"/>
          </w:tcPr>
          <w:p w14:paraId="3508F6EC" w14:textId="1EC4DA5F"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 study (I)</w:t>
            </w:r>
          </w:p>
        </w:tc>
        <w:tc>
          <w:tcPr>
            <w:tcW w:w="1157" w:type="dxa"/>
            <w:vAlign w:val="center"/>
          </w:tcPr>
          <w:p w14:paraId="33F57A73" w14:textId="00FA3C4B"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6</w:t>
            </w:r>
          </w:p>
        </w:tc>
        <w:tc>
          <w:tcPr>
            <w:tcW w:w="2009" w:type="dxa"/>
            <w:vMerge/>
            <w:vAlign w:val="center"/>
          </w:tcPr>
          <w:p w14:paraId="6B6768E3" w14:textId="77777777" w:rsidR="0056668F" w:rsidRDefault="0056668F" w:rsidP="0056668F">
            <w:pPr>
              <w:jc w:val="center"/>
              <w:rPr>
                <w:lang w:val="en-US"/>
              </w:rPr>
            </w:pPr>
          </w:p>
        </w:tc>
        <w:tc>
          <w:tcPr>
            <w:tcW w:w="3064" w:type="dxa"/>
            <w:vAlign w:val="center"/>
          </w:tcPr>
          <w:p w14:paraId="792FC7DE" w14:textId="1AE7AB31"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HxHny39o","properties":{"formattedCitation":"(187)","plainCitation":"(187)","noteIndex":0},"citationItems":[{"id":73914,"uris":["http://zotero.org/users/5328021/items/E75TR2NF"],"uri":["http://zotero.org/users/5328021/items/E75TR2NF"],"itemData":{"id":73914,"type":"article-journal","abstract":"PURPOSE: Negative-pressure wound therapy (NPWT) is an adjunct modality in diabetic foot ulcerations (DFUs). Randomized controlled trials (RCTs) have shown  its advantage over standard approaches; however, data from observational studies  remain scarce.We performed a systematic review of observational non-RCTs evaluating NPWT efficacy and safety in patients with DFU. METHODS: Electronic databases were searched for observational studies involving NPWT. The results of  single-arm studies were presented as percentages of patients with the outcome of  interest. A meta-analysis of comparative studies provided point estimates of outcomes. Continuous outcomes were reported as either weighted or standardized mean differences and dichotomous data as relative risks (RR). RESULTS: The search identified 16 relevant observational studies, 12 single-arm, and 4 comparative, reporting on a total of 18,449 patients with DFU, of whom 1882 were managed with  NPWT. In the NPWT-treated patients, ulcers were larger (average size range 6.6-27.9 cm(2)), as compared with controls (&lt;/=3 cm(2)). The pooled results showed healing and major amputation in 51% and 5% of NPWT patients, respectively. The meta-analysis of comparative studies revealed lower risk of major amputation  [RR = 0.23 (0.07; 0.80)] in NPWT-treated patients. The pooled results for healing rate and risk of any amputation were inconclusive due to large between-study heterogeneity. Overall, 6 deaths out of 158 patients were reported, none of them  related to NPWT. Serious adverse events occurred in 6% of patients on NPWT. CONCLUSIONS: This systematic review of observational studies provided supportive  evidence that NWPT is an efficient and safe adjunct treatment in the management of DFUs.","container-title":"Endocrine","journalAbbreviation":"Endocrine","language":"eng","note":"PMID: 31919770","title":"NPWT in diabetic foot wounds-a systematic review and meta-analysis of observational studies.","author":[{"family":"Rys","given":"Przemyslaw"},{"family":"Borys","given":"Sebastian"},{"family":"Hohendorff","given":"Jerzy"},{"family":"Zapala","given":"Aleksandra"},{"family":"Witek","given":"Przemyslaw"},{"family":"Monica","given":"Magdalena"},{"family":"Frankfurter","given":"Claudia"},{"family":"Ludwig-Slomczynska","given":"Agnieszka"},{"family":"Kiec-Wilk","given":"Beata"},{"family":"Malecki","given":"Maciej T."}],"issued":{"date-parts":[["2020",1,9]]}}}],"schema":"https://github.com/citation-style-language/schema/raw/master/csl-citation.json"}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(187)</w:t>
            </w:r>
            <w:r w:rsidRPr="00CA32B9">
              <w:rPr>
                <w:rFonts w:asciiTheme="minorHAnsi" w:hAnsiTheme="minorHAnsi" w:cstheme="minorHAnsi"/>
                <w:szCs w:val="20"/>
                <w:lang w:val="en-US"/>
              </w:rPr>
              <w:fldChar w:fldCharType="end"/>
            </w:r>
          </w:p>
        </w:tc>
      </w:tr>
      <w:tr w:rsidR="0056668F" w14:paraId="38BFE189" w14:textId="77777777" w:rsidTr="0056668F">
        <w:tc>
          <w:tcPr>
            <w:tcW w:w="9060" w:type="dxa"/>
            <w:gridSpan w:val="4"/>
            <w:vAlign w:val="center"/>
          </w:tcPr>
          <w:p w14:paraId="16C5AE64" w14:textId="60587B1E" w:rsidR="0056668F" w:rsidRDefault="0056668F" w:rsidP="0056668F">
            <w:pPr>
              <w:jc w:val="left"/>
              <w:rPr>
                <w:lang w:val="en-US"/>
              </w:rPr>
            </w:pPr>
            <w:r w:rsidRPr="00CA32B9">
              <w:rPr>
                <w:rFonts w:asciiTheme="minorHAnsi" w:hAnsiTheme="minorHAnsi" w:cstheme="minorHAnsi"/>
                <w:b/>
                <w:szCs w:val="20"/>
                <w:lang w:val="en-US"/>
              </w:rPr>
              <w:t>Time to healing</w:t>
            </w:r>
          </w:p>
        </w:tc>
      </w:tr>
      <w:tr w:rsidR="0056668F" w14:paraId="011DE551" w14:textId="77777777" w:rsidTr="0022700A">
        <w:tc>
          <w:tcPr>
            <w:tcW w:w="2830" w:type="dxa"/>
            <w:vAlign w:val="center"/>
          </w:tcPr>
          <w:p w14:paraId="0FF416E7" w14:textId="2AC69037" w:rsidR="0056668F" w:rsidRDefault="0056668F" w:rsidP="0056668F">
            <w:pPr>
              <w:jc w:val="center"/>
              <w:rPr>
                <w:lang w:val="en-US"/>
              </w:rPr>
            </w:pPr>
            <w:r w:rsidRPr="00CA32B9">
              <w:rPr>
                <w:rFonts w:asciiTheme="minorHAnsi" w:hAnsiTheme="minorHAnsi" w:cstheme="minorHAnsi"/>
                <w:szCs w:val="20"/>
                <w:lang w:val="en-US"/>
              </w:rPr>
              <w:t>3 studies (I) - 1 study (</w:t>
            </w:r>
            <w:r w:rsidRPr="00CA32B9">
              <w:rPr>
                <w:rFonts w:asciiTheme="minorHAnsi" w:eastAsia="Times New Roman" w:hAnsiTheme="minorHAnsi" w:cstheme="minorHAnsi"/>
                <w:szCs w:val="20"/>
                <w:lang w:val="en-US"/>
              </w:rPr>
              <w:t>II)</w:t>
            </w:r>
          </w:p>
        </w:tc>
        <w:tc>
          <w:tcPr>
            <w:tcW w:w="1157" w:type="dxa"/>
            <w:vAlign w:val="center"/>
          </w:tcPr>
          <w:p w14:paraId="221F68CC" w14:textId="1E975FF4" w:rsidR="0056668F" w:rsidRDefault="0056668F" w:rsidP="0056668F">
            <w:pPr>
              <w:jc w:val="center"/>
              <w:rPr>
                <w:lang w:val="en-US"/>
              </w:rPr>
            </w:pPr>
            <w:r w:rsidRPr="00CA32B9">
              <w:rPr>
                <w:rFonts w:asciiTheme="minorHAnsi" w:hAnsiTheme="minorHAnsi" w:cstheme="minorHAnsi"/>
                <w:szCs w:val="20"/>
                <w:lang w:val="en-US"/>
              </w:rPr>
              <w:t>7,7</w:t>
            </w:r>
          </w:p>
        </w:tc>
        <w:tc>
          <w:tcPr>
            <w:tcW w:w="2009" w:type="dxa"/>
            <w:vMerge w:val="restart"/>
            <w:vAlign w:val="center"/>
          </w:tcPr>
          <w:p w14:paraId="2A041B86" w14:textId="3048E28B" w:rsidR="0056668F" w:rsidRDefault="0056668F" w:rsidP="0056668F">
            <w:pPr>
              <w:jc w:val="center"/>
              <w:rPr>
                <w:lang w:val="en-US"/>
              </w:rPr>
            </w:pPr>
            <w:r w:rsidRPr="00CA32B9">
              <w:rPr>
                <w:rFonts w:asciiTheme="minorHAnsi" w:hAnsiTheme="minorHAnsi" w:cstheme="minorHAnsi"/>
                <w:szCs w:val="20"/>
                <w:lang w:val="en-US"/>
              </w:rPr>
              <w:t>Good</w:t>
            </w:r>
          </w:p>
        </w:tc>
        <w:tc>
          <w:tcPr>
            <w:tcW w:w="3064" w:type="dxa"/>
            <w:vAlign w:val="center"/>
          </w:tcPr>
          <w:p w14:paraId="7AA0AD1B" w14:textId="7727AC3C"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Ll1Gobyv","properties":{"formattedCitation":"(175,177,179,180)","plainCitation":"(175,177,179,180)","noteIndex":0},"citationItems":[{"id":73581,"uris":["http://zotero.org/users/5328021/items/GDB89Q8C"],"uri":["http://zotero.org/users/5328021/items/GDB89Q8C"],"itemData":{"id":73581,"type":"article-journal","abstract":"Background: Diabetic foot ulcer (DFU) is one the serious disabling conditions in  patients with diabetes. Several approaches are available to manage DFU including  Negative Pressure Wound Therapy (NPWT). The objective of this overview is systematically reviewing the related reviews about the effectiveness, safety, and cost benefits of NPWT interventions. Methods: In October 2018, electronic databases including Medline, Embase, Scopous, Web of Science, the Cochrane Library and Google scholar were searched for systematic reviews about the NPWT's  effectiveness and safety in DFUs. The Assessment of Multiple Systematic Reviews 2 (AMSTAR2) checklist was used for the appraisal of the systematic reviews. According to this checklist the studies were categorized as high, moderate, low and critically low quality. Results: The electronic searches yielded 6889 studies. After excluding duplicates and those not fellfield the inclusion criteria, 23 systematic reviews were considered. The sample size of the reviews ranged between 20 and 2800 patients published since 2004 to 2018. Twenty systematic reviews (86.95%) included only randomized clinical trials (RCT). Regarding the AMSTAR-2 checklist, 7 studies were assigned to high quality, 8 were categorized as low quality and 8 studies belonged to the critically low quality groups. Accordingly, three, two and one out of seven high quality studies approved the effectiveness, safety and cost benefit of the NPWT therapy, respectively. However, some of them declared that there is some flaws in RCTs designing. Conclusion: This overview illustrated that either systematic reviews or the included RCTs had wide variety of quality and heterogeneity in order to provide high level of evidence. Hence, well-designed RCTs as well as meta-analysis are required to shade the light on different aspects of NPWT.","container-title":"Journal of diabetes and metabolic disorders","issue":"2","journalAbbreviation":"J Diabetes Metab Disord","language":"eng","note":"PMID: 31890688 \nPMCID: PMC6915190","page":"625-641","title":"The effectiveness of negative pressure wound therapy as a novel management of diabetic foot ulcers: an overview of systematic reviews.","volume":"18","author":[{"family":"Mohseni","given":"Shahrzad"},{"family":"Aalaa","given":"Maryam"},{"family":"Atlasi","given":"Rasha"},{"family":"Mohajeri Tehrani","given":"Mohamad Reza"},{"family":"Sanjari","given":"Mahnaz"},{"family":"Amini","given":"Mohamad Reza"}],"issued":{"date-parts":[["2019",12]]}}},{"id":47518,"uris":["http://zotero.org/users/5328021/items/47EC82ZD"],"uri":["http://zotero.org/users/5328021/items/47EC82ZD"],"itemData":{"id":47518,"type":"article-journal","abstract":"OBJECTIVES: The aim of this study was to perform an updated systematic review and meta-analysis to assess the clinical efficacy, safety, and cost-effectiveness of negative-pressure wound therapy (NPWT) in the treatment of diabetic foot ulcers (DFUs).\nMETHODS: We searched the Cochrane Library, MEDLINE, EMBASE, Ovid, and Chinese Biological Medicine databases up to June 30, 2016. We also manually searched the articles from reference lists of the retrieved articles, which used the NPWT system in studies of vacuum-assisted closure therapy. Studies were identified and selected, and two independent reviewers extracted data from the studies.\nRESULTS: A total of eleven randomized controlled trials, which included a total of 1,044 patients, were selected from 691 identified studies. Compared with standard dressing changes, NPWT had a higher rate of complete healing of ulcers (relative risk, 1.48; 95% confidence interval [CI]: 1.24-1.76; P&lt;0.001), shorter healing time (mean difference, -8.07; 95% CI: -13.70- -2.45; P=0.005), greater reduction in ulcer area (mean difference, 12.18; 95% CI: 8.50-15.86; P&lt;0.00001), greater reduction in ulcer depth (mean difference, 40.82; 95% CI: 35.97-45.67; P&lt;0.00001), fewer amputations (relative risk, 0.31; 95% CI: 0.15-0.62; P=0.001), and no effect on the incidence of treatment-related adverse effects (relative risk, 1.12; 95% CI: 0.66-1.89; P=0.68). Meanwhile, many analyses showed that the NPWT was more cost-effective than standard dressing changes.\nCONCLUSION: These results indicate that NPWT is efficacious, safe, and cost-effective in treating DFUs.","container-title":"Therapeutics and Clinical Risk Management","journalAbbreviation":"Ther Clin Risk Manag","language":"eng","note":"PMID: 28458556\nPMCID: PMC5403129","page":"533-544","title":"Evaluation of negative-pressure wound therapy for patients with diabetic foot ulcers: systematic review and meta-analysis","volume":"13","author":[{"family":"Liu","given":"Si"},{"family":"He","given":"Chao-Zhu"},{"family":"Cai","given":"Yan-Ting"},{"family":"Xing","given":"Qiu-Ping"},{"family":"Guo","given":"Ying-Zhen"},{"family":"Chen","given":"Zhi-Long"},{"family":"Su","given":"Ji-Liang"},{"family":"Yang","given":"Li-Ping"}],"issued":{"date-parts":[["2017"]]}}},{"id":49564,"uris":["http://zotero.org/users/5328021/items/ZUVSZ3P7"],"uri":["http://zotero.org/users/5328021/items/ZUVSZ3P7"],"itemData":{"id":49564,"type":"article-journal","abstract":"OBJECTIVE: a network meta-analysis was performed to compare the strength and weakness of negative pressure wound therapy (NPWT) with ultrasound debridement (UD) as for diabetic foot ulcers (DFU).\nMETHODS: PubMed, Ovid EMBASE, Web of Science, Cochrane library databases, and Chinese Biomedical Literature Database were searched till February 2015. Clinical compared studies of negative pressure wound therapy and ultrasound debridement were enrolled. The primary efficacy outcomes included healed ulcers, reduction of ulcer areas and time to closure. Secondary amputation including major and minor amputations was used to assess the safety profile.\nRESULTS: Out of 715 studies, 32 were selected which enrolled 2880 diabetic patients. The pooled analysis revealed that NPWT including vacuum assisted closure (VAC) and vacuum sealing drainage (VSD) were as efficacious as ultrasound debridement improving healed ulcers, odds ratio, 0.86; 95% CI 0.28 to 2.6 and 1.2; 95% CI 0.38 to 4, respectively. However, both were better to standard wound care in wound healing patients. Compared with the standard wound care treated diabetic foot ulcers, NPWT and UD resulted in a significantly superior efficacy in time to wound closure and decrement in area of wound. No significances were observed between NPWT and UD groups in both indicators. Fewer patients tended to receive amputation in NPWT and UD groups compared to standard wound care group.\nCONCLUSIONS: The results of the network meta-analysis indicated that negative pressure wound therapy was similar to ultrasound debridement for diabetic foot ulcers, but better than standard wound care both in efficacy and safety profile.","container-title":"International Journal of Clinical and Experimental Medicine","issue":"8","journalAbbreviation":"Int J Clin Exp Med","language":"eng","note":"PMID: 26550165\nPMCID: PMC4612850","page":"12548-12556","title":"Comparisons of negative pressure wound therapy and ultrasonic debridement for diabetic foot ulcers: a network meta-analysis","volume":"8","author":[{"family":"Wang","given":"Ruran"},{"family":"Feng","given":"Yanhua"},{"family":"Di","given":"Bo"}],"issued":{"date-parts":[["2015"]]}}},{"id":51695,"uris":["http://zotero.org/users/5328021/items/YZRJPWCQ"],"uri":["http://zotero.org/users/5328021/items/YZRJPWCQ"],"itemData":{"id":51695,"type":"article-journal","abstract":"BACKGROUND: The authors conducted a meta-analysis to evaluate the effectiveness and safety of negative-pressure wound therapy for diabetic foot ulcers.\nMETHODS: PubMed, EMBASE, and the Cochrane Library were searched to identify relevant studies published up to February of 2013. All randomized controlled trials comparing negative-pressure wound therapy and non-negative-pressure wound therapy (i.e., standard wound care) for diabetic foot ulcers were included. Results were pooled using meta-analysis to assess the efficacy and safety of negative pressure in managing diabetic foot ulcers.\nRESULTS: The databases were derived from eight qualified studies that included a total of 669 patients. Overall, compared with the non-negative-pressure wound therapy-treated diabetic foot ulcers, negative pressure resulted in a significantly higher proportion of healed ulcers (relative risk, 1.52; 95 percent CI, 1.23 to 1.89; p&lt;0.001), more reduction of ulcer area (standardized mean difference, 0.89; 95 percent CI, 0.41 to 1.37; p=0.003), and shorter time to wound healing (standardized mean difference, -1.10; 95 percent CI, -1.83 to -0.37; p=0.003). Negative-pressure wound therapy patients also experienced significantly fewer major amputations (relative risk, 0.14; 95 percent CI, 0.04 to 0.51; p=0.003), but the rate of minor amputations was not affected (p=0.837). No significant difference was observed between negative-pressure wound therapy and non-negative-pressure wound therapy (p=0.683). No heterogeneity among studies was detected.\nCONCLUSION: Negative-pressure wound therapy appears to be more effective for diabetic foot ulcers compared with non-negative-pressure wound therapy, and has a similar safety profile.\nCLINICAL QUESTION/LEVEL OF EVIDENCE: Therapeutic, II.","container-title":"Plastic and Reconstructive Surgery","issue":"1","journalAbbreviation":"Plast. Reconstr. Surg.","language":"eng","note":"PMID: 24622569","page":"141-151","title":"Effectiveness and safety of negative-pressure wound therapy for diabetic foot ulcers: a meta-analysis","volume":"134","author":[{"family":"Zhang","given":"Jian"},{"family":"Hu","given":"Zhi-Cheng"},{"family":"Chen","given":"Dong"},{"family":"Guo","given":"Dong"},{"family":"Zhu","given":"Jia-Yuan"},{"family":"Tang","given":"Bing"}],"issued":{"date-parts":[["2014",7]]}}}],"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(175,177,179,180)</w:t>
            </w:r>
            <w:r w:rsidRPr="00CA32B9">
              <w:rPr>
                <w:rFonts w:asciiTheme="minorHAnsi" w:hAnsiTheme="minorHAnsi" w:cstheme="minorHAnsi"/>
                <w:szCs w:val="20"/>
                <w:lang w:val="en-US"/>
              </w:rPr>
              <w:fldChar w:fldCharType="end"/>
            </w:r>
          </w:p>
        </w:tc>
      </w:tr>
      <w:tr w:rsidR="0056668F" w14:paraId="4AF67150" w14:textId="77777777" w:rsidTr="0022700A">
        <w:tc>
          <w:tcPr>
            <w:tcW w:w="2830" w:type="dxa"/>
            <w:vAlign w:val="center"/>
          </w:tcPr>
          <w:p w14:paraId="4952EF03" w14:textId="48076D69"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 study (II)</w:t>
            </w:r>
          </w:p>
        </w:tc>
        <w:tc>
          <w:tcPr>
            <w:tcW w:w="1157" w:type="dxa"/>
            <w:vAlign w:val="center"/>
          </w:tcPr>
          <w:p w14:paraId="0DA81C43" w14:textId="5FFD3979"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4</w:t>
            </w:r>
          </w:p>
        </w:tc>
        <w:tc>
          <w:tcPr>
            <w:tcW w:w="2009" w:type="dxa"/>
            <w:vMerge/>
            <w:vAlign w:val="center"/>
          </w:tcPr>
          <w:p w14:paraId="0550E579" w14:textId="77777777" w:rsidR="0056668F" w:rsidRDefault="0056668F" w:rsidP="0056668F">
            <w:pPr>
              <w:jc w:val="center"/>
              <w:rPr>
                <w:lang w:val="en-US"/>
              </w:rPr>
            </w:pPr>
          </w:p>
        </w:tc>
        <w:tc>
          <w:tcPr>
            <w:tcW w:w="3064" w:type="dxa"/>
            <w:vAlign w:val="center"/>
          </w:tcPr>
          <w:p w14:paraId="0B80101A" w14:textId="1092B91E"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Y3nx3hH4","properties":{"formattedCitation":"(186)","plainCitation":"(186)","noteIndex":0},"citationItems":[{"id":55153,"uris":["http://zotero.org/users/5328021/items/N3QY8RUI"],"uri":["http://zotero.org/users/5328021/items/N3QY8RUI"],"itemData":{"id":55153,"type":"article-journal","abstract":"INTRODUCTION: Foot disorders such as ulceration, infection and gangrene are the most common, complex and costly sequelae of diabetes mellitus.[1-3] Even for the most superficial wounds, treatment is often difficult with poor healing responses and high rates of complications. The purpose of this study is to compare the rate of ulcer healing with the negative pressure dressing technique to conventional moist dressings in the treatment of diabetic foot ulcers.\nMATERIALS AND METHODS: The study was conducted on 30 patients, which were divided into two groups. One group received negative pressure dressing while other group received conventional saline moistened gauze dressing. Results were compared for rate of wound healing.\nRESULTS: There was a statistically significant difference in the rate of appearance of granulation tissue between the two groups; with granulation tissue appearing earlier in the study group. The study group promised a better outcome (80% complete responders) as compared to the control group (60% complete responders).\nCONCLUSIONS: Negative pressure wound therapy has a definitive role in healing of diabetic foot ulcers.","container-title":"Journal of Surgical Technique and Case Report","issue":"1","journalAbbreviation":"J Surg Tech Case Rep","language":"eng","note":"PMID: 22022649\nPMCID: PMC3192517","page":"17-22","title":"Role of negative pressure wound therapy in healing of diabetic foot ulcers","volume":"3","author":[{"family":"Nain","given":"Prabhdeep Singh"},{"family":"Uppal","given":"Sanjeev K."},{"family":"Garg","given":"Ramneesh"},{"family":"Bajaj","given":"Kuljyot"},{"family":"Garg","given":"Shirin"}],"issued":{"date-parts":[["2011",1]]}}}],"schema":"https://github.com/citation-style-language/schema/raw/master/csl-citation.json"}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(186)</w:t>
            </w:r>
            <w:r w:rsidRPr="00CA32B9">
              <w:rPr>
                <w:rFonts w:asciiTheme="minorHAnsi" w:hAnsiTheme="minorHAnsi" w:cstheme="minorHAnsi"/>
                <w:szCs w:val="20"/>
                <w:lang w:val="en-US"/>
              </w:rPr>
              <w:fldChar w:fldCharType="end"/>
            </w:r>
          </w:p>
        </w:tc>
      </w:tr>
      <w:tr w:rsidR="0056668F" w14:paraId="0969E60B" w14:textId="77777777" w:rsidTr="0056668F">
        <w:tc>
          <w:tcPr>
            <w:tcW w:w="9060" w:type="dxa"/>
            <w:gridSpan w:val="4"/>
            <w:vAlign w:val="center"/>
          </w:tcPr>
          <w:p w14:paraId="16D8776A" w14:textId="68F47F2E" w:rsidR="0056668F" w:rsidRDefault="0056668F" w:rsidP="0056668F">
            <w:pPr>
              <w:jc w:val="left"/>
              <w:rPr>
                <w:lang w:val="en-US"/>
              </w:rPr>
            </w:pPr>
            <w:r w:rsidRPr="00CA32B9">
              <w:rPr>
                <w:rFonts w:asciiTheme="minorHAnsi" w:hAnsiTheme="minorHAnsi" w:cstheme="minorHAnsi"/>
                <w:b/>
                <w:szCs w:val="20"/>
                <w:lang w:val="en-US"/>
              </w:rPr>
              <w:t>Reduction of amputation events</w:t>
            </w:r>
          </w:p>
        </w:tc>
      </w:tr>
      <w:tr w:rsidR="0056668F" w14:paraId="0F4A151B" w14:textId="77777777" w:rsidTr="0022700A">
        <w:tc>
          <w:tcPr>
            <w:tcW w:w="2830" w:type="dxa"/>
            <w:vAlign w:val="center"/>
          </w:tcPr>
          <w:p w14:paraId="0BD942B0" w14:textId="5A43E2E8" w:rsidR="0056668F" w:rsidRDefault="0056668F" w:rsidP="0056668F">
            <w:pPr>
              <w:jc w:val="center"/>
              <w:rPr>
                <w:lang w:val="en-US"/>
              </w:rPr>
            </w:pPr>
            <w:r w:rsidRPr="00CA32B9">
              <w:rPr>
                <w:rFonts w:asciiTheme="minorHAnsi" w:hAnsiTheme="minorHAnsi" w:cstheme="minorHAnsi"/>
                <w:szCs w:val="20"/>
                <w:lang w:val="en-US"/>
              </w:rPr>
              <w:t>2 studies (I) - 2 studies (</w:t>
            </w:r>
            <w:r w:rsidRPr="00CA32B9">
              <w:rPr>
                <w:rFonts w:asciiTheme="minorHAnsi" w:eastAsia="Times New Roman" w:hAnsiTheme="minorHAnsi" w:cstheme="minorHAnsi"/>
                <w:szCs w:val="20"/>
                <w:lang w:val="en-US"/>
              </w:rPr>
              <w:t>II)</w:t>
            </w:r>
          </w:p>
        </w:tc>
        <w:tc>
          <w:tcPr>
            <w:tcW w:w="1157" w:type="dxa"/>
            <w:vAlign w:val="center"/>
          </w:tcPr>
          <w:p w14:paraId="28DFFE0E" w14:textId="7964D617" w:rsidR="0056668F" w:rsidRDefault="0056668F" w:rsidP="0056668F">
            <w:pPr>
              <w:jc w:val="center"/>
              <w:rPr>
                <w:lang w:val="en-US"/>
              </w:rPr>
            </w:pPr>
            <w:r w:rsidRPr="00CA32B9">
              <w:rPr>
                <w:rFonts w:asciiTheme="minorHAnsi" w:hAnsiTheme="minorHAnsi" w:cstheme="minorHAnsi"/>
                <w:szCs w:val="20"/>
                <w:lang w:val="en-US"/>
              </w:rPr>
              <w:t>7,5</w:t>
            </w:r>
          </w:p>
        </w:tc>
        <w:tc>
          <w:tcPr>
            <w:tcW w:w="2009" w:type="dxa"/>
            <w:vMerge w:val="restart"/>
            <w:vAlign w:val="center"/>
          </w:tcPr>
          <w:p w14:paraId="342227B1" w14:textId="2C761B34" w:rsidR="0056668F" w:rsidRDefault="0056668F" w:rsidP="0056668F">
            <w:pPr>
              <w:jc w:val="center"/>
              <w:rPr>
                <w:lang w:val="en-US"/>
              </w:rPr>
            </w:pPr>
            <w:r w:rsidRPr="00CA32B9">
              <w:rPr>
                <w:rFonts w:asciiTheme="minorHAnsi" w:hAnsiTheme="minorHAnsi" w:cstheme="minorHAnsi"/>
                <w:szCs w:val="20"/>
                <w:lang w:val="en-US"/>
              </w:rPr>
              <w:t>Good</w:t>
            </w:r>
          </w:p>
        </w:tc>
        <w:tc>
          <w:tcPr>
            <w:tcW w:w="3064" w:type="dxa"/>
            <w:vAlign w:val="center"/>
          </w:tcPr>
          <w:p w14:paraId="1D598B84" w14:textId="49FE74A1"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z8KPELur","properties":{"formattedCitation":"(176,177,185,188)","plainCitation":"(176,177,185,188)","noteIndex":0},"citationItems":[{"id":45260,"uris":["http://zotero.org/users/5328021/items/55NQ6PRQ"],"uri":["http://zotero.org/users/5328021/items/55NQ6PRQ"],"itemData":{"id":45260,"type":"article-journal","abstract":"BACKGROUND: Foot wounds in people with diabetes mellitus (DM) are a common and serious global health issue. People with DM are prone to developing foot ulcers and, if these do not heal, they may also undergo foot amputation surgery resulting in postoperative wounds. Negative pressure wound therapy (NPWT) is a technology that is currently used widely in wound care. NPWT involves the application of a wound dressing attached to a vacuum suction machine. A carefully controlled negative pressure (or vacuum) sucks wound and tissue fluid away from the treated area into a canister. A clear and current overview of current evidence is required to facilitate decision-making regarding its use.\nOBJECTIVES: To assess the effects of negative pressure wound therapy compared with standard care or other therapies in the treatment of foot wounds in people with DM in any care setting.\nSEARCH METHODS: In January 2018, for this first update of this review, we searched the Cochrane Wounds Specialised Register; the Cochrane Central Register of Controlled Trials (CENTRAL); Ovid MEDLINE (including In-Process &amp; Other Non-Indexed Citations); Ovid Embase and EBSCO CINAHL Plus. We also searched clinical trials registries for ongoing and unpublished studies, and scanned reference lists of relevant included studies, reviews, meta-analyses and health technology reports to identify additional studies. There were no restrictions with respect to language, date of publication or study setting. We identified six additional studies for inclusion in the review.\nSELECTION CRITERIA: Published or unpublished randomised controlled trials (RCTs) that evaluated the effects of any brand of NPWT in the treatment of foot wounds in people with DM, irrespective of date or language of publication. Particular effort was made to identify unpublished studies.\nDATA COLLECTION AND ANALYSIS: Two review authors independently performed study selection, risk of bias assessment and data extraction. Initial disagreements were resolved by discussion, or by including a third review author when necessary. We presented and analysed data separately for foot ulcers and postoperative wounds.\nMAIN RESULTS: Eleven RCTs (972 participants) met the inclusion criteria. Study sample sizes ranged from 15 to 341 participants. One study had three arms, which were all included in the review. The remaining 10 studies had two arms. Two studies focused on postamputation wounds and all other studies included foot ulcers in people with DM. Ten studies compared NPWT with dressings; and one study compared NPWT delivered at 75 mmHg with NPWT delivered at 125 mmHg. Our primary outcome measures were the number of wounds healed and time to wound healing.NPWT compared with dressings for postoperative woundsTwo studies (292 participants) compared NPWT with moist wound dressings in postoperative wounds (postamputation wounds). Only one study specified a follow-up time, which was 16 weeks. This study (162 participants) reported an increased number of healed wounds in the NPWT group compared with the dressings group (risk ratio (RR) 1.44, 95% confidence interval (CI) 1.03 to 2.01; low-certainty evidence, downgraded for risk of bias and imprecision). This study also reported that median time to healing was 21 days shorter with NPWT compared with moist dressings (hazard ratio (HR) calculated by review authors 1.91, 95% CI 1.21 to 2.99; low-certainty evidence, downgraded for risk of bias and imprecision). Data from the two studies suggest that it is uncertain whether there is a difference between groups in amputation risk (RR 0.38, 95% CI 0.14 to 1.02; 292 participants; very low-certainty evidence, downgraded once for risk of bias and twice for imprecision).NPWT compared with dressings for foot ulcersThere were eight studies (640 participants) in this analysis and follow-up times varied between studies. Six studies (513 participants) reported the proportion of wounds healed and data could be pooled for five studies. Pooled data (486 participants) suggest that NPWT may increase the number of healed wounds compared with dressings (RR 1.40, 95% CI 1.14 to 1.72; I² = 0%; low-certainty evidence, downgraded once for risk of bias and once for imprecision). Three studies assessed time to healing, but only one study reported usable data. This study reported that NPWT reduced the time to healing compared with dressings (hazard ratio (HR) calculated by review authors 1.82, 95% CI 1.27 to 2.60; 341 participants; low-certainty evidence, downgraded once for risk of bias and once for imprecision).Data from three studies (441 participants) suggest that people allocated to NPWT may be at reduced risk of amputation compared with people allocated to dressings (RR 0.33, 95% CI 0.15 to 0.70; I² = 0%; low-certainty evidence; downgraded once for risk of bias and once for imprecision).Low-pressure compared with high-pressure NPWT for foot ulcersOne study (40 participants) compared NPWT 75 mmHg and NPWT 125 mmHg. Follow-up time was four weeks. There were no data on primary outcomes. There was no clear difference in the number of wounds closed or covered with surgery between groups (RR 0.83, 95% CI 0.47 to 1.47; very low-certainty evidence, downgraded once for risk of bias and twice for serious imprecision) and adverse events (RR 1.50, 95% CI 0.28 to 8.04; very low-certainty evidence, downgraded once for risk of bias and twice for serious imprecision).\nAUTHORS' CONCLUSIONS: There is low-certainty evidence to suggest that NPWT, when compared with wound dressings, may increase the proportion of wounds healed and reduce the time to healing for postoperative foot wounds and ulcers of the foot in people with DM. For the comparisons of different pressures of NPWT for treating foot ulcers in people with DM, it is uncertain whether there is a difference in the number of wounds closed or covered with surgery, and adverse events. None of the included studies provided evidence on time to closure or coverage surgery, health-related quality of life or cost-effectiveness. The limitations in current RCT evidence suggest that further trials are required to reduce uncertainty around decision-making regarding the use of NPWT to treat foot wounds in people with DM.","container-title":"The Cochrane Database of Systematic Reviews","journalAbbreviation":"Cochrane Database Syst Rev","language":"eng","note":"PMID: 30328611\nPMCID: PMC6517143","page":"CD010318","title":"Negative pressure wound therapy for treating foot wounds in people with diabetes mellitus","volume":"10","author":[{"family":"Liu","given":"Zhenmi"},{"family":"Dumville","given":"Jo C."},{"family":"Hinchliffe","given":"Robert J."},{"family":"Cullum","given":"Nicky"},{"family":"Game","given":"Fran"},{"family":"Stubbs","given":"Nikki"},{"family":"Sweeting","given":"Michael"},{"family":"Peinemann","given":"Frank"}],"issued":{"date-parts":[["2018"]],"season":"17"}}},{"id":47518,"uris":["http://zotero.org/users/5328021/items/47EC82ZD"],"uri":["http://zotero.org/users/5328021/items/47EC82ZD"],"itemData":{"id":47518,"type":"article-journal","abstract":"OBJECTIVES: The aim of this study was to perform an updated systematic review and meta-analysis to assess the clinical efficacy, safety, and cost-effectiveness of negative-pressure wound therapy (NPWT) in the treatment of diabetic foot ulcers (DFUs).\nMETHODS: We searched the Cochrane Library, MEDLINE, EMBASE, Ovid, and Chinese Biological Medicine databases up to June 30, 2016. We also manually searched the articles from reference lists of the retrieved articles, which used the NPWT system in studies of vacuum-assisted closure therapy. Studies were identified and selected, and two independent reviewers extracted data from the studies.\nRESULTS: A total of eleven randomized controlled trials, which included a total of 1,044 patients, were selected from 691 identified studies. Compared with standard dressing changes, NPWT had a higher rate of complete healing of ulcers (relative risk, 1.48; 95% confidence interval [CI]: 1.24-1.76; P&lt;0.001), shorter healing time (mean difference, -8.07; 95% CI: -13.70- -2.45; P=0.005), greater reduction in ulcer area (mean difference, 12.18; 95% CI: 8.50-15.86; P&lt;0.00001), greater reduction in ulcer depth (mean difference, 40.82; 95% CI: 35.97-45.67; P&lt;0.00001), fewer amputations (relative risk, 0.31; 95% CI: 0.15-0.62; P=0.001), and no effect on the incidence of treatment-related adverse effects (relative risk, 1.12; 95% CI: 0.66-1.89; P=0.68). Meanwhile, many analyses showed that the NPWT was more cost-effective than standard dressing changes.\nCONCLUSION: These results indicate that NPWT is efficacious, safe, and cost-effective in treating DFUs.","container-title":"Therapeutics and Clinical Risk Management","journalAbbreviation":"Ther Clin Risk Manag","language":"eng","note":"PMID: 28458556\nPMCID: PMC5403129","page":"533-544","title":"Evaluation of negative-pressure wound therapy for patients with diabetic foot ulcers: systematic review and meta-analysis","volume":"13","author":[{"family":"Liu","given":"Si"},{"family":"He","given":"Chao-Zhu"},{"family":"Cai","given":"Yan-Ting"},{"family":"Xing","given":"Qiu-Ping"},{"family":"Guo","given":"Ying-Zhen"},{"family":"Chen","given":"Zhi-Long"},{"family":"Su","given":"Ji-Liang"},{"family":"Yang","given":"Li-Ping"}],"issued":{"date-parts":[["2017"]]}}},{"id":53200,"uris":["http://zotero.org/users/5328021/items/AW7M9V37"],"uri":["http://zotero.org/users/5328021/items/AW7M9V37"],"itemData":{"id":53200,"type":"article-journal","abstract":"BACKGROUND: Vacuum-assisted closure (VAC) is a new method in wound care which speeds wound healing by causing vacuum, improving tissue perfusion and suctioning the exudates. This study aims to evaluate its efficacy in the treatment of diabetic foot ulcers.\nMATERIALS AND METHODS: Thirteen patients with diabetic foot ulcers were enrolled in the moist dressing group, and 10 patients in the VAC group. The site, size and depth of the wound were inspected and recorded before and every three days during the study period. Patient satisfaction and formation of granulation tissue were also assessed.\nRESULTS: Improvement of the wound in the form of reducing the diameter and depth and increasing proliferation of granulation tissue was significant in most of the patients of the VAC group after two weeks. Satisfaction of patients in the VAC group was evaluated as excellent as no amputation was done in this group. Wagner score was reduced in both the study groups, although this decrement was not significant in the moist dressing group.\nCONCLUSION: VAC appears to be as safe as and more efficacious than moist dressing for the treatment of diabetic foot ulcers.","container-title":"Journal of Cutaneous and Aesthetic Surgery","issue":"1","journalAbbreviation":"J Cutan Aesthet Surg","language":"eng","note":"PMID: 23723599\nPMCID: PMC3663170","page":"17-20","title":"Comparision of vacuum-asisted closure and moist wound dressing in the treatment of diabetic foot ulcers","volume":"6","author":[{"family":"Ravari","given":"Hassan"},{"family":"Modaghegh","given":"Mohammad-Hadi Saeed"},{"family":"Kazemzadeh","given":"Gholam Hosein"},{"family":"Johari","given":"Hamed Ghoddusi"},{"family":"Vatanchi","given":"Attieh Mohammadzadeh"},{"family":"Sangaki","given":"Abolghasem"},{"family":"Shahrodi","given":"Mohammad Vahedian"}],"issued":{"date-parts":[["2013",1]]}}},{"id":73608,"uris":["http://zotero.org/users/5328021/items/UVNUZZXV"],"uri":["http://zotero.org/users/5328021/items/UVNUZZXV"],"itemData":{"id":73608,"type":"article-journal","abstract":"AIM: This review investigated the current state of knowledge on negative pressure wound therapy (NPWT) used to treat diabetic foot ulceration (DFU), its clinical effectiveness and any current issues in the research. NICE have recommended research into the clinical effectiveness of different dressing types for DFUs since 2015. METHODS: A systematic search of the British Nursing Index, CINAHL, Cochrane Central and PubMed was undertaken. Only primary studies were included and studies investigating a combination of NPWT and other therapies were excluded. All the included studies were published in English between 2008 and 2018 and were peer reviewed. RESULTS: The search yielded seven studies for inclusion in the qualitative analysis. The studies included a variety of methodologies specifically; 3 randomized controlled trials, 2 case series', 1 non-controlled trial and 1 randomized case-control study. Three main themes were  identified and formed the focus of the qualitative synthesis. DISCUSSION: All the included studies reported that NPWT led to better clinical outcomes when compared to standard treatment. However, the studies had numerous methodological flaws such as the absence of validated tools for the measurement of outcomes such as wound area and depth; a lack of statistical power calculations to determine adequate sample sizes or the significance of outcome measures. Additionally, there was little consistency in the pressures used for the NPWT devices. Finally, many of the controlled trials did not conform to the standard of reporting trials stipulated by the CONSORT statement.","container-title":"Journal of tissue viability","issue":"3","journalAbbreviation":"J Tissue Viability","language":"eng","note":"PMID: 31056407","page":"152-160","title":"The efficacy of negative pressure wound therapy for diabetic foot ulcers: A systematised review.","volume":"28","author":[{"family":"Wynn","given":"Matthew"},{"family":"Freeman","given":"Samantha"}],"issued":{"date-parts":[["2019",8]]}}}],"schema":"https://github.com/citation-style-language/schema/raw/master/csl-citation.json"}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(176,177,185,188)</w:t>
            </w:r>
            <w:r w:rsidRPr="00CA32B9">
              <w:rPr>
                <w:rFonts w:asciiTheme="minorHAnsi" w:hAnsiTheme="minorHAnsi" w:cstheme="minorHAnsi"/>
                <w:szCs w:val="20"/>
                <w:lang w:val="en-US"/>
              </w:rPr>
              <w:fldChar w:fldCharType="end"/>
            </w:r>
          </w:p>
        </w:tc>
      </w:tr>
      <w:tr w:rsidR="0056668F" w14:paraId="4F7CD8A0" w14:textId="77777777" w:rsidTr="0022700A">
        <w:tc>
          <w:tcPr>
            <w:tcW w:w="2830" w:type="dxa"/>
            <w:vAlign w:val="center"/>
          </w:tcPr>
          <w:p w14:paraId="2C1944A4" w14:textId="41CD1D0E"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 study (I)</w:t>
            </w:r>
          </w:p>
        </w:tc>
        <w:tc>
          <w:tcPr>
            <w:tcW w:w="1157" w:type="dxa"/>
            <w:vAlign w:val="center"/>
          </w:tcPr>
          <w:p w14:paraId="606B14D4" w14:textId="74E07062"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6</w:t>
            </w:r>
          </w:p>
        </w:tc>
        <w:tc>
          <w:tcPr>
            <w:tcW w:w="2009" w:type="dxa"/>
            <w:vMerge/>
            <w:vAlign w:val="center"/>
          </w:tcPr>
          <w:p w14:paraId="070AED46" w14:textId="77777777" w:rsidR="0056668F" w:rsidRDefault="0056668F" w:rsidP="0056668F">
            <w:pPr>
              <w:jc w:val="center"/>
              <w:rPr>
                <w:lang w:val="en-US"/>
              </w:rPr>
            </w:pPr>
          </w:p>
        </w:tc>
        <w:tc>
          <w:tcPr>
            <w:tcW w:w="3064" w:type="dxa"/>
            <w:vAlign w:val="center"/>
          </w:tcPr>
          <w:p w14:paraId="493D4B41" w14:textId="614458AF"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vmBWHPTv","properties":{"formattedCitation":"(187)","plainCitation":"(187)","noteIndex":0},"citationItems":[{"id":73914,"uris":["http://zotero.org/users/5328021/items/E75TR2NF"],"uri":["http://zotero.org/users/5328021/items/E75TR2NF"],"itemData":{"id":73914,"type":"article-journal","abstract":"PURPOSE: Negative-pressure wound therapy (NPWT) is an adjunct modality in diabetic foot ulcerations (DFUs). Randomized controlled trials (RCTs) have shown  its advantage over standard approaches; however, data from observational studies  remain scarce.We performed a systematic review of observational non-RCTs evaluating NPWT efficacy and safety in patients with DFU. METHODS: Electronic databases were searched for observational studies involving NPWT. The results of  single-arm studies were presented as percentages of patients with the outcome of  interest. A meta-analysis of comparative studies provided point estimates of outcomes. Continuous outcomes were reported as either weighted or standardized mean differences and dichotomous data as relative risks (RR). RESULTS: The search identified 16 relevant observational studies, 12 single-arm, and 4 comparative, reporting on a total of 18,449 patients with DFU, of whom 1882 were managed with  NPWT. In the NPWT-treated patients, ulcers were larger (average size range 6.6-27.9 cm(2)), as compared with controls (&lt;/=3 cm(2)). The pooled results showed healing and major amputation in 51% and 5% of NPWT patients, respectively. The meta-analysis of comparative studies revealed lower risk of major amputation  [RR = 0.23 (0.07; 0.80)] in NPWT-treated patients. The pooled results for healing rate and risk of any amputation were inconclusive due to large between-study heterogeneity. Overall, 6 deaths out of 158 patients were reported, none of them  related to NPWT. Serious adverse events occurred in 6% of patients on NPWT. CONCLUSIONS: This systematic review of observational studies provided supportive  evidence that NWPT is an efficient and safe adjunct treatment in the management of DFUs.","container-title":"Endocrine","journalAbbreviation":"Endocrine","language":"eng","note":"PMID: 31919770","title":"NPWT in diabetic foot wounds-a systematic review and meta-analysis of observational studies.","author":[{"family":"Rys","given":"Przemyslaw"},{"family":"Borys","given":"Sebastian"},{"family":"Hohendorff","given":"Jerzy"},{"family":"Zapala","given":"Aleksandra"},{"family":"Witek","given":"Przemyslaw"},{"family":"Monica","given":"Magdalena"},{"family":"Frankfurter","given":"Claudia"},{"family":"Ludwig-Slomczynska","given":"Agnieszka"},{"family":"Kiec-Wilk","given":"Beata"},{"family":"Malecki","given":"Maciej T."}],"issued":{"date-parts":[["2020",1,9]]}}}],"schema":"https://github.com/citation-style-language/schema/raw/master/csl-citation.json"}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(187)</w:t>
            </w:r>
            <w:r w:rsidRPr="00CA32B9">
              <w:rPr>
                <w:rFonts w:asciiTheme="minorHAnsi" w:hAnsiTheme="minorHAnsi" w:cstheme="minorHAnsi"/>
                <w:szCs w:val="20"/>
                <w:lang w:val="en-US"/>
              </w:rPr>
              <w:fldChar w:fldCharType="end"/>
            </w:r>
          </w:p>
        </w:tc>
      </w:tr>
      <w:tr w:rsidR="0056668F" w14:paraId="521F2694" w14:textId="77777777" w:rsidTr="0056668F">
        <w:tc>
          <w:tcPr>
            <w:tcW w:w="9060" w:type="dxa"/>
            <w:gridSpan w:val="4"/>
            <w:vAlign w:val="center"/>
          </w:tcPr>
          <w:p w14:paraId="3E07F3C2" w14:textId="60BE9CB7" w:rsidR="0056668F" w:rsidRDefault="0056668F" w:rsidP="0056668F">
            <w:pPr>
              <w:jc w:val="left"/>
              <w:rPr>
                <w:lang w:val="en-US"/>
              </w:rPr>
            </w:pPr>
            <w:r w:rsidRPr="00CA32B9">
              <w:rPr>
                <w:rFonts w:asciiTheme="minorHAnsi" w:hAnsiTheme="minorHAnsi" w:cstheme="minorHAnsi"/>
                <w:b/>
                <w:szCs w:val="20"/>
                <w:lang w:val="en-US"/>
              </w:rPr>
              <w:t>Quality of life</w:t>
            </w:r>
          </w:p>
        </w:tc>
      </w:tr>
      <w:tr w:rsidR="0056668F" w14:paraId="580CB7CE" w14:textId="77777777" w:rsidTr="0022700A">
        <w:tc>
          <w:tcPr>
            <w:tcW w:w="2830" w:type="dxa"/>
            <w:vAlign w:val="center"/>
          </w:tcPr>
          <w:p w14:paraId="1224B1AD" w14:textId="43CF9001" w:rsidR="0056668F" w:rsidRDefault="0056668F" w:rsidP="0056668F">
            <w:pPr>
              <w:jc w:val="center"/>
              <w:rPr>
                <w:lang w:val="en-US"/>
              </w:rPr>
            </w:pPr>
            <w:r w:rsidRPr="00CA32B9">
              <w:rPr>
                <w:rFonts w:asciiTheme="minorHAnsi" w:hAnsiTheme="minorHAnsi" w:cstheme="minorHAnsi"/>
                <w:szCs w:val="20"/>
                <w:lang w:val="en-US"/>
              </w:rPr>
              <w:t>1 study (</w:t>
            </w:r>
            <w:r w:rsidRPr="00CA32B9">
              <w:rPr>
                <w:rFonts w:asciiTheme="minorHAnsi" w:eastAsia="Times New Roman" w:hAnsiTheme="minorHAnsi" w:cstheme="minorHAnsi"/>
                <w:szCs w:val="20"/>
                <w:lang w:val="en-US"/>
              </w:rPr>
              <w:t>II)</w:t>
            </w:r>
          </w:p>
        </w:tc>
        <w:tc>
          <w:tcPr>
            <w:tcW w:w="1157" w:type="dxa"/>
            <w:vAlign w:val="center"/>
          </w:tcPr>
          <w:p w14:paraId="24C0E216" w14:textId="0CD4475D" w:rsidR="0056668F" w:rsidRDefault="0056668F" w:rsidP="0056668F">
            <w:pPr>
              <w:jc w:val="center"/>
              <w:rPr>
                <w:lang w:val="en-US"/>
              </w:rPr>
            </w:pPr>
            <w:r w:rsidRPr="00CA32B9">
              <w:rPr>
                <w:rFonts w:asciiTheme="minorHAnsi" w:hAnsiTheme="minorHAnsi" w:cstheme="minorHAnsi"/>
                <w:szCs w:val="20"/>
                <w:lang w:val="en-US"/>
              </w:rPr>
              <w:t>4</w:t>
            </w:r>
          </w:p>
        </w:tc>
        <w:tc>
          <w:tcPr>
            <w:tcW w:w="2009" w:type="dxa"/>
            <w:vAlign w:val="center"/>
          </w:tcPr>
          <w:p w14:paraId="16AE2E3A" w14:textId="46C27BD3" w:rsidR="0056668F" w:rsidRDefault="0056668F" w:rsidP="0056668F">
            <w:pPr>
              <w:jc w:val="center"/>
              <w:rPr>
                <w:lang w:val="en-US"/>
              </w:rPr>
            </w:pPr>
            <w:r w:rsidRPr="00CA32B9">
              <w:rPr>
                <w:rFonts w:asciiTheme="minorHAnsi" w:hAnsiTheme="minorHAnsi" w:cstheme="minorHAnsi"/>
                <w:szCs w:val="20"/>
                <w:lang w:val="en-US"/>
              </w:rPr>
              <w:t>Low</w:t>
            </w:r>
          </w:p>
        </w:tc>
        <w:tc>
          <w:tcPr>
            <w:tcW w:w="3064" w:type="dxa"/>
            <w:vAlign w:val="center"/>
          </w:tcPr>
          <w:p w14:paraId="33301E72" w14:textId="2E151A9B"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axmpZaLb","properties":{"formattedCitation":"(189)","plainCitation":"(189)","noteIndex":0},"citationItems":[{"id":55074,"uris":["http://zotero.org/users/5328021/items/2P9IFEGI"],"uri":["http://zotero.org/users/5328021/items/2P9IFEGI"],"itemData":{"id":55074,"type":"article-journal","abstract":"BACKGROUND: Diabetes Mellitus (DM) is the most common endocrine disease worldwide. One of the most important chronic complications of this disease is the development of diabetic foot. The management of diabetic foot wounds is quite important with respect to public health.\nAIMS: To determine the effect of Vacuum Assisted Closure (VAC) therapy on the quality of life in the treatment of diabetic foot ulcers and compare it with standart wound care.\nMETHODS: Between May 2007 to December 2008, 67 consecutive patients with diabetic foot ulcers were randomly assigned to VAC therapy (Group 1, n : 30) or standart wound care (Group 2, n : 37). The SF-36 questionnaire was administered the day before and in the month following wound healing. Global analyses of the 8 domains and 2 comprehensive indexes of SF-36, Physical Component Summary (PCS) and Mental Component Summary (MCS) were performed. Clinical measures included standard antidiabetic treatment, daily wound care including antiseptic bath, debridement, toe removal for gangrene when necessary, and wound care with conventional methods or VAC. Healing time was calculated as the time from hospital admission to the time of re-epithelization.\nRESULTS: There were no differences in the mean age, ulcer size and pulse status of the patients in both groups. Healing time in the VAC group was significantly reduced (p &lt; 0.05). All 8 domains of SF-36 and MCS and PCS scores improved remarkably after VAC therapy.\nCONCLUSION: Vacuum Assisted Closure therapy was found to be effective in the treatment of chronic diabetic ulcers. The improvement of quality of life demonstrates a clear-cut indication in this particular group of patients.","container-title":"Acta Chirurgica Belgica","issue":"5","journalAbbreviation":"Acta Chir. Belg.","language":"eng","note":"PMID: 22191131","page":"298-302","title":"Vacuum assisted closure improves the quality of life in patients with diabetic foot","volume":"111","author":[{"family":"Karatepe","given":"O."},{"family":"Eken","given":"I."},{"family":"Acet","given":"E."},{"family":"Unal","given":"O."},{"family":"Mert","given":"M."},{"family":"Koc","given":"B."},{"family":"Karahan","given":"S."},{"family":"Filizcan","given":"U."},{"family":"Ugurlucan","given":"M."},{"family":"Aksoy","given":"M."}],"issued":{"date-parts":[["2011",10]]}}}],"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(189)</w:t>
            </w:r>
            <w:r w:rsidRPr="00CA32B9">
              <w:rPr>
                <w:rFonts w:asciiTheme="minorHAnsi" w:hAnsiTheme="minorHAnsi" w:cstheme="minorHAnsi"/>
                <w:szCs w:val="20"/>
                <w:lang w:val="en-US"/>
              </w:rPr>
              <w:fldChar w:fldCharType="end"/>
            </w:r>
          </w:p>
        </w:tc>
      </w:tr>
      <w:tr w:rsidR="0056668F" w14:paraId="56B921A7" w14:textId="77777777" w:rsidTr="0056668F">
        <w:tc>
          <w:tcPr>
            <w:tcW w:w="9060" w:type="dxa"/>
            <w:gridSpan w:val="4"/>
            <w:vAlign w:val="center"/>
          </w:tcPr>
          <w:p w14:paraId="37D7392C" w14:textId="14886F48" w:rsidR="0056668F" w:rsidRDefault="0056668F" w:rsidP="0056668F">
            <w:pPr>
              <w:jc w:val="left"/>
              <w:rPr>
                <w:lang w:val="en-US"/>
              </w:rPr>
            </w:pPr>
            <w:r w:rsidRPr="00CA32B9">
              <w:rPr>
                <w:rFonts w:asciiTheme="minorHAnsi" w:hAnsiTheme="minorHAnsi" w:cstheme="minorHAnsi"/>
                <w:b/>
                <w:szCs w:val="20"/>
                <w:lang w:val="en-US"/>
              </w:rPr>
              <w:t>Cost-effectiveness</w:t>
            </w:r>
          </w:p>
        </w:tc>
      </w:tr>
      <w:tr w:rsidR="0056668F" w:rsidRPr="00166EC2" w14:paraId="76A60347" w14:textId="77777777" w:rsidTr="0022700A">
        <w:tc>
          <w:tcPr>
            <w:tcW w:w="2830" w:type="dxa"/>
            <w:vAlign w:val="center"/>
          </w:tcPr>
          <w:p w14:paraId="32729A1D" w14:textId="784B6F9B" w:rsidR="0056668F" w:rsidRDefault="0056668F" w:rsidP="0056668F">
            <w:pPr>
              <w:jc w:val="center"/>
              <w:rPr>
                <w:lang w:val="en-US"/>
              </w:rPr>
            </w:pPr>
            <w:r w:rsidRPr="00CA32B9">
              <w:rPr>
                <w:rFonts w:asciiTheme="minorHAnsi" w:hAnsiTheme="minorHAnsi" w:cstheme="minorHAnsi"/>
                <w:szCs w:val="20"/>
                <w:lang w:val="en-US"/>
              </w:rPr>
              <w:t xml:space="preserve">4 </w:t>
            </w:r>
            <w:r w:rsidRPr="00CA32B9">
              <w:rPr>
                <w:rFonts w:asciiTheme="minorHAnsi" w:eastAsia="Times New Roman" w:hAnsiTheme="minorHAnsi" w:cstheme="minorHAnsi"/>
                <w:szCs w:val="20"/>
                <w:lang w:val="en-US"/>
              </w:rPr>
              <w:t>studies (III)</w:t>
            </w:r>
          </w:p>
        </w:tc>
        <w:tc>
          <w:tcPr>
            <w:tcW w:w="1157" w:type="dxa"/>
            <w:vAlign w:val="center"/>
          </w:tcPr>
          <w:p w14:paraId="718F1F20" w14:textId="01058E44" w:rsidR="0056668F" w:rsidRDefault="0056668F" w:rsidP="0056668F">
            <w:pPr>
              <w:jc w:val="center"/>
              <w:rPr>
                <w:lang w:val="en-US"/>
              </w:rPr>
            </w:pPr>
            <w:r w:rsidRPr="00CA32B9">
              <w:rPr>
                <w:rFonts w:asciiTheme="minorHAnsi" w:hAnsiTheme="minorHAnsi" w:cstheme="minorHAnsi"/>
                <w:szCs w:val="20"/>
                <w:lang w:val="en-US"/>
              </w:rPr>
              <w:t>3,25</w:t>
            </w:r>
          </w:p>
        </w:tc>
        <w:tc>
          <w:tcPr>
            <w:tcW w:w="2009" w:type="dxa"/>
            <w:vAlign w:val="center"/>
          </w:tcPr>
          <w:p w14:paraId="1AAA119A" w14:textId="4D2F6B0B" w:rsidR="0056668F" w:rsidRDefault="0056668F" w:rsidP="0056668F">
            <w:pPr>
              <w:jc w:val="center"/>
              <w:rPr>
                <w:lang w:val="en-US"/>
              </w:rPr>
            </w:pPr>
            <w:r w:rsidRPr="00CA32B9">
              <w:rPr>
                <w:rFonts w:asciiTheme="minorHAnsi" w:hAnsiTheme="minorHAnsi" w:cstheme="minorHAnsi"/>
                <w:szCs w:val="20"/>
                <w:lang w:val="en-US"/>
              </w:rPr>
              <w:t>Low</w:t>
            </w:r>
          </w:p>
        </w:tc>
        <w:tc>
          <w:tcPr>
            <w:tcW w:w="3064" w:type="dxa"/>
            <w:vAlign w:val="center"/>
          </w:tcPr>
          <w:p w14:paraId="097207E8" w14:textId="2F2A6282"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QyAQVg17","properties":{"formattedCitation":"(190\\uc0\\u8211{}193)","plainCitation":"(190–193)","noteIndex":0},"citationItems":[{"id":10047,"uris":["http://zotero.org/users/5328021/items/W96WVW8U"],"uri":["http://zotero.org/users/5328021/items/W96WVW8U"],"itemData":{"id":10047,"type":"article-journal","abstract":"This study analyzed a cross-section of patients with severe chronic wounds and multiple comorbidities at an outpatient wound clinic, with regard to the cost-effectiveness and cost-benefit of negative pressure wound therapy (intervention) vs. no negative pressure wound therapy (control) at 1 and 2 years. Medicare reimbursement charges for wound care were used to calculate costs. Amputation charges were assessed using diagnosis-related groups. Cost-benefit analysis was based on ulcer-free months and cost-effectiveness on quality-adjusted life-years. Undiscounted costs, benefits, quality-adjusted life-years, undiscounted and discounted incremental net health benefits, and incremental cost-effectiveness ratios were calculated for unmatched and matched cohorts. There were 150 subjects in the intervention group and 154 controls before matching and 103 subjects in each of the matched cohorts. Time to heal for the intervention cohort was significantly shorter compared to the controls (270 vs. 635 days, p = 1.0 × 10−7, matched cohorts). The intervention cohort had higher benefits and quality-adjusted life-year gains compared to the control cohort at years 1 and 2; by year 2, the gains were 68–73% higher. In the unmatched cohorts, the incremental net health benefit was $9,933 per ulcer-free month at year 2 for the intervention; the incremental cost-effectiveness ratio was −825,271 per quality-adjusted life-year gained (undiscounted costs and benefits). For the matched cohorts, the incremental net health benefits was only $1,371 per ulcer-free month for the intervention, but the incremental cost-effectiveness ratio was $366,683 per quality-adjusted life-year gained for year 2 (discounted costs and benefits). In a patient population with severe chronic wounds and serious comorbidities, negative pressure wound therapy resulted in faster healing wounds and was more cost-effective with greater cost-benefits than not using negative pressure wound therapy. Regarding overall cost-effectiveness, the intervention was still expensive, but that is the reality amidst limited treatment options for such serious cases of chronic wounds.","archive":"Embase","container-title":"Wound Repair and Regeneration","issue":"6","journalAbbreviation":"Wound Repair Regen.","language":"English","page":"1041-1058","title":"Cost-effectiveness of negative pressure wound therapy in patients with many comorbidities and severe wounds of various etiology","volume":"24","author":[{"literal":"Driver V.R."},{"literal":"Eckert K.A."},{"literal":"Carter M.J."},{"literal":"French M.A."}],"issued":{"date-parts":[["2016"]]}}},{"id":51634,"uris":["http://zotero.org/users/5328021/items/NRNC6B3T"],"uri":["http://zotero.org/users/5328021/items/NRNC6B3T"],"itemData":{"id":51634,"type":"article-journal","abstract":"BACKGROUND: We conducted a post-hoc retrospective analysis of patients enrolled in a randomized controlled trial to evaluate overall costs of negative pressure wound therapy (NPWT; V.A.C. Therapy; KCI USA, Inc, San Antonio, Texas) versus advanced moist wound therapy (AMWT) in treating grade 2 and 3 diabetic foot wounds during a 12-week therapy course.\nMETHODS: Data from two study arms (NPWT [n = 169] or AMWT [n = 166]) originating from Protocol VAC2001-08 were collected from patient records and used as the basis of the calculations performed in our cost analysis.\nRESULTS: A total of 324 patient records (NPWT = 162; AMWT = 162) were analyzed. There was a median wound area reduction of 85.0% from baseline in patients treated with NPWT compared to a 61.8% reduction in those treated with AMWT. The total cost for all patients, regardless of closure, was $1,941,472.07 in the NPWT group compared to $2,196,315.86 in the AMWT group. In patients who achieved complete wound closure, the mean cost per patient in the NPWT group was $10,172 compared to $9,505 in the AMWT group; the median cost per 1 cm(2) of closure was $1,227 with NPWT and $1,695 with AMWT. In patients who did not achieve complete wound closure, the mean total wound care cost per patient in the NPWT group was $13,262, compared to $15,069 in the AMWT group. The median cost to close 1 cm(2) in wounds that didn't heal using NPWT was $1,633, compared to $2,927 with AMWT.\nCONCLUSIONS: Our results show greater cost effectiveness with NPWT versus AMWT in recalcitrant wounds that didn't close during a 12-week period, due to lower expenditures on procedures and use of health-care resources.","container-title":"Journal of the American Podiatric Medical Association","issue":"2","journalAbbreviation":"J Am Podiatr Med Assoc","language":"eng","note":"PMID: 24725034","page":"147-153","title":"Evaluation of wound care and health-care use costs in patients with diabetic foot ulcers treated with negative pressure wound therapy versus advanced moist wound therapy","volume":"104","author":[{"family":"Driver","given":"Vickie R."},{"family":"Blume","given":"Peter A."}],"issued":{"date-parts":[["2014",3]]}}},{"id":55453,"uris":["http://zotero.org/users/5328021/items/MUQX65X6"],"uri":["http://zotero.org/users/5328021/items/MUQX65X6"],"itemData":{"id":55453,"type":"article-journal","abstract":"Diabetic lower extremity wounds cause substantial burden to healthcare systems, costing tens of thousands of dollars per episode. Negative pressure wound therapy (NPWT) devices have been shown to be cost-effective at treating these wounds, but the traditional devices use bulky electrical pumps that require a durable medical equipment rental-based procurement process. The Spiracur SNaP™ Wound Care System is an ultraportable NPWT system that does not use an electric pump and is fully disposable. It has superior healing compared to standard of care with modern dressings and comparable healing to traditional NPWT devices while giving patients greater mobility and giving clinicians a simpler procurement process. We used a mathematical model to analyse the costs of the SNaP™ system and compare them to standard of care and electrically powered NPWT devices. When compared to standard of care, the SNaP™ system saves over $9000 per wound treated and more than doubles the number of patients healed. The SNaP system has similar healing time to powered NPWT devices, but saves $2300 in Medicare payments or $2800 for private payers per wound treated. Our analysis shows that the SNaP™ system could save substantial treatment costs in addition to allowing patients greater freedom and mobility.","container-title":"International Wound Journal","issue":"2","journalAbbreviation":"Int Wound J","language":"eng","note":"PMID: 21385320","page":"196-205","title":"Comparative effectiveness of the SNaP™ Wound Care System","volume":"8","author":[{"family":"Hutton","given":"David W."},{"family":"Sheehan","given":"Peter"}],"issued":{"date-parts":[["2011",4]]}}},{"id":55656,"uris":["http://zotero.org/users/5328021/items/47BQUY46"],"uri":["http://zotero.org/users/5328021/items/47BQUY46"],"itemData":{"id":55656,"type":"article-journal","abstract":"The objective of the study was to assess the cost-effectiveness of Vacuum Assisted Closure® (V.A.C.®) Therapy compared with advanced wound care (AWC) for the treatment of diabetic foot ulcers (DFUs) in France. A cost-effectiveness model intended to reflect the management of DFUs was updated for the French setting. The Markov model follows the progression of 1000 hypothetical patients over a 1-year period. The model was populated with French-specific data, obtained from published sources and clinical experts. The analysis evaluated costs and health outcomes, in terms of quality-adjusted life-years (QALYs), wounds healed and amputations, from the perspective of the payer. The patients treated with V.A.C.® Therapy experienced more QALYs (0.787 versus 0.784) and improved healing rates (50.2% versus 48.5%) at a lower total cost of care (€24,881 versus €28,855 per patient per year) when compared with AWC. Sensitivity analyses conducted around key model parameters indicated that the results were affected by hospital resource use and costs. DFU treatment using V.A.C.® Therapy in France was associated with lower costs, additional QALYs, more healed ulcers and fewer amputations than treatment with AWC. V.A.C.® Therapy was therefore found to be the dominant treatment option.","container-title":"International Wound Journal","issue":"1","journalAbbreviation":"Int Wound J","language":"eng","note":"PMID: 20875048","page":"22-32","title":"Economic evaluation of Vacuum Assisted Closure® Therapy for the treatment of diabetic foot ulcers in France","volume":"8","author":[{"family":"Whitehead","given":"Sarah J."},{"family":"Forest-Bendien","given":"Véronique L."},{"family":"Richard","given":"Jean-Louis"},{"family":"Halimi","given":"Serge"},{"family":"Van","given":"Georges Ha"},{"family":"Trueman","given":"Paul"}],"issued":{"date-parts":[["2011",2]]}}}],"schema":"https://github.com/citation-style-language/schema/raw/master/csl-citation.json"}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lang w:val="en-US"/>
              </w:rPr>
              <w:t>(190–193)</w:t>
            </w:r>
            <w:r w:rsidRPr="00CA32B9">
              <w:rPr>
                <w:rFonts w:asciiTheme="minorHAnsi" w:hAnsiTheme="minorHAnsi" w:cstheme="minorHAnsi"/>
                <w:szCs w:val="20"/>
                <w:lang w:val="en-US"/>
              </w:rPr>
              <w:fldChar w:fldCharType="end"/>
            </w:r>
          </w:p>
        </w:tc>
      </w:tr>
      <w:tr w:rsidR="0056668F" w:rsidRPr="00166EC2" w14:paraId="691C56DF" w14:textId="77777777" w:rsidTr="0056668F">
        <w:tc>
          <w:tcPr>
            <w:tcW w:w="9060" w:type="dxa"/>
            <w:gridSpan w:val="4"/>
            <w:shd w:val="clear" w:color="auto" w:fill="D4F1D3" w:themeFill="background2" w:themeFillTint="33"/>
            <w:vAlign w:val="center"/>
          </w:tcPr>
          <w:p w14:paraId="557AF52B" w14:textId="6886806C" w:rsidR="0056668F" w:rsidRDefault="0056668F" w:rsidP="0056668F">
            <w:pPr>
              <w:jc w:val="center"/>
              <w:rPr>
                <w:lang w:val="en-US"/>
              </w:rPr>
            </w:pPr>
            <w:r w:rsidRPr="00CA32B9">
              <w:rPr>
                <w:rFonts w:asciiTheme="minorHAnsi" w:hAnsiTheme="minorHAnsi" w:cstheme="minorHAnsi"/>
                <w:b/>
                <w:bCs/>
                <w:color w:val="56575A"/>
                <w:szCs w:val="20"/>
                <w:lang w:val="en-US"/>
              </w:rPr>
              <w:t>Treatment with physical therapy: laser/phototherapy</w:t>
            </w:r>
          </w:p>
        </w:tc>
      </w:tr>
      <w:tr w:rsidR="0056668F" w:rsidRPr="00166EC2" w14:paraId="23359976" w14:textId="77777777" w:rsidTr="0056668F">
        <w:tc>
          <w:tcPr>
            <w:tcW w:w="9060" w:type="dxa"/>
            <w:gridSpan w:val="4"/>
            <w:vAlign w:val="center"/>
          </w:tcPr>
          <w:p w14:paraId="475501DF" w14:textId="36B59500" w:rsidR="0056668F" w:rsidRDefault="0056668F" w:rsidP="0056668F">
            <w:pPr>
              <w:jc w:val="left"/>
              <w:rPr>
                <w:lang w:val="en-US"/>
              </w:rPr>
            </w:pPr>
            <w:r w:rsidRPr="00CA32B9">
              <w:rPr>
                <w:rFonts w:asciiTheme="minorHAnsi" w:hAnsiTheme="minorHAnsi" w:cstheme="minorHAnsi"/>
                <w:b/>
                <w:szCs w:val="20"/>
                <w:lang w:val="en-US"/>
              </w:rPr>
              <w:t>Ulcer healing</w:t>
            </w:r>
          </w:p>
        </w:tc>
      </w:tr>
      <w:tr w:rsidR="0056668F" w14:paraId="6F02BBE0" w14:textId="77777777" w:rsidTr="0022700A">
        <w:tc>
          <w:tcPr>
            <w:tcW w:w="2830" w:type="dxa"/>
            <w:vAlign w:val="center"/>
          </w:tcPr>
          <w:p w14:paraId="2AA8EF69" w14:textId="4208996D" w:rsidR="0056668F" w:rsidRDefault="00980ECD" w:rsidP="007B6214">
            <w:pPr>
              <w:jc w:val="center"/>
              <w:rPr>
                <w:lang w:val="en-US"/>
              </w:rPr>
            </w:pPr>
            <w:r>
              <w:rPr>
                <w:rFonts w:asciiTheme="minorHAnsi" w:hAnsiTheme="minorHAnsi" w:cstheme="minorHAnsi"/>
                <w:szCs w:val="20"/>
                <w:lang w:val="en-US"/>
              </w:rPr>
              <w:t>3</w:t>
            </w:r>
            <w:r w:rsidR="0056668F" w:rsidRPr="00CA32B9">
              <w:rPr>
                <w:rFonts w:asciiTheme="minorHAnsi" w:hAnsiTheme="minorHAnsi" w:cstheme="minorHAnsi"/>
                <w:szCs w:val="20"/>
                <w:lang w:val="en-US"/>
              </w:rPr>
              <w:t xml:space="preserve"> studies (I) </w:t>
            </w:r>
          </w:p>
        </w:tc>
        <w:tc>
          <w:tcPr>
            <w:tcW w:w="1157" w:type="dxa"/>
            <w:vAlign w:val="center"/>
          </w:tcPr>
          <w:p w14:paraId="2DF54CA9" w14:textId="79D79B71" w:rsidR="0056668F" w:rsidRDefault="0056668F" w:rsidP="0056668F">
            <w:pPr>
              <w:jc w:val="center"/>
              <w:rPr>
                <w:lang w:val="en-US"/>
              </w:rPr>
            </w:pPr>
            <w:r w:rsidRPr="00CA32B9">
              <w:rPr>
                <w:rFonts w:asciiTheme="minorHAnsi" w:hAnsiTheme="minorHAnsi" w:cstheme="minorHAnsi"/>
                <w:szCs w:val="20"/>
                <w:lang w:val="en-US"/>
              </w:rPr>
              <w:t>9,6</w:t>
            </w:r>
          </w:p>
        </w:tc>
        <w:tc>
          <w:tcPr>
            <w:tcW w:w="2009" w:type="dxa"/>
            <w:vMerge w:val="restart"/>
            <w:vAlign w:val="center"/>
          </w:tcPr>
          <w:p w14:paraId="368ACE1B" w14:textId="5EF2B47A" w:rsidR="0056668F" w:rsidRDefault="00980ECD" w:rsidP="0056668F">
            <w:pPr>
              <w:jc w:val="center"/>
              <w:rPr>
                <w:lang w:val="en-US"/>
              </w:rPr>
            </w:pPr>
            <w:r>
              <w:rPr>
                <w:rFonts w:asciiTheme="minorHAnsi" w:hAnsiTheme="minorHAnsi" w:cstheme="minorHAnsi"/>
                <w:szCs w:val="20"/>
                <w:lang w:val="en-US"/>
              </w:rPr>
              <w:t>Very h</w:t>
            </w:r>
            <w:r w:rsidR="0056668F" w:rsidRPr="00CA32B9">
              <w:rPr>
                <w:rFonts w:asciiTheme="minorHAnsi" w:hAnsiTheme="minorHAnsi" w:cstheme="minorHAnsi"/>
                <w:szCs w:val="20"/>
                <w:lang w:val="en-US"/>
              </w:rPr>
              <w:t>igh</w:t>
            </w:r>
          </w:p>
        </w:tc>
        <w:tc>
          <w:tcPr>
            <w:tcW w:w="3064" w:type="dxa"/>
            <w:vAlign w:val="center"/>
          </w:tcPr>
          <w:p w14:paraId="0611AC11" w14:textId="63AF2F5B"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c80t64tR","properties":{"formattedCitation":"(194\\uc0\\u8211{}196)","plainCitation":"(194–196)","noteIndex":0},"citationItems":[{"id":45476,"uris":["http://zotero.org/users/5328021/items/Y3FWBFSH"],"uri":["http://zotero.org/users/5328021/items/Y3FWBFSH"],"itemData":{"id":45476,"type":"article-journal","abstract":"AIMS: The goal of this systematic review and meta-analysis based on seven Randomized control trials (RCTs) is to examine whether Low-level light therapy (LLLT) is effective at healing diabetic foot ulcer (DFU) and to provide evidence-based recommendations and clinical guidelines for the future clinical treatment of DFUs.\nMETHODS: Medline, Embase, Scopus, Cochrane Library, and Web of Science databases were searched for studies published up to June 30, 2017, without language or data restrictions. RCTs that investigated the use of LLLT for DFU treatment were included. Standard methods of meta-analysis were performed to evaluate outcomes of LLLT on the healing of DFU.\nRESULTS: Seven RCTs involving 194 participants were eligible for this systematic review and meta-analysis. The results of meta-analysis showed that LLLT has emerged as a potential noninvasive treatment for DFUs, as LLLT was found to effectively reduce the ulcer area [weighted mean difference (WMD) 34.18, 95% confidence intervals (CI) 19.38-48.99, P &lt; 0.00001], improve the complete healing rate [odds ratio (OR) 6.72, 95% CI 1.99-22.64, P = 0.002]. Qualitative analysis of the included RCTs found that LLLT also played a role in the treatment of DFUs through promoting rapid granulation formation and shortening ulcer closure time, as well as alleviating foot ulcer pain. None of the treatment-related adverse event was reported.\nCONCLUSIONS: LLLT was recognized as a potential method in the comprehensive treatment of DFUs. Further well designed and high-quality studies are required to confirm the role of LLLT in the management of DFUs.","container-title":"Diabetes Research and Clinical Practice","journalAbbreviation":"Diabetes Res. Clin. Pract.","language":"eng","note":"PMID: 30009935","page":"215-224","title":"Efficacy of low-level light therapy for treatment of diabetic foot ulcer: A systematic review and meta-analysis of randomized controlled trials","volume":"143","author":[{"family":"Li","given":"Shengbing"},{"family":"Wang","given":"Cong"},{"family":"Wang","given":"Bo"},{"family":"Liu","given":"Li"},{"family":"Tang","given":"Liang"},{"family":"Liu","given":"Dongfang"},{"family":"Yang","given":"Gangyi"},{"family":"Zhang","given":"Lili"}],"issued":{"date-parts":[["2018",9]]}}},{"id":49458,"uris":["http://zotero.org/users/5328021/items/ZL7Y2Q33"],"uri":["http://zotero.org/users/5328021/items/ZL7Y2Q33"],"itemData":{"id":49458,"type":"article-journal","abstract":"Diabetes mellitus (DM) is a significant international health concern affecting more than 387 million individuals. A diabetic person has a 25% lifetime risk of developing a diabetic foot ulcer (DFU), leading to limb amputation in up to one in six DFU patients. Low-level light therapy (LLLT) uses low-power lasers or light-emitting diodes to alter cellular function and molecular pathways, and may be a promising treatment for DFU. The goal of this systematic review is to examine whether the clinical use of LLLT is effective in the healing of DFU at 12 and 20 weeks in comparison with the standard of care, and to provide evidence-based recommendation and future clinical guidelines for the treatment of DFU using LLLT. On September 30, 2015, we searched PubMed, EMBASE, CINAHL, and Web of Science databases using the following terms: \"diabetic foot\" AND \"low level light therapy,\" OR \"light emitting diode,\" OR \"phototherapy,\" OR \"laser.\" The relevant articles that met the following criteria were selected for inclusion: randomized control trials (RCTs) that investigated the use of LLLT for treatment of DFU. Four RCTs involving 131 participants were suitable for inclusion based upon our criteria. The clinical trials used sham irriadiation, low dose, or nontherapeutic LLLT as placebo or control in comparison to LLLT. The endpoints included ulcer size and time to complete healing with follow-up ranging from 2 to 16 weeks. Each article was assigned a level of evidence (LOE) and graded according to the Oxford Center for Evidence-based Medicine Levels of Evidence Grades of Recommendation criteria. Limitations of reviewed RCTs include a small sample size (N &lt; 100), unclear allocation concealment, lack of screening phase to exclude rapid healers, unclear inclusion/exclusion criteria, short (&lt;30 days) follow-up period, and unclear treatment settings (wavelength and treatment time). However, all reviewed RCTs demonstrated therapeutic outcomes with no adverse events using LLLT for treatment of DFU. This systematic review reports that LLLT has significant potential to become a portable, minimally invasive, easy-to-use, and cost effective modality for treatment of DFU. To enthusiastically recommend LLLT for treatment of DFU, additional studies with comparable laser parameters, screening period to exclude rapid healers, larger sample sizes and longer follow-up periods are required. We envision future stringent RCTs may validate LLLT for treatment of DFU. Systematic review registration number: PROSPERO CRD42015029825.","container-title":"Wound Repair and Regeneration: Official Publication of the Wound Healing Society [and] the European Tissue Repair Society","issue":"2","journalAbbreviation":"Wound Repair Regen","language":"eng","note":"PMID: 26748691","page":"418-426","title":"A systematic review of low-level light therapy for treatment of diabetic foot ulcer","volume":"24","author":[{"family":"Tchanque-Fossuo","given":"Catherine N."},{"family":"Ho","given":"Derek"},{"family":"Dahle","given":"Sara E."},{"family":"Koo","given":"Eugene"},{"family":"Li","given":"Chin-Shang"},{"family":"Isseroff","given":"R. Rivkah"},{"family":"Jagdeo","given":"Jared"}],"issued":{"date-parts":[["2016"]]}}},{"id":47365,"uris":["http://zotero.org/users/5328021/items/Z4M4MYI7"],"uri":["http://zotero.org/users/5328021/items/Z4M4MYI7"],"itemData":{"id":47365,"type":"article-journal","abstract":"BACKGROUND: Foot ulcers are a disabling complication of diabetes that affect 15% to 25% of people with diabetes at some time in their lives. Phototherapy is a relatively new, non-invasive, and pain-free treatment method, which promotes the ulcer repair process through multiple mechanisms such as increased cell growth and vascular activity. Phototherapy may be used as an alternative approach for the treatment of foot ulcers in people with diabetes, but the evidence for its effect compared with placebo or other treatments has not yet been established.\nOBJECTIVES: To assess the effects of phototherapy for the treatment of foot ulcers in people with diabetes.\nSEARCH METHODS: We searched the Cochrane Wounds Specialised Register (11 October 2016), the Cochrane Central Register of Controlled Trials (CENTRAL) (the Cochrane Library, 2016, Issue 10), Ovid MEDLINE (11 October 2016), Ovid MEDLINE (In-Process &amp; Other Non-Indexed Citations) (11 October 2016), Ovid Embase (11 October 2016), EBSCO CINAHL Plus (11 October 2016), and China National Knowledge Infrastructure (24 June 2017). We also searched clinical trials registries for ongoing and unpublished studies on 24 June 2017, and screened reference lists to identify additional studies. We used no restrictions with respect to language, date of publication, or study setting.\nSELECTION CRITERIA: Randomised controlled trials or cluster randomised controlled trials that 1) compared phototherapy with sham phototherapy, no phototherapy, or other physical therapy modalities, 2) compared different forms of phototherapy, or 3) compared phototherapy of different output power, wavelength, power density, or dose range, in adults with diabetes and an open foot ulcer of any severity, in any setting.\nDATA COLLECTION AND ANALYSIS: Two review authors independently performed study selection, data extraction, and 'Risk of bias' assessment. We combined the study outcomes when appropriate.\nMAIN RESULTS: Eight trials with 316 participants met the inclusion criteria. Most of the included studies were single-centre studies that were carried out in clinics or hospitals with a sample size ranging from 14 to 84. We generally considered the included studies to be at unclear or high risk of bias, as they had one domain at high risk of bias, or three or more domains at unclear risk of bias.We did not identify any studies that reported valid data for time to complete wound healing. Meta-analysis of four studies including 116 participants indicated that participants receiving phototherapy may experience a greater proportion of wounds completely healed during follow-up compared with those receiving no phototherapy/placebo (64.5% for the phototherapy group versus 37.0% for the no phototherapy/placebo group; risk ratio 1.57, 95% confidence interval 1.08 to 2.28; low-quality evidence, downgraded for study limitations and imprecision). Two studies mentioned adverse events in the results; one study with 16 participants suggested that there were no device-related adverse events, and the other study with 14 participants suggested that there was no clear difference between phototherapy and placebo group.Four studies reported change in ulcer size, but primarily due to high heterogeneity, they were not combined. Results from individual trials (including 16 participants to 84 participants) generally suggested that after two to four weeks of treatment phototherapy may result in a greater reduction in ulcer size but the quality of the evidence was low due to unclear risk of bias in the original trial and small sample size. We based the analyses for quality of life and amputations on only one study each (28 participants and 23 participants respectively); both outcomes showed no clear difference between the phototherapy group and the no phototherapy/placebo group.\nAUTHORS' CONCLUSIONS: This systematic review of randomised trials suggested that phototherapy, when compared to no phototherapy/placebo, may increase the proportion of wounds completely healed during follow-up and may reduce wound size in people with diabetes, but there was no evidence that phototherapy improves quality of life. Due to the small sample size and methodological flaws in the original trials, the quality of the evidence was low, which reduces our confidence in these results. Large, well-designed randomised controlled trials are needed to confirm whether phototherapy could be an effective option for the treatment of foot ulcers in people with diabetes.","container-title":"The Cochrane Database of Systematic Reviews","journalAbbreviation":"Cochrane Database Syst Rev","language":"eng","note":"PMID: 28657134\nPMCID: PMC6481843","page":"CD011979","title":"Phototherapy for treating foot ulcers in people with diabetes","volume":"6","author":[{"family":"Wang","given":"Hong-Tao"},{"family":"Yuan","given":"Jin-Qiu"},{"family":"Zhang","given":"Bin"},{"family":"Dong","given":"Mao-Long"},{"family":"Mao","given":"Chen"},{"family":"Hu","given":"Dahai"}],"issued":{"date-parts":[["2017"]],"season":"28"}}}],"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(194–196)</w:t>
            </w:r>
            <w:r w:rsidRPr="00CA32B9">
              <w:rPr>
                <w:rFonts w:asciiTheme="minorHAnsi" w:hAnsiTheme="minorHAnsi" w:cstheme="minorHAnsi"/>
                <w:szCs w:val="20"/>
                <w:lang w:val="en-US"/>
              </w:rPr>
              <w:fldChar w:fldCharType="end"/>
            </w:r>
          </w:p>
        </w:tc>
      </w:tr>
      <w:tr w:rsidR="0056668F" w14:paraId="2BA5A235" w14:textId="77777777" w:rsidTr="0022700A">
        <w:tc>
          <w:tcPr>
            <w:tcW w:w="2830" w:type="dxa"/>
            <w:vAlign w:val="center"/>
          </w:tcPr>
          <w:p w14:paraId="5C8D3F0D" w14:textId="52B89B83"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2 studies (II)</w:t>
            </w:r>
          </w:p>
        </w:tc>
        <w:tc>
          <w:tcPr>
            <w:tcW w:w="1157" w:type="dxa"/>
            <w:vAlign w:val="center"/>
          </w:tcPr>
          <w:p w14:paraId="31B8CA76" w14:textId="0F32C82F"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5</w:t>
            </w:r>
          </w:p>
        </w:tc>
        <w:tc>
          <w:tcPr>
            <w:tcW w:w="2009" w:type="dxa"/>
            <w:vMerge/>
            <w:vAlign w:val="center"/>
          </w:tcPr>
          <w:p w14:paraId="193BEA8F" w14:textId="77777777" w:rsidR="0056668F" w:rsidRDefault="0056668F" w:rsidP="0056668F">
            <w:pPr>
              <w:jc w:val="center"/>
              <w:rPr>
                <w:lang w:val="en-US"/>
              </w:rPr>
            </w:pPr>
          </w:p>
        </w:tc>
        <w:tc>
          <w:tcPr>
            <w:tcW w:w="3064" w:type="dxa"/>
            <w:vAlign w:val="center"/>
          </w:tcPr>
          <w:p w14:paraId="2AA233B0" w14:textId="2A367384"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YgHcBSoq","properties":{"formattedCitation":"(197,198)","plainCitation":"(197,198)","noteIndex":0},"citationItems":[{"id":82794,"uris":["http://zotero.org/users/5328021/items/LZR2TSAW"],"uri":["http://zotero.org/users/5328021/items/LZR2TSAW"],"itemData":{"id":82794,"type":"article-journal","abstract":"For centuries, light has been a well</w:instrText>
            </w:r>
            <w:r>
              <w:rPr>
                <w:rFonts w:ascii="Cambria Math" w:hAnsi="Cambria Math" w:cs="Cambria Math"/>
                <w:szCs w:val="20"/>
                <w:lang w:val="en-US"/>
              </w:rPr>
              <w:instrText>‐</w:instrText>
            </w:r>
            <w:r>
              <w:rPr>
                <w:rFonts w:asciiTheme="minorHAnsi" w:hAnsiTheme="minorHAnsi" w:cstheme="minorHAnsi"/>
                <w:szCs w:val="20"/>
                <w:lang w:val="en-US"/>
              </w:rPr>
              <w:instrText>known and effective healing method. In the beginning of the 20th century there was a first attempt to condense light energy and distribute it in higher levels, a use that was successfully applied on many soldiers wounded in the Second World War. The laser, which is based on the quantum phenomenon of stimulated emission, was first demonstrated in the beginning of the 1960s and immediately received many applications in all areas of medicine.Many different studies were carried out in the past decade trying to assess the effect of laser therapy on properties of healing wounds. This study aim to assess the efficacy and safety of Low</w:instrText>
            </w:r>
            <w:r>
              <w:rPr>
                <w:rFonts w:ascii="Cambria Math" w:hAnsi="Cambria Math" w:cs="Cambria Math"/>
                <w:szCs w:val="20"/>
                <w:lang w:val="en-US"/>
              </w:rPr>
              <w:instrText>‐</w:instrText>
            </w:r>
            <w:r>
              <w:rPr>
                <w:rFonts w:asciiTheme="minorHAnsi" w:hAnsiTheme="minorHAnsi" w:cstheme="minorHAnsi"/>
                <w:szCs w:val="20"/>
                <w:lang w:val="en-US"/>
              </w:rPr>
              <w:instrText>Level Laser Therapy (LLLT) in the treatment of non</w:instrText>
            </w:r>
            <w:r>
              <w:rPr>
                <w:rFonts w:ascii="Cambria Math" w:hAnsi="Cambria Math" w:cs="Cambria Math"/>
                <w:szCs w:val="20"/>
                <w:lang w:val="en-US"/>
              </w:rPr>
              <w:instrText>‐</w:instrText>
            </w:r>
            <w:r>
              <w:rPr>
                <w:rFonts w:asciiTheme="minorHAnsi" w:hAnsiTheme="minorHAnsi" w:cstheme="minorHAnsi"/>
                <w:szCs w:val="20"/>
                <w:lang w:val="en-US"/>
              </w:rPr>
              <w:instrText>healing diabetic foot ulcers.","archive_location":"CN-01534493","container-title":"https://clinicaltrials.gov/show/NCT01493895","DOI":"https://doi.org/10.1007/s10103-021-03335-9","journalAbbreviation":"Lasers in Medical Science","title":"Treatment of diabetic foot ulcers in a frail population with severe co-morbidities using at-home photobiomodulation laser therapy: a double-blind, randomized, sham-controlled pilot clinical study - NCT01493895","URL":"https://www.cochranelibrary.com/central/doi/10.1002/central/CN-01534493/full","author":[{"family":"Haze","given":"Amir"},{"family":"Gavish","given":"Lilach"},{"family":"Elishoov","given":"Ofer"},{"family":"Shorka","given":"Dorit"}],"issued":{"date-parts":[["2021"]]}}},{"id":84623,"uris":["http://zotero.org/users/5328021/items/E3XRLXYM"],"uri":["http://zotero.org/users/5328021/items/E3XRLXYM"],"itemData":{"id":84623,"type":"article-journal","abstract":"Background: a review of the literature found no clinical studies in which low level laser therapy (LLLT) and high voltage pulsed current (HVPC) were compared to evaluate their effectiveness in promoting wound healing. Objective: The purpose of this study was compare the effects of LLLT, HVPC and standard wound care (SWC) on the healing of diabetic foot ulcers. Methods: randomized controlled clinical trial where diabetic patients were divided in control group (CG) treated with SWC; HVPC group received HVPC plus SWC; LLLTgroup, treated with LLLT plus SWC. HVPC was applied 45min, 100pps and 100μs. LLLTparameters were 685nm, 30mW,2J/cm2 applied to the wound edges and 1,5J/cm2 in the wound bed. All subjects were treated 16 weeks or until the wound closed. The variables were healing, healing proportion, ulcers's characteristics, protective sensation, nerve conduction studies (NCS) and quality life. ANCOVA analysis and a Fisher's exact test were applied. Results: Twenty</w:instrText>
            </w:r>
            <w:r>
              <w:rPr>
                <w:rFonts w:ascii="Cambria Math" w:hAnsi="Cambria Math" w:cs="Cambria Math"/>
                <w:szCs w:val="20"/>
                <w:lang w:val="en-US"/>
              </w:rPr>
              <w:instrText>‐</w:instrText>
            </w:r>
            <w:r>
              <w:rPr>
                <w:rFonts w:asciiTheme="minorHAnsi" w:hAnsiTheme="minorHAnsi" w:cstheme="minorHAnsi"/>
                <w:szCs w:val="20"/>
                <w:lang w:val="en-US"/>
              </w:rPr>
              <w:instrText>eight subjects completed the protocol.The healing was reached by 7/9, 8/10 and 6/9 participants of the LLLT, HVPC and CG respectively in the 16th week. There were no statistically significant differences between the groups in the healing proportion, NCS, sensory testing or quality of life (p&gt;0,05). Conclusions: The results of this study did not demonstrated additional effects of LLL or HVPC to the standard wound care (SWC) on healing of diabetic ulcers.","archive_location":"CN-01623592","container-title":"Revista de la universidad industrial de santander. Salud","issue":"2","journalAbbreviation":"Revista de la universidad industrial de santander. Salud","page":"107</w:instrText>
            </w:r>
            <w:r>
              <w:rPr>
                <w:rFonts w:ascii="Cambria Math" w:hAnsi="Cambria Math" w:cs="Cambria Math"/>
                <w:szCs w:val="20"/>
                <w:lang w:val="en-US"/>
              </w:rPr>
              <w:instrText>‐</w:instrText>
            </w:r>
            <w:r>
              <w:rPr>
                <w:rFonts w:asciiTheme="minorHAnsi" w:hAnsiTheme="minorHAnsi" w:cstheme="minorHAnsi"/>
                <w:szCs w:val="20"/>
                <w:lang w:val="en-US"/>
              </w:rPr>
              <w:instrText>117","title":"Effects of low level laser therapy and high voltage stimulation on diabetic wound healing","volume":"46","author":[{"family":"Ort</w:instrText>
            </w:r>
            <w:r>
              <w:rPr>
                <w:rFonts w:cs="Arial"/>
                <w:szCs w:val="20"/>
                <w:lang w:val="en-US"/>
              </w:rPr>
              <w:instrText>í</w:instrText>
            </w:r>
            <w:r>
              <w:rPr>
                <w:rFonts w:asciiTheme="minorHAnsi" w:hAnsiTheme="minorHAnsi" w:cstheme="minorHAnsi"/>
                <w:szCs w:val="20"/>
                <w:lang w:val="en-US"/>
              </w:rPr>
              <w:instrText xml:space="preserve">z","given":"MCS"},{"family":"Villabona","given":"EH"},{"family":"Lemos","given":"DMC"},{"family":"Castellanos","given":"R"}],"issued":{"date-parts":[["2014"]]}}}],"schema":"https://github.com/citation-style-language/schema/raw/master/csl-citation.json"} </w:instrText>
            </w:r>
            <w:r w:rsidRPr="00CA32B9">
              <w:rPr>
                <w:rFonts w:asciiTheme="minorHAnsi" w:hAnsiTheme="minorHAnsi" w:cstheme="minorHAnsi"/>
                <w:szCs w:val="20"/>
                <w:lang w:val="en-US"/>
              </w:rPr>
              <w:fldChar w:fldCharType="separate"/>
            </w:r>
            <w:r w:rsidRPr="00C23FB9">
              <w:rPr>
                <w:rFonts w:cs="Arial"/>
              </w:rPr>
              <w:t>(197,198</w:t>
            </w:r>
            <w:r w:rsidRPr="008B0686">
              <w:rPr>
                <w:rFonts w:cs="Arial"/>
              </w:rPr>
              <w:t>)</w:t>
            </w:r>
            <w:r w:rsidRPr="00CA32B9">
              <w:rPr>
                <w:rFonts w:asciiTheme="minorHAnsi" w:hAnsiTheme="minorHAnsi" w:cstheme="minorHAnsi"/>
                <w:szCs w:val="20"/>
                <w:lang w:val="en-US"/>
              </w:rPr>
              <w:fldChar w:fldCharType="end"/>
            </w:r>
          </w:p>
        </w:tc>
      </w:tr>
      <w:tr w:rsidR="0056668F" w14:paraId="392906A1" w14:textId="77777777" w:rsidTr="0056668F">
        <w:tc>
          <w:tcPr>
            <w:tcW w:w="9060" w:type="dxa"/>
            <w:gridSpan w:val="4"/>
            <w:vAlign w:val="center"/>
          </w:tcPr>
          <w:p w14:paraId="6184A7DF" w14:textId="5CE996AB" w:rsidR="0056668F" w:rsidRDefault="0056668F" w:rsidP="0056668F">
            <w:pPr>
              <w:jc w:val="left"/>
              <w:rPr>
                <w:lang w:val="en-US"/>
              </w:rPr>
            </w:pPr>
            <w:r w:rsidRPr="00CA32B9">
              <w:rPr>
                <w:rFonts w:asciiTheme="minorHAnsi" w:hAnsiTheme="minorHAnsi" w:cstheme="minorHAnsi"/>
                <w:b/>
                <w:szCs w:val="20"/>
                <w:lang w:val="en-US"/>
              </w:rPr>
              <w:t>Ulcer area reduction</w:t>
            </w:r>
          </w:p>
        </w:tc>
      </w:tr>
      <w:tr w:rsidR="0056668F" w14:paraId="40A72E54" w14:textId="77777777" w:rsidTr="0022700A">
        <w:tc>
          <w:tcPr>
            <w:tcW w:w="2830" w:type="dxa"/>
            <w:vAlign w:val="center"/>
          </w:tcPr>
          <w:p w14:paraId="1BCBFFE8" w14:textId="0AF9A819" w:rsidR="0056668F" w:rsidRDefault="0056668F" w:rsidP="0056668F">
            <w:pPr>
              <w:jc w:val="center"/>
              <w:rPr>
                <w:lang w:val="en-US"/>
              </w:rPr>
            </w:pPr>
            <w:r w:rsidRPr="00CA32B9">
              <w:rPr>
                <w:rFonts w:asciiTheme="minorHAnsi" w:hAnsiTheme="minorHAnsi" w:cstheme="minorHAnsi"/>
                <w:szCs w:val="20"/>
                <w:lang w:val="en-US"/>
              </w:rPr>
              <w:t>2 studies (I) - 12 studies (</w:t>
            </w:r>
            <w:r w:rsidRPr="00CA32B9">
              <w:rPr>
                <w:rFonts w:asciiTheme="minorHAnsi" w:eastAsia="Times New Roman" w:hAnsiTheme="minorHAnsi" w:cstheme="minorHAnsi"/>
                <w:szCs w:val="20"/>
                <w:lang w:val="en-US"/>
              </w:rPr>
              <w:t>II)</w:t>
            </w:r>
          </w:p>
        </w:tc>
        <w:tc>
          <w:tcPr>
            <w:tcW w:w="1157" w:type="dxa"/>
            <w:vAlign w:val="center"/>
          </w:tcPr>
          <w:p w14:paraId="7C25258B" w14:textId="06249770" w:rsidR="0056668F" w:rsidRDefault="0056668F" w:rsidP="0056668F">
            <w:pPr>
              <w:jc w:val="center"/>
              <w:rPr>
                <w:lang w:val="en-US"/>
              </w:rPr>
            </w:pPr>
            <w:r w:rsidRPr="00CA32B9">
              <w:rPr>
                <w:rFonts w:asciiTheme="minorHAnsi" w:hAnsiTheme="minorHAnsi" w:cstheme="minorHAnsi"/>
                <w:szCs w:val="20"/>
                <w:lang w:val="en-US"/>
              </w:rPr>
              <w:t>5,9</w:t>
            </w:r>
          </w:p>
        </w:tc>
        <w:tc>
          <w:tcPr>
            <w:tcW w:w="2009" w:type="dxa"/>
            <w:vMerge w:val="restart"/>
            <w:vAlign w:val="center"/>
          </w:tcPr>
          <w:p w14:paraId="381E4387" w14:textId="44D24DB9" w:rsidR="0056668F" w:rsidRDefault="0056668F" w:rsidP="0056668F">
            <w:pPr>
              <w:jc w:val="center"/>
              <w:rPr>
                <w:lang w:val="en-US"/>
              </w:rPr>
            </w:pPr>
            <w:r w:rsidRPr="00CA32B9">
              <w:rPr>
                <w:rFonts w:asciiTheme="minorHAnsi" w:hAnsiTheme="minorHAnsi" w:cstheme="minorHAnsi"/>
                <w:szCs w:val="20"/>
                <w:lang w:val="en-US"/>
              </w:rPr>
              <w:t>Low</w:t>
            </w:r>
          </w:p>
        </w:tc>
        <w:tc>
          <w:tcPr>
            <w:tcW w:w="3064" w:type="dxa"/>
            <w:vAlign w:val="center"/>
          </w:tcPr>
          <w:p w14:paraId="7C115999" w14:textId="52FC8839"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zhMhkfnT","properties":{"formattedCitation":"(194,195,197,199\\uc0\\u8211{}209)","plainCitation":"(194,195,197,199–209)","noteIndex":0},"citationItems":[{"id":82794,"uris":["http://zotero.org/users/5328021/items/LZR2TSAW"],"uri":["http://zotero.org/users/5328021/items/LZR2TSAW"],"itemData":{"id":82794,"type":"article-journal","abstract":"For centuries, light has been a well</w:instrText>
            </w:r>
            <w:r>
              <w:rPr>
                <w:rFonts w:ascii="Cambria Math" w:hAnsi="Cambria Math" w:cs="Cambria Math"/>
                <w:szCs w:val="20"/>
                <w:lang w:val="en-US"/>
              </w:rPr>
              <w:instrText>‐</w:instrText>
            </w:r>
            <w:r>
              <w:rPr>
                <w:rFonts w:asciiTheme="minorHAnsi" w:hAnsiTheme="minorHAnsi" w:cstheme="minorHAnsi"/>
                <w:szCs w:val="20"/>
                <w:lang w:val="en-US"/>
              </w:rPr>
              <w:instrText>known and effective healing method. In the beginning of the 20th century there was a first attempt to condense light energy and distribute it in higher levels, a use that was successfully applied on many soldiers wounded in the Second World War. The laser, which is based on the quantum phenomenon of stimulated emission, was first demonstrated in the beginning of the 1960s and immediately received many applications in all areas of medicine.Many different studies were carried out in the past decade trying to assess the effect of laser therapy on properties of healing wounds. This study aim to assess the efficacy and safety of Low</w:instrText>
            </w:r>
            <w:r>
              <w:rPr>
                <w:rFonts w:ascii="Cambria Math" w:hAnsi="Cambria Math" w:cs="Cambria Math"/>
                <w:szCs w:val="20"/>
                <w:lang w:val="en-US"/>
              </w:rPr>
              <w:instrText>‐</w:instrText>
            </w:r>
            <w:r>
              <w:rPr>
                <w:rFonts w:asciiTheme="minorHAnsi" w:hAnsiTheme="minorHAnsi" w:cstheme="minorHAnsi"/>
                <w:szCs w:val="20"/>
                <w:lang w:val="en-US"/>
              </w:rPr>
              <w:instrText>Level Laser Therapy (LLLT) in the treatment of non</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healing diabetic foot ulcers.","archive_location":"CN-01534493","container-title":"https://clinicaltrials.gov/show/NCT01493895","DOI":"https://doi.org/10.1007/s10103-021-03335-9","journalAbbreviation":"Lasers in Medical Science","title":"Treatment of diabetic foot ulcers in a frail population with severe co-morbidities using at-home photobiomodulation laser therapy: a double-blind, randomized, sham-controlled pilot clinical study - NCT01493895","URL":"https://www.cochranelibrary.com/central/doi/10.1002/central/CN-01534493/full","author":[{"family":"Haze","given":"Amir"},{"family":"Gavish","given":"Lilach"},{"family":"Elishoov","given":"Ofer"},{"family":"Shorka","given":"Dorit"}],"issued":{"date-parts":[["2021"]]}}},{"id":44988,"uris":["http://zotero.org/users/5328021/items/46FF67M5"],"uri":["http://zotero.org/users/5328021/items/46FF67M5"],"itemData":{"id":44988,"type":"article-journal","abstract":"To compare the influence of laser and LED on tissue repair and neuropathic symptoms during treatment of diabetic foot. An intervention survey conducted in a health center located in Brazil, contemplating ten sessions, twice a week, with randomization in two groups. In one group, the wounds were treated with GaAlAs laser, with a wavelength of 830 nm, 30 mW, and power density 0.84 W/cm2, the other group by LED 850 nm, 48 mW, and power density 1.05 W/cm2. For the analysis of wound size, photographic records analyzed by the ImageJ® software were used, and the neuropathy evaluation card examined. With regard to the laser group, a reduction in wound extension of 79.43% was observed at the end of the 10th session; the patients in the LED group had a 55.84% decrease in the healing process; comparing the two therapies was observed a better healing in the participants of the laser group, with 81.17%, in relation to the LED after the end of the sessions; regarding the evaluation of the neuropathic condition, there was a significant improvement in both therapies. There was improvement of the neuropathic signs and symptoms, also improvement of the tissue repair in the two therapeutic modalities; however, the laser presented a higher rate of speed in relation to the LED.","container-title":"Lasers in Medical Science","issue":"7","journalAbbreviation":"Lasers Med Sci","language":"eng","note":"PMID: 30715637","page":"1365-1371","title":"Comparative study on laser and LED influence on tissue repair and improvement of neuropathic symptoms during the treatment of diabetic ulcers","volume":"34","author":[{"family":"Vitoriano","given":"Natália Aguiar Moraes"},{"family":"Mont'Alverne","given":"Daniela Gardano Bucharles"},{"family":"Martins","given":"Maria Iara Socorro"},{"family":"Silva","given":"Priscila Sampaio"},{"family":"Martins","given":"Cristiany Azevedo"},{"family":"Teixeira","given":"Hortência Diniz"},{"family":"Miranda","given":"Camylla Bandeira"},{"family":"Bezerra","given":"Leila Maria Machado"},{"family":"Montenegro","given":"Renan Magalhães"},{"family":"Tatmatsu-Rocha","given":"José Carlos"}],"issued":{"date-parts":[["2019",9]]}}},{"id":45248,"uris":["http://zotero.org/users/5328021/items/CFSJ5TJ9"],"uri":["http://zotero.org/users/5328021/items/CFSJ5TJ9"],"itemData":{"id":45248,"type":"article-journal","abstract":"[Purpose] The aim of this systematic review was to assess the efficacy of high intensity laser therapy (HILT) on wound surface area in patients with foot ulcers. [Methods] Four databases including PubMed, MEDLINE, the Cochrane library, and the Physiotherapy Evidence Database (PEDro) were searched up to the end of April 2018 to identify relevant studies. Studies were included if they met the following criteria: randomised controlled trial (RCT), assessed the efficacy of HILT in patients with foot ulcers, evaluated wound surface area, and written in English language with available full text. The PEDro scale was used to evaluate the quality of studies. [Results] A total of three RCTs met the inclusion criteria, with two studies of the efficacy of HILT in adult patients with diabetic foot ulcers and one in spina bifida children with neuropathic foot ulcers. According to the PEDro scale assessment, all three studies were rated as a fair quality. All studies found that HILT provided significantly better outcomes compared to sham laser or standard medical therapy. [Conclusion] This systematic review suggests that HILT is an effective modality for wound healing in patients with foot ulcers, but further large-scale studies are required to confirm its efficacy.","container-title":"Journal of Physical Therapy Science","issue":"10","journalAbbreviation":"J Phys Ther Sci","language":"eng","note":"PMID: 30349176\nPMCID: PMC6181666","page":"1341-1345","title":"Efficacy of high intensity laser therapy in the management of foot ulcers: a systematic review","volume":"30","author":[{"family":"Alayat","given":"Mohamed Salaheldien"},{"family":"El-Sodany","given":"Ahmed Mohamed"},{"family":"Ebid","given":"Anwar Abdelgayed"},{"family":"Shousha","given":"Tamer Mohamed"},{"family":"Abdelgalil","given":"Abdelgalil Allam"},{"family":"Alhasan","given":"Hammad"},{"family":"Alshehri","given":"Mansour Abdullah"}],"issued":{"date-parts":[["2018",10]]}}},{"id":45586,"uris":["http://zotero.org/users/5328021/items/MEYKUFRT"],"uri":["http://zotero.org/users/5328021/items/MEYKUFRT"],"itemData":{"id":45586,"type":"article-journal","abstract":"This study aimed to compare the effects of (HNLT) and (ILT) on diabetic foot ulcer. Sixty-five patients with diabetic foot ulcer (51 males and 14 females) aged 50-60 years. The participants were classified randomly to two groups, groups I and II. Group I received helium-neon laser therapy (HNLT) and conventional therapy with and group II received infrared laser therapy (ILT) and conventional therapy with for 8 weeks. Ulcer surface area was assessed using a sheet of cellophane paper at the beginning of the study, after 4 weeks, and after 8 weeks at the end of the study. At the beginning of the study, baseline clinical characteristics showed non-significant differences between the two groups (p &gt; 0.05). After 4 weeks intervention, there were significant improvements in ulcer surface area in the two groups (p &lt; 0.05). At the end of the study, after 8 weeks intervention, there were higher reduction in ulcer area in HNLT group more than ILT group, but this difference was statistically non- significant between the two groups (p &gt; 0.05). The present study demonstrates that HNLT and ILT have similar effects to control diabetic foot ulcer in a short-term (up to 8 weeks). Eight weeks of laser therapy have beneficial impacts in diabetic foot ulcer.","container-title":"Lasers in Medical Science","issue":"9","journalAbbreviation":"Lasers Med Sci","language":"eng","note":"PMID: 29846832","page":"1901-1906","title":"A randomized controlled trial comparing helium-neon laser therapy and infrared laser therapy in patients with diabetic foot ulcer","volume":"33","author":[{"family":"Tantawy","given":"Sayed A."},{"family":"Abdelbasset","given":"Walid K."},{"family":"Kamel","given":"Dalia M."},{"family":"Alrawaili","given":"Saud M."}],"issued":{"date-parts":[["2018",12]]}}},{"id":45476,"uris":["http://zotero.org/users/5328021/items/Y3FWBFSH"],"uri":["http://zotero.org/users/5328021/items/Y3FWBFSH"],"itemData":{"id":45476,"type":"article-journal","abstract":"AIMS: The goal of this systematic review and meta-analysis based on seven Randomized control trials (RCTs) is to examine whether Low-level light therapy (LLLT) is effective at healing diabetic foot ulcer (DFU) and to provide evidence-based recommendations and clinical guidelines for the future clinical treatment of DFUs.\nMETHODS: Medline, Embase, Scopus, Cochrane Library, and Web of Science databases were searched for studies published up to June 30, 2017, without language or data restrictions. RCTs that investigated the use of LLLT for DFU treatment were included. Standard methods of meta-analysis were performed to evaluate outcomes of LLLT on the healing of DFU.\nRESULTS: Seven RCTs involving 194 participants were eligible for this systematic review and meta-analysis. The results of meta-analysis showed that LLLT has emerged as a potential noninvasive treatment for DFUs, as LLLT was found to effectively reduce the ulcer area [weighted mean difference (WMD) 34.18, 95% confidence intervals (CI) 19.38-48.99, P &lt; 0.00001], improve the complete healing rate [odds ratio (OR) 6.72, 95% CI 1.99-22.64, P = 0.002]. Qualitative analysis of the included RCTs found that LLLT also played a role in the treatment of DFUs through promoting rapid granulation formation and shortening ulcer closure time, as well as alleviating foot ulcer pain. None of the treatment-related adverse event was reported.\nCONCLUSIONS: LLLT was recognized as a potential method in the comprehensive treatment of DFUs. Further well designed and high-quality studies are required to confirm the role of LLLT in the management of DFUs.","container-title":"Diabetes Research and Clinical Practice","journalAbbreviation":"Diabetes Res. Clin. Pract.","language":"eng","note":"PMID: 30009935","page":"215-224","title":"Efficacy of low-level light therapy for treatment of diabetic foot ulcer: A systematic review and meta-analysis of randomized controlled trials","volume":"143","author":[{"family":"Li","given":"Shengbing"},{"family":"Wang","given":"Cong"},{"family":"Wang","given":"Bo"},{"family":"Liu","given":"Li"},{"family":"Tang","given":"Liang"},{"family":"Liu","given":"Dongfang"},{"family":"Yang","given":"Gangyi"},{"family":"Zhang","given":"Lili"}],"issued":{"date-parts":[["2018",9]]}}},{"id":45559,"uris":["http://zotero.org/users/5328021/items/KEYI9A6D"],"uri":["http://zotero.org/users/5328021/items/KEYI9A6D"],"itemData":{"id":45559,"type":"article-journal","abstract":"OBJECTIVE: To analyze the efficacy of the therapeutic use of Low-Level Laser Therapy (LLLT) on the tissue repair process of chronic wounds in patients with diabetic feet through the analysis of Pressure Ulcer Scale for Healing (PUSH) scales, pain and the measurement done using the ImageJ© software.\nMETHODS: This clinical trial was carried out with 18 patients 30-59 years of age, who had chronic wounds on their foot due to complications of diabetes mellitus. The patients were randomly allocated in two different groups of equal numbers: Control and Laser Groups. The LLLT equipment used in the research has a wavelength of 660 nm, 30 mW power, continuous mode emission, 6 J/cm2 dosimetry, 48/48 h in a 4-week period. Measurement and the aspect of wounds were noted in the PUSH scale and the pain was evaluated weekly. The Mann-Whitney U nonparametric test was used to compare groups.\nRESULTS: The Laser Group presented a significant increase of the tissue repair index when compared with the Control Group, with a significant statistical difference (p &lt; 0.013). There was no significant difference between the groups in all the weeks using the PUSH scale.\nCONCLUSIONS: The use of LLLT on chronic wounds in a diabetic foot demonstrated efficacy on the progression of the tissue repair process in a short period.","container-title":"Photomedicine and Laser Surgery","issue":"6","journalAbbreviation":"Photomed Laser Surg","language":"eng","note":"PMID: 29882738","page":"298-304","title":"Effects of Low-Power Light Therapy on the Tissue Repair Process of Chronic Wounds in Diabetic Feet","volume":"36","author":[{"family":"Alencar Fonseca Santos","given":"Joelita","non-dropping-particle":"de"},{"family":"Campelo","given":"Mariana Barbosa Dias"},{"family":"Oliveira","given":"Rauirys Alencar","non-dropping-particle":"de"},{"family":"Nicolau","given":"Renata Amadei"},{"family":"Rezende","given":"Verônica Elis Araújo"},{"family":"Arisawa","given":"Emilia Ângela Loschiavo"}],"issued":{"date-parts":[["2018",6]]}}},{"id":47136,"uris":["http://zotero.org/users/5328021/items/4BM39DKU"],"uri":["http://zotero.org/users/5328021/items/4BM39DKU"],"itemData":{"id":47136,"type":"article-journal","abstract":"BACKGROUND: Diabetes Mellitus is a chronic disease that can lead to lower-limb ulceration. The photodynamic therapy (PDT) is based on light interaction with a photosensitizer capable to promote bacterial death and acceleration of wound healing.\nOBJECTIVE: This study aims to accomplish a macroscopic morphometry evaluation on diabetic ulcer area in humans that were under PDT.\nMATERIALS AND METHODS: A clinical study was conducted by convenience sample, experimental, controlled, and blinded, composed of 12 patients of both sexes with diabetic ulcers in lower limbs that were divided into two groups, control (n = 6) and PDT (n = 6). They were all treated with collagenase/chloramphenicol during the experimental period, in which six of them had received PDT with Methylene Blue dye (0.01%) associated with laser therapy (660 nm, 30 mW, 8 sec, 6 J/cm2, beam area of 0.04 mm2), three times per week, totaling 10 sessions. Ulcer areas were analyzed by their nominal area and photographed for analysis through the ImageJ® software. Then, the Ulcer Healing Index and the wound area reduction were calculated for both groups.\nRESULTS: Data from the UHI and wound area reduction parameters show that there is a statistically significant difference (p &lt; 0.05) between the control group and PDT group, with the PDT group showing a greater reduction of the diabetic ulcer area than the control group. In the ImageJ software area analysis, both patient groups presented significant differences (p &lt; 0.05) between pre and post-treatment in relation to lesion reduction area, the PDT being better.\nCONCLUSIONS: Results show that PDT accelerates the closure of ulcer wounds and to evaluate the wound area, different measurement methods can be used to follow-up the tissue repair process.","container-title":"Photomedicine and Laser Surgery","issue":"1","journalAbbreviation":"Photomed Laser Surg","language":"eng","note":"PMID: 29023192","page":"44-50","title":"A Study on the Macroscopic Morphometry of the Lesion Area on Diabetic Ulcers in Humans Treated with Photodynamic Therapy Using Two Methods of Measurement","volume":"36","author":[{"family":"Carrinho","given":"Patrícia Michelassi"},{"family":"Andreani","given":"Dora Inés Kozusny"},{"family":"Morete","given":"Vislaine de Aguiar"},{"family":"Iseri","given":"Shizumi"},{"family":"Navarro","given":"Ricardo Scarparo"},{"family":"Villaverde","given":"Antonio Balbin"}],"issued":{"date-parts":[["2018",1]]}}},{"id":9467,"uris":["http://zotero.org/users/5328021/items/3GYFKFB4"],"uri":["http://zotero.org/users/5328021/items/3GYFKFB4"],"itemData":{"id":9467,"type":"article-journal","abstract":"Background: Impaired wound healing is a common complication of diabetes. It has complex pathophysiologic mechanisms and often necessitates amputation. Our study aimed to evaluate the effectiveness of combined laser-puncture and conventional wound care in the treatment of diabetic foot ulcers. Methods: This was a double-blind controlled randomized clinical trial on 36 patients, conducted at the Metabolic Endocrine Outpatient Clinic, Cipto Mangunkusumo Hospital, Jakarta, between May and August 2015. Stimulation by laser-puncture (the treatment group) or sham stimulation (the control group) were performed on top of the standard wound care. Laser-puncture or sham were done on several acupuncture points i.e. LI4 Hegu, ST36 Zusanli, SP6 Sanyinjiao and KI3 Taixi bilaterally, combined with irradiation on the ulcers itself twice a week for four weeks. The mean reduction in ulcer sizes (week 2–1, week 3–1, week 4–1) were measured every week and compared between the two groups and analyzed by Mann-Whitney test. Results: The initial median ulcer size were 4.75 (0.10–9.94) cm2 and 2.33 (0.90–9.88) cm2 in laser-puncture and sham groups, respectively (p=0.027). The median reduction of ulcer size at week 2–1 was -1.079 (-3.25 to -0.09) vs -0.36 (-0.81 to -1.47) cm2, (p=0.000); at week 3–1 was -1.70 (-3.15 to -0.01) vs -0.36 (-0.80 to -0.28) cm2, (p=0.000); and at week 4–1 was -1.22 (-2.72 to 0.00) vs -0.38 (-0.74 to -0.57) cm2, (p=0.012). Conclusion: Combined laser-puncture and conventional wound care treatment are effective in accelerating the healing of diabetic foot ulcer.","archive":"Embase","container-title":"Medical Journal of Indonesia","issue":"1","journalAbbreviation":"Med. J. Indonesia","language":"English","page":"26-34","title":"Effectiveness of combined laser-puncture and conventional wound care to accelerate diabetic foot ulcer healing","volume":"26","author":[{"literal":"Srilestari A."},{"literal":"Nareswari I."},{"literal":"Simadibrata C."},{"literal":"Tarigan T.J.E."}],"issued":{"date-parts":[["2017"]]}}},{"id":47768,"uris":["http://zotero.org/users/5328021/items/E8U2J8HG"],"uri":["http://zotero.org/users/5328021/items/E8U2J8HG"],"itemData":{"id":47768,"type":"article-journal","abstract":"Foot ulcers are serious complications of diabetes mellitus (DM) and are known to be resistant to conventional treatment. This study was conducted to evaluate the efficacy of low-level laser therapy (LLLT) for the treatment of diabetic foot ulcers in a tertiary care centre (Department of Surgery, Mahatma Gandhi Memorial Medical College and Maharaja Yashwantrao Hospital, A.B. Road, Indore). A total of 30 patients with type 2 DM having Meggitt-Wagner grade I foot ulcers of more than 6 weeks duration with negative culture were studied. Patients were randomized into two groups of 15 each. Patients in study group received LLLT (660 ± 20 nm, 3 J/cm2) along with conventional therapy and those in control group were treated with conventional therapy alone. The primary outcome measure was the absolute and relative wound size reduction at 2 weeks compared to the baseline parameter. Percentage ulcer area reduction was 37 ± 9% in the LLLT group and 15 ± 5.4% in the control group (p &lt; 0.001). For </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75% of wounds of the treatment group, wound area reduction of 30-50% was observed. In contrast, for the control group, </w:instrText>
            </w:r>
            <w:r>
              <w:rPr>
                <w:rFonts w:ascii="Cambria Math" w:hAnsi="Cambria Math" w:cs="Cambria Math"/>
                <w:szCs w:val="20"/>
                <w:lang w:val="en-US"/>
              </w:rPr>
              <w:instrText>∼</w:instrText>
            </w:r>
            <w:r>
              <w:rPr>
                <w:rFonts w:asciiTheme="minorHAnsi" w:hAnsiTheme="minorHAnsi" w:cstheme="minorHAnsi"/>
                <w:szCs w:val="20"/>
                <w:lang w:val="en-US"/>
              </w:rPr>
              <w:instrText xml:space="preserve">80% of wounds showed a wound area reduction of &lt;20% on day 15. Further, the wounds with initial wound area 1000-2000 mm2 seems to have better final outcome than the groups with larger areas. The treated groups showed higher amount of granulation than the control group. The results suggest that LLLT is beneficial as an adjunct to conventional therapy in the treatment of diabetic foot ulcers.","container-title":"Lasers in Medical Science","issue":"2","journalAbbreviation":"Lasers Med Sci","language":"eng","note":"PMID: 27896528","page":"275-282","title":"Low-level laser therapy as an adjunct to conventional therapy in the treatment of diabetic foot ulcers","volume":"32","author":[{"family":"Mathur","given":"R. K."},{"family":"Sahu","given":"Khageswar"},{"family":"Saraf","given":"Siddharth"},{"family":"Patheja","given":"Pooja"},{"family":"Khan","given":"Fareed"},{"family":"Gupta","given":"P. K."}],"issued":{"date-parts":[["2017",2]]}}},{"id":48928,"uris":["http://zotero.org/users/5328021/items/B9AUD4LJ"],"uri":["http://zotero.org/users/5328021/items/B9AUD4LJ"],"itemData":{"id":48928,"type":"article-journal","abstract":"OBJECTIVE: To evaluate the effects of low-level laser therapy isolated and associated with Calendula officinalis oil in treating diabetic foot ulcers.\nMETHOD: An experimental, randomized, controlled, prospective, interventional clinical case study using a quantitative approach. The sample consisted of 32 diabetic patients of both genders. Participants were randomly divided into four groups. Doppler Ultrasound evaluation of the Ankle-Brachial Index, brief pain inventory and analog pain scale were performed at baseline and after 30 days.\nRESULTS: Reduced pain was observed in the Low-level laser therapy and Low-level laser therapy associated with Essential Fatty Acids groups (p&lt;0.01). Regarding the Ankle-Brachial Index and Doppler Ultrasound, all groups remained stable. By analyzing lesion area reduction, Low-level laser therapy associated with Essential fatty acids group showed a significance of p=0.0032, and the Low-level laser therapy group showed p=0.0428.\nCONCLUSION: Low-level laser therapy, performed alone or associated with the Calendula officinalis oil was effective in relieving pain and accelerating the tissue repair process of diabetic foot.\nOBJETIVO: Avaliar os efeitos da Terapia a Laser de Baixa Intensidade isolada e associada ao óleo de Calendula officinalis no reparo de úlceras em pé diabético.\nMÉTODO: Estudo de caso clínico, experimental, controlado, randomizado, prospectivo, intervencional, de caráter quantitativo. A amostra foi composta de 32 pacientes diabéticos, de ambos os gêneros. Os participantes foram distribuídos aleatoriamente em quatro grupos. Ultrassom Doppler, avaliação do Índice Tornozelo-Braquial, Inventário breve de dor e escala de dor analógica foram realizados no início e após 30 dias.\nRESULTADOS: Houve redução da dor nos grupos Terapia a Laser de Baixa Intensidade e Terapia a Laser de Baixa intensidade associada aos Ácidos Graxos Essenciais, com p&lt;0,01. Quanto ao Índice Tornozelo-Braquial e Ultrassom Doppler, todos os grupos mantiveram-se estáveis. Na análise da redução de área da lesão, o grupo Terapia a Laser de Baixa Intensidade associada aos Ácidos Graxos Essenciais apresentou uma significância p=0,0032, e o grupo Terapia a Laser de Baixa Intensidade, p=0,0428.\nCONCLUSÃO: A Terapia a Laser de Baixa Intensidade, realizada tanto isoladamente quanto associada ao óleo de Calendula officinalis, foi eficaz no alívio da dor e na aceleração do processo de reparo tecidual de pé diabético.","container-title":"Revista Da Escola De Enfermagem Da U S P","issue":"4","journalAbbreviation":"Rev Esc Enferm USP","language":"eng, por","note":"PMID: 27680049","page":"628-634","title":"Low-level laser therapy and Calendula officinalis in repairing diabetic foot ulcers","volume":"50","author":[{"family":"Carvalho","given":"Ana Flávia Machado","dropping-particle":"de"},{"family":"Feitosa","given":"Maura Cristina Porto"},{"family":"Coelho","given":"Nayana Pinheiro Machado de Freitas"},{"family":"Rebêlo","given":"Veruska Cronemberger Nogueira"},{"family":"Castro","given":"Juçara Gonçalves","dropping-particle":"de"},{"family":"Sousa","given":"Patrícia Regina Gomes","dropping-particle":"de"},{"family":"Feitosa","given":"Valrian Campos"},{"family":"Arisawa","given":"Emilia Angela Lo Schiavo"}],"issued":{"date-parts":[["2016",8]]}}},{"id":49458,"uris":["http://zotero.org/users/5328021/items/ZL7Y2Q33"],"uri":["http://zotero.org/users/5328021/items/ZL7Y2Q33"],"itemData":{"id":49458,"type":"article-journal","abstract":"Diabetes mellitus (DM) is a significant international health concern affecting more than 387 million individuals. A diabetic person has a 25% lifetime risk of developing a diabetic foot ulcer (DFU), leading to limb amputation in up to one in six DFU patients. Low-level light therapy (LLLT) uses low-power lasers or light-emitting diodes to alter cellular function and molecular pathways, and may be a promising treatment for DFU. The goal of this systematic review is to examine whether the clinical use of LLLT is effective in the healing of DFU at 12 and 20 weeks in comparison with the standard of care, and to provide evidence-based recommendation and future clinical guidelines for the treatment of DFU using LLLT. On September 30, 2015, we searched PubMed, EMBASE, CINAHL, and Web of Science databases using the following terms: \"diabetic foot\" AND \"low level light therapy,\" OR \"light emitting diode,\" OR \"phototherapy,\" OR \"laser.\" The relevant articles that met the following criteria were selected for inclusion: randomized control trials (RCTs) that investigated the use of LLLT for treatment of DFU. Four RCTs involving 131 participants were suitable for inclusion based upon our criteria. The clinical trials used sham irriadiation, low dose, or nontherapeutic LLLT as placebo or control in comparison to LLLT. The endpoints included ulcer size and time to complete healing with follow-up ranging from 2 to 16 weeks. Each article was assigned a level of evidence (LOE) and graded according to the Oxford Center for Evidence-based Medicine Levels of Evidence Grades of Recommendation criteria. Limitations of reviewed RCTs include a small sample size (N &lt; 100), unclear allocation concealment, lack of screening phase to exclude rapid healers, unclear inclusion/exclusion criteria, short (&lt;30 days) follow-up period, and unclear treatment settings (wavelength and treatment time). However, all reviewed RCTs demonstrated therapeutic outcomes with no adverse events using LLLT for treatment of DFU. This systematic review reports that LLLT has significant potential to become a portable, minimally invasive, easy-to-use, and cost effective modality for treatment of DFU. To enthusiastically recommend LLLT for treatment of DFU, additional studies with comparable laser parameters, screening period to exclude rapid healers, larger sample sizes and longer follow-up periods are required. We envision future stringent RCTs may validate LLLT for treatment of DFU. Systematic review registration number: PROSPERO CRD42015029825.","container-title":"Wound Repair and Regeneration: Official Publication of the Wound Healing Society [and] the European Tissue Repair Society","issue":"2","journalAbbreviation":"Wound Repair Regen","language":"eng","note":"PMID: 26748691","page":"418-426","title":"A systematic review of low-level light therapy for treatment of diabetic foot ulcer","volume":"24","author":[{"family":"Tchanque-Fossuo","given":"Catherine N."},{"family":"Ho","given":"Derek"},{"family":"Dahle","given":"Sara E."},{"family":"Koo","given":"Eugene"},{"family":"Li","given":"Chin-Shang"},{"family":"Isseroff","given":"R. Rivkah"},{"family":"Jagdeo","given":"Jared"}],"issued":{"date-parts":[["2016"]]}}},{"id":49467,"uris":["http://zotero.org/users/5328021/items/AFQEAER4"],"uri":["http://zotero.org/users/5328021/items/AFQEAER4"],"itemData":{"id":49467,"type":"article-journal","abstract":"PURPOSE: To evaluate the effects of the low-level laser therapy applying Laser on the tissue repair in ulcer carriers due to diabetes.\nMETHODS: Sixteen type II diabetic patients, ulcer carriers in the lower limbs, participated in the research from which eight were in the control group and eight were submitted to the low-level laser therapy with a pulsed wave form, visible ray, wave length of 632.8 nm, 30 mW peak power, (Laser - HTM). The application time was of 80 (4J/cm2) seconds. The application was punctual without contact (approximately 1mm of distance), the pen being held in a perpendicular position related to the wound, in equidistant points. There were 12 appointments, of which three were done weekly in alternated days. Photograph records and an application of the brief inventory of pain were done before and after 30 days of follow-up.\nRESULTS: There was a significant decrease in the size of the wound when compared to the control group (p&lt;0.05). The pain was also reported as having an intense improvement in the treated group.\nCONCLUSION: The low-level laser treatment seems to be an efficient method, viable, painless and of low costs concerning the tissue repair ulcers in a diabetic foot.","container-title":"Acta Cirurgica Brasileira","issue":"12","journalAbbreviation":"Acta Cir Bras","language":"eng","note":"PMID: 26735058","page":"852-857","title":"Effects of the Low-Level Laser Therapy (LLLT) in the process of healing diabetic foot ulcers","volume":"30","author":[{"family":"Feitosa","given":"Maura Cristina Porto"},{"family":"Carvalho","given":"Ana Flávia Machado","dropping-particle":"de"},{"family":"Feitosa","given":"Valrian Campos"},{"family":"Coelho","given":"Isabely Madalena"},{"family":"Oliveira","given":"Rauirys Alencar","dropping-particle":"de"},{"family":"Arisawa","given":"Emília Ângela Loschiavo"}],"issued":{"date-parts":[["2015",12]]}}},{"id":52994,"uris":["http://zotero.org/users/5328021/items/4VMIM44H"],"uri":["http://zotero.org/users/5328021/items/4VMIM44H"],"itemData":{"id":52994,"type":"article-journal","abstract":"Foot ulcers are serious complications of Diabetes Mellitus (DM) and are known to be resistant to conventional treatment. They may herald severe complications if not treated wisely. Electromagnetic radiations in the form of photons are delivered to the ulcers in laser form to stimulate healing. This study was conducted to evaluate the efficacy of Low Level Laser Therapy (LLLT) in diabetic ulcer healing dynamics. To determine mean percentage reduction of wound area in study and control groups.\nSETTINGS: KLES Dr. Prabhakar Kore Hospital and Medical Research Centre, Belgaum.\nSTUDY DESIGN: Randomized-Control Study.\nMETHODS: A total of 68 patients with Type 2 DM having Meggitt-Wagner Grade I foot ulcers of atleast more than 4 weeks duration, less than 6 × 6 cm(2) with negative culture were studied. Patients were randomized into two groups of 34 each. Patients in study group received LLLT with conventional therapy and those in control group were treated with conventional therapy alone. Healing or percentage reduction in ulcer area over a period of 15 days after commencement of treatment was recorded.\nSTATISTICAL ANALYSIS: Unpaired Student T Test and Mann Whitney U test. Mean age of the patients was 50.94 years in control group and 54.35 years in study group (p = 0.065). There was no significant difference between control and study group with respect to mean FBS and HbA1c levels (p &gt; 0.05), suggesting no biochemical differences between two groups. Initial ulcer area was 2608.03 mm(2) in study group and 2747.17 mm(2) in control group (p = 0.361). Final ulcer area was 1564.79 mm(2) in study group and 2424.75 mm(2) in control group (p = 0.361). Percentage ulcer area reduction was 40.24 ± 6.30 mm(2) in study group and 11.87 ± 4.28 mm(2) in control group (p &lt; 0.001, Z = 7.08). Low Level Laser Therapy is beneficial as an adjunct to conventional therapy in the treatment of diabetic foot ulcers (DFU).","container-title":"The Indian Journal of Surgery","issue":"5","journalAbbreviation":"Indian J Surg","language":"eng","note":"PMID: 24082586\nPMCID: PMC3477409","page":"359-363","title":"Efficacy of low level laser therapy on wound healing in patients with chronic diabetic foot ulcers-a randomised control trial","volume":"74","author":[{"family":"Kajagar","given":"Basavaraj M."},{"family":"Godhi","given":"Ashok S."},{"family":"Pandit","given":"Archit"},{"family":"Khatri","given":"S."}],"issued":{"date-parts":[["2012",10]]}}},{"id":55534,"uris":["http://zotero.org/users/5328021/items/ZHI6SHZ6"],"uri":["http://zotero.org/users/5328021/items/ZHI6SHZ6"],"itemData":{"id":55534,"type":"article-journal","abstract":"BACKGROUND AND OBJECTIVES: Low-level laser therapy (LLLT) has been shown to promote chronic wound healing in conditions of reduced microcirculation. In this preliminary study, we report the results of using LLLT to heal foot ulcers in patients with diabetes mellitus.\nMATERIALS AND METHODS: Twenty-three patients with a diabetic foot wound for at least 3 months were included in this double-blind randomized clinical trial. Patients were randomized to receive placebo treatment (n = 10) or LLLT (n = 13) (685 nm, energy density 10 J/cm(2)) in addition to conventional therapy. Patients were followed for 20 weeks. Ulcer size reduction and the number of patients with complete healing were compared between the LLLT and placebo groups.\nRESULTS: There were no significant differences in baseline characteristics of patients and foot ulcers receiving LLLT and placebo treatment. At week 4, the size of ulcers decreased significantly in the LLLT group (p = 0.04). After 20 weeks, in the LLLT group, eight patients had complete healing and in the placebo group only three patients experienced complete wound healing. The mean time of complete healing in LLLT patients (11 weeks) was less than that in placebo patients (14 weeks) though the difference was not statistically significant.\nCONCLUSIONS: The study provides evidence that LLLT can accelerate the healing process of chronic diabetic foot ulcers, and it can be presumed that LLLT may shorten the time period needed to achieve complete healing.","container-title":"Photomedicine and Laser Surgery","issue":"2","journalAbbreviation":"Photomed Laser Surg","language":"eng","note":"PMID: 21214368","page":"109-114","title":"A randomized clinical trial on the effect of low-level laser therapy on chronic diabetic foot wound healing: a preliminary report","volume":"29","author":[{"family":"Kaviani","given":"Ahmad"},{"family":"Djavid","given":"Gholamreza Esmaeeli"},{"family":"Ataie-Fashtami","given":"Leila"},{"family":"Fateh","given":"Mohsen"},{"family":"Ghodsi","given":"Maryam"},{"family":"Salami","given":"Maliheh"},{"family":"Zand","given":"Nasrin"},{"family":"Kashef","given":"Nasim"},{"family":"Larijani","given":"Bagher"}],"issued":{"date-parts":[["2011",2]]}}}],"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szCs w:val="24"/>
              </w:rPr>
              <w:t>(194,195,197,199–209)</w:t>
            </w:r>
            <w:r w:rsidRPr="00CA32B9">
              <w:rPr>
                <w:rFonts w:asciiTheme="minorHAnsi" w:hAnsiTheme="minorHAnsi" w:cstheme="minorHAnsi"/>
                <w:szCs w:val="20"/>
                <w:lang w:val="en-US"/>
              </w:rPr>
              <w:fldChar w:fldCharType="end"/>
            </w:r>
          </w:p>
        </w:tc>
      </w:tr>
      <w:tr w:rsidR="0056668F" w14:paraId="75402AF5" w14:textId="77777777" w:rsidTr="0022700A">
        <w:tc>
          <w:tcPr>
            <w:tcW w:w="2830" w:type="dxa"/>
            <w:vAlign w:val="center"/>
          </w:tcPr>
          <w:p w14:paraId="750541EC" w14:textId="3D02E0A1"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1 study (II)</w:t>
            </w:r>
          </w:p>
        </w:tc>
        <w:tc>
          <w:tcPr>
            <w:tcW w:w="1157" w:type="dxa"/>
            <w:vAlign w:val="center"/>
          </w:tcPr>
          <w:p w14:paraId="65BEFA7C" w14:textId="327045DF" w:rsidR="0056668F" w:rsidRDefault="0056668F" w:rsidP="0056668F">
            <w:pPr>
              <w:jc w:val="center"/>
              <w:rPr>
                <w:lang w:val="en-US"/>
              </w:rPr>
            </w:pPr>
            <w:r w:rsidRPr="00CA32B9">
              <w:rPr>
                <w:rFonts w:asciiTheme="minorHAnsi" w:hAnsiTheme="minorHAnsi" w:cstheme="minorHAnsi"/>
                <w:color w:val="9A9B9D" w:themeColor="text1" w:themeTint="99"/>
                <w:szCs w:val="20"/>
                <w:lang w:val="en-US"/>
              </w:rPr>
              <w:t>6</w:t>
            </w:r>
          </w:p>
        </w:tc>
        <w:tc>
          <w:tcPr>
            <w:tcW w:w="2009" w:type="dxa"/>
            <w:vMerge/>
            <w:vAlign w:val="center"/>
          </w:tcPr>
          <w:p w14:paraId="6A9C5BB5" w14:textId="77777777" w:rsidR="0056668F" w:rsidRDefault="0056668F" w:rsidP="0056668F">
            <w:pPr>
              <w:jc w:val="center"/>
              <w:rPr>
                <w:lang w:val="en-US"/>
              </w:rPr>
            </w:pPr>
          </w:p>
        </w:tc>
        <w:tc>
          <w:tcPr>
            <w:tcW w:w="3064" w:type="dxa"/>
            <w:vAlign w:val="center"/>
          </w:tcPr>
          <w:p w14:paraId="0B7727D7" w14:textId="18355D7F" w:rsidR="0056668F" w:rsidRDefault="0056668F" w:rsidP="0056668F">
            <w:pPr>
              <w:jc w:val="center"/>
              <w:rPr>
                <w:lang w:val="en-US"/>
              </w:rPr>
            </w:pPr>
            <w:r w:rsidRPr="00CA32B9">
              <w:rPr>
                <w:rFonts w:asciiTheme="minorHAnsi" w:hAnsiTheme="minorHAnsi" w:cstheme="minorHAnsi"/>
                <w:szCs w:val="20"/>
                <w:lang w:val="en-US"/>
              </w:rPr>
              <w:fldChar w:fldCharType="begin"/>
            </w:r>
            <w:r>
              <w:rPr>
                <w:rFonts w:asciiTheme="minorHAnsi" w:hAnsiTheme="minorHAnsi" w:cstheme="minorHAnsi"/>
                <w:szCs w:val="20"/>
                <w:lang w:val="en-US"/>
              </w:rPr>
              <w:instrText xml:space="preserve"> ADDIN ZOTERO_ITEM CSL_CITATION {"citationID":"3Ixp3zwp","properties":{"formattedCitation":"(210)","plainCitation":"(210)","noteIndex":0},"citationItems":[{"id":44992,"uris":["http://zotero.org/users/5328021/items/S9VZH8F9"],"uri":["http://zotero.org/users/5328021/items/S9VZH8F9"],"itemData":{"id":44992,"type":"article-journal","abstract":"This study analyzes the effects of the Rapha® system, which employs red light therapy (RLT) and a natural latex biomembrane in the healing of neuropathic ulcers associated with the diabetic foot. We conducted a randomized, controlled, blinded clinical trial with 15 participants that were divided into three groups (GI, GII and GIII): (i) Rapha® system application by the participant and a health professional at home, with clinical status evaluation every 2 weeks at the hospital (GI); (ii) standard protocol used in Brazil, performed by a health professional at the hospital (GII; control); and (iii) the Rapha® system applied by the participant at home and clinical status evaluation every 2 weeks at the hospital (GIII). We used image processing techniques on photographic recordings of the lesions, and several statistical tests were used to analyze the data, allowing for the comparison of the average results for all groups. The average healing rates of GI, GII, and GIII were 77.0, 51.4, and 80%, respectively. The granulation tissue evaluation indicated a higher efficacy in the tissue repair of lesions treated with the Rapha® system. In conclusion, the Rapha® system proved to be an effective healing system, even when self-applied at the patient's home.","container-title":"Annals of Biomedical Engineering","issue":"4","journalAbbreviation":"Ann Biomed Eng","language":"eng","note":"PMID: 30710185","page":"1153-1164","title":"Regeneration of Diabetic Foot Ulcers Based on Therapy with Red LED Light and a Natural Latex Biomembrane","volume":"47","author":[{"family":"Rosa","given":"S. S. R. F."},{"family":"Rosa","given":"M. F. F."},{"family":"Marques","given":"M. P."},{"family":"Guimarães","given":"G. A."},{"family":"Motta","given":"B. C."},{"family":"Macedo","given":"Y. C. L."},{"family":"Inazawa","given":"P."},{"family":"Dominguez","given":"A."},{"family":"Macedo","given":"F. S."},{"family":"Lopes","given":"C. a. P."},{"family":"Rocha","given":"A. F.","non-dropping-particle":"da"}],"issued":{"date-parts":[["2019",4]]}}}],"schema":"https://github.com/citation-style-language/schema/raw/master/csl-citation.json"} </w:instrText>
            </w:r>
            <w:r w:rsidRPr="00CA32B9">
              <w:rPr>
                <w:rFonts w:asciiTheme="minorHAnsi" w:hAnsiTheme="minorHAnsi" w:cstheme="minorHAnsi"/>
                <w:szCs w:val="20"/>
                <w:lang w:val="en-US"/>
              </w:rPr>
              <w:fldChar w:fldCharType="separate"/>
            </w:r>
            <w:r w:rsidRPr="00A91C12">
              <w:rPr>
                <w:rFonts w:cs="Arial"/>
                <w:lang w:val="en-US"/>
              </w:rPr>
              <w:t>(210)</w:t>
            </w:r>
            <w:r w:rsidRPr="00CA32B9">
              <w:rPr>
                <w:rFonts w:asciiTheme="minorHAnsi" w:hAnsiTheme="minorHAnsi" w:cstheme="minorHAnsi"/>
                <w:szCs w:val="20"/>
                <w:lang w:val="en-US"/>
              </w:rPr>
              <w:fldChar w:fldCharType="end"/>
            </w:r>
          </w:p>
        </w:tc>
      </w:tr>
    </w:tbl>
    <w:p w14:paraId="2F6875C5" w14:textId="77777777" w:rsidR="00F64C02" w:rsidRDefault="00F64C02">
      <w:pPr>
        <w:rPr>
          <w:lang w:val="en-US"/>
        </w:rPr>
      </w:pPr>
    </w:p>
    <w:p w14:paraId="391DA729" w14:textId="148EF14C" w:rsidR="00F64C02" w:rsidRPr="00F64C02" w:rsidRDefault="00F64C02" w:rsidP="00F64C02">
      <w:pPr>
        <w:pStyle w:val="Caption"/>
        <w:keepNext/>
        <w:rPr>
          <w:bCs w:val="0"/>
          <w:color w:val="58595B" w:themeColor="text1"/>
          <w:szCs w:val="20"/>
          <w:lang w:val="en-US"/>
        </w:rPr>
      </w:pPr>
      <w:r>
        <w:rPr>
          <w:bCs w:val="0"/>
          <w:color w:val="58595B" w:themeColor="text1"/>
          <w:szCs w:val="20"/>
          <w:lang w:val="en-US"/>
        </w:rPr>
        <w:t>Additional table 5 (continued)</w:t>
      </w:r>
    </w:p>
    <w:tbl>
      <w:tblPr>
        <w:tblStyle w:val="TableGridLight1"/>
        <w:tblW w:w="0" w:type="auto"/>
        <w:tblLook w:val="04A0" w:firstRow="1" w:lastRow="0" w:firstColumn="1" w:lastColumn="0" w:noHBand="0" w:noVBand="1"/>
      </w:tblPr>
      <w:tblGrid>
        <w:gridCol w:w="2830"/>
        <w:gridCol w:w="1700"/>
        <w:gridCol w:w="2265"/>
        <w:gridCol w:w="2265"/>
      </w:tblGrid>
      <w:tr w:rsidR="0022700A" w:rsidRPr="00166EC2" w14:paraId="1C6A3247" w14:textId="77777777" w:rsidTr="0022700A">
        <w:tc>
          <w:tcPr>
            <w:tcW w:w="9060" w:type="dxa"/>
            <w:gridSpan w:val="4"/>
            <w:shd w:val="clear" w:color="auto" w:fill="D4F1D3" w:themeFill="background2" w:themeFillTint="33"/>
            <w:vAlign w:val="center"/>
          </w:tcPr>
          <w:p w14:paraId="7F63380C" w14:textId="7AC1DE09" w:rsidR="0022700A" w:rsidRDefault="0022700A" w:rsidP="0022700A">
            <w:pPr>
              <w:jc w:val="center"/>
              <w:rPr>
                <w:lang w:val="en-US"/>
              </w:rPr>
            </w:pPr>
            <w:r w:rsidRPr="00702C31">
              <w:rPr>
                <w:b/>
                <w:bCs/>
                <w:color w:val="56575A"/>
                <w:szCs w:val="20"/>
                <w:lang w:val="en-US"/>
              </w:rPr>
              <w:t xml:space="preserve">Treatment with </w:t>
            </w:r>
            <w:r>
              <w:rPr>
                <w:b/>
                <w:bCs/>
                <w:color w:val="56575A"/>
                <w:szCs w:val="20"/>
                <w:lang w:val="en-US"/>
              </w:rPr>
              <w:t>physical therapy: extracorporeal shockwave therapy</w:t>
            </w:r>
          </w:p>
        </w:tc>
      </w:tr>
      <w:tr w:rsidR="0022700A" w14:paraId="4637D0E4" w14:textId="77777777" w:rsidTr="0022700A">
        <w:tc>
          <w:tcPr>
            <w:tcW w:w="9060" w:type="dxa"/>
            <w:gridSpan w:val="4"/>
            <w:vAlign w:val="center"/>
          </w:tcPr>
          <w:p w14:paraId="1A944C17" w14:textId="651CD870" w:rsidR="0022700A" w:rsidRDefault="0022700A" w:rsidP="0022700A">
            <w:pPr>
              <w:jc w:val="left"/>
              <w:rPr>
                <w:lang w:val="en-US"/>
              </w:rPr>
            </w:pPr>
            <w:r w:rsidRPr="002352D7">
              <w:rPr>
                <w:b/>
                <w:sz w:val="18"/>
                <w:szCs w:val="18"/>
                <w:lang w:val="en-US"/>
              </w:rPr>
              <w:t xml:space="preserve">Ulcer </w:t>
            </w:r>
            <w:r>
              <w:rPr>
                <w:b/>
                <w:sz w:val="18"/>
                <w:szCs w:val="18"/>
                <w:lang w:val="en-US"/>
              </w:rPr>
              <w:t>healing</w:t>
            </w:r>
          </w:p>
        </w:tc>
      </w:tr>
      <w:tr w:rsidR="0056668F" w14:paraId="7D663B42" w14:textId="77777777" w:rsidTr="0022700A">
        <w:tc>
          <w:tcPr>
            <w:tcW w:w="2830" w:type="dxa"/>
            <w:vAlign w:val="center"/>
          </w:tcPr>
          <w:p w14:paraId="6655A00E" w14:textId="0F7B61C3" w:rsidR="0056668F" w:rsidRDefault="0056668F" w:rsidP="0022700A">
            <w:pPr>
              <w:jc w:val="center"/>
              <w:rPr>
                <w:lang w:val="en-US"/>
              </w:rPr>
            </w:pPr>
            <w:r>
              <w:rPr>
                <w:lang w:val="en-US"/>
              </w:rPr>
              <w:t>2 studies</w:t>
            </w:r>
            <w:r w:rsidRPr="00E94B25">
              <w:rPr>
                <w:lang w:val="en-US"/>
              </w:rPr>
              <w:t xml:space="preserve"> (I)</w:t>
            </w:r>
            <w:r>
              <w:rPr>
                <w:lang w:val="en-US"/>
              </w:rPr>
              <w:t xml:space="preserve"> - 2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7DEA2222" w14:textId="0B6231DC" w:rsidR="0056668F" w:rsidRDefault="0056668F" w:rsidP="0022700A">
            <w:pPr>
              <w:jc w:val="center"/>
              <w:rPr>
                <w:lang w:val="en-US"/>
              </w:rPr>
            </w:pPr>
            <w:r>
              <w:rPr>
                <w:lang w:val="en-US"/>
              </w:rPr>
              <w:t>7,25</w:t>
            </w:r>
          </w:p>
        </w:tc>
        <w:tc>
          <w:tcPr>
            <w:tcW w:w="2265" w:type="dxa"/>
            <w:vAlign w:val="center"/>
          </w:tcPr>
          <w:p w14:paraId="1A2C6585" w14:textId="511F8B5B" w:rsidR="0056668F" w:rsidRDefault="0056668F" w:rsidP="0022700A">
            <w:pPr>
              <w:jc w:val="center"/>
              <w:rPr>
                <w:lang w:val="en-US"/>
              </w:rPr>
            </w:pPr>
            <w:r>
              <w:rPr>
                <w:lang w:val="en-US"/>
              </w:rPr>
              <w:t>Good</w:t>
            </w:r>
          </w:p>
        </w:tc>
        <w:tc>
          <w:tcPr>
            <w:tcW w:w="2265" w:type="dxa"/>
            <w:vAlign w:val="center"/>
          </w:tcPr>
          <w:p w14:paraId="343F59D6" w14:textId="4231F202" w:rsidR="0056668F" w:rsidRDefault="0056668F" w:rsidP="0022700A">
            <w:pPr>
              <w:jc w:val="center"/>
              <w:rPr>
                <w:lang w:val="en-US"/>
              </w:rPr>
            </w:pPr>
            <w:r>
              <w:rPr>
                <w:rFonts w:cs="Arial"/>
                <w:lang w:val="en-US"/>
              </w:rPr>
              <w:fldChar w:fldCharType="begin"/>
            </w:r>
            <w:r>
              <w:rPr>
                <w:rFonts w:cs="Arial"/>
                <w:lang w:val="en-US"/>
              </w:rPr>
              <w:instrText xml:space="preserve"> ADDIN ZOTERO_ITEM CSL_CITATION {"citationID":"3Diq2BIu","properties":{"formattedCitation":"(211\\uc0\\u8211{}214)","plainCitation":"(211–214)","noteIndex":0},"citationItems":[{"id":73651,"uris":["http://zotero.org/users/5328021/items/5YXNPZLR"],"uri":["http://zotero.org/users/5328021/items/5YXNPZLR"],"itemData":{"id":73651,"type":"article-journal","abstract":"Extracorporeal shock wave therapy (ESWT) as a new adjuvant therapy has shown a potential capability to promote diabetic foot ulcer (DFU) healing. The purpose of this study was to assess the efficacy and safety of ESWT on the healing of DFUs.  The Cochrane Library, PubMed, Embase, Web of Science, China Biology Medicine and  reference lists were searched for studies published up to December 2018. Randomized controlled trials of any design, including ESWT for patients with DFU, were included. Two reviewers extracted data, including the wound surface area (WSA), percentage of re-epithelialization, population of complete cure and unchanged and other related outcomes. Eight randomized controlled trials (N=339)  were included. ESWT was found to be associated with a greater reduction of WSA by 1.54 cm(2), and increase of re-epithelialization by 26.31%. A greater population  with complete cure was found at the end of treatment (risk ratio [RR] = 2.22; 95% confidence interval [CI], 1.46 to 3.40); however, there was no statistically significant difference at the end of follow up (p=0.052). It can also reduce treatment inefficiency by 4.8-fold (95% CI, 0.12 to 0.37). In addition, ESWT also showed a higher superiority than hyperbaric oxygen therapy in the population for  complete cure and unchanged ulcer (RR=1.83; 95% CI, 1.14 to 2.94 and RR=0.25; 95% CI, 0.13 to 0.48, respectively). ESWT is a feasible adjuvant treatment for DFUs.  It can effectively improve the complete cure rate, shorten the healing period of  DFUs and significantly reduce treatment ineffectiveness. This can provide new therapeutic ideas for clinical practice of intractable and recurrent DFUs.","container-title":"Canadian journal of diabetes","issue":"2","journalAbbreviation":"Can J Diabetes","language":"eng","note":"PMID: 31515158","page":"196-204.e3","title":"Extracorporeal Shock Wave Therapy for Treating Foot Ulcers in Adults With Type 1  and Type 2 Diabetes: A Systematic Review and Meta-Analysis of Randomized Controlled Trials.","volume":"44","author":[{"family":"Huang","given":"Qiangru"},{"family":"Yan","given":"Peijing"},{"family":"Xiong","given":"Huaiyu"},{"family":"Shuai","given":"Tiankui"},{"family":"Liu","given":"Jingjing"},{"family":"Zhu","given":"Lei"},{"family":"Lu","given":"Jiaju"},{"family":"Shi","given":"Xiue"},{"family":"Yang","given":"Kehu"},{"family":"Liu","given":"Jian"}],"issued":{"date-parts":[["2020",3]]}}},{"id":45149,"uris":["http://zotero.org/users/5328021/items/AAGIJ5L2"],"uri":["http://zotero.org/users/5328021/items/AAGIJ5L2"],"itemData":{"id":45149,"type":"article-journal","abstract":"BACKGROUND: Diabetes mellitus is one of the most common chronic diseases worldwide. Diabetic foot ulcers (DFUs) occur in over 10% of diabetic patients and are associated with high morbidity. Clinical trials have shown benefit from extracorporeal shockwave therapy (ESWT) in a DFU healing. This systematic review aims to assess the currently available evidence examining the efficacy of ESWT on healing of DFU.\nMETHODS: Electronic databases including PubMed, Ovid MEDLINE, Web of Science, Embase, CINAHL Plus, Cochrane Central Registry of Controlled Trials, and Clinical Trials Registry were searched up to November 2017 for terms related to ESWT in DFU. Articles were identified, and data were extracted by 2 independent reviewers onto Review Manager 5.3 software.\nRESULTS: This review included 5 trials of 255 patients published between 2009 and 2016. Three studies compared ESWT to standard wound care, and 2 studies compared ESWT to hyperbaric oxygen therapy (HBOT). All studies contained unclear to high risk of bias assessed by the Cochrane Risk of Bias Tool. ESWT was superior to standard wound care at complete wound healing (odds ratio [OR] 2.66 95% confidence interval [CI] 1.03, 6.87, I2 0%) and time to healing (64.5 ± 8.06 days versus 81.17 ± 4.35 days). DFU healing improved more with ESWT than HBOT (OR 2.45 95% CI 1.07, 5.61 I2 28%). There was variable evidence of effect on the blood flow perfusion rate. Infection rate and amputation rate were not reported.\nCONCLUSIONS: This systematic review concludes that ESWT has the potential to improve healing in DFUs, although there is, as yet, insufficient evidence to justify its use in routine clinical practice. The meta-analysis has a high risk of bias and is unlikely to reflect true effect size because of problematic risk of bias in included studies. This review highlights the variable quality of methodology of trials and dosing of shockwave therapy and the need for robust adequately powered research into this promising therapy.","container-title":"Annals of Vascular Surgery","journalAbbreviation":"Ann Vasc Surg","language":"eng","note":"PMID: 30496896","page":"330-339","title":"Extracorporeal Shockwave Therapy for Diabetic Foot Ulcers: A Systematic Review and Meta-Analysis","volume":"56","author":[{"family":"Hitchman","given":"Louise Helen"},{"family":"Totty","given":"Joshua P."},{"family":"Raza","given":"Ali"},{"family":"Cai","given":"Paris"},{"family":"Smith","given":"George E."},{"family":"Carradice","given":"Daniel"},{"family":"Wallace","given":"Tom"},{"family":"Harwood","given":"Amy E."},{"family":"Chetter","given":"Ian C."}],"issued":{"date-parts":[["2019",4]]}}},{"id":45115,"uris":["http://zotero.org/users/5328021/items/7QU8P5QL"],"uri":["http://zotero.org/users/5328021/items/7QU8P5QL"],"itemData":{"id":45115,"type":"article-journal","abstract":"OBJECTIVE: To investigate the efficacy of focused extracorporeal shockwave therapy (ESWT) as an adjunctive treatment for neuropathic diabetic foot ulcers (DFU) (1A or 2A on the University of Texas grading scheme), compared with sham treatment.\nMETHOD: We performed two multicentre, randomised, sham-controlled, double-blinded, phase III clinical trials using focused ESWT compared with sham examining DFUs that did not reduce in volume by ≥50% over 2 weeks' standard treatment immediately prior to randomisation. Patients were enrolled into the trials and randomised for either standard care and focused ESWT (pulsed acoustic cellular expression. dermaPACE System, SANUWAVE Health Inc.) active therapy, or standard care and sham therapy. Both active and sham therapy were administered four times in 2 weeks in study 1 and a maximum of eight times over 12 weeks in study 2. Standard care continued in both studies throughout the 12-week treatment phase. The proportion of DFUs that closed completely by 12, 20 and 24 weeks was measured.\nRESULTS: The two studies evaluated 336 patients; 172 patients treated with active therapy and 164 managed with a sham device. The demographic characteristics of patients in the two arms of both studies were balanced and statistical comparison of the two studies justified pooling datasets for analysis. Statistically significantly more DFU healed at 20 (35.5% versus 24.4%; p=0.027) and 24 weeks (37.8% versus 26.2%; p=0.023) in the active treatment arm compared with the sham-controlled arm. At 12 weeks the active therapy arm trended to significance (22.7% versus 18.3%).\nCONCLUSION: The outcome of these two trials suggests that ESWT is an effective therapeutic modality in combination with standard care for neuropathic DFU that do not respond to standard care alone.","container-title":"Journal of Wound Care","issue":"12","journalAbbreviation":"J Wound Care","language":"eng","note":"PMID: 30557108","page":"822-836","title":"Diabetic foot ulcer treatment with focused shockwave therapy: two multicentre, prospective, controlled, double-blinded, randomised phase III clinical trials","volume":"27","author":[{"family":"Snyder","given":"Robert"},{"family":"Galiano","given":"Robert"},{"family":"Mayer","given":"Perry"},{"family":"Rogers","given":"Lee C."},{"family":"Alvarez","given":"Oscar"},{"literal":"Sanuwave Trial Investigators"}],"issued":{"date-parts":[["2018"]],"season":"02"}}},{"id":55476,"uris":["http://zotero.org/users/5328021/items/G753UJUF"],"uri":["http://zotero.org/users/5328021/items/G753UJUF"],"itemData":{"id":55476,"type":"article-journal","abstract":"OBJECTIVE: This study compared the effectiveness of extracorporeal shockwave therapy (ESWT) and hyperbaric oxygen therapy (HBOT) in chronic diabetic foot ulcers.\nPATIENTS AND METHODS: The ESWT group (39 patients/44 feet) received shockwave therapy twice per week for total six treatments. The HBOT group (38 patients/40 feet) received hyperbaric oxygen therapy daily for total 20 treatments. Evaluations included clinical assessment, blood flow perfusion scan and histopathological examination.\nRESULTS: The overall clinical results showed completely healed ulcers in 57% and 25% (P = 0.003); ≥ 50% improved ulcers in 32% and 15% (P = 0.071); unchanged ulcers in 11% and 60% (P &lt; 0.001) and none worsened for the ESWT and the HBOT group respectively. The blood flow perfusion rates were comparable between the two groups before treatment (P = 0.245), however, significant differences were noted after treatment favoring the ESWT group (P = 0.002). Histopathological examination revealed considerable increases in cell proliferation and decreases in cell apoptosis in the ESWT group as compared to the HBOT group.\nCONCLUSION: ESWT is more effective than HBOT in chronic diabetic foot ulcers. ESWT-treated ulcers showed significant improvement in blood flow perfusion rate and cell activity leading to better healing of the ulcers relative to HBOT in chronic diabetic foot ulcers.","container-title":"Diabetes Research and Clinical Practice","issue":"2","journalAbbreviation":"Diabetes Res. Clin. Pract.","language":"eng","note":"PMID: 21310502","page":"187-193","title":"Treatment of diabetic foot ulcers: a comparative study of extracorporeal shockwave therapy and hyperbaric oxygen therapy","volume":"92","author":[{"family":"Wang","given":"Ching-Jen"},{"family":"Wu","given":"Re-Wen"},{"family":"Yang","given":"Ya-Ju"}],"issued":{"date-parts":[["2011",5]]}}}],"schema":"https://github.com/citation-style-language/schema/raw/master/csl-citation.json"} </w:instrText>
            </w:r>
            <w:r>
              <w:rPr>
                <w:rFonts w:cs="Arial"/>
                <w:lang w:val="en-US"/>
              </w:rPr>
              <w:fldChar w:fldCharType="separate"/>
            </w:r>
            <w:r w:rsidRPr="00A91C12">
              <w:rPr>
                <w:rFonts w:cs="Arial"/>
                <w:szCs w:val="24"/>
              </w:rPr>
              <w:t>(211–214)</w:t>
            </w:r>
            <w:r>
              <w:rPr>
                <w:rFonts w:cs="Arial"/>
                <w:lang w:val="en-US"/>
              </w:rPr>
              <w:fldChar w:fldCharType="end"/>
            </w:r>
          </w:p>
        </w:tc>
      </w:tr>
      <w:tr w:rsidR="0056668F" w14:paraId="35A8ECDE" w14:textId="77777777" w:rsidTr="00166EC2">
        <w:tc>
          <w:tcPr>
            <w:tcW w:w="2830" w:type="dxa"/>
            <w:vAlign w:val="center"/>
          </w:tcPr>
          <w:p w14:paraId="55FC4EFB" w14:textId="111E094D" w:rsidR="0056668F" w:rsidRDefault="0056668F" w:rsidP="00166EC2">
            <w:pPr>
              <w:jc w:val="left"/>
              <w:rPr>
                <w:lang w:val="en-US"/>
              </w:rPr>
            </w:pPr>
            <w:r w:rsidRPr="002352D7">
              <w:rPr>
                <w:b/>
                <w:sz w:val="18"/>
                <w:szCs w:val="18"/>
                <w:lang w:val="en-US"/>
              </w:rPr>
              <w:t>Ulcer area reduction</w:t>
            </w:r>
          </w:p>
        </w:tc>
        <w:tc>
          <w:tcPr>
            <w:tcW w:w="1700" w:type="dxa"/>
            <w:vAlign w:val="center"/>
          </w:tcPr>
          <w:p w14:paraId="4B6EE4B3" w14:textId="77777777" w:rsidR="0056668F" w:rsidRDefault="0056668F" w:rsidP="0022700A">
            <w:pPr>
              <w:jc w:val="center"/>
              <w:rPr>
                <w:lang w:val="en-US"/>
              </w:rPr>
            </w:pPr>
          </w:p>
        </w:tc>
        <w:tc>
          <w:tcPr>
            <w:tcW w:w="2265" w:type="dxa"/>
            <w:vAlign w:val="center"/>
          </w:tcPr>
          <w:p w14:paraId="784887FB" w14:textId="77777777" w:rsidR="0056668F" w:rsidRDefault="0056668F" w:rsidP="0022700A">
            <w:pPr>
              <w:jc w:val="center"/>
              <w:rPr>
                <w:lang w:val="en-US"/>
              </w:rPr>
            </w:pPr>
          </w:p>
        </w:tc>
        <w:tc>
          <w:tcPr>
            <w:tcW w:w="2265" w:type="dxa"/>
            <w:vAlign w:val="center"/>
          </w:tcPr>
          <w:p w14:paraId="1195AA0A" w14:textId="77777777" w:rsidR="0056668F" w:rsidRDefault="0056668F" w:rsidP="0022700A">
            <w:pPr>
              <w:jc w:val="center"/>
              <w:rPr>
                <w:lang w:val="en-US"/>
              </w:rPr>
            </w:pPr>
          </w:p>
        </w:tc>
      </w:tr>
      <w:tr w:rsidR="0022700A" w14:paraId="37DEB038" w14:textId="77777777" w:rsidTr="0022700A">
        <w:tc>
          <w:tcPr>
            <w:tcW w:w="2830" w:type="dxa"/>
            <w:vAlign w:val="center"/>
          </w:tcPr>
          <w:p w14:paraId="2C93D312" w14:textId="485788E4" w:rsidR="0022700A" w:rsidRDefault="0022700A" w:rsidP="0022700A">
            <w:pPr>
              <w:jc w:val="center"/>
              <w:rPr>
                <w:lang w:val="en-US"/>
              </w:rPr>
            </w:pPr>
            <w:r>
              <w:rPr>
                <w:lang w:val="en-US"/>
              </w:rPr>
              <w:t>1 study</w:t>
            </w:r>
            <w:r w:rsidRPr="00E94B25">
              <w:rPr>
                <w:lang w:val="en-US"/>
              </w:rPr>
              <w:t xml:space="preserve"> (I)</w:t>
            </w:r>
            <w:r>
              <w:rPr>
                <w:lang w:val="en-US"/>
              </w:rPr>
              <w:t xml:space="preserve"> - 2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3E152BE3" w14:textId="612B7C53" w:rsidR="0022700A" w:rsidRDefault="0022700A" w:rsidP="0022700A">
            <w:pPr>
              <w:jc w:val="center"/>
              <w:rPr>
                <w:lang w:val="en-US"/>
              </w:rPr>
            </w:pPr>
            <w:r>
              <w:rPr>
                <w:lang w:val="en-US"/>
              </w:rPr>
              <w:t>6,6</w:t>
            </w:r>
          </w:p>
        </w:tc>
        <w:tc>
          <w:tcPr>
            <w:tcW w:w="2265" w:type="dxa"/>
            <w:vMerge w:val="restart"/>
            <w:vAlign w:val="center"/>
          </w:tcPr>
          <w:p w14:paraId="4D416ED8" w14:textId="5C4D72C3" w:rsidR="0022700A" w:rsidRDefault="0022700A" w:rsidP="0022700A">
            <w:pPr>
              <w:jc w:val="center"/>
              <w:rPr>
                <w:lang w:val="en-US"/>
              </w:rPr>
            </w:pPr>
            <w:r>
              <w:rPr>
                <w:lang w:val="en-US"/>
              </w:rPr>
              <w:t>Low</w:t>
            </w:r>
          </w:p>
        </w:tc>
        <w:tc>
          <w:tcPr>
            <w:tcW w:w="2265" w:type="dxa"/>
            <w:vAlign w:val="center"/>
          </w:tcPr>
          <w:p w14:paraId="624623F7" w14:textId="22389149"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TUo7aHIm","properties":{"formattedCitation":"(211,213,215)","plainCitation":"(211,213,215)","noteIndex":0},"citationItems":[{"id":73651,"uris":["http://zotero.org/users/5328021/items/5YXNPZLR"],"uri":["http://zotero.org/users/5328021/items/5YXNPZLR"],"itemData":{"id":73651,"type":"article-journal","abstract":"Extracorporeal shock wave therapy (ESWT) as a new adjuvant therapy has shown a potential capability to promote diabetic foot ulcer (DFU) healing. The purpose of this study was to assess the efficacy and safety of ESWT on the healing of DFUs.  The Cochrane Library, PubMed, Embase, Web of Science, China Biology Medicine and  reference lists were searched for studies published up to December 2018. Randomized controlled trials of any design, including ESWT for patients with DFU, were included. Two reviewers extracted data, including the wound surface area (WSA), percentage of re-epithelialization, population of complete cure and unchanged and other related outcomes. Eight randomized controlled trials (N=339)  were included. ESWT was found to be associated with a greater reduction of WSA by 1.54 cm(2), and increase of re-epithelialization by 26.31%. A greater population  with complete cure was found at the end of treatment (risk ratio [RR] = 2.22; 95% confidence interval [CI], 1.46 to 3.40); however, there was no statistically significant difference at the end of follow up (p=0.052). It can also reduce treatment inefficiency by 4.8-fold (95% CI, 0.12 to 0.37). In addition, ESWT also showed a higher superiority than hyperbaric oxygen therapy in the population for  complete cure and unchanged ulcer (RR=1.83; 95% CI, 1.14 to 2.94 and RR=0.25; 95% CI, 0.13 to 0.48, respectively). ESWT is a feasible adjuvant treatment for DFUs.  It can effectively improve the complete cure rate, shorten the healing period of  DFUs and significantly reduce treatment ineffectiveness. This can provide new therapeutic ideas for clinical practice of intractable and recurrent DFUs.","container-title":"Canadian journal of diabetes","issue":"2","journalAbbreviation":"Can J Diabetes","language":"eng","note":"PMID: 31515158","page":"196-204.e3","title":"Extracorporeal Shock Wave Therapy for Treating Foot Ulcers in Adults With Type 1  and Type 2 Diabetes: A Systematic Review and Meta-Analysis of Randomized Controlled Trials.","volume":"44","author":[{"family":"Huang","given":"Qiangru"},{"family":"Yan","given":"Peijing"},{"family":"Xiong","given":"Huaiyu"},{"family":"Shuai","given":"Tiankui"},{"family":"Liu","given":"Jingjing"},{"family":"Zhu","given":"Lei"},{"family":"Lu","given":"Jiaju"},{"family":"Shi","given":"Xiue"},{"family":"Yang","given":"Kehu"},{"family":"Liu","given":"Jian"}],"issued":{"date-parts":[["2020",3]]}}},{"id":45115,"uris":["http://zotero.org/users/5328021/items/7QU8P5QL"],"uri":["http://zotero.org/users/5328021/items/7QU8P5QL"],"itemData":{"id":45115,"type":"article-journal","abstract":"OBJECTIVE: To investigate the efficacy of focused extracorporeal shockwave therapy (ESWT) as an adjunctive treatment for neuropathic diabetic foot ulcers (DFU) (1A or 2A on the University of Texas grading scheme), compared with sham treatment.\nMETHOD: We performed two multicentre, randomised, sham-controlled, double-blinded, phase III clinical trials using focused ESWT compared with sham examining DFUs that did not reduce in volume by ≥50% over 2 weeks' standard treatment immediately prior to randomisation. Patients were enrolled into the trials and randomised for either standard care and focused ESWT (pulsed acoustic cellular expression. dermaPACE System, SANUWAVE Health Inc.) active therapy, or standard care and sham therapy. Both active and sham therapy were administered four times in 2 weeks in study 1 and a maximum of eight times over 12 weeks in study 2. Standard care continued in both studies throughout the 12-week treatment phase. The proportion of DFUs that closed completely by 12, 20 and 24 weeks was measured.\nRESULTS: The two studies evaluated 336 patients; 172 patients treated with active therapy and 164 managed with a sham device. The demographic characteristics of patients in the two arms of both studies were balanced and statistical comparison of the two studies justified pooling datasets for analysis. Statistically significantly more DFU healed at 20 (35.5% versus 24.4%; p=0.027) and 24 weeks (37.8% versus 26.2%; p=0.023) in the active treatment arm compared with the sham-controlled arm. At 12 weeks the active therapy arm trended to significance (22.7% versus 18.3%).\nCONCLUSION: The outcome of these two trials suggests that ESWT is an effective therapeutic modality in combination with standard care for neuropathic DFU that do not respond to standard care alone.","container-title":"Journal of Wound Care","issue":"12","journalAbbreviation":"J Wound Care","language":"eng","note":"PMID: 30557108","page":"822-836","title":"Diabetic foot ulcer treatment with focused shockwave therapy: two multicentre, prospective, controlled, double-blinded, randomised phase III clinical trials","volume":"27","author":[{"family":"Snyder","given":"Robert"},{"family":"Galiano","given":"Robert"},{"family":"Mayer","given":"Perry"},{"family":"Rogers","given":"Lee C."},{"family":"Alvarez","given":"Oscar"},{"literal":"Sanuwave Trial Investigators"}],"issued":{"date-parts":[["2018"]],"season":"02"}}},{"id":51215,"uris":["http://zotero.org/users/5328021/items/SLYTPRQI"],"uri":["http://zotero.org/users/5328021/items/SLYTPRQI"],"itemData":{"id":51215,"type":"article-journal","abstract":"OBJECTIVE: This study was conducted to evaluate the efficacy of extracorporeal shock wave therapy (ESWT) on the healing rate, wound surface area and wound bed preparation in chronic diabetic foot ulcers (DFU).\nMETHODS: Thirty eight patients with 45 chronic DFU were randomly assigned into; the ESWT-group (19 patients/24 ulcers) and the control-group (19 patients/21 ulcers). Blinded therapist measured wound surface area (WSA), the percentage of reduction in the WSA, rate of healing and wound bed preparation at baseline, after the end of the interventions (W8), and at 20-week follow-up (W20). The ESWT group received shock wave therapy twice per week for a total of eight treatments. Each ulcer was received ESWT at a frequency of 100 pulse/cm(2), and energy flux density of 0.11mJ/cm(2). All patients received standardized wound care consisting of debridement, blood-glucose control agents, and footwear modification for pressure reduction.\nRESULTS: The overall clinical results showed completely healed ulcers in 33.3% and 54% in ESWT-groups and 14.28% and 28.5% in the control group after intervention (W8), and at follow-up (W20) respectively. The average healing time was significantly lower (64.5 ± 8.06 days vs 81.17 ± 4.35 days, p&lt;0.05) in the ESWT-group compared with the control group.\nCONCLUSION: ESWT-treated ulcers had a significant reduction in wound size and median time required for ulcer healing, with no adverse reactions. So, the ESWT is advocated as an adjunctive therapy in chronic diabetic wound.","container-title":"Diabetes Research and Clinical Practice","issue":"3","journalAbbreviation":"Diabetes Res. Clin. Pract.","language":"eng","note":"PMID: 25451894","page":"548-554","title":"Efficacy of shock wave therapy on chronic diabetic foot ulcer: a single-blinded randomized controlled clinical trial","volume":"106","author":[{"family":"Omar","given":"Mohammed T. A."},{"family":"Alghadir","given":"Ahmad"},{"family":"Al-Wahhabi","given":"Khalid K."},{"family":"Al-Askar","given":"Abeer B."}],"issued":{"date-parts":[["2014",12]]}}}],"schema":"https://github.com/citation-style-language/schema/raw/master/csl-citation.json"} </w:instrText>
            </w:r>
            <w:r>
              <w:rPr>
                <w:rFonts w:cs="Arial"/>
                <w:lang w:val="en-US"/>
              </w:rPr>
              <w:fldChar w:fldCharType="separate"/>
            </w:r>
            <w:r w:rsidRPr="00C23FB9">
              <w:rPr>
                <w:rFonts w:cs="Arial"/>
              </w:rPr>
              <w:t>(211,213,215)</w:t>
            </w:r>
            <w:r>
              <w:rPr>
                <w:rFonts w:cs="Arial"/>
                <w:lang w:val="en-US"/>
              </w:rPr>
              <w:fldChar w:fldCharType="end"/>
            </w:r>
          </w:p>
        </w:tc>
      </w:tr>
      <w:tr w:rsidR="0022700A" w14:paraId="50B5FC6D" w14:textId="77777777" w:rsidTr="0022700A">
        <w:tc>
          <w:tcPr>
            <w:tcW w:w="2830" w:type="dxa"/>
            <w:vAlign w:val="center"/>
          </w:tcPr>
          <w:p w14:paraId="751B26FD" w14:textId="6F2A6D51" w:rsidR="0022700A" w:rsidRDefault="0022700A" w:rsidP="0022700A">
            <w:pPr>
              <w:jc w:val="center"/>
              <w:rPr>
                <w:lang w:val="en-US"/>
              </w:rPr>
            </w:pPr>
            <w:r w:rsidRPr="00DF387B">
              <w:rPr>
                <w:color w:val="9A9B9D" w:themeColor="text1" w:themeTint="99"/>
                <w:lang w:val="en-US"/>
              </w:rPr>
              <w:t>2 studies (I) - 1 study (II)</w:t>
            </w:r>
          </w:p>
        </w:tc>
        <w:tc>
          <w:tcPr>
            <w:tcW w:w="1700" w:type="dxa"/>
            <w:vAlign w:val="center"/>
          </w:tcPr>
          <w:p w14:paraId="2DB39F2A" w14:textId="49B0A76C" w:rsidR="0022700A" w:rsidRDefault="0022700A" w:rsidP="0022700A">
            <w:pPr>
              <w:jc w:val="center"/>
              <w:rPr>
                <w:lang w:val="en-US"/>
              </w:rPr>
            </w:pPr>
            <w:r w:rsidRPr="002149A6">
              <w:rPr>
                <w:color w:val="9A9B9D" w:themeColor="text1" w:themeTint="99"/>
                <w:lang w:val="en-US"/>
              </w:rPr>
              <w:t>7</w:t>
            </w:r>
          </w:p>
        </w:tc>
        <w:tc>
          <w:tcPr>
            <w:tcW w:w="2265" w:type="dxa"/>
            <w:vMerge/>
            <w:vAlign w:val="center"/>
          </w:tcPr>
          <w:p w14:paraId="5EEDCD6C" w14:textId="77777777" w:rsidR="0022700A" w:rsidRDefault="0022700A" w:rsidP="0022700A">
            <w:pPr>
              <w:jc w:val="center"/>
              <w:rPr>
                <w:lang w:val="en-US"/>
              </w:rPr>
            </w:pPr>
          </w:p>
        </w:tc>
        <w:tc>
          <w:tcPr>
            <w:tcW w:w="2265" w:type="dxa"/>
            <w:vAlign w:val="center"/>
          </w:tcPr>
          <w:p w14:paraId="63EE86CB" w14:textId="1913C2C3"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P9K2EHs2","properties":{"formattedCitation":"(211,212,216)","plainCitation":"(211,212,216)","noteIndex":0},"citationItems":[{"id":73651,"uris":["http://zotero.org/users/5328021/items/5YXNPZLR"],"uri":["http://zotero.org/users/5328021/items/5YXNPZLR"],"itemData":{"id":73651,"type":"article-journal","abstract":"Extracorporeal shock wave therapy (ESWT) as a new adjuvant therapy has shown a potential capability to promote diabetic foot ulcer (DFU) healing. The purpose of this study was to assess the efficacy and safety of ESWT on the healing of DFUs.  The Cochrane Library, PubMed, Embase, Web of Science, China Biology Medicine and  reference lists were searched for studies published up to December 2018. Randomized controlled trials of any design, including ESWT for patients with DFU, were included. Two reviewers extracted data, including the wound surface area (WSA), percentage of re-epithelialization, population of complete cure and unchanged and other related outcomes. Eight randomized controlled trials (N=339)  were included. ESWT was found to be associated with a greater reduction of WSA by 1.54 cm(2), and increase of re-epithelialization by 26.31%. A greater population  with complete cure was found at the end of treatment (risk ratio [RR] = 2.22; 95% confidence interval [CI], 1.46 to 3.40); however, there was no statistically significant difference at the end of follow up (p=0.052). It can also reduce treatment inefficiency by 4.8-fold (95% CI, 0.12 to 0.37). In addition, ESWT also showed a higher superiority than hyperbaric oxygen therapy in the population for  complete cure and unchanged ulcer (RR=1.83; 95% CI, 1.14 to 2.94 and RR=0.25; 95% CI, 0.13 to 0.48, respectively). ESWT is a feasible adjuvant treatment for DFUs.  It can effectively improve the complete cure rate, shorten the healing period of  DFUs and significantly reduce treatment ineffectiveness. This can provide new therapeutic ideas for clinical practice of intractable and recurrent DFUs.","container-title":"Canadian journal of diabetes","issue":"2","journalAbbreviation":"Can J Diabetes","language":"eng","note":"PMID: 31515158","page":"196-204.e3","title":"Extracorporeal Shock Wave Therapy for Treating Foot Ulcers in Adults With Type 1  and Type 2 Diabetes: A Systematic Review and Meta-Analysis of Randomized Controlled Trials.","volume":"44","author":[{"family":"Huang","given":"Qiangru"},{"family":"Yan","given":"Peijing"},{"family":"Xiong","given":"Huaiyu"},{"family":"Shuai","given":"Tiankui"},{"family":"Liu","given":"Jingjing"},{"family":"Zhu","given":"Lei"},{"family":"Lu","given":"Jiaju"},{"family":"Shi","given":"Xiue"},{"family":"Yang","given":"Kehu"},{"family":"Liu","given":"Jian"}],"issued":{"date-parts":[["2020",3]]}}},{"id":45149,"uris":["http://zotero.org/users/5328021/items/AAGIJ5L2"],"uri":["http://zotero.org/users/5328021/items/AAGIJ5L2"],"itemData":{"id":45149,"type":"article-journal","abstract":"BACKGROUND: Diabetes mellitus is one of the most common chronic diseases worldwide. Diabetic foot ulcers (DFUs) occur in over 10% of diabetic patients and are associated with high morbidity. Clinical trials have shown benefit from extracorporeal shockwave therapy (ESWT) in a DFU healing. This systematic review aims to assess the currently available evidence examining the efficacy of ESWT on healing of DFU.\nMETHODS: Electronic databases including PubMed, Ovid MEDLINE, Web of Science, Embase, CINAHL Plus, Cochrane Central Registry of Controlled Trials, and Clinical Trials Registry were searched up to November 2017 for terms related to ESWT in DFU. Articles were identified, and data were extracted by 2 independent reviewers onto Review Manager 5.3 software.\nRESULTS: This review included 5 trials of 255 patients published between 2009 and 2016. Three studies compared ESWT to standard wound care, and 2 studies compared ESWT to hyperbaric oxygen therapy (HBOT). All studies contained unclear to high risk of bias assessed by the Cochrane Risk of Bias Tool. ESWT was superior to standard wound care at complete wound healing (odds ratio [OR] 2.66 95% confidence interval [CI] 1.03, 6.87, I2 0%) and time to healing (64.5 ± 8.06 days versus 81.17 ± 4.35 days). DFU healing improved more with ESWT than HBOT (OR 2.45 95% CI 1.07, 5.61 I2 28%). There was variable evidence of effect on the blood flow perfusion rate. Infection rate and amputation rate were not reported.\nCONCLUSIONS: This systematic review concludes that ESWT has the potential to improve healing in DFUs, although there is, as yet, insufficient evidence to justify its use in routine clinical practice. The meta-analysis has a high risk of bias and is unlikely to reflect true effect size because of problematic risk of bias in included studies. This review highlights the variable quality of methodology of trials and dosing of shockwave therapy and the need for robust adequately powered research into this promising therapy.","container-title":"Annals of Vascular Surgery","journalAbbreviation":"Ann Vasc Surg","language":"eng","note":"PMID: 30496896","page":"330-339","title":"Extracorporeal Shockwave Therapy for Diabetic Foot Ulcers: A Systematic Review and Meta-Analysis","volume":"56","author":[{"family":"Hitchman","given":"Louise Helen"},{"family":"Totty","given":"Joshua P."},{"family":"Raza","given":"Ali"},{"family":"Cai","given":"Paris"},{"family":"Smith","given":"George E."},{"family":"Carradice","given":"Daniel"},{"family":"Wallace","given":"Tom"},{"family":"Harwood","given":"Amy E."},{"family":"Chetter","given":"Ian C."}],"issued":{"date-parts":[["2019",4]]}}},{"id":47817,"uris":["http://zotero.org/users/5328021/items/EPHVC8IZ"],"uri":["http://zotero.org/users/5328021/items/EPHVC8IZ"],"itemData":{"id":47817,"type":"article-journal","abstract":"OBJECTIVE: To investigate the efficacy of extracorporeal shockwave therapy (ESWT) on healing chronic diabetic foot ulcers (DFU).\nMETHOD: Patients with chronic DFUs were randomised (1:1) to receive a series of six ESWT treatments over 3 weeks in combination with standard care or standard care alone. ESWT was performed on DFUs using 250 shocks/cm2 and 500 shocks on arterial beds supplying the ulcer location.\nRESULTS: We recruited 23 patients, 11 in the intervention group and 12 in the control. Transcutaneous oxygen tension was significantly increased in patients treated with ESWT compared with those receiving standard care alone at 3 weeks (p=0.044). Ulcer area reduction was 34.5% in the intervention group versus 5.6% in the control group at 7 weeks (p=0.387). Within-group analysis revealed a significant reduction of ulcer area in the intervention group (p&lt;0.01), while healing was not demonstrated in the control group (p&gt;0.05) (data tested for trend).\nCONCLUSION: This randomised study indicates a potential beneficial effect of ESWT on ulcer healing as well as tissue oxygenation. Owing to weaknesses of the study and the fact that ulcer healing was not significantly improved in the intervention group compared with the control group, a larger randomised trial with blinded design is suggested.","container-title":"Journal of Wound Care","issue":"11","journalAbbreviation":"J Wound Care","language":"eng","note":"PMID: 27827284","page":"641-649","title":"Extracorporeal shockwave therapy in the treatment of chronic diabetic foot ulcers: a prospective randomised trial","volume":"25","author":[{"family":"Jeppesen","given":"S. M."},{"family":"Yderstraede","given":"K. B."},{"family":"Rasmussen","given":"B. S. B."},{"family":"Hanna","given":"M."},{"family":"Lund","given":"L."}],"issued":{"date-parts":[["2016",11,2]]}}}],"schema":"https://github.com/citation-style-language/schema/raw/master/csl-citation.json"} </w:instrText>
            </w:r>
            <w:r>
              <w:rPr>
                <w:rFonts w:cs="Arial"/>
                <w:lang w:val="en-US"/>
              </w:rPr>
              <w:fldChar w:fldCharType="separate"/>
            </w:r>
            <w:r w:rsidRPr="00C23FB9">
              <w:rPr>
                <w:rFonts w:cs="Arial"/>
              </w:rPr>
              <w:t>(211,212,216)</w:t>
            </w:r>
            <w:r>
              <w:rPr>
                <w:rFonts w:cs="Arial"/>
                <w:lang w:val="en-US"/>
              </w:rPr>
              <w:fldChar w:fldCharType="end"/>
            </w:r>
          </w:p>
        </w:tc>
      </w:tr>
      <w:tr w:rsidR="0056668F" w14:paraId="280DDFB9" w14:textId="77777777" w:rsidTr="00166EC2">
        <w:tc>
          <w:tcPr>
            <w:tcW w:w="2830" w:type="dxa"/>
            <w:vAlign w:val="center"/>
          </w:tcPr>
          <w:p w14:paraId="70A1C3E7" w14:textId="2623753A" w:rsidR="0056668F" w:rsidRDefault="0056668F" w:rsidP="00166EC2">
            <w:pPr>
              <w:jc w:val="left"/>
              <w:rPr>
                <w:lang w:val="en-US"/>
              </w:rPr>
            </w:pPr>
            <w:r w:rsidRPr="002352D7">
              <w:rPr>
                <w:b/>
                <w:sz w:val="18"/>
                <w:szCs w:val="18"/>
                <w:lang w:val="en-US"/>
              </w:rPr>
              <w:t>Time to healing</w:t>
            </w:r>
          </w:p>
        </w:tc>
        <w:tc>
          <w:tcPr>
            <w:tcW w:w="1700" w:type="dxa"/>
            <w:vAlign w:val="center"/>
          </w:tcPr>
          <w:p w14:paraId="08E55AC0" w14:textId="77777777" w:rsidR="0056668F" w:rsidRDefault="0056668F" w:rsidP="0022700A">
            <w:pPr>
              <w:jc w:val="center"/>
              <w:rPr>
                <w:lang w:val="en-US"/>
              </w:rPr>
            </w:pPr>
          </w:p>
        </w:tc>
        <w:tc>
          <w:tcPr>
            <w:tcW w:w="2265" w:type="dxa"/>
            <w:vAlign w:val="center"/>
          </w:tcPr>
          <w:p w14:paraId="61D72588" w14:textId="77777777" w:rsidR="0056668F" w:rsidRDefault="0056668F" w:rsidP="0022700A">
            <w:pPr>
              <w:jc w:val="center"/>
              <w:rPr>
                <w:lang w:val="en-US"/>
              </w:rPr>
            </w:pPr>
          </w:p>
        </w:tc>
        <w:tc>
          <w:tcPr>
            <w:tcW w:w="2265" w:type="dxa"/>
            <w:vAlign w:val="center"/>
          </w:tcPr>
          <w:p w14:paraId="15C7AB93" w14:textId="77777777" w:rsidR="0056668F" w:rsidRDefault="0056668F" w:rsidP="0022700A">
            <w:pPr>
              <w:jc w:val="center"/>
              <w:rPr>
                <w:lang w:val="en-US"/>
              </w:rPr>
            </w:pPr>
          </w:p>
        </w:tc>
      </w:tr>
      <w:tr w:rsidR="0056668F" w:rsidRPr="00166EC2" w14:paraId="28CD83B3" w14:textId="77777777" w:rsidTr="0022700A">
        <w:tc>
          <w:tcPr>
            <w:tcW w:w="2830" w:type="dxa"/>
            <w:vAlign w:val="center"/>
          </w:tcPr>
          <w:p w14:paraId="4E1EA30D" w14:textId="3955095D" w:rsidR="0056668F" w:rsidRDefault="0056668F" w:rsidP="0022700A">
            <w:pPr>
              <w:jc w:val="center"/>
              <w:rPr>
                <w:lang w:val="en-US"/>
              </w:rPr>
            </w:pPr>
            <w:r>
              <w:rPr>
                <w:lang w:val="en-US"/>
              </w:rPr>
              <w:t>1 study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086205E3" w14:textId="0E54FFB8" w:rsidR="0056668F" w:rsidRDefault="0056668F" w:rsidP="0022700A">
            <w:pPr>
              <w:jc w:val="center"/>
              <w:rPr>
                <w:lang w:val="en-US"/>
              </w:rPr>
            </w:pPr>
            <w:r>
              <w:rPr>
                <w:lang w:val="en-US"/>
              </w:rPr>
              <w:t>6</w:t>
            </w:r>
          </w:p>
        </w:tc>
        <w:tc>
          <w:tcPr>
            <w:tcW w:w="2265" w:type="dxa"/>
            <w:vAlign w:val="center"/>
          </w:tcPr>
          <w:p w14:paraId="338898FA" w14:textId="6DE2DB88" w:rsidR="0056668F" w:rsidRDefault="0056668F" w:rsidP="0022700A">
            <w:pPr>
              <w:jc w:val="center"/>
              <w:rPr>
                <w:lang w:val="en-US"/>
              </w:rPr>
            </w:pPr>
            <w:r>
              <w:rPr>
                <w:lang w:val="en-US"/>
              </w:rPr>
              <w:t>Moderate</w:t>
            </w:r>
          </w:p>
        </w:tc>
        <w:tc>
          <w:tcPr>
            <w:tcW w:w="2265" w:type="dxa"/>
            <w:vAlign w:val="center"/>
          </w:tcPr>
          <w:p w14:paraId="1A617B8D" w14:textId="330CD842" w:rsidR="0056668F" w:rsidRDefault="0056668F" w:rsidP="0022700A">
            <w:pPr>
              <w:jc w:val="center"/>
              <w:rPr>
                <w:lang w:val="en-US"/>
              </w:rPr>
            </w:pPr>
            <w:r>
              <w:rPr>
                <w:rFonts w:cs="Arial"/>
                <w:lang w:val="en-US"/>
              </w:rPr>
              <w:fldChar w:fldCharType="begin"/>
            </w:r>
            <w:r>
              <w:rPr>
                <w:rFonts w:cs="Arial"/>
                <w:lang w:val="en-US"/>
              </w:rPr>
              <w:instrText xml:space="preserve"> ADDIN ZOTERO_ITEM CSL_CITATION {"citationID":"QPodAW68","properties":{"formattedCitation":"(217)","plainCitation":"(217)","noteIndex":0},"citationItems":[{"id":73666,"uris":["http://zotero.org/users/5328021/items/L8KTXECM"],"uri":["http://zotero.org/users/5328021/items/L8KTXECM"],"itemData":{"id":73666,"type":"article-journal","abstract":"OBJECTIVE: The objective of this paper is to present the secondary safety and efficacy outcomes from two studies of focused extracorporeal shockwave therapy (ESWT) used adjunctively with standard care in the treatment of neuropathic diabetic foot ulcers (DFU) (1A or 2A on the University of Texas grading scheme),  compared with sham treatment and standard care. METHOD: We carried out two multicentre, multinational, randomised, sham-controlled, double-blinded, phase III clinical studies using standard care with adjunctive focused ESWT compared with sham treatment and standard care in patients with a DFU. DFUs that did not reduce in volume by at least 50% over two weeks' standard treatment were included. DFUs were randomised and managed with standard care and focused ESWT (pulsed acoustic cellular expression; dermaPACE System, SANUWAVE Health, Inc.) active therapy, or with standard care and sham treatment, four times over a two-week treatment phase in study 1 and up to eight times over 12 weeks in study  2. Standard care continued in both studies throughout the 12-week treatment phase. Secondary outcomes were indicators of wound closure and progression, pain, infection, amputation and recurrence, and device reliability. Efficacy-related secondary endpoints were measured at 12, 20 and 24 weeks. The studies were analysed separately and following statistical comparison to justify the method, as a pooled data set. RESULTS: Wound area reduction (48.6% versus 10.7%, p=0.015, intention to treat (ITT) population with last observation carried forward (LOCF)) and perimeter reduction (46.4% versus 25.0%, p=0.022, ITT population with LOCF) were significantly greater in the active therapy group compared with the sham-treated group, respectively. The difference in time to wound closure in the  pooled ITT population was significantly in favour of the active therapy group (84 days versus 112 days for 25% of subjects to reach wound closure in the active and sham-treated groups, respectively; p=0.0346). The proportion of subjects who achieved wound area reduction (WAR) from baseline at week 12 of &gt;/=90% was significantly higher in the active therapy group. The incidence and nature of infection were consistent with previously published studies, and pain was not increased in the active therapy group. Amputation was insignificantly higher in the sham-treated group and recurrence did not differ. The ESWT device was found to be reliable. CONCLUSION: The outcomes for the primary and secondary endpoints  from these studies show that ESWT administered adjunctively with standard care is an effective advanced therapy for neuropathic DFUs (grade 1A and 2A) that do not  respond to two weeks' standard care alone by reducing wound volume by at least 50%.","container-title":"Journal of wound care","issue":"6","journalAbbreviation":"J Wound Care","language":"eng","note":"PMID: 31166864","page":"383-395","title":"Focused shockwave therapy in diabetic foot ulcers: secondary endpoints of two multicentre randomised controlled trials.","volume":"28","author":[{"family":"Galiano","given":"Robert"},{"family":"Snyder","given":"Robert"},{"family":"Mayer","given":"Perry"},{"family":"Rogers","given":"Lee C."},{"family":"Alvarez","given":"Oscar"}],"issued":{"date-parts":[["2019",6,2]]}}}],"schema":"https://github.com/citation-style-language/schema/raw/master/csl-citation.json"} </w:instrText>
            </w:r>
            <w:r>
              <w:rPr>
                <w:rFonts w:cs="Arial"/>
                <w:lang w:val="en-US"/>
              </w:rPr>
              <w:fldChar w:fldCharType="separate"/>
            </w:r>
            <w:r w:rsidRPr="00A91C12">
              <w:rPr>
                <w:rFonts w:cs="Arial"/>
                <w:lang w:val="en-US"/>
              </w:rPr>
              <w:t>(217)</w:t>
            </w:r>
            <w:r>
              <w:rPr>
                <w:rFonts w:cs="Arial"/>
                <w:lang w:val="en-US"/>
              </w:rPr>
              <w:fldChar w:fldCharType="end"/>
            </w:r>
          </w:p>
        </w:tc>
      </w:tr>
      <w:tr w:rsidR="0022700A" w:rsidRPr="00166EC2" w14:paraId="6923B252" w14:textId="77777777" w:rsidTr="0022700A">
        <w:tc>
          <w:tcPr>
            <w:tcW w:w="9060" w:type="dxa"/>
            <w:gridSpan w:val="4"/>
            <w:shd w:val="clear" w:color="auto" w:fill="D4F1D3" w:themeFill="background2" w:themeFillTint="33"/>
            <w:vAlign w:val="center"/>
          </w:tcPr>
          <w:p w14:paraId="036F8A92" w14:textId="62A35C27" w:rsidR="0022700A" w:rsidRDefault="0022700A" w:rsidP="0022700A">
            <w:pPr>
              <w:jc w:val="center"/>
              <w:rPr>
                <w:lang w:val="en-US"/>
              </w:rPr>
            </w:pPr>
            <w:r w:rsidRPr="00702C31">
              <w:rPr>
                <w:b/>
                <w:bCs/>
                <w:color w:val="56575A"/>
                <w:szCs w:val="20"/>
                <w:lang w:val="en-US"/>
              </w:rPr>
              <w:t xml:space="preserve">Treatment with </w:t>
            </w:r>
            <w:r>
              <w:rPr>
                <w:b/>
                <w:bCs/>
                <w:color w:val="56575A"/>
                <w:szCs w:val="20"/>
                <w:lang w:val="en-US"/>
              </w:rPr>
              <w:t>physical therapy: ultrasound therapy</w:t>
            </w:r>
          </w:p>
        </w:tc>
      </w:tr>
      <w:tr w:rsidR="0022700A" w:rsidRPr="00166EC2" w14:paraId="0446781E" w14:textId="77777777" w:rsidTr="0022700A">
        <w:tc>
          <w:tcPr>
            <w:tcW w:w="9060" w:type="dxa"/>
            <w:gridSpan w:val="4"/>
            <w:vAlign w:val="center"/>
          </w:tcPr>
          <w:p w14:paraId="27124DFC" w14:textId="476E4FBC" w:rsidR="0022700A" w:rsidRDefault="0022700A" w:rsidP="0022700A">
            <w:pPr>
              <w:jc w:val="left"/>
              <w:rPr>
                <w:lang w:val="en-US"/>
              </w:rPr>
            </w:pPr>
            <w:r w:rsidRPr="002352D7">
              <w:rPr>
                <w:b/>
                <w:sz w:val="18"/>
                <w:szCs w:val="18"/>
                <w:lang w:val="en-US"/>
              </w:rPr>
              <w:t>Ulcer area reduction</w:t>
            </w:r>
          </w:p>
        </w:tc>
      </w:tr>
      <w:tr w:rsidR="0022700A" w14:paraId="235F5C8A" w14:textId="77777777" w:rsidTr="0022700A">
        <w:tc>
          <w:tcPr>
            <w:tcW w:w="2830" w:type="dxa"/>
            <w:vAlign w:val="center"/>
          </w:tcPr>
          <w:p w14:paraId="6E2DCC78" w14:textId="0C086F33" w:rsidR="0022700A" w:rsidRDefault="0022700A" w:rsidP="0022700A">
            <w:pPr>
              <w:jc w:val="center"/>
              <w:rPr>
                <w:lang w:val="en-US"/>
              </w:rPr>
            </w:pPr>
            <w:r>
              <w:rPr>
                <w:lang w:val="en-US"/>
              </w:rPr>
              <w:t>3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6E0A09C8" w14:textId="3A9EBE7C" w:rsidR="0022700A" w:rsidRDefault="0022700A" w:rsidP="0022700A">
            <w:pPr>
              <w:jc w:val="center"/>
              <w:rPr>
                <w:lang w:val="en-US"/>
              </w:rPr>
            </w:pPr>
            <w:r>
              <w:rPr>
                <w:lang w:val="en-US"/>
              </w:rPr>
              <w:t>5,6</w:t>
            </w:r>
          </w:p>
        </w:tc>
        <w:tc>
          <w:tcPr>
            <w:tcW w:w="2265" w:type="dxa"/>
            <w:vMerge w:val="restart"/>
            <w:vAlign w:val="center"/>
          </w:tcPr>
          <w:p w14:paraId="122636F8" w14:textId="76FE7568" w:rsidR="0022700A" w:rsidRDefault="0022700A" w:rsidP="0022700A">
            <w:pPr>
              <w:jc w:val="center"/>
              <w:rPr>
                <w:lang w:val="en-US"/>
              </w:rPr>
            </w:pPr>
            <w:r>
              <w:rPr>
                <w:lang w:val="en-US"/>
              </w:rPr>
              <w:t>Low</w:t>
            </w:r>
          </w:p>
        </w:tc>
        <w:tc>
          <w:tcPr>
            <w:tcW w:w="2265" w:type="dxa"/>
            <w:vAlign w:val="center"/>
          </w:tcPr>
          <w:p w14:paraId="5F177E91" w14:textId="1AEB193C"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Ho0xQr5U","properties":{"formattedCitation":"(218\\uc0\\u8211{}220)","plainCitation":"(218–220)","noteIndex":0},"citationItems":[{"id":73600,"uris":["http://zotero.org/users/5328021/items/QKH6MWRX"],"uri":["http://zotero.org/users/5328021/items/QKH6MWRX"],"itemData":{"id":73600,"type":"article-journal","abstract":"The diabetic foot ulcer (DFU) healing rates remain dismally low. Therefore, many  adjunctive therapies have been evaluated including ultrasound therapy. The prior  studies with noncontact, low-frequency ultrasound were retrospective, single arm, unblinded, or with historical controls. The aim of the present study was to compare the efficacy of noncontact, low-frequency airborne ultrasound (Glybetac)  therapy with sham therapy added to standard treatment in patients with neuropathic, clinically infected, or noninfected DFU (wound size &gt;2 cm(2)), Wagner grades 2 and 3. Patients received ultrasound or sham therapy for 28 days dosed daily for first 6 days followed by twice a week for next 3 weeks along with standard of care. The primary outcome was percentage of patients with at least &gt;50% decrease in wound area at 4 week of intervention. Fifty-eight patients completed the study protocol. The duration of wound was 15.8 +/- 11.2 weeks and 12.1 +/- 10.9 weeks and wound area of 11.3 +/- 8.2 cm(2) and 14.8 +/- 13.8 cm(2)  ( P = .507) in the ultrasound and sham groups, respectively. A &gt;50% reduction in  wound area was observed in 97.1% and 73.1% subjects ( P = .042) in ultrasound and sham groups, respectively. Wound contraction was faster in the first 2 weeks with ultrasound therapy, 5.3 cm(2), compared with 3.0 cm(2) ( P = .025) with sham treatment. Overall, wound area reduction of 69.4 +/- 23.2% and 59.6 +/- 24.9% ( P = .126) was observed at 4 weeks in the ultrasound and sham groups, respectively.  We conclude that the airborne low-frequency ultrasound therapy improves and hastens the healing of chronic neuropathic DFU when combined with standard wound  care.","container-title":"The international journal of lower extremity wounds","issue":"1","journalAbbreviation":"Int J Low Extrem Wounds","language":"eng","note":"PMID: 30836809","page":"81-88","title":"Efficacy and Safety of Low-Frequency, Noncontact Airborne Ultrasound Therapy (Glybetac) For Neuropathic Diabetic Foot Ulcers: A Randomized, Double-Blind, Sham-Control Study.","volume":"18","author":[{"family":"Rastogi","given":"Ashu"},{"family":"Bhansali","given":"Anil"},{"family":"Ramachandran","given":"Shankar"}],"issued":{"date-parts":[["2019",3]]}}},{"id":45517,"uris":["http://zotero.org/users/5328021/items/QRR3MWS2"],"uri":["http://zotero.org/users/5328021/items/QRR3MWS2"],"itemData":{"id":45517,"type":"article-journal","abstract":"The purpose of this clinical study was to assess, in a limited patient population, the potential for a novel advanced wound care treatment based on low-frequency (20 kHz) low-intensity (spatial peak temporal peak intensity &lt;100 mW/cm2; i.e., pressure amplitude of 55 kPa) ultrasound (LFLI-US), to affect wound closure rate in human diabetic foot ulcers (DFUs) and to effect changes in the relative expression of pro-inflammatory and anti-inflammatory genes. The ratio of expression of these genes, termed the M1/M2 score because it was inspired by the transition of macrophages from pro-inflammatory (M1) to anti-inflammatory (M2) phenotypes as wound healing progresses, was previously presented as a potential healing indicator for DFUs treated with the standard of care. We previously found that non-cavitational, non-thermal LFLI-US delivered with a pulse repetition frequency of 25 Hz was effective at improving wound healing in a pilot study of 20 patients with chronic venous ulcers. In this study, we assessed the potential for weekly LFLI-US exposures to affect wound healing in patients with diabetic ulcers, and we analyzed temporal changes in the M1/M2 score in debrided diabetic wound tissue. Although this was a limited patient population of only 8 patients, wounds treated with LFLI-US exhibited a significantly faster reduction in wound size compared with sham-treated patients (p &lt; 0.001). In addition, the value of the M1/M2 score decreased for all healing diabetic ulcers and increased for all non-healing diabetic ulcers, suggesting that the M1/M2 score could be useful as an indicator of treatment efficacy for advanced DFU treatments. Such an indicator would facilitate clinical decision making, ensuring optimal wound management and thus contributing to reduction of health care expenses. Moreover, the results presented may contribute to an understanding of the mechanisms underlying ultrasonically assisted chronic wound healing. Knowledge of these mechanisms could lead to personalized or patient-tailored treatment.","container-title":"Ultrasound in Medicine &amp; Biology","issue":"9","journalAbbreviation":"Ultrasound Med Biol","language":"eng","note":"PMID: 29941215\nPMCID: PMC6105501","page":"2043-2049","title":"Effects of Non-thermal, Non-cavitational Ultrasound Exposure on Human Diabetic Ulcer Healing and Inflammatory Gene Expression in a Pilot Study","volume":"44","author":[{"family":"Bajpai","given":"Anamika"},{"family":"Nadkarni","given":"Sumati"},{"family":"Neidrauer","given":"Michael"},{"family":"Weingarten","given":"Michael S."},{"family":"Lewin","given":"Peter A."},{"family":"Spiller","given":"Kara L."}],"issued":{"date-parts":[["2018"]]}}},{"id":53528,"uris":["http://zotero.org/users/5328021/items/G5SNM7XR"],"uri":["http://zotero.org/users/5328021/items/G5SNM7XR"],"itemData":{"id":53528,"type":"article-journal","abstract":"Non-contact low-frequency ultrasound (NCLF-US) devices have been increasingly used for the treatment of chronic non-healing wounds. The appropriate dose for NCLF-US is still in debate. The aims of this pilot study were to evaluate the relationship between dose and duration of treatment for subjects with non-healing diabetic foot ulcers (DFUs) and to explore the correlation between wound healing and change of cytokine/proteinase/growth factor profile. This was a prospective randomised clinical study designed to evaluate subjects with non-healing DFUs for 5 weeks receiving standard of care and/or NCLF-US treatment. Subjects were randomly assigned to one of the three groups: application of NCLF-US thrice per week (Group 1), NCLF-US once per week (Group 2) and the control (Group 3) that received no NCLF-US. All subjects received standard wound care plus offloading for a total of 4 weeks. Percent area reduction (PAR) of each wound compared with baseline was evaluated weekly. Profiles of cytokines/proteinase/growth factors in wound fluid and biopsied tissue were quantified to explore the correlation between wound healing and cytokines/growth factor expression. Twelve DFU patients, 2 (16·7%) type 1 and 10 (83·3%) type 2 diabetics, with an average age of 58 ± 10 years and a total of 12 foot ulcers were enrolled. Average ulcer duration was 36·44 ± 24·78 weeks and the average ABI was 0·91 ± 0·06. Group 1 showed significant wound area reduction at weeks 3, 4 and 5 compared with baseline, with the greatest PAR, 86% (P &lt; 0·05); Groups 2 and 3 showed 25% PAR and 39% PAR, respectively, but there were no statistically significant differences between Groups 2 and 3 over time. Biochemical and histological analyses indicated a trend towards reduction of pro-inflammatory cytokines (IL-6, IL-8, IL-1β, TNF-α and GM-CSF), matrix metalloproteinase-9 (MMP-9), vascular endothelial growth factor (VEGF) and macrophages in response to NCLF-US consistent with wound reduction, when compared with control group subjects. This proof-of-concept pilot study demonstrates that NCLF-US is effective in treating neuropathic diabetic foot ulcers through, at least in part, inhibiting pro-inflammatory cytokines in chronic wound and improving tissue regeneration. Therapeutic application of NFLU, thrice (3) per week, renders the best wound area reduction.","container-title":"International Wound Journal","issue":"6","journalAbbreviation":"Int Wound J","language":"eng","note":"PMID: 23163982","page":"586-593","title":"A pilot study evaluating non-contact low-frequency ultrasound and underlying molecular mechanism on diabetic foot ulcers","volume":"11","author":[{"family":"Yao","given":"Min"},{"family":"Hasturk","given":"Hatice"},{"family":"Kantarci","given":"Alpdogan"},{"family":"Gu","given":"Guosheng"},{"family":"Garcia-Lavin","given":"Silvia"},{"family":"Fabbi","given":"Matteo"},{"family":"Park","given":"Nanjin"},{"family":"Hayashi","given":"Hisae"},{"family":"Attala","given":"Khaled"},{"family":"French","given":"Michael A."},{"family":"Driver","given":"Vickie R."}],"issued":{"date-parts":[["2014",12]]}}}],"schema":"https://github.com/citation-style-language/schema/raw/master/csl-citation.json"} </w:instrText>
            </w:r>
            <w:r>
              <w:rPr>
                <w:rFonts w:cs="Arial"/>
                <w:lang w:val="en-US"/>
              </w:rPr>
              <w:fldChar w:fldCharType="separate"/>
            </w:r>
            <w:r w:rsidRPr="00A91C12">
              <w:rPr>
                <w:rFonts w:cs="Arial"/>
                <w:szCs w:val="24"/>
              </w:rPr>
              <w:t>(218–220)</w:t>
            </w:r>
            <w:r>
              <w:rPr>
                <w:rFonts w:cs="Arial"/>
                <w:lang w:val="en-US"/>
              </w:rPr>
              <w:fldChar w:fldCharType="end"/>
            </w:r>
          </w:p>
        </w:tc>
      </w:tr>
      <w:tr w:rsidR="0022700A" w14:paraId="6E8189E3" w14:textId="77777777" w:rsidTr="0022700A">
        <w:tc>
          <w:tcPr>
            <w:tcW w:w="2830" w:type="dxa"/>
            <w:vAlign w:val="center"/>
          </w:tcPr>
          <w:p w14:paraId="2C319917" w14:textId="4833CF6A" w:rsidR="0022700A" w:rsidRDefault="0022700A" w:rsidP="0022700A">
            <w:pPr>
              <w:jc w:val="center"/>
              <w:rPr>
                <w:lang w:val="en-US"/>
              </w:rPr>
            </w:pPr>
            <w:r w:rsidRPr="00DF387B">
              <w:rPr>
                <w:color w:val="9A9B9D" w:themeColor="text1" w:themeTint="99"/>
                <w:lang w:val="en-US"/>
              </w:rPr>
              <w:t>2 studies (II)</w:t>
            </w:r>
          </w:p>
        </w:tc>
        <w:tc>
          <w:tcPr>
            <w:tcW w:w="1700" w:type="dxa"/>
            <w:vAlign w:val="center"/>
          </w:tcPr>
          <w:p w14:paraId="05CAE445" w14:textId="06A8ED54" w:rsidR="0022700A" w:rsidRDefault="0022700A" w:rsidP="0022700A">
            <w:pPr>
              <w:jc w:val="center"/>
              <w:rPr>
                <w:lang w:val="en-US"/>
              </w:rPr>
            </w:pPr>
            <w:r w:rsidRPr="002149A6">
              <w:rPr>
                <w:color w:val="9A9B9D" w:themeColor="text1" w:themeTint="99"/>
                <w:lang w:val="en-US"/>
              </w:rPr>
              <w:t>4</w:t>
            </w:r>
          </w:p>
        </w:tc>
        <w:tc>
          <w:tcPr>
            <w:tcW w:w="2265" w:type="dxa"/>
            <w:vMerge/>
            <w:vAlign w:val="center"/>
          </w:tcPr>
          <w:p w14:paraId="53A3E788" w14:textId="77777777" w:rsidR="0022700A" w:rsidRDefault="0022700A" w:rsidP="0022700A">
            <w:pPr>
              <w:jc w:val="center"/>
              <w:rPr>
                <w:lang w:val="en-US"/>
              </w:rPr>
            </w:pPr>
          </w:p>
        </w:tc>
        <w:tc>
          <w:tcPr>
            <w:tcW w:w="2265" w:type="dxa"/>
            <w:vAlign w:val="center"/>
          </w:tcPr>
          <w:p w14:paraId="51F63CA6" w14:textId="19A55E80"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0fM99R6f","properties":{"formattedCitation":"(221,222)","plainCitation":"(221,222)","noteIndex":0},"citationItems":[{"id":45489,"uris":["http://zotero.org/users/5328021/items/9N65D2XH"],"uri":["http://zotero.org/users/5328021/items/9N65D2XH"],"itemData":{"id":45489,"type":"article-journal","abstract":"This paper details the systematic approach used to develop a viable clinical prototype of a therapeutic ultrasound applicator and discusses the rationale and deliberations that led to the design strategy. The applicator was specifically devised to treat chronic wounds and-to the best of the author's knowledge-is the first truly wearable device with a proven record of reducing healing time, directly translating to a reduction of healthcare costs. The prototype operates in the kHz (20-100) range of frequencies and uses noncavitational and nonthermal levels of ultrasound energy. Hence, in the absence of inertial cavitation and temperature elevation, the tissue-ultrasound interaction is considered to be dependent on stable cavitation (if any) and radiation force. The peak acoustic output pressure amplitude is limited to 55 kPa, corresponding to a spatial peak-temporal peak intensity of 100 mW/cm2. This level of intensity is considered to be safe to apply for extended (up to 4 h) periods of time. The patch-like applicator design is suitable to be embedded in wound dressing. With its lightweight (&lt;20 g) and circular (40 mm dia) disk-shape architecture, the applicator is well suited for chronic wound treatment. A small ( n = 8 ) pilot study on the effects of the applicator on diabetic ulcers (DUs) healing time is presented. The average time to wound closure was 4.7 weeks for subjects treated with the active ultrasound applicator, compared to 12 weeks for subjects treated with a sham applicator, suggesting that patients with DUs may benefit from the proposed treatment.","container-title":"IEEE transactions on ultrasonics, ferroelectrics, and frequency control","issue":"3","journalAbbreviation":"IEEE Trans Ultrason Ferroelectr Freq Control","language":"eng","note":"PMID: 29993739\nPMCID: PMC6542367","page":"572-580","title":"Development of Low Frequency (20-100 kHz) Clinically Viable Ultrasound Applicator for Chronic Wound Treatment","volume":"66","author":[{"family":"Ngo","given":"Olivia"},{"family":"Niemann","given":"Evan"},{"family":"Gunasekaran","given":"Vivinya"},{"family":"Sankar","given":"Prabagar"},{"family":"Putterman","given":"Miriam"},{"family":"Lafontant","given":"Alec"},{"family":"Nadkarni","given":"Sumati"},{"family":"DiMaria-Ghalili","given":"Rose Ann"},{"family":"Neidrauer","given":"Michael"},{"family":"Zubkov","given":"Leonid"},{"family":"Weingarten","given":"Michael"},{"family":"Margolis","given":"David J."},{"family":"Lewin","given":"Peter A."}],"issued":{"date-parts":[["2019"]]}}},{"id":53154,"uris":["http://zotero.org/users/5328021/items/HVWJIL3D"],"uri":["http://zotero.org/users/5328021/items/HVWJIL3D"],"itemData":{"id":53154,"type":"article-journal","abstract":"BACKGROUND: Although debridement plays a significant role in the healing of diabetic foot ulcers, it may delay the healing process by damaging the granulation tissue. In this study, the efficacy of low-frequency ultrasound (LFU) in chronic wound healing in diabetic foot ulcers in patients with osteomyelitis was evaluated.\nMETHODS: This randomized clinical trial was conducted on 40 patients with diabetes recruited from the Diabetic Foot Ulcer Clinic of the Endocrinology and Metabolism Research Center of Tehran University of Medical Sciences, Tehran, Iran. All patients with a grade 3 ulcer (Wagner Classification) with 0.6 ≤ ankle brachial index ≤ 1.2, were included. Patients were divided into 2 groups; 1 group received ultrasound-assisted wound therapy (UAW) in conjunction with standard wound care (n = 20) and the control group received only standard wound care. Patients were followed for 6 months.\nRESULTS: The complete healing rate in the study population was 55.7% (control group = 55%, UAW group = 60%). The mean wound size reduction percentage was significantly higher in the UAW group only in the second month (78% ± 28.7 vs 55.7% ± 31.4, P = 0.01) and third month (63.6% ± 24.5 vs 39.3% ± 32.2 , P = 0.02) of follow up, but not at 6 months.\nCONCLUSION: In grade 3 diabetic foot ulcers, LFU debridement accompanied by standard wound care can initially accelerate ulcer healing; however, there is no significant difference between the 2 modalities in the healing rate after 6 months. </w:instrText>
            </w:r>
            <w:r>
              <w:rPr>
                <w:rFonts w:ascii="Tahoma" w:hAnsi="Tahoma" w:cs="Tahoma"/>
                <w:lang w:val="en-US"/>
              </w:rPr>
              <w:instrText>﻿﻿﻿</w:instrText>
            </w:r>
            <w:r>
              <w:rPr>
                <w:rFonts w:cs="Arial"/>
                <w:lang w:val="en-US"/>
              </w:rPr>
              <w:instrText xml:space="preserve">.","container-title":"Wounds: A Compendium of Clinical Research and Practice","issue":"7","journalAbbreviation":"Wounds","language":"eng","note":"PMID: 25867038","page":"193-198","title":"Low-frequency ultrasound debridement in patients with diabetic foot ulcers and osteomyelitis","volume":"25","author":[{"family":"Amini","given":"Sareh"},{"family":"ShojaeeFard","given":"Abolfazl"},{"family":"Annabestani","given":"Zohreh"},{"family":"Hammami","given":"Mohsen Rezaie"},{"family":"Shaiganmehr","given":"Zahra"},{"family":"Larijani","given":"Bagher"},{"family":"Mohseni","given":"Shahrzad"},{"family":"Afshani","given":"Hamid Reza"},{"family":"Rad","given":"Maryam Aboee"},{"family":"Mohajeri-Tehrani","given":"Mohammad Reza"}],"issued":{"date-parts":[["2013",7]]}}}],"schema":"https://github.com/citation-style-language/schema/raw/master/csl-citation.json"} </w:instrText>
            </w:r>
            <w:r>
              <w:rPr>
                <w:rFonts w:cs="Arial"/>
                <w:lang w:val="en-US"/>
              </w:rPr>
              <w:fldChar w:fldCharType="separate"/>
            </w:r>
            <w:r w:rsidRPr="00C23FB9">
              <w:rPr>
                <w:rFonts w:cs="Arial"/>
              </w:rPr>
              <w:t>(221,222)</w:t>
            </w:r>
            <w:r>
              <w:rPr>
                <w:rFonts w:cs="Arial"/>
                <w:lang w:val="en-US"/>
              </w:rPr>
              <w:fldChar w:fldCharType="end"/>
            </w:r>
          </w:p>
        </w:tc>
      </w:tr>
      <w:tr w:rsidR="0022700A" w14:paraId="0159E1DB" w14:textId="77777777" w:rsidTr="0022700A">
        <w:tc>
          <w:tcPr>
            <w:tcW w:w="9060" w:type="dxa"/>
            <w:gridSpan w:val="4"/>
            <w:vAlign w:val="center"/>
          </w:tcPr>
          <w:p w14:paraId="01825DEC" w14:textId="620134E5" w:rsidR="0022700A" w:rsidRDefault="0022700A" w:rsidP="0022700A">
            <w:pPr>
              <w:jc w:val="left"/>
              <w:rPr>
                <w:lang w:val="en-US"/>
              </w:rPr>
            </w:pPr>
            <w:r w:rsidRPr="002352D7">
              <w:rPr>
                <w:b/>
                <w:sz w:val="18"/>
                <w:szCs w:val="18"/>
                <w:lang w:val="en-US"/>
              </w:rPr>
              <w:t>Time to healing</w:t>
            </w:r>
          </w:p>
        </w:tc>
      </w:tr>
      <w:tr w:rsidR="0056668F" w14:paraId="16BCBDCC" w14:textId="77777777" w:rsidTr="0022700A">
        <w:tc>
          <w:tcPr>
            <w:tcW w:w="2830" w:type="dxa"/>
            <w:vAlign w:val="center"/>
          </w:tcPr>
          <w:p w14:paraId="50E07CAF" w14:textId="0BC5FADE" w:rsidR="0056668F" w:rsidRDefault="0056668F" w:rsidP="0022700A">
            <w:pPr>
              <w:jc w:val="center"/>
              <w:rPr>
                <w:lang w:val="en-US"/>
              </w:rPr>
            </w:pPr>
            <w:r>
              <w:rPr>
                <w:lang w:val="en-US"/>
              </w:rPr>
              <w:t>1 study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4F1C330B" w14:textId="4535CE78" w:rsidR="0056668F" w:rsidRDefault="0056668F" w:rsidP="0022700A">
            <w:pPr>
              <w:jc w:val="center"/>
              <w:rPr>
                <w:lang w:val="en-US"/>
              </w:rPr>
            </w:pPr>
            <w:r>
              <w:rPr>
                <w:lang w:val="en-US"/>
              </w:rPr>
              <w:t>5</w:t>
            </w:r>
          </w:p>
        </w:tc>
        <w:tc>
          <w:tcPr>
            <w:tcW w:w="2265" w:type="dxa"/>
            <w:vAlign w:val="center"/>
          </w:tcPr>
          <w:p w14:paraId="07DF154D" w14:textId="3C3EB7CC" w:rsidR="0056668F" w:rsidRDefault="0056668F" w:rsidP="0022700A">
            <w:pPr>
              <w:jc w:val="center"/>
              <w:rPr>
                <w:lang w:val="en-US"/>
              </w:rPr>
            </w:pPr>
            <w:r>
              <w:rPr>
                <w:lang w:val="en-US"/>
              </w:rPr>
              <w:t>Low</w:t>
            </w:r>
          </w:p>
        </w:tc>
        <w:tc>
          <w:tcPr>
            <w:tcW w:w="2265" w:type="dxa"/>
            <w:vAlign w:val="center"/>
          </w:tcPr>
          <w:p w14:paraId="1440D875" w14:textId="4D1DDDA8" w:rsidR="0056668F" w:rsidRDefault="0056668F" w:rsidP="0022700A">
            <w:pPr>
              <w:jc w:val="center"/>
              <w:rPr>
                <w:lang w:val="en-US"/>
              </w:rPr>
            </w:pPr>
            <w:r>
              <w:rPr>
                <w:rFonts w:cs="Arial"/>
                <w:lang w:val="en-US"/>
              </w:rPr>
              <w:fldChar w:fldCharType="begin"/>
            </w:r>
            <w:r>
              <w:rPr>
                <w:rFonts w:cs="Arial"/>
                <w:lang w:val="en-US"/>
              </w:rPr>
              <w:instrText xml:space="preserve"> ADDIN ZOTERO_ITEM CSL_CITATION {"citationID":"6oOxY4EW","properties":{"formattedCitation":"(218)","plainCitation":"(218)","noteIndex":0},"citationItems":[{"id":73600,"uris":["http://zotero.org/users/5328021/items/QKH6MWRX"],"uri":["http://zotero.org/users/5328021/items/QKH6MWRX"],"itemData":{"id":73600,"type":"article-journal","abstract":"The diabetic foot ulcer (DFU) healing rates remain dismally low. Therefore, many  adjunctive therapies have been evaluated including ultrasound therapy. The prior  studies with noncontact, low-frequency ultrasound were retrospective, single arm, unblinded, or with historical controls. The aim of the present study was to compare the efficacy of noncontact, low-frequency airborne ultrasound (Glybetac)  therapy with sham therapy added to standard treatment in patients with neuropathic, clinically infected, or noninfected DFU (wound size &gt;2 cm(2)), Wagner grades 2 and 3. Patients received ultrasound or sham therapy for 28 days dosed daily for first 6 days followed by twice a week for next 3 weeks along with standard of care. The primary outcome was percentage of patients with at least &gt;50% decrease in wound area at 4 week of intervention. Fifty-eight patients completed the study protocol. The duration of wound was 15.8 +/- 11.2 weeks and 12.1 +/- 10.9 weeks and wound area of 11.3 +/- 8.2 cm(2) and 14.8 +/- 13.8 cm(2)  ( P = .507) in the ultrasound and sham groups, respectively. A &gt;50% reduction in  wound area was observed in 97.1% and 73.1% subjects ( P = .042) in ultrasound and sham groups, respectively. Wound contraction was faster in the first 2 weeks with ultrasound therapy, 5.3 cm(2), compared with 3.0 cm(2) ( P = .025) with sham treatment. Overall, wound area reduction of 69.4 +/- 23.2% and 59.6 +/- 24.9% ( P = .126) was observed at 4 weeks in the ultrasound and sham groups, respectively.  We conclude that the airborne low-frequency ultrasound therapy improves and hastens the healing of chronic neuropathic DFU when combined with standard wound  care.","container-title":"The international journal of lower extremity wounds","issue":"1","journalAbbreviation":"Int J Low Extrem Wounds","language":"eng","note":"PMID: 30836809","page":"81-88","title":"Efficacy and Safety of Low-Frequency, Noncontact Airborne Ultrasound Therapy (Glybetac) For Neuropathic Diabetic Foot Ulcers: A Randomized, Double-Blind, Sham-Control Study.","volume":"18","author":[{"family":"Rastogi","given":"Ashu"},{"family":"Bhansali","given":"Anil"},{"family":"Ramachandran","given":"Shankar"}],"issued":{"date-parts":[["2019",3]]}}}],"schema":"https://github.com/citation-style-language/schema/raw/master/csl-citation.json"} </w:instrText>
            </w:r>
            <w:r>
              <w:rPr>
                <w:rFonts w:cs="Arial"/>
                <w:lang w:val="en-US"/>
              </w:rPr>
              <w:fldChar w:fldCharType="separate"/>
            </w:r>
            <w:r w:rsidRPr="00A91C12">
              <w:rPr>
                <w:rFonts w:cs="Arial"/>
                <w:lang w:val="en-US"/>
              </w:rPr>
              <w:t>(218)</w:t>
            </w:r>
            <w:r>
              <w:rPr>
                <w:rFonts w:cs="Arial"/>
                <w:lang w:val="en-US"/>
              </w:rPr>
              <w:fldChar w:fldCharType="end"/>
            </w:r>
          </w:p>
        </w:tc>
      </w:tr>
      <w:tr w:rsidR="0022700A" w:rsidRPr="00166EC2" w14:paraId="71D55201" w14:textId="77777777" w:rsidTr="0022700A">
        <w:tc>
          <w:tcPr>
            <w:tcW w:w="9060" w:type="dxa"/>
            <w:gridSpan w:val="4"/>
            <w:shd w:val="clear" w:color="auto" w:fill="D4F1D3" w:themeFill="background2" w:themeFillTint="33"/>
            <w:vAlign w:val="center"/>
          </w:tcPr>
          <w:p w14:paraId="6FD24CB3" w14:textId="4146EED7" w:rsidR="0022700A" w:rsidRDefault="0022700A" w:rsidP="0022700A">
            <w:pPr>
              <w:jc w:val="center"/>
              <w:rPr>
                <w:lang w:val="en-US"/>
              </w:rPr>
            </w:pPr>
            <w:r w:rsidRPr="00702C31">
              <w:rPr>
                <w:b/>
                <w:bCs/>
                <w:color w:val="56575A"/>
                <w:szCs w:val="20"/>
                <w:lang w:val="en-US"/>
              </w:rPr>
              <w:t xml:space="preserve">Treatment with </w:t>
            </w:r>
            <w:r>
              <w:rPr>
                <w:b/>
                <w:bCs/>
                <w:color w:val="56575A"/>
                <w:szCs w:val="20"/>
                <w:lang w:val="en-US"/>
              </w:rPr>
              <w:t>physical therapy: other than laser, shockwave or ultrasound</w:t>
            </w:r>
          </w:p>
        </w:tc>
      </w:tr>
      <w:tr w:rsidR="0022700A" w14:paraId="3877F89D" w14:textId="77777777" w:rsidTr="0022700A">
        <w:tc>
          <w:tcPr>
            <w:tcW w:w="9060" w:type="dxa"/>
            <w:gridSpan w:val="4"/>
            <w:vAlign w:val="center"/>
          </w:tcPr>
          <w:p w14:paraId="56B352AF" w14:textId="0A09F636" w:rsidR="0022700A" w:rsidRDefault="0022700A" w:rsidP="0022700A">
            <w:pPr>
              <w:jc w:val="left"/>
              <w:rPr>
                <w:lang w:val="en-US"/>
              </w:rPr>
            </w:pPr>
            <w:r w:rsidRPr="002352D7">
              <w:rPr>
                <w:b/>
                <w:sz w:val="18"/>
                <w:szCs w:val="18"/>
                <w:lang w:val="en-US"/>
              </w:rPr>
              <w:t>Ulcer area reduction</w:t>
            </w:r>
          </w:p>
        </w:tc>
      </w:tr>
      <w:tr w:rsidR="0022700A" w14:paraId="4F843891" w14:textId="77777777" w:rsidTr="0022700A">
        <w:tc>
          <w:tcPr>
            <w:tcW w:w="2830" w:type="dxa"/>
            <w:vAlign w:val="center"/>
          </w:tcPr>
          <w:p w14:paraId="0C9ECAAF" w14:textId="7B880B2F" w:rsidR="0022700A" w:rsidRDefault="0022700A" w:rsidP="0022700A">
            <w:pPr>
              <w:jc w:val="center"/>
              <w:rPr>
                <w:lang w:val="en-US"/>
              </w:rPr>
            </w:pPr>
            <w:r>
              <w:rPr>
                <w:lang w:val="en-US"/>
              </w:rPr>
              <w:t>1 study (</w:t>
            </w:r>
            <w:r>
              <w:rPr>
                <w:rFonts w:asciiTheme="minorHAnsi" w:eastAsia="Times New Roman" w:hAnsiTheme="minorHAnsi" w:cstheme="minorHAnsi"/>
                <w:szCs w:val="20"/>
                <w:lang w:val="en-US"/>
              </w:rPr>
              <w:t xml:space="preserve">I) - </w:t>
            </w:r>
            <w:r>
              <w:rPr>
                <w:lang w:val="en-US"/>
              </w:rPr>
              <w:t>3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42D24CBA" w14:textId="2D21F333" w:rsidR="0022700A" w:rsidRDefault="0022700A" w:rsidP="0022700A">
            <w:pPr>
              <w:jc w:val="center"/>
              <w:rPr>
                <w:lang w:val="en-US"/>
              </w:rPr>
            </w:pPr>
            <w:r>
              <w:rPr>
                <w:lang w:val="en-US"/>
              </w:rPr>
              <w:t>6,5</w:t>
            </w:r>
          </w:p>
        </w:tc>
        <w:tc>
          <w:tcPr>
            <w:tcW w:w="2265" w:type="dxa"/>
            <w:vMerge w:val="restart"/>
            <w:vAlign w:val="center"/>
          </w:tcPr>
          <w:p w14:paraId="18D65B68" w14:textId="0A7BBF60" w:rsidR="0022700A" w:rsidRDefault="0022700A" w:rsidP="0022700A">
            <w:pPr>
              <w:jc w:val="center"/>
              <w:rPr>
                <w:lang w:val="en-US"/>
              </w:rPr>
            </w:pPr>
            <w:r>
              <w:rPr>
                <w:lang w:val="en-US"/>
              </w:rPr>
              <w:t>Moderate</w:t>
            </w:r>
          </w:p>
        </w:tc>
        <w:tc>
          <w:tcPr>
            <w:tcW w:w="2265" w:type="dxa"/>
            <w:vAlign w:val="center"/>
          </w:tcPr>
          <w:p w14:paraId="727D6478" w14:textId="4869832B"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MN1CCgcI","properties":{"formattedCitation":"(223\\uc0\\u8211{}226)","plainCitation":"(223–226)","noteIndex":0},"citationItems":[{"id":83062,"uris":["http://zotero.org/users/5328021/items/EFXPKAFJ"],"uri":["http://zotero.org/users/5328021/items/EFXPKAFJ"],"itemData":{"id":83062,"type":"article-journal","abstract":"Diabetic foot (DF) is a major complication in patients with diabetes leading to increased risk of hospitalization, lower limb amputation, and death, as well as a significant decrease in quality of life. During lifetime the risk for developing DF is assumed to be 25%; with 30% of DF resulting in lower limb amputation. If compared to general population people with diabetes have a 20</w:instrText>
            </w:r>
            <w:r>
              <w:rPr>
                <w:rFonts w:ascii="Cambria Math" w:hAnsi="Cambria Math" w:cs="Cambria Math"/>
                <w:lang w:val="en-US"/>
              </w:rPr>
              <w:instrText>‐</w:instrText>
            </w:r>
            <w:r>
              <w:rPr>
                <w:rFonts w:cs="Arial"/>
                <w:lang w:val="en-US"/>
              </w:rPr>
              <w:instrText>fold higher risk for amputation. Diabetes mellitus is the leading cause of lower limb amputation. Ulceration and impaired wound healing are commonly associated with common co</w:instrText>
            </w:r>
            <w:r>
              <w:rPr>
                <w:rFonts w:ascii="Cambria Math" w:hAnsi="Cambria Math" w:cs="Cambria Math"/>
                <w:lang w:val="en-US"/>
              </w:rPr>
              <w:instrText>‐</w:instrText>
            </w:r>
            <w:r>
              <w:rPr>
                <w:rFonts w:cs="Arial"/>
                <w:lang w:val="en-US"/>
              </w:rPr>
              <w:instrText>morbidities; the increased risk of infection amongst patients with diabetes is driving chronification and accounts for lack of wound healing. Non</w:instrText>
            </w:r>
            <w:r>
              <w:rPr>
                <w:rFonts w:ascii="Cambria Math" w:hAnsi="Cambria Math" w:cs="Cambria Math"/>
                <w:lang w:val="en-US"/>
              </w:rPr>
              <w:instrText>‐</w:instrText>
            </w:r>
            <w:r>
              <w:rPr>
                <w:rFonts w:cs="Arial"/>
                <w:lang w:val="en-US"/>
              </w:rPr>
              <w:instrText>thermal atmospheric pressure plasma has been proposed as a tool for various biological and medical applications relying on its capacity to reduce bacterial load in the wound and to initiate wound healing. Biological plasma effects are largely dependent on plasma</w:instrText>
            </w:r>
            <w:r>
              <w:rPr>
                <w:rFonts w:ascii="Cambria Math" w:hAnsi="Cambria Math" w:cs="Cambria Math"/>
                <w:lang w:val="en-US"/>
              </w:rPr>
              <w:instrText>‐</w:instrText>
            </w:r>
            <w:r>
              <w:rPr>
                <w:rFonts w:cs="Arial"/>
                <w:lang w:val="en-US"/>
              </w:rPr>
              <w:instrText>generated reactive species in the gas phase, which subsequently diffuse or react with proteins and lipids in cells or tissues. Thus, the objective of this placebo</w:instrText>
            </w:r>
            <w:r>
              <w:rPr>
                <w:rFonts w:ascii="Cambria Math" w:hAnsi="Cambria Math" w:cs="Cambria Math"/>
                <w:lang w:val="en-US"/>
              </w:rPr>
              <w:instrText>‐</w:instrText>
            </w:r>
            <w:r>
              <w:rPr>
                <w:rFonts w:cs="Arial"/>
                <w:lang w:val="en-US"/>
              </w:rPr>
              <w:instrText>controlled patient</w:instrText>
            </w:r>
            <w:r>
              <w:rPr>
                <w:rFonts w:ascii="Cambria Math" w:hAnsi="Cambria Math" w:cs="Cambria Math"/>
                <w:lang w:val="en-US"/>
              </w:rPr>
              <w:instrText>‐</w:instrText>
            </w:r>
            <w:r>
              <w:rPr>
                <w:rFonts w:cs="Arial"/>
                <w:lang w:val="en-US"/>
              </w:rPr>
              <w:instrText>blinded study was to show that application of cold plasma in addition to standard care treatment compared to placebo could accelerate wound healing in terms of more rapid and clinical meaningful wound surface regression. Wound closure progression and microbiological analysis were monitored time dependently to prove the effects. Patient's well</w:instrText>
            </w:r>
            <w:r>
              <w:rPr>
                <w:rFonts w:ascii="Cambria Math" w:hAnsi="Cambria Math" w:cs="Cambria Math"/>
                <w:lang w:val="en-US"/>
              </w:rPr>
              <w:instrText>‐</w:instrText>
            </w:r>
            <w:r>
              <w:rPr>
                <w:rFonts w:cs="Arial"/>
                <w:lang w:val="en-US"/>
              </w:rPr>
              <w:instrText xml:space="preserve">being and subjective perceptions were evaluated during treatment.","archive_location":"CN-02053349","container-title":"https://clinicaltrials.gov/show/NCT04205942","DOI":"10.1001/jamanetworkopen.2020.10411","journalAbbreviation":"JAMA Network Open","title":"Effect of Cold Atmospheric Plasma Therapy vs Standard Therapy Placebo onWound Healing in Patients With Diabetic Foot Ulcers A Randomized Clinical Trial - NCT04205942","URL":"https://www.cochranelibrary.com/central/doi/10.1002/central/CN-02053349/full","author":[{"family":"Stratmann,","given":"Bernd"},{"family":"Costea","given":"Tania-Cristina"},{"family":"Nolte","given":"Catharina"}],"issued":{"date-parts":[["2020"]]}}},{"id":47567,"uris":["http://zotero.org/users/5328021/items/MB867X8P"],"uri":["http://zotero.org/users/5328021/items/MB867X8P"],"itemData":{"id":47567,"type":"article-journal","abstract":"AIMS: This study investigated the effect of low-intensity cathodal direct current (CDC) of electrical stimulation (ES) on the release of hypoxic inducible factor-1α (HIF-1α), nitric oxide (NO), vascular endothelial growth factor (VEGF), and soluble VEGF receptor-2 (sVEGFR-2) in the wound fluid of ischemic diabetic foot ulcers (DFUs).\nMETHODS: This study was a randomized, single-blind, placebo-controlled trial. Thirty type 2 diabetes patients with ischemic foot ulcerations were randomly assigned to receive either low-intensity CDC at sensory threshold (ES group, n=15) or placebo treatment (control group, n=15) for 1h/day, 3days/week, for 4weeks (12 sessions). After debridement during the first and twelfth treatment sessions, wound fluid was collected before and after ES application to determine the levels of HIF-1α, NO, VEGF, and sVEGFR-2. Wound surface area (WSA) was measured at the first, sixth, and twelfth sessions.\nRESULTS: At the first session, after ES application, wound-fluid levels of HIF-1α were significantly increased (+61.98pg/mL) compared to the control group (-3.85pg/mL, P=0.01). After ES application at the first and twelfth sessions, wound-fluid levels of VEGF were also significantly increased (+36.77 and +39.57pg/mL, respectively) compared to the control group (+4.15 and +0.15pg/mL, P=0.007 and P=0.019, respectively). There was no significant effect on NO and sVEGFR-2 levels between the groups.\nCONCLUSIONS: Low-intensity CDC has positive effects on the release of HIF-1α and VEGF in the wound area of ischemic DFUs. Furthermore, our results suggest that applying ES to ischemic DFUs can be a promising way to promote angiogenesis and to achieve better outcomes in diabetic wound healing.","container-title":"Diabetes Research and Clinical Practice","journalAbbreviation":"Diabetes Res. Clin. Pract.","language":"eng","note":"PMID: 28371685","page":"147-155","title":"Angiogenic effects of low-intensity cathodal direct current on ischemic diabetic foot ulcers: A randomized controlled trial","volume":"127","author":[{"family":"Asadi","given":"Mohammad Reza"},{"family":"Torkaman","given":"Giti"},{"family":"Hedayati","given":"Mehdi"},{"family":"Mohajeri-Tehrani","given":"Mohammad Reza"},{"family":"Ahmadi","given":"Mousa"},{"family":"Gohardani","given":"Roghieh Fathi"}],"issued":{"date-parts":[["2017",5]]}}},{"id":19645,"uris":["http://zotero.org/users/5328021/items/RH73SMQT"],"uri":["http://zotero.org/users/5328021/items/RH73SMQT"],"itemData":{"id":19645,"type":"article-journal","abstract":"BACKGROUND AND OBJECTIVE: Diabetic foot ulcer is a major complication caused by diabetes. Electrical stimulation is considered as an efficient modality of diabetic wound healing. This study aimed to investigate the effects of direct-current stimulation of cathodal on skin temperature and acceleration of ischemic diabetic foot ulcer closing. METHODS: This randomized, single-blinded, clinical trial was conducted from November 2013 to September 2014 on 20 patients with type II diabetes suffering from ischemic diabetic foot ulcers. Subjects were randomly divided into two groups of electrical stimulation and placebo. The electrical stimulation group received direct-current cathodal stimulation to the wound for one hour a day, repeating three days a week (4 weeks, 12 sessions), and the placebo group underwent the same procedure with zero-intensity electrical stimulation. Skin surface temperature was measured in the plantar and dorsal areas of the diabetic foot before and after the intervention at sessions one, six and twelve. In addition, the surface of ulcer area was measured at the same intervals (IRCT: 2014110819854 N1). FINDINGS: Comparison of the study groups indicated the mean of skin temperature changes to be significantly higher in the stimulation group compared to the placebo group at sessions one (p=0. 01, 0. 41±0. 2 and 0. 75±0. 26), six (p=0. 01, 0. 25±0. 27 and 0. 6±0. 21) and twelve (P=0. 007, 0. 25±0. 27 and 0. 66±0. 23), respectively. In addition, reduction of the wounded area was considerably higher in the electrical stimulation group (52. 68%) compared to the placebo group (38. 39%) at session 12 (p=0. 02). CONCLUSION: According to the results of this study, direct-current cathodal stimulation could improve skin temperature and accelerate wound closing in ischemic diabetic ulcers.","archive":"Embase","container-title":"Journal of Babol University of Medical Sciences","issue":"7","journalAbbreviation":"J. Babol Univ. Med. Sci.","language":"English","page":"7-14","title":"Effects of electrical stimulation on the management of ischemic diabetic foot ulcers","volume":"17","author":[{"literal":"Asadi M.R."},{"literal":"Torkaman G."},{"literal":"Mohajeri-Tehrani M.R."},{"literal":"Hedayati M."}],"issued":{"date-parts":[["2015"]]}}},{"id":53647,"uris":["http://zotero.org/users/5328021/items/4SYTMUES"],"uri":["http://zotero.org/users/5328021/items/4SYTMUES"],"itemData":{"id":53647,"type":"article-journal","abstract":"To systematically assess published reports on the efficacy of electrophysical therapy in the treatment of diabetic foot ulcers, including electrical stimulation, low-level laser therapy, therapeutic ultrasound and electromagnetic therapy. Databases searched included MEDLINE, CINAHL, EMBASE and the Cochrane Central Register of Controlled Trials (CENTRAL) from 1966 to 2011. Studies reviewed included only randomised controlled trials (RCTs) on treatment with electrophysical modalities compared with sham, conventional treatment or other electrophysical modalities. Information extracted were objective measures of healing and data useful for the calculation of effect size. Eight RCTs were eventually included in the critical appraisal, with a combined total of 325 participants. Five studies were conducted on electrical stimulation, two on phototherapy and one on ultrasound. All studies reported that the experimental group was significantly more favourable than the control or sham group. The pooled estimate of the number of healed ulcers of the three studies on electrical stimulation compared to the control or sham electrical stimulation showed statistical significance [mean difference of 2·8 (95% CI = 1·5-5·5, P = 0·002] in favour of electrical stimulation. The results indicated potential benefit of using electrophysical therapy for managing diabetic foot ulcers. However, due to the small number of trials ever conducted, the possibility of any harmful effects cannot be ruled out, and high-quality trials with larger sample sizes are warranted.","container-title":"International Wound Journal","issue":"2","journalAbbreviation":"Int Wound J","language":"eng","note":"PMID: 22958779","page":"121-131","title":"Electrophysical therapy for managing diabetic foot ulcers: a systematic review","volume":"10","author":[{"family":"Kwan","given":"Rachel L.-C."},{"family":"Cheing","given":"Gladys L.-Y."},{"family":"Vong","given":"Sinfia K.-S."},{"family":"Lo","given":"Sing K."}],"issued":{"date-parts":[["2013",4]]}}}],"schema":"https://github.com/citation-style-language/schema/raw/master/csl-citation.json"} </w:instrText>
            </w:r>
            <w:r>
              <w:rPr>
                <w:rFonts w:cs="Arial"/>
                <w:lang w:val="en-US"/>
              </w:rPr>
              <w:fldChar w:fldCharType="separate"/>
            </w:r>
            <w:r w:rsidRPr="00A91C12">
              <w:rPr>
                <w:rFonts w:cs="Arial"/>
                <w:szCs w:val="24"/>
              </w:rPr>
              <w:t>(223–226)</w:t>
            </w:r>
            <w:r>
              <w:rPr>
                <w:rFonts w:cs="Arial"/>
                <w:lang w:val="en-US"/>
              </w:rPr>
              <w:fldChar w:fldCharType="end"/>
            </w:r>
          </w:p>
        </w:tc>
      </w:tr>
      <w:tr w:rsidR="0022700A" w14:paraId="0260BE3F" w14:textId="77777777" w:rsidTr="0022700A">
        <w:tc>
          <w:tcPr>
            <w:tcW w:w="2830" w:type="dxa"/>
            <w:vAlign w:val="center"/>
          </w:tcPr>
          <w:p w14:paraId="3DFF9C6D" w14:textId="12D9D26E" w:rsidR="0022700A" w:rsidRDefault="0022700A" w:rsidP="0022700A">
            <w:pPr>
              <w:jc w:val="center"/>
              <w:rPr>
                <w:lang w:val="en-US"/>
              </w:rPr>
            </w:pPr>
            <w:r w:rsidRPr="00DF387B">
              <w:rPr>
                <w:color w:val="9A9B9D" w:themeColor="text1" w:themeTint="99"/>
                <w:lang w:val="en-US"/>
              </w:rPr>
              <w:t>1 study (II)</w:t>
            </w:r>
          </w:p>
        </w:tc>
        <w:tc>
          <w:tcPr>
            <w:tcW w:w="1700" w:type="dxa"/>
            <w:vAlign w:val="center"/>
          </w:tcPr>
          <w:p w14:paraId="1220C749" w14:textId="496A7637" w:rsidR="0022700A" w:rsidRDefault="0022700A" w:rsidP="0022700A">
            <w:pPr>
              <w:jc w:val="center"/>
              <w:rPr>
                <w:lang w:val="en-US"/>
              </w:rPr>
            </w:pPr>
            <w:r w:rsidRPr="002149A6">
              <w:rPr>
                <w:color w:val="9A9B9D" w:themeColor="text1" w:themeTint="99"/>
                <w:lang w:val="en-US"/>
              </w:rPr>
              <w:t>6</w:t>
            </w:r>
          </w:p>
        </w:tc>
        <w:tc>
          <w:tcPr>
            <w:tcW w:w="2265" w:type="dxa"/>
            <w:vMerge/>
            <w:vAlign w:val="center"/>
          </w:tcPr>
          <w:p w14:paraId="0E89EC27" w14:textId="77777777" w:rsidR="0022700A" w:rsidRDefault="0022700A" w:rsidP="0022700A">
            <w:pPr>
              <w:jc w:val="center"/>
              <w:rPr>
                <w:lang w:val="en-US"/>
              </w:rPr>
            </w:pPr>
          </w:p>
        </w:tc>
        <w:tc>
          <w:tcPr>
            <w:tcW w:w="2265" w:type="dxa"/>
            <w:vAlign w:val="center"/>
          </w:tcPr>
          <w:p w14:paraId="5C354339" w14:textId="1445F4EC"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5EcGONwS","properties":{"formattedCitation":"(227)","plainCitation":"(227)","noteIndex":0},"citationItems":[{"id":50957,"uris":["http://zotero.org/users/5328021/items/U9BMT53S"],"uri":["http://zotero.org/users/5328021/items/U9BMT53S"],"itemData":{"id":50957,"type":"article-journal","abstract":"OBJECTIVE: To examine the effects of pulsed electromagnetic field (PEMF) therapy on promoting the healing and microcirculation of chronic diabetic foot ulcers.\nDESIGN: A randomized, double-blind, placebo-controlled clinical trial on a homogenous subset of chronic diabetic foot ulcers.\nSETTING: Hospital and university.\nPATIENTS: Thirteen subjects (7 in the PEMF group and 6 in the control group) diagnosed with type 2 diabetes and had unsatisfactory healing of ulcer(s) in the preceding 4 weeks were recruited.\nINTERVENTIONS: Subjects were randomly allocated to receive either active PEMF therapy (duration: 60 minutes; frequency: 12 Hz; intensity: 12 Gauss) or nonactive PEMF for 14 sessions within 3 weeks.\nMAIN OUTCOME MEASURES: Assessment on wound closure, wound depth, and microcirculation were performed at the baseline, end of the treatment period, and 1-month follow-up.\nMAIN RESULTS: By the end of the treatment period, there was an 18% decrease in wound size in the active PEMF group as compared with a 10% decrease in the control group. The PEMF group demonstrated significant cumulative increase in cutaneous capillary blood velocity (by 28%) and 14% increase in capillary diameter. In contrast, the control group showed a decrease in both capillary blood velocity and diameter.\nCONCLUSION: In this study, PEMF therapy seemed to accelerate wound healing and improve microcirculation.","container-title":"Advances in Skin &amp; Wound Care","issue":"5","journalAbbreviation":"Adv Skin Wound Care","language":"eng","note":"PMID: 25882659","page":"212-219","title":"Pulsed electromagnetic field therapy promotes healing and microcirculation of chronic diabetic foot ulcers: a pilot study","volume":"28","author":[{"family":"Kwan","given":"Rachel Lai-Chu"},{"family":"Wong","given":"Wing-Cheung"},{"family":"Yip","given":"Siu-Leung"},{"family":"Chan","given":"Ka-Lun"},{"family":"Zheng","given":"Yong-Ping"},{"family":"Cheing","given":"Gladys Lai-Ying"}],"issued":{"date-parts":[["2015",5]]}}}],"schema":"https://github.com/citation-style-language/schema/raw/master/csl-citation.json"} </w:instrText>
            </w:r>
            <w:r>
              <w:rPr>
                <w:rFonts w:cs="Arial"/>
                <w:lang w:val="en-US"/>
              </w:rPr>
              <w:fldChar w:fldCharType="separate"/>
            </w:r>
            <w:r w:rsidRPr="00A91C12">
              <w:rPr>
                <w:rFonts w:cs="Arial"/>
                <w:lang w:val="en-US"/>
              </w:rPr>
              <w:t>(227)</w:t>
            </w:r>
            <w:r>
              <w:rPr>
                <w:rFonts w:cs="Arial"/>
                <w:lang w:val="en-US"/>
              </w:rPr>
              <w:fldChar w:fldCharType="end"/>
            </w:r>
          </w:p>
        </w:tc>
      </w:tr>
      <w:tr w:rsidR="0022700A" w:rsidRPr="00166EC2" w14:paraId="3752DCF9" w14:textId="77777777" w:rsidTr="0022700A">
        <w:tc>
          <w:tcPr>
            <w:tcW w:w="9060" w:type="dxa"/>
            <w:gridSpan w:val="4"/>
            <w:shd w:val="clear" w:color="auto" w:fill="D4F1D3" w:themeFill="background2" w:themeFillTint="33"/>
            <w:vAlign w:val="center"/>
          </w:tcPr>
          <w:p w14:paraId="58AB1BB5" w14:textId="450679BE" w:rsidR="0022700A" w:rsidRDefault="0022700A" w:rsidP="0022700A">
            <w:pPr>
              <w:jc w:val="center"/>
              <w:rPr>
                <w:lang w:val="en-US"/>
              </w:rPr>
            </w:pPr>
            <w:r>
              <w:rPr>
                <w:b/>
                <w:bCs/>
                <w:color w:val="56575A"/>
                <w:szCs w:val="20"/>
                <w:lang w:val="en-US"/>
              </w:rPr>
              <w:t>Treatment with gases therapy: topical oxygen therapy</w:t>
            </w:r>
          </w:p>
        </w:tc>
      </w:tr>
      <w:tr w:rsidR="0022700A" w14:paraId="423C7F04" w14:textId="77777777" w:rsidTr="0022700A">
        <w:tc>
          <w:tcPr>
            <w:tcW w:w="6795" w:type="dxa"/>
            <w:gridSpan w:val="3"/>
            <w:vAlign w:val="center"/>
          </w:tcPr>
          <w:p w14:paraId="29910F9C" w14:textId="1E311275" w:rsidR="0022700A" w:rsidRDefault="0022700A" w:rsidP="0022700A">
            <w:pPr>
              <w:jc w:val="left"/>
              <w:rPr>
                <w:lang w:val="en-US"/>
              </w:rPr>
            </w:pPr>
            <w:r>
              <w:rPr>
                <w:b/>
                <w:sz w:val="18"/>
                <w:szCs w:val="18"/>
                <w:lang w:val="en-US"/>
              </w:rPr>
              <w:t>Ulcer healing</w:t>
            </w:r>
          </w:p>
        </w:tc>
        <w:tc>
          <w:tcPr>
            <w:tcW w:w="2265" w:type="dxa"/>
            <w:vAlign w:val="center"/>
          </w:tcPr>
          <w:p w14:paraId="3D10A2A6" w14:textId="77777777" w:rsidR="0022700A" w:rsidRDefault="0022700A" w:rsidP="0022700A">
            <w:pPr>
              <w:jc w:val="center"/>
              <w:rPr>
                <w:lang w:val="en-US"/>
              </w:rPr>
            </w:pPr>
          </w:p>
        </w:tc>
      </w:tr>
      <w:tr w:rsidR="0022700A" w14:paraId="7E76C887" w14:textId="77777777" w:rsidTr="0022700A">
        <w:tc>
          <w:tcPr>
            <w:tcW w:w="2830" w:type="dxa"/>
            <w:vAlign w:val="center"/>
          </w:tcPr>
          <w:p w14:paraId="398B8776" w14:textId="5DD44C7A" w:rsidR="0022700A" w:rsidRDefault="0022700A" w:rsidP="0022700A">
            <w:pPr>
              <w:jc w:val="center"/>
              <w:rPr>
                <w:lang w:val="en-US"/>
              </w:rPr>
            </w:pPr>
            <w:r>
              <w:rPr>
                <w:lang w:val="en-US"/>
              </w:rPr>
              <w:t>3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38D888C4" w14:textId="3486D490" w:rsidR="0022700A" w:rsidRDefault="0022700A" w:rsidP="0022700A">
            <w:pPr>
              <w:jc w:val="center"/>
              <w:rPr>
                <w:lang w:val="en-US"/>
              </w:rPr>
            </w:pPr>
            <w:r>
              <w:rPr>
                <w:lang w:val="en-US"/>
              </w:rPr>
              <w:t>6</w:t>
            </w:r>
          </w:p>
        </w:tc>
        <w:tc>
          <w:tcPr>
            <w:tcW w:w="2265" w:type="dxa"/>
            <w:vMerge w:val="restart"/>
            <w:vAlign w:val="center"/>
          </w:tcPr>
          <w:p w14:paraId="6603AB4E" w14:textId="1C715E1A" w:rsidR="0022700A" w:rsidRDefault="00CA720D" w:rsidP="0022700A">
            <w:pPr>
              <w:jc w:val="center"/>
              <w:rPr>
                <w:lang w:val="en-US"/>
              </w:rPr>
            </w:pPr>
            <w:r>
              <w:rPr>
                <w:lang w:val="en-US"/>
              </w:rPr>
              <w:t>Moderate</w:t>
            </w:r>
          </w:p>
        </w:tc>
        <w:tc>
          <w:tcPr>
            <w:tcW w:w="2265" w:type="dxa"/>
            <w:vAlign w:val="center"/>
          </w:tcPr>
          <w:p w14:paraId="35CFC2F4" w14:textId="07D8CD61"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YkE0htK5","properties":{"formattedCitation":"(228\\uc0\\u8211{}230)","plainCitation":"(228–230)","noteIndex":0},"citationItems":[{"id":45472,"uris":["http://zotero.org/users/5328021/items/AMZG9D2K"],"uri":["http://zotero.org/users/5328021/items/AMZG9D2K"],"itemData":{"id":45472,"type":"article-journal","abstract":"Objectives: Low tissue oxygenation is a predictor of healing outcomes in complex wounds. Adjunct hemoglobin to aid oxygen diffusion has been demonstrated to achieve superior healing outcomes; however, the relative healing benefit across different wound types and evaluations has not yet been estimated. This article does this for the first time.\nMethods: Data were pooled from previously published real world controlled evaluations, three retrospective cohort controlled studies of a variety of wounds within standard care across hospital and primary care in the North of England in patients with diabetic foot ulcers (n = 40), chronic wounds (n = 100), and sloughy wounds (n = 200). Wounds were equally distributed between adjunct hemoglobin and control and the hemoglobin spray was used as per instructions for use and applied twice weekly, mostly for the duration of the wounds in all three evaluations. Wound healing over 26 weeks was the primary outcome in each of the evaluations, with additional healing and quality of life indicators including pain, wound size, slough coverage, wound exudate levels, adverse events, and dressing regimen used, over time. Each wound type with 10 or more patients in both the standard care alone and adjunctive hemoglobin groups (n = 257/73% of patients) was evaluated.\nResults: Cox proportional hazards log-rank regressions demonstrated significantly higher weekly chance of healing in each wound type (β, 95% range, sample, p): trauma 1.55 (1.23-1.96, n = 110, p &lt; 0.001), diabetic foot ulcers 2.39 (1.52-3.75, n = 60, p = 0.01), venous leg ulcers 4.98 (1.69-14.7, n = 33, p = 0.04), burns 1.82 (1.11-2.99, n = 30, p = 0.02), and post-surgical wounds 2.75 (1.53-4.96, n = 24, p = 0.001). Results on additional healing indicators were consistent with the main findings. Notably, controlling for ischemia in diabetic foot ulcers resulted in an increased β of 5.68 (2.33-13.86, n = 29, p &lt; 0.001).\nConclusion: Adjunct hemoglobin spray, when implemented within standard care, is likely to achieve substantial healing benefits to patients, in particular for diabetic foot ulcers, venous leg ulcers, and post-surgical wounds.","container-title":"SAGE open medicine","journalAbbreviation":"SAGE Open Med","language":"eng","note":"PMID: 30013783\nPMCID: PMC6041853","page":"2050312118784313","title":"Hemoglobin spray as adjunct therapy in complex wounds: Meta-analysis versus standard care alone in pooled data by wound type across three retrospective cohort controlled evaluations","volume":"6","author":[{"family":"Elg","given":"Fredrik"},{"family":"Hunt","given":"Sharon"}],"issued":{"date-parts":[["2018"]]}}},{"id":47366,"uris":["http://zotero.org/users/5328021/items/YTHKYWPD"],"uri":["http://zotero.org/users/5328021/items/YTHKYWPD"],"itemData":{"id":47366,"type":"article-journal","abstract":"BACKGROUND: Over the past generation, preclinical data have suggested that there is a potential physiologic benefit to applying oxygen topically to wounds. However, we are unaware of any studies in the literature that have robustly assessed whether this would lead to a higher proportion of healing in similarly treated people without oxygen. Therefore, the purpose of this study was to assess this in people being treated for chronic diabetic foot ulcers (DFUs).\nMETHODS: We enrolled and randomized 100 subjects with DFUs (79% male, aged 58.3 ± 12.1 years) to receive either active continuous diffusion of oxygen (CDO) therapy using an active CDO device, or an otherwise fully operational sham device that provided moist wound therapy (MWT) without delivering oxygen. Patients were followed until closure or 12 weeks, whichever was sooner. Patients, treating physicians and independent evaluators were blinded to the study arm. All patients received identical offloading, dressings and follow-up.\nRESULTS: There were no significant differences in assessed descriptive characteristics between the treatment arms ( P &gt; .05 for all). A significantly higher proportion of people healed in the active arm compared to sham (46% vs 22%, P = .02). This relative effect became greater in more chronic wounds (42.5% vs 13.5%, P = .006). Patients randomized to the active device experienced significantly faster rates of closure relative to the sham ( P &lt; .001).\nCONCLUSIONS: The results of this study suggest that continuously diffused oxygen over a wound leads to significantly higher rates of closure, and faster time to closure, compared to similarly treated patients receiving standard therapy coupled with a sham device. Furthermore, the relative efficacy appears to improve the more the therapy may be needed (more chronic and larger wounds).","container-title":"Journal of Diabetes Science and Technology","issue":"5","journalAbbreviation":"J Diabetes Sci Technol","language":"eng","note":"PMID: 28654304\nPMCID: PMC5950983","page":"883-891","title":"A Prospective, Randomized, Double-Blind Multicenter Study Comparing Continuous Diffusion of Oxygen Therapy to Sham Therapy in the Treatment of Diabetic Foot Ulcers","volume":"11","author":[{"family":"Niederauer","given":"Mark Q."},{"family":"Michalek","given":"Joel E."},{"family":"Armstrong","given":"David G."}],"issued":{"date-parts":[["2017"]]}}},{"id":47885,"uris":["http://zotero.org/users/5328021/items/2GZBM8NM"],"uri":["http://zotero.org/users/5328021/items/2GZBM8NM"],"itemData":{"id":47885,"type":"article-journal","abstract":"Diabetic foot ulcers (DFUs) are a significant problem in an aging population. Fifteen percent of diabetics develop a DFU over their lifetime, which can lead to potential amputation. The 5-year survival rate after amputation is 31%, which is greater than the lifetime risk of mortality from cancer. Topical oxygen is a promising technique for the adjunctive therapy of chronic wounds including DFUs, but few controlled studies exist to support its clinical adoption. The aim of this study was to compare a portable topical oxygen delivery system in patients with nonhealing DFUs to standard best practice. Twenty patients were randomized into a topical oxygen group (n = 10), and a nonplacebo control group with regular dressings and standard care (n = 10), and attended the diabetic foot clinic once weekly for 8 weeks. Ulcer surface area over time was analyzed using standardized digital imaging software. DFUs were present without healing for a mean duration of 76 weeks prior to the study. They found a significant difference in healing rate between patients receiving topical oxygen and those receiving standard care. Topical oxygen, therefore, represents a potentially exciting new technology to shorten healing time in patients with nonhealing DFUs. More prospective randomized and powered studies are needed to determine the benefits of topical oxygen, but our current results are very promising.","container-title":"Wound Repair and Regeneration: Official Publication of the Wound Healing Society [and] the European Tissue Repair Society","issue":"6","journalAbbreviation":"Wound Repair Regen","language":"eng","note":"PMID: 27733020","page":"1066-1072","title":"Topical oxygen therapy results in complete wound healing in diabetic foot ulcers","volume":"24","author":[{"family":"Yu","given":"Janelle"},{"family":"Lu","given":"Suzanne"},{"family":"McLaren","given":"Ann-Marie"},{"family":"Perry","given":"Julie A."},{"family":"Cross","given":"Karen M."}],"issued":{"date-parts":[["2016"]]}}}],"schema":"https://github.com/citation-style-language/schema/raw/master/csl-citation.json"} </w:instrText>
            </w:r>
            <w:r>
              <w:rPr>
                <w:rFonts w:cs="Arial"/>
                <w:lang w:val="en-US"/>
              </w:rPr>
              <w:fldChar w:fldCharType="separate"/>
            </w:r>
            <w:r w:rsidRPr="00A91C12">
              <w:rPr>
                <w:rFonts w:cs="Arial"/>
                <w:szCs w:val="24"/>
              </w:rPr>
              <w:t>(228–230)</w:t>
            </w:r>
            <w:r>
              <w:rPr>
                <w:rFonts w:cs="Arial"/>
                <w:lang w:val="en-US"/>
              </w:rPr>
              <w:fldChar w:fldCharType="end"/>
            </w:r>
          </w:p>
        </w:tc>
      </w:tr>
      <w:tr w:rsidR="0022700A" w14:paraId="354DBABD" w14:textId="77777777" w:rsidTr="0022700A">
        <w:tc>
          <w:tcPr>
            <w:tcW w:w="2830" w:type="dxa"/>
            <w:vAlign w:val="center"/>
          </w:tcPr>
          <w:p w14:paraId="3B6CF60F" w14:textId="234BA708" w:rsidR="0022700A" w:rsidRDefault="0022700A" w:rsidP="0022700A">
            <w:pPr>
              <w:jc w:val="center"/>
              <w:rPr>
                <w:lang w:val="en-US"/>
              </w:rPr>
            </w:pPr>
            <w:r w:rsidRPr="00DF387B">
              <w:rPr>
                <w:color w:val="9A9B9D" w:themeColor="text1" w:themeTint="99"/>
                <w:lang w:val="en-US"/>
              </w:rPr>
              <w:t>1 study (II)</w:t>
            </w:r>
          </w:p>
        </w:tc>
        <w:tc>
          <w:tcPr>
            <w:tcW w:w="1700" w:type="dxa"/>
            <w:vAlign w:val="center"/>
          </w:tcPr>
          <w:p w14:paraId="5E286980" w14:textId="4433D699" w:rsidR="0022700A" w:rsidRDefault="00CA720D" w:rsidP="0022700A">
            <w:pPr>
              <w:jc w:val="center"/>
              <w:rPr>
                <w:lang w:val="en-US"/>
              </w:rPr>
            </w:pPr>
            <w:r>
              <w:rPr>
                <w:color w:val="9A9B9D" w:themeColor="text1" w:themeTint="99"/>
                <w:lang w:val="en-US"/>
              </w:rPr>
              <w:t>5</w:t>
            </w:r>
          </w:p>
        </w:tc>
        <w:tc>
          <w:tcPr>
            <w:tcW w:w="2265" w:type="dxa"/>
            <w:vMerge/>
            <w:vAlign w:val="center"/>
          </w:tcPr>
          <w:p w14:paraId="4F643B5A" w14:textId="77777777" w:rsidR="0022700A" w:rsidRDefault="0022700A" w:rsidP="0022700A">
            <w:pPr>
              <w:jc w:val="center"/>
              <w:rPr>
                <w:lang w:val="en-US"/>
              </w:rPr>
            </w:pPr>
          </w:p>
        </w:tc>
        <w:tc>
          <w:tcPr>
            <w:tcW w:w="2265" w:type="dxa"/>
            <w:vAlign w:val="center"/>
          </w:tcPr>
          <w:p w14:paraId="5345BC18" w14:textId="2A0E41FD"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Sen1iY9Q","properties":{"formattedCitation":"(231)","plainCitation":"(231)","noteIndex":0},"citationItems":[{"id":47523,"uris":["http://zotero.org/users/5328021/items/7RTV44WE"],"uri":["http://zotero.org/users/5328021/items/7RTV44WE"],"itemData":{"id":47523,"type":"article-journal","abstract":"Worldwide, diabetic foot ulcers (DFUs) continue to exact a major burden on patients and health care providers. Although hyperbaric oxygen therapy is well-known as an adjunct option, less is known about the efficacy of transdermal continuous oxygen therapy (TCOT). A prospective, randomized, blinded, multicenter, parallel study was conducted from October 2009 to November 2012 to evaluate healing time and the proportion of DFUs healed after 12 weeks of moist wound therapy (MWT) with or without TCOT. Study participants (persons with type 1 or type 2 diabetes and a nonhealing [&gt;1-month but &lt;1-year duration], 1 cm² to 10 cm² in area, infection-free DFU) were randomized to TCOT or a sham device (control) in addition to receiving MWT. TCOT treatment consisted of continuous administration of 98+% oxygen to the wound site using a 15-day device with dressings changed every 3 to 7 days per care plan or more often when clinically required. Potential participants completed demographic and clinical screening and wound and laboratory evaluations at baseline, and wound evaluations, evaluation of adverse events, debridement, and treatment once weekly until the wound healed or up to 12 weeks. The primary endpoint was defined as complete wound closure by week 12. Wound measurements were made utilizing acetate tracings. Original tracings were collected at approximately 6-week intervals and analyzed upon study closure. Data were collected via paper Case Report Forms and entered into an electronic database after the patient's final visit. Statistical analysis was performed on datasets exported from the electronic database. Wound measurement data were analyzed using chi-squared. Time to complete closure was analyzed using Kaplan-Meier analysis in conjunction with the log-rank test. Of the 130 potential participants, 8 with protocol violations were excluded from analysis. In the intent-to-treat (ITT) population (N = 122, average age 59 years [range 28-85 years]), the majority were male (74%), Caucasian (81%), and had a plantar ulcer (76%). Mean baseline wound area was 2.3 ± 1.7 cm² (range 0.4-8.9 cm2) and 2.0 ± 1.7 cm² (range 0.6-8.7 cm²) in the control and TCOT groups, respectively. HbA1c (%) was 7.9 ± 1.7 in the control and 8.0 ± 1.7 in the treatment group. In the TCOT group, 35 of 65 (54%) wounds healed compared to 31 of 63 (49%) in the control arm (P = .4167). In the per-protocol population (PP) (ie, patients without protocol violations), 34 of 61 wounds (56%) in the TCOT group and 31 of 61 (49%) in the control group healed. In the ≥65 years PP subgroup, 14 of 17 (82%) in the TCOT and 8 of 16 (50%) in the control arm healed (P = .049). Median time to complete closure in the PP group was 63 days for the TCOT and 77 days for the control group (P &gt;.05). No device-related serious adverse events occurred in either group. Wound outcomes of patients in both groups were good, but the TCOT device did not appear to offer added benefit over moist wound healing treatment and offloading to facilitate the healing of small, nonsevere diabetic foot ulcers of relatively healthy patients. The data suggest the device may offer a greater benefit to older patients. Studies including a more diverse and larger sample patient population are warranted.","container-title":"Ostomy/Wound Management","issue":"4","journalAbbreviation":"Ostomy Wound Manage","language":"eng","note":"PMID: 28448266","page":"12-28","title":"A Prospective, Randomized, Blinded, Controlled Trial Comparing Transdermal Continuous Oxygen Delivery to Moist Wound Therapy for the Treatment of Diabetic Foot Ulcers","volume":"63","author":[{"family":"Driver","given":"Vickie R."},{"family":"Reyzelman","given":"Alexander"},{"family":"Kawalec","given":"Jill"},{"family":"French","given":"Michael"}],"issued":{"date-parts":[["2017",4]]}}}],"schema":"https://github.com/citation-style-language/schema/raw/master/csl-citation.json"} </w:instrText>
            </w:r>
            <w:r>
              <w:rPr>
                <w:rFonts w:cs="Arial"/>
                <w:lang w:val="en-US"/>
              </w:rPr>
              <w:fldChar w:fldCharType="separate"/>
            </w:r>
            <w:r w:rsidRPr="00C23FB9">
              <w:rPr>
                <w:rFonts w:cs="Arial"/>
              </w:rPr>
              <w:t>(231)</w:t>
            </w:r>
            <w:r>
              <w:rPr>
                <w:rFonts w:cs="Arial"/>
                <w:lang w:val="en-US"/>
              </w:rPr>
              <w:fldChar w:fldCharType="end"/>
            </w:r>
          </w:p>
        </w:tc>
      </w:tr>
      <w:tr w:rsidR="0022700A" w14:paraId="58479F89" w14:textId="77777777" w:rsidTr="0022700A">
        <w:tc>
          <w:tcPr>
            <w:tcW w:w="9060" w:type="dxa"/>
            <w:gridSpan w:val="4"/>
            <w:vAlign w:val="center"/>
          </w:tcPr>
          <w:p w14:paraId="4637731B" w14:textId="5D951182" w:rsidR="0022700A" w:rsidRDefault="0022700A" w:rsidP="0022700A">
            <w:pPr>
              <w:jc w:val="left"/>
              <w:rPr>
                <w:lang w:val="en-US"/>
              </w:rPr>
            </w:pPr>
            <w:r w:rsidRPr="002352D7">
              <w:rPr>
                <w:b/>
                <w:sz w:val="18"/>
                <w:szCs w:val="18"/>
                <w:lang w:val="en-US"/>
              </w:rPr>
              <w:t>Ulcer area reduction</w:t>
            </w:r>
          </w:p>
        </w:tc>
      </w:tr>
      <w:tr w:rsidR="0056668F" w14:paraId="6D12F5A5" w14:textId="77777777" w:rsidTr="0022700A">
        <w:tc>
          <w:tcPr>
            <w:tcW w:w="2830" w:type="dxa"/>
            <w:vAlign w:val="center"/>
          </w:tcPr>
          <w:p w14:paraId="31C795C0" w14:textId="0E7B65C8" w:rsidR="0056668F" w:rsidRDefault="0056668F" w:rsidP="0022700A">
            <w:pPr>
              <w:jc w:val="center"/>
              <w:rPr>
                <w:lang w:val="en-US"/>
              </w:rPr>
            </w:pPr>
            <w:r>
              <w:rPr>
                <w:lang w:val="en-US"/>
              </w:rPr>
              <w:t>3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50C8A2B1" w14:textId="2EFC59C3" w:rsidR="0056668F" w:rsidRDefault="0056668F" w:rsidP="0022700A">
            <w:pPr>
              <w:jc w:val="center"/>
              <w:rPr>
                <w:lang w:val="en-US"/>
              </w:rPr>
            </w:pPr>
            <w:r>
              <w:rPr>
                <w:lang w:val="en-US"/>
              </w:rPr>
              <w:t>6</w:t>
            </w:r>
          </w:p>
        </w:tc>
        <w:tc>
          <w:tcPr>
            <w:tcW w:w="2265" w:type="dxa"/>
            <w:vAlign w:val="center"/>
          </w:tcPr>
          <w:p w14:paraId="3C164621" w14:textId="220C6680" w:rsidR="0056668F" w:rsidRDefault="0056668F" w:rsidP="0022700A">
            <w:pPr>
              <w:jc w:val="center"/>
              <w:rPr>
                <w:lang w:val="en-US"/>
              </w:rPr>
            </w:pPr>
            <w:r>
              <w:rPr>
                <w:lang w:val="en-US"/>
              </w:rPr>
              <w:t>Moderate</w:t>
            </w:r>
          </w:p>
        </w:tc>
        <w:tc>
          <w:tcPr>
            <w:tcW w:w="2265" w:type="dxa"/>
            <w:vAlign w:val="center"/>
          </w:tcPr>
          <w:p w14:paraId="3D8D340F" w14:textId="50C509E6" w:rsidR="0056668F" w:rsidRDefault="0056668F" w:rsidP="0022700A">
            <w:pPr>
              <w:jc w:val="center"/>
              <w:rPr>
                <w:lang w:val="en-US"/>
              </w:rPr>
            </w:pPr>
            <w:r>
              <w:rPr>
                <w:rFonts w:cs="Arial"/>
                <w:lang w:val="en-US"/>
              </w:rPr>
              <w:fldChar w:fldCharType="begin"/>
            </w:r>
            <w:r>
              <w:rPr>
                <w:rFonts w:cs="Arial"/>
                <w:lang w:val="en-US"/>
              </w:rPr>
              <w:instrText xml:space="preserve"> ADDIN ZOTERO_ITEM CSL_CITATION {"citationID":"aty2rpbi","properties":{"formattedCitation":"(228,230,232)","plainCitation":"(228,230,232)","noteIndex":0},"citationItems":[{"id":45472,"uris":["http://zotero.org/users/5328021/items/AMZG9D2K"],"uri":["http://zotero.org/users/5328021/items/AMZG9D2K"],"itemData":{"id":45472,"type":"article-journal","abstract":"Objectives: Low tissue oxygenation is a predictor of healing outcomes in complex wounds. Adjunct hemoglobin to aid oxygen diffusion has been demonstrated to achieve superior healing outcomes; however, the relative healing benefit across different wound types and evaluations has not yet been estimated. This article does this for the first time.\nMethods: Data were pooled from previously published real world controlled evaluations, three retrospective cohort controlled studies of a variety of wounds within standard care across hospital and primary care in the North of England in patients with diabetic foot ulcers (n = 40), chronic wounds (n = 100), and sloughy wounds (n = 200). Wounds were equally distributed between adjunct hemoglobin and control and the hemoglobin spray was used as per instructions for use and applied twice weekly, mostly for the duration of the wounds in all three evaluations. Wound healing over 26 weeks was the primary outcome in each of the evaluations, with additional healing and quality of life indicators including pain, wound size, slough coverage, wound exudate levels, adverse events, and dressing regimen used, over time. Each wound type with 10 or more patients in both the standard care alone and adjunctive hemoglobin groups (n = 257/73% of patients) was evaluated.\nResults: Cox proportional hazards log-rank regressions demonstrated significantly higher weekly chance of healing in each wound type (β, 95% range, sample, p): trauma 1.55 (1.23-1.96, n = 110, p &lt; 0.001), diabetic foot ulcers 2.39 (1.52-3.75, n = 60, p = 0.01), venous leg ulcers 4.98 (1.69-14.7, n = 33, p = 0.04), burns 1.82 (1.11-2.99, n = 30, p = 0.02), and post-surgical wounds 2.75 (1.53-4.96, n = 24, p = 0.001). Results on additional healing indicators were consistent with the main findings. Notably, controlling for ischemia in diabetic foot ulcers resulted in an increased β of 5.68 (2.33-13.86, n = 29, p &lt; 0.001).\nConclusion: Adjunct hemoglobin spray, when implemented within standard care, is likely to achieve substantial healing benefits to patients, in particular for diabetic foot ulcers, venous leg ulcers, and post-surgical wounds.","container-title":"SAGE open medicine","journalAbbreviation":"SAGE Open Med","language":"eng","note":"PMID: 30013783\nPMCID: PMC6041853","page":"2050312118784313","title":"Hemoglobin spray as adjunct therapy in complex wounds: Meta-analysis versus standard care alone in pooled data by wound type across three retrospective cohort controlled evaluations","volume":"6","author":[{"family":"Elg","given":"Fredrik"},{"family":"Hunt","given":"Sharon"}],"issued":{"date-parts":[["2018"]]}}},{"id":47885,"uris":["http://zotero.org/users/5328021/items/2GZBM8NM"],"uri":["http://zotero.org/users/5328021/items/2GZBM8NM"],"itemData":{"id":47885,"type":"article-journal","abstract":"Diabetic foot ulcers (DFUs) are a significant problem in an aging population. Fifteen percent of diabetics develop a DFU over their lifetime, which can lead to potential amputation. The 5-year survival rate after amputation is 31%, which is greater than the lifetime risk of mortality from cancer. Topical oxygen is a promising technique for the adjunctive therapy of chronic wounds including DFUs, but few controlled studies exist to support its clinical adoption. The aim of this study was to compare a portable topical oxygen delivery system in patients with nonhealing DFUs to standard best practice. Twenty patients were randomized into a topical oxygen group (n = 10), and a nonplacebo control group with regular dressings and standard care (n = 10), and attended the diabetic foot clinic once weekly for 8 weeks. Ulcer surface area over time was analyzed using standardized digital imaging software. DFUs were present without healing for a mean duration of 76 weeks prior to the study. They found a significant difference in healing rate between patients receiving topical oxygen and those receiving standard care. Topical oxygen, therefore, represents a potentially exciting new technology to shorten healing time in patients with nonhealing DFUs. More prospective randomized and powered studies are needed to determine the benefits of topical oxygen, but our current results are very promising.","container-title":"Wound Repair and Regeneration: Official Publication of the Wound Healing Society [and] the European Tissue Repair Society","issue":"6","journalAbbreviation":"Wound Repair Regen","language":"eng","note":"PMID: 27733020","page":"1066-1072","title":"Topical oxygen therapy results in complete wound healing in diabetic foot ulcers","volume":"24","author":[{"family":"Yu","given":"Janelle"},{"family":"Lu","given":"Suzanne"},{"family":"McLaren","given":"Ann-Marie"},{"family":"Perry","given":"Julie A."},{"family":"Cross","given":"Karen M."}],"issued":{"date-parts":[["2016"]]}}},{"id":51903,"uris":["http://zotero.org/users/5328021/items/U3AIUHRI"],"uri":["http://zotero.org/users/5328021/items/U3AIUHRI"],"itemData":{"id":51903,"type":"article-journal","abstract":"Hypoxia is a major factor in delayed wound healing. The aim of this prospective, randomized, clinical trial was to compare outcomes of treatment in persons with chronic diabetic foot ulcers (DFUs) randomly assigned to transdermal continuous oxygen therapy (TCOT) for 4 weeks as an adjunct to standard care (debridement, offloading, and moisture). Nine patients (age 58.6±7.1, range 38-73 years) received TCOT (treatment group) and eight patients (age 59.9±12.6, range 35-76 years) received standard care alone (control group). Most patients (12) were male, and all had a Wagner I or II foot ulcer for an average of 14 (control group) or 20 months (treatment group). Weekly wound measurements and wound tissue biopsies were obtained and wound fluid collected. Levels of pro-inflammatory cytokines and proteases in wound fluid samples were analyzed using Luminex-based multiplex assays. Tissue-resident macrophages were quantified by immunohistochemistry. At week 4, average wound size reduction was 87% (range 55.7% to 100%) in the treatment group compared to 46% (15% to 99%) in the control group (P &lt;0.05). Changes in cytokine levels (IL-6, IL-8) and proteinases (MMP-1,-2,-9, TIMP-1) at weeks 2 to 4 in wound fluid correlated with clinical findings. CD68+ macrophage counts showed statistically significant reduction in response to TCOT compared to the control group (P &lt;0.01). The results of this study show that TCOT may facilitate healing of DFUs by reversing the inflammatory process through reduction in pro-inflammatory cytokines and tissue-degrading proteases. Additional research to elucidate the effects of this treatment on complete healing and increase understanding about the role of wound fluid analysis is needed.","container-title":"Ostomy/Wound Management","issue":"11","journalAbbreviation":"Ostomy Wound Manage","language":"eng","note":"PMID: 24201169","page":"19-26","title":"A prospective, randomized clinical study evaluating the effect of transdermal continuous oxygen therapy on biological processes and foot ulcer healing in persons with diabetes mellitus","volume":"59","author":[{"family":"Driver","given":"Vickie R."},{"family":"Yao","given":"Min"},{"family":"Kantarci","given":"Alpdogan"},{"family":"Gu","given":"Guosheng"},{"family":"Park","given":"Nanjin"},{"family":"Hasturk","given":"Hatice"}],"issued":{"date-parts":[["2013",11]]}}}],"schema":"https://github.com/citation-style-language/schema/raw/master/csl-citation.json"} </w:instrText>
            </w:r>
            <w:r>
              <w:rPr>
                <w:rFonts w:cs="Arial"/>
                <w:lang w:val="en-US"/>
              </w:rPr>
              <w:fldChar w:fldCharType="separate"/>
            </w:r>
            <w:r w:rsidRPr="00C23FB9">
              <w:rPr>
                <w:rFonts w:cs="Arial"/>
              </w:rPr>
              <w:t>(228,230,232)</w:t>
            </w:r>
            <w:r>
              <w:rPr>
                <w:rFonts w:cs="Arial"/>
                <w:lang w:val="en-US"/>
              </w:rPr>
              <w:fldChar w:fldCharType="end"/>
            </w:r>
          </w:p>
        </w:tc>
      </w:tr>
      <w:tr w:rsidR="005E2FBE" w14:paraId="0D9DF17F" w14:textId="77777777" w:rsidTr="005E2FBE">
        <w:tc>
          <w:tcPr>
            <w:tcW w:w="9060" w:type="dxa"/>
            <w:gridSpan w:val="4"/>
            <w:vAlign w:val="center"/>
          </w:tcPr>
          <w:p w14:paraId="5BD4CBDE" w14:textId="2766F5D9" w:rsidR="005E2FBE" w:rsidRDefault="005E2FBE" w:rsidP="005E2FBE">
            <w:pPr>
              <w:jc w:val="left"/>
              <w:rPr>
                <w:lang w:val="en-US"/>
              </w:rPr>
            </w:pPr>
            <w:r w:rsidRPr="006658FE">
              <w:rPr>
                <w:b/>
                <w:sz w:val="18"/>
                <w:szCs w:val="18"/>
                <w:lang w:val="en-US"/>
              </w:rPr>
              <w:t>Time to healing</w:t>
            </w:r>
          </w:p>
        </w:tc>
      </w:tr>
      <w:tr w:rsidR="0056668F" w14:paraId="2F28E55C" w14:textId="77777777" w:rsidTr="0022700A">
        <w:tc>
          <w:tcPr>
            <w:tcW w:w="2830" w:type="dxa"/>
            <w:vAlign w:val="center"/>
          </w:tcPr>
          <w:p w14:paraId="209926F7" w14:textId="1E51A856" w:rsidR="0056668F" w:rsidRDefault="0056668F" w:rsidP="0022700A">
            <w:pPr>
              <w:jc w:val="center"/>
              <w:rPr>
                <w:lang w:val="en-US"/>
              </w:rPr>
            </w:pPr>
            <w:r w:rsidRPr="00773ECA">
              <w:rPr>
                <w:szCs w:val="20"/>
                <w:lang w:val="en-US"/>
              </w:rPr>
              <w:t>1 study (II)</w:t>
            </w:r>
          </w:p>
        </w:tc>
        <w:tc>
          <w:tcPr>
            <w:tcW w:w="1700" w:type="dxa"/>
            <w:vAlign w:val="center"/>
          </w:tcPr>
          <w:p w14:paraId="2E788DF9" w14:textId="3DB3A1A4" w:rsidR="0056668F" w:rsidRDefault="0056668F" w:rsidP="0022700A">
            <w:pPr>
              <w:jc w:val="center"/>
              <w:rPr>
                <w:lang w:val="en-US"/>
              </w:rPr>
            </w:pPr>
            <w:r>
              <w:rPr>
                <w:lang w:val="en-US"/>
              </w:rPr>
              <w:t>5</w:t>
            </w:r>
          </w:p>
        </w:tc>
        <w:tc>
          <w:tcPr>
            <w:tcW w:w="2265" w:type="dxa"/>
            <w:vAlign w:val="center"/>
          </w:tcPr>
          <w:p w14:paraId="61EB64CB" w14:textId="2F4CE579" w:rsidR="0056668F" w:rsidRDefault="0056668F" w:rsidP="0022700A">
            <w:pPr>
              <w:jc w:val="center"/>
              <w:rPr>
                <w:lang w:val="en-US"/>
              </w:rPr>
            </w:pPr>
            <w:r>
              <w:rPr>
                <w:lang w:val="en-US"/>
              </w:rPr>
              <w:t>Low</w:t>
            </w:r>
          </w:p>
        </w:tc>
        <w:tc>
          <w:tcPr>
            <w:tcW w:w="2265" w:type="dxa"/>
            <w:vAlign w:val="center"/>
          </w:tcPr>
          <w:p w14:paraId="1E86A9B2" w14:textId="340C2514" w:rsidR="0056668F" w:rsidRDefault="0056668F" w:rsidP="0022700A">
            <w:pPr>
              <w:jc w:val="center"/>
              <w:rPr>
                <w:lang w:val="en-US"/>
              </w:rPr>
            </w:pPr>
            <w:r>
              <w:rPr>
                <w:rFonts w:cs="Arial"/>
                <w:lang w:val="en-US"/>
              </w:rPr>
              <w:fldChar w:fldCharType="begin"/>
            </w:r>
            <w:r>
              <w:rPr>
                <w:rFonts w:cs="Arial"/>
                <w:lang w:val="en-US"/>
              </w:rPr>
              <w:instrText xml:space="preserve"> ADDIN ZOTERO_ITEM CSL_CITATION {"citationID":"78cWC5Ta","properties":{"formattedCitation":"(229)","plainCitation":"(229)","noteIndex":0},"citationItems":[{"id":47366,"uris":["http://zotero.org/users/5328021/items/YTHKYWPD"],"uri":["http://zotero.org/users/5328021/items/YTHKYWPD"],"itemData":{"id":47366,"type":"article-journal","abstract":"BACKGROUND: Over the past generation, preclinical data have suggested that there is a potential physiologic benefit to applying oxygen topically to wounds. However, we are unaware of any studies in the literature that have robustly assessed whether this would lead to a higher proportion of healing in similarly treated people without oxygen. Therefore, the purpose of this study was to assess this in people being treated for chronic diabetic foot ulcers (DFUs).\nMETHODS: We enrolled and randomized 100 subjects with DFUs (79% male, aged 58.3 ± 12.1 years) to receive either active continuous diffusion of oxygen (CDO) therapy using an active CDO device, or an otherwise fully operational sham device that provided moist wound therapy (MWT) without delivering oxygen. Patients were followed until closure or 12 weeks, whichever was sooner. Patients, treating physicians and independent evaluators were blinded to the study arm. All patients received identical offloading, dressings and follow-up.\nRESULTS: There were no significant differences in assessed descriptive characteristics between the treatment arms ( P &gt; .05 for all). A significantly higher proportion of people healed in the active arm compared to sham (46% vs 22%, P = .02). This relative effect became greater in more chronic wounds (42.5% vs 13.5%, P = .006). Patients randomized to the active device experienced significantly faster rates of closure relative to the sham ( P &lt; .001).\nCONCLUSIONS: The results of this study suggest that continuously diffused oxygen over a wound leads to significantly higher rates of closure, and faster time to closure, compared to similarly treated patients receiving standard therapy coupled with a sham device. Furthermore, the relative efficacy appears to improve the more the therapy may be needed (more chronic and larger wounds).","container-title":"Journal of Diabetes Science and Technology","issue":"5","journalAbbreviation":"J Diabetes Sci Technol","language":"eng","note":"PMID: 28654304\nPMCID: PMC5950983","page":"883-891","title":"A Prospective, Randomized, Double-Blind Multicenter Study Comparing Continuous Diffusion of Oxygen Therapy to Sham Therapy in the Treatment of Diabetic Foot Ulcers","volume":"11","author":[{"family":"Niederauer","given":"Mark Q."},{"family":"Michalek","given":"Joel E."},{"family":"Armstrong","given":"David G."}],"issued":{"date-parts":[["2017"]]}}}],"schema":"https://github.com/citation-style-language/schema/raw/master/csl-citation.json"} </w:instrText>
            </w:r>
            <w:r>
              <w:rPr>
                <w:rFonts w:cs="Arial"/>
                <w:lang w:val="en-US"/>
              </w:rPr>
              <w:fldChar w:fldCharType="separate"/>
            </w:r>
            <w:r w:rsidRPr="00A91C12">
              <w:rPr>
                <w:rFonts w:cs="Arial"/>
                <w:lang w:val="en-US"/>
              </w:rPr>
              <w:t>(229)</w:t>
            </w:r>
            <w:r>
              <w:rPr>
                <w:rFonts w:cs="Arial"/>
                <w:lang w:val="en-US"/>
              </w:rPr>
              <w:fldChar w:fldCharType="end"/>
            </w:r>
          </w:p>
        </w:tc>
      </w:tr>
      <w:tr w:rsidR="0022700A" w:rsidRPr="00166EC2" w14:paraId="148081B4" w14:textId="77777777" w:rsidTr="0022700A">
        <w:tc>
          <w:tcPr>
            <w:tcW w:w="9060" w:type="dxa"/>
            <w:gridSpan w:val="4"/>
            <w:shd w:val="clear" w:color="auto" w:fill="D4F1D3" w:themeFill="background2" w:themeFillTint="33"/>
            <w:vAlign w:val="center"/>
          </w:tcPr>
          <w:p w14:paraId="2109EAC6" w14:textId="75DCFB73" w:rsidR="0022700A" w:rsidRDefault="0022700A" w:rsidP="0022700A">
            <w:pPr>
              <w:jc w:val="center"/>
              <w:rPr>
                <w:lang w:val="en-US"/>
              </w:rPr>
            </w:pPr>
            <w:r>
              <w:rPr>
                <w:b/>
                <w:bCs/>
                <w:color w:val="56575A"/>
                <w:szCs w:val="20"/>
                <w:lang w:val="en-US"/>
              </w:rPr>
              <w:t>Treatment with gases therapy: ozone therapy or combined oxygen-ozone therapy</w:t>
            </w:r>
          </w:p>
        </w:tc>
      </w:tr>
      <w:tr w:rsidR="0022700A" w14:paraId="54E4E606" w14:textId="77777777" w:rsidTr="0022700A">
        <w:tc>
          <w:tcPr>
            <w:tcW w:w="9060" w:type="dxa"/>
            <w:gridSpan w:val="4"/>
            <w:vAlign w:val="center"/>
          </w:tcPr>
          <w:p w14:paraId="3B41584A" w14:textId="1C1F86ED" w:rsidR="0022700A" w:rsidRDefault="0022700A" w:rsidP="0022700A">
            <w:pPr>
              <w:jc w:val="left"/>
              <w:rPr>
                <w:lang w:val="en-US"/>
              </w:rPr>
            </w:pPr>
            <w:r w:rsidRPr="006658FE">
              <w:rPr>
                <w:b/>
                <w:sz w:val="18"/>
                <w:szCs w:val="18"/>
                <w:lang w:val="en-US"/>
              </w:rPr>
              <w:t>Ulcer healing</w:t>
            </w:r>
          </w:p>
        </w:tc>
      </w:tr>
      <w:tr w:rsidR="0022700A" w14:paraId="5B7E694B" w14:textId="77777777" w:rsidTr="0022700A">
        <w:tc>
          <w:tcPr>
            <w:tcW w:w="2830" w:type="dxa"/>
            <w:vAlign w:val="center"/>
          </w:tcPr>
          <w:p w14:paraId="13B8B685" w14:textId="523360BF" w:rsidR="0022700A" w:rsidRDefault="0022700A" w:rsidP="0022700A">
            <w:pPr>
              <w:jc w:val="center"/>
              <w:rPr>
                <w:lang w:val="en-US"/>
              </w:rPr>
            </w:pPr>
            <w:r w:rsidRPr="00773ECA">
              <w:rPr>
                <w:szCs w:val="20"/>
                <w:lang w:val="en-US"/>
              </w:rPr>
              <w:t>1 study (II)</w:t>
            </w:r>
          </w:p>
        </w:tc>
        <w:tc>
          <w:tcPr>
            <w:tcW w:w="1700" w:type="dxa"/>
            <w:vAlign w:val="center"/>
          </w:tcPr>
          <w:p w14:paraId="303ECE1B" w14:textId="18137241" w:rsidR="0022700A" w:rsidRDefault="0022700A" w:rsidP="0022700A">
            <w:pPr>
              <w:jc w:val="center"/>
              <w:rPr>
                <w:lang w:val="en-US"/>
              </w:rPr>
            </w:pPr>
            <w:r>
              <w:rPr>
                <w:lang w:val="en-US"/>
              </w:rPr>
              <w:t>6</w:t>
            </w:r>
          </w:p>
        </w:tc>
        <w:tc>
          <w:tcPr>
            <w:tcW w:w="2265" w:type="dxa"/>
            <w:vMerge w:val="restart"/>
            <w:vAlign w:val="center"/>
          </w:tcPr>
          <w:p w14:paraId="7475A7B7" w14:textId="3D12EC8C" w:rsidR="0022700A" w:rsidRDefault="0022700A" w:rsidP="0022700A">
            <w:pPr>
              <w:jc w:val="center"/>
              <w:rPr>
                <w:lang w:val="en-US"/>
              </w:rPr>
            </w:pPr>
            <w:r>
              <w:rPr>
                <w:lang w:val="en-US"/>
              </w:rPr>
              <w:t>Low</w:t>
            </w:r>
          </w:p>
        </w:tc>
        <w:tc>
          <w:tcPr>
            <w:tcW w:w="2265" w:type="dxa"/>
            <w:vAlign w:val="center"/>
          </w:tcPr>
          <w:p w14:paraId="60B00360" w14:textId="1A0994E6"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BYem1mqB","properties":{"formattedCitation":"(233)","plainCitation":"(233)","noteIndex":0},"citationItems":[{"id":51434,"uris":["http://zotero.org/users/5328021/items/TXM7PZUC"],"uri":["http://zotero.org/users/5328021/items/TXM7PZUC"],"itemData":{"id":51434,"type":"article-journal","abstract":"Management of diabetic foot ulcers (DFUs) is a great challenge for clinicians. Although the oxygen-ozone treatment improves the diabetic outcome, there are few clinical trials to verify the efficacy and illuminate the underlying mechanisms of oxygen-ozone treatment on DFUs. In the present study, a total of 50 type 2 diabetic patients complicated with DFUs, Wagner stage 2~4, were randomized into control group treated by standard therapy only and ozone group treated by standard therapy plus oxygen-ozone treatment. The therapeutic effects were graded into 4 levels from grade 0 (no change) to grade 3 (wound healing). The wound sizes were measured at baseline and day 20, respectively. Tissue biopsies were performed at baseline and day 11. The expressions of vascular endothelial growth factor (VEGF), transforming growth factor-β (TGF-β), and platelet-derived growth factor (PDGF) proteins in the pathologic specimens were determined by immunohistochemical examinations. The effective rate of ozone group was significantly higher than that of control group (92% versus 64%, P &lt; 0.05). The wound size reduction was significantly more in ozone group than in control group (P &lt; 0.001). After treatment, the expressions of VEGF, TGF-β, and PDGF proteins at day 11 were significantly higher in ozone group than in control group. Ozone therapy promotes the wound healing of DFUs via potential induction of VEGF, TGF-β, and PDGF at early stage of the treatment. (Clinical trial registry number is ChiCTR-TRC-14004415).","container-title":"Oxidative Medicine and Cellular Longevity","journalAbbreviation":"Oxid Med Cell Longev","language":"eng","note":"PMID: 25089169\nPMCID: PMC4096389","page":"273475","title":"Increased growth factors play a role in wound healing promoted by noninvasive oxygen-ozone therapy in diabetic patients with foot ulcers","volume":"2014","author":[{"family":"Zhang","given":"Jing"},{"family":"Guan","given":"Meiping"},{"family":"Xie","given":"Cuihua"},{"family":"Luo","given":"Xiangrong"},{"family":"Zhang","given":"Qian"},{"family":"Xue","given":"Yaoming"}],"issued":{"date-parts":[["2014"]]}}}],"schema":"https://github.com/citation-style-language/schema/raw/master/csl-citation.json"} </w:instrText>
            </w:r>
            <w:r>
              <w:rPr>
                <w:rFonts w:cs="Arial"/>
                <w:lang w:val="en-US"/>
              </w:rPr>
              <w:fldChar w:fldCharType="separate"/>
            </w:r>
            <w:r w:rsidRPr="00C23FB9">
              <w:rPr>
                <w:rFonts w:cs="Arial"/>
              </w:rPr>
              <w:t>(233)</w:t>
            </w:r>
            <w:r>
              <w:rPr>
                <w:rFonts w:cs="Arial"/>
                <w:lang w:val="en-US"/>
              </w:rPr>
              <w:fldChar w:fldCharType="end"/>
            </w:r>
          </w:p>
        </w:tc>
      </w:tr>
      <w:tr w:rsidR="0022700A" w14:paraId="10D1318A" w14:textId="77777777" w:rsidTr="0022700A">
        <w:tc>
          <w:tcPr>
            <w:tcW w:w="2830" w:type="dxa"/>
            <w:vAlign w:val="center"/>
          </w:tcPr>
          <w:p w14:paraId="4B9920AB" w14:textId="7CA1ED74" w:rsidR="0022700A" w:rsidRDefault="0022700A" w:rsidP="0022700A">
            <w:pPr>
              <w:jc w:val="center"/>
              <w:rPr>
                <w:lang w:val="en-US"/>
              </w:rPr>
            </w:pPr>
            <w:r w:rsidRPr="002149A6">
              <w:rPr>
                <w:color w:val="9A9B9D" w:themeColor="text1" w:themeTint="99"/>
                <w:lang w:val="en-US"/>
              </w:rPr>
              <w:t>1 study (I) - 1 study (II)</w:t>
            </w:r>
          </w:p>
        </w:tc>
        <w:tc>
          <w:tcPr>
            <w:tcW w:w="1700" w:type="dxa"/>
            <w:vAlign w:val="center"/>
          </w:tcPr>
          <w:p w14:paraId="4C871B75" w14:textId="6B1F7A4B" w:rsidR="0022700A" w:rsidRDefault="0022700A" w:rsidP="0022700A">
            <w:pPr>
              <w:jc w:val="center"/>
              <w:rPr>
                <w:lang w:val="en-US"/>
              </w:rPr>
            </w:pPr>
            <w:r w:rsidRPr="002149A6">
              <w:rPr>
                <w:color w:val="9A9B9D" w:themeColor="text1" w:themeTint="99"/>
                <w:lang w:val="en-US"/>
              </w:rPr>
              <w:t>7,5</w:t>
            </w:r>
          </w:p>
        </w:tc>
        <w:tc>
          <w:tcPr>
            <w:tcW w:w="2265" w:type="dxa"/>
            <w:vMerge/>
            <w:vAlign w:val="center"/>
          </w:tcPr>
          <w:p w14:paraId="76354173" w14:textId="77777777" w:rsidR="0022700A" w:rsidRDefault="0022700A" w:rsidP="0022700A">
            <w:pPr>
              <w:jc w:val="center"/>
              <w:rPr>
                <w:lang w:val="en-US"/>
              </w:rPr>
            </w:pPr>
          </w:p>
        </w:tc>
        <w:tc>
          <w:tcPr>
            <w:tcW w:w="2265" w:type="dxa"/>
            <w:vAlign w:val="center"/>
          </w:tcPr>
          <w:p w14:paraId="741CD2D5" w14:textId="31A37287"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Gmf7Lqzk","properties":{"formattedCitation":"(234,235)","plainCitation":"(234,235)","noteIndex":0},"citationItems":[{"id":49587,"uris":["http://zotero.org/users/5328021/items/SPNMM8PN"],"uri":["http://zotero.org/users/5328021/items/SPNMM8PN"],"itemData":{"id":49587,"type":"article-journal","abstract":"BACKGROUND: It has been reported that ozone therapy might be helpful in treating foot ulcers in people with diabetes mellitus (DM).\nOBJECTIVES: To assess the effects of ozone therapy on the healing of foot ulcers in people with DM.\nSEARCH METHODS: In March 2015 we searched: The Cochrane Wounds Group Specialised Register, The Cochrane Central Register of Controlled Trials (CENTRAL) (The Cochrane Library), Ovid MEDLINE, Ovid MEDLINE (In-Process &amp; Other Non-Indexed Citations), Ovid EMBASE, EBSCO CINAHL, Science Citation Index, Chinese Biomedical Literature Database and The Chinese Clinical Registry. There were no restrictions based on language, date or study setting.\nSELECTION CRITERIA: We included randomised controlled trials (RCTs) that compared ozone therapy with sham ozone therapy or any other interventions for foot ulcers in people with DM, irrespective of publication date or language.\nDATA COLLECTION AND ANALYSIS: Two reviewers independently screened all retrieved citations, selected relevant citations and extracted data. Disagreements were resolved by discussion with a third reviewer. The methodological quality of included studies and the evidence level of outcomes were assessed using the Cochrane risk of bias tool and the GRADE (Grading of Recommendations Assessment, Development and Evaluation) approach respectively. Data were expressed using risk ratio (RR) for dichotomous outcomes and mean difference (MD) for continuous outcomes with their 95% confidence interval (95% CI). Review Manager (RevMan) software was used to analyse the data.\nMAIN RESULTS: Three studies (212 participants) were included in this review. The overall risk of bias was high for two trials and unclear for one.One trial (101 participants) compared ozone treatment with antibiotics for foot ulcers in people with DM. The study had a follow-up period of 20 days. This study showed that ozone treatment was associated with a greater reduction in ulcer area from baseline to the end of the study than treatment with antibiotics (MD -20.54 cm(2), 95% CI -20.61 to -20.47), and a shorter duration of hospitalisation (MD -8.00 days, 95% CI -14.17 to -1.83), but did not appear to affect the number of ulcers healed over 20 days (RR 1.10, 95% CI 0.87 to 1.40). No side effects were observed in either group.The other two trials (111 participants) compared ozone treatment plus usual care with usual care for foot ulcers in people with DM. The meta-analysis results did not show evidence of a difference between groups for the outcomes of reduction of ulcer area (MD -2.11 cm(2), 95% CI -5.29 to 1.07), the number of ulcers healed (RR 1.69, 95% CI 0.90 to 3.17), adverse events (RR 2.27, 95% CI 0.48 to 10.79), or amputation rate (RR 2.73, 95%CI 0.12, 64.42).\nAUTHORS' CONCLUSIONS: The available evidence was three small RCTs with unclear methodology, so we are unable to draw any firm conclusions regarding the effectiveness of ozone therapy for foot ulcers in people with DM.","container-title":"The Cochrane Database of Systematic Reviews","issue":"10","journalAbbreviation":"Cochrane Database Syst Rev","language":"eng","note":"PMID: 26505864","page":"CD008474","title":"Ozone therapy for treating foot ulcers in people with diabetes","author":[{"family":"Liu","given":"Jian"},{"family":"Zhang","given":"Peng"},{"family":"Tian","given":"Jing"},{"family":"Li","given":"Lun"},{"family":"Li","given":"Jun"},{"family":"Tian","given":"Jin Hui"},{"family":"Yang","given":"KeHu"}],"issued":{"date-parts":[["2015",10,27]]}}},{"id":55270,"uris":["http://zotero.org/users/5328021/items/AAYPNKA8"],"uri":["http://zotero.org/users/5328021/items/AAYPNKA8"],"itemData":{"id":55270,"type":"article-journal","abstract":"BACKGROUND: Diabetic foot ulcers are associated with significant morbidity. Conventional treatment modalities are often of limited success in promoting complete wound closure. The aim of the present study was to examine the efficacy of noninvasive ozone-oxygen therapy in the treatment of diabetic foot ulcers.\nMETHODS: Diabetes patients with a Wagner classification stage 2 or 3 ulcer or a stage 4 ulcer after debridement of at least 8 weeks in duration were included in this double-blind, randomized, placebo-controlled clinical trial. Patients received conventional treatment in combination with either ozone-oxygen treatment or sham treatments for 12 weeks, and after an additional 12 weeks, wound status was re-examined.\nRESULTS: In total, 61 patients (62% male, 62.6±9.8 years old) participated in the study; 32 were randomized to ozone treatment, and 29 to placebo. The proportion of subjects with full wound closure did not differ significantly by treatment assignment (41% vs. 33%, P=0.34). Among the 34 subjects who completed the study per protocol (PP) (16 in the ozone group, 18 in the placebo group), a significantly higher rate of complete wound closure was observed in the ozone group (81% vs. 44%, P=0.03). Among PP patients with wound size ≤5 cm(2), the rate of total wound closure was 100% versus 50% in the sham treatment group (P=0.006). A nonsignificant, 55.5% relative increase in healed wound area was detected in the ozone group versus the placebo group (4.2±4.9 cm(2) vs. 2.7±1.5 cm(2), P=0.23).\nCONCLUSIONS: Among PP patients, ozone treatment in addition to conventional treatment was superior to conventional treatment alone in promoting the complete healing of diabetic foot ulcers.","container-title":"Diabetes Technology &amp; Therapeutics","issue":"12","journalAbbreviation":"Diabetes Technol. Ther.","language":"eng","note":"PMID: 21751891","page":"1255-1260","title":"Efficacy of ozone-oxygen therapy for the treatment of diabetic foot ulcers","volume":"13","author":[{"family":"Wainstein","given":"Julio"},{"family":"Feldbrin","given":"Ze'ev"},{"family":"Boaz","given":"Mona"},{"family":"Harman-Boehm","given":"Ilana"}],"issued":{"date-parts":[["2011",12]]}}}],"schema":"https://github.com/citation-style-language/schema/raw/master/csl-citation.json"} </w:instrText>
            </w:r>
            <w:r>
              <w:rPr>
                <w:rFonts w:cs="Arial"/>
                <w:lang w:val="en-US"/>
              </w:rPr>
              <w:fldChar w:fldCharType="separate"/>
            </w:r>
            <w:r w:rsidRPr="00C23FB9">
              <w:rPr>
                <w:rFonts w:cs="Arial"/>
              </w:rPr>
              <w:t>(234,235)</w:t>
            </w:r>
            <w:r>
              <w:rPr>
                <w:rFonts w:cs="Arial"/>
                <w:lang w:val="en-US"/>
              </w:rPr>
              <w:fldChar w:fldCharType="end"/>
            </w:r>
          </w:p>
        </w:tc>
      </w:tr>
      <w:tr w:rsidR="0022700A" w14:paraId="4C39C5F1" w14:textId="77777777" w:rsidTr="0022700A">
        <w:tc>
          <w:tcPr>
            <w:tcW w:w="9060" w:type="dxa"/>
            <w:gridSpan w:val="4"/>
            <w:vAlign w:val="center"/>
          </w:tcPr>
          <w:p w14:paraId="6A795834" w14:textId="22AF7115" w:rsidR="0022700A" w:rsidRDefault="0022700A" w:rsidP="0022700A">
            <w:pPr>
              <w:jc w:val="left"/>
              <w:rPr>
                <w:lang w:val="en-US"/>
              </w:rPr>
            </w:pPr>
            <w:r w:rsidRPr="006658FE">
              <w:rPr>
                <w:b/>
                <w:sz w:val="18"/>
                <w:szCs w:val="18"/>
                <w:lang w:val="en-US"/>
              </w:rPr>
              <w:t>Ulcer area reduction</w:t>
            </w:r>
          </w:p>
        </w:tc>
      </w:tr>
      <w:tr w:rsidR="0022700A" w14:paraId="13D42D02" w14:textId="77777777" w:rsidTr="0022700A">
        <w:tc>
          <w:tcPr>
            <w:tcW w:w="2830" w:type="dxa"/>
            <w:vAlign w:val="center"/>
          </w:tcPr>
          <w:p w14:paraId="289F304E" w14:textId="0FCC4B3F" w:rsidR="0022700A" w:rsidRDefault="0022700A" w:rsidP="0022700A">
            <w:pPr>
              <w:jc w:val="center"/>
              <w:rPr>
                <w:lang w:val="en-US"/>
              </w:rPr>
            </w:pPr>
            <w:r w:rsidRPr="00773ECA">
              <w:rPr>
                <w:szCs w:val="20"/>
                <w:lang w:val="en-US"/>
              </w:rPr>
              <w:t>1 study (II)</w:t>
            </w:r>
          </w:p>
        </w:tc>
        <w:tc>
          <w:tcPr>
            <w:tcW w:w="1700" w:type="dxa"/>
            <w:vAlign w:val="center"/>
          </w:tcPr>
          <w:p w14:paraId="7E0CD934" w14:textId="2B6F5C78" w:rsidR="0022700A" w:rsidRDefault="0022700A" w:rsidP="0022700A">
            <w:pPr>
              <w:jc w:val="center"/>
              <w:rPr>
                <w:lang w:val="en-US"/>
              </w:rPr>
            </w:pPr>
            <w:r>
              <w:rPr>
                <w:lang w:val="en-US"/>
              </w:rPr>
              <w:t>6</w:t>
            </w:r>
          </w:p>
        </w:tc>
        <w:tc>
          <w:tcPr>
            <w:tcW w:w="2265" w:type="dxa"/>
            <w:vMerge w:val="restart"/>
            <w:vAlign w:val="center"/>
          </w:tcPr>
          <w:p w14:paraId="4DF59AEC" w14:textId="6A3B445A" w:rsidR="0022700A" w:rsidRDefault="0022700A" w:rsidP="0022700A">
            <w:pPr>
              <w:jc w:val="center"/>
              <w:rPr>
                <w:lang w:val="en-US"/>
              </w:rPr>
            </w:pPr>
            <w:r>
              <w:rPr>
                <w:lang w:val="en-US"/>
              </w:rPr>
              <w:t>Low</w:t>
            </w:r>
          </w:p>
        </w:tc>
        <w:tc>
          <w:tcPr>
            <w:tcW w:w="2265" w:type="dxa"/>
            <w:vAlign w:val="center"/>
          </w:tcPr>
          <w:p w14:paraId="62453376" w14:textId="7EBA2BF3"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CPaoTI3v","properties":{"formattedCitation":"(233)","plainCitation":"(233)","noteIndex":0},"citationItems":[{"id":51434,"uris":["http://zotero.org/users/5328021/items/TXM7PZUC"],"uri":["http://zotero.org/users/5328021/items/TXM7PZUC"],"itemData":{"id":51434,"type":"article-journal","abstract":"Management of diabetic foot ulcers (DFUs) is a great challenge for clinicians. Although the oxygen-ozone treatment improves the diabetic outcome, there are few clinical trials to verify the efficacy and illuminate the underlying mechanisms of oxygen-ozone treatment on DFUs. In the present study, a total of 50 type 2 diabetic patients complicated with DFUs, Wagner stage 2~4, were randomized into control group treated by standard therapy only and ozone group treated by standard therapy plus oxygen-ozone treatment. The therapeutic effects were graded into 4 levels from grade 0 (no change) to grade 3 (wound healing). The wound sizes were measured at baseline and day 20, respectively. Tissue biopsies were performed at baseline and day 11. The expressions of vascular endothelial growth factor (VEGF), transforming growth factor-β (TGF-β), and platelet-derived growth factor (PDGF) proteins in the pathologic specimens were determined by immunohistochemical examinations. The effective rate of ozone group was significantly higher than that of control group (92% versus 64%, P &lt; 0.05). The wound size reduction was significantly more in ozone group than in control group (P &lt; 0.001). After treatment, the expressions of VEGF, TGF-β, and PDGF proteins at day 11 were significantly higher in ozone group than in control group. Ozone therapy promotes the wound healing of DFUs via potential induction of VEGF, TGF-β, and PDGF at early stage of the treatment. (Clinical trial registry number is ChiCTR-TRC-14004415).","container-title":"Oxidative Medicine and Cellular Longevity","journalAbbreviation":"Oxid Med Cell Longev","language":"eng","note":"PMID: 25089169\nPMCID: PMC4096389","page":"273475","title":"Increased growth factors play a role in wound healing promoted by noninvasive oxygen-ozone therapy in diabetic patients with foot ulcers","volume":"2014","author":[{"family":"Zhang","given":"Jing"},{"family":"Guan","given":"Meiping"},{"family":"Xie","given":"Cuihua"},{"family":"Luo","given":"Xiangrong"},{"family":"Zhang","given":"Qian"},{"family":"Xue","given":"Yaoming"}],"issued":{"date-parts":[["2014"]]}}}],"schema":"https://github.com/citation-style-language/schema/raw/master/csl-citation.json"} </w:instrText>
            </w:r>
            <w:r>
              <w:rPr>
                <w:rFonts w:cs="Arial"/>
                <w:lang w:val="en-US"/>
              </w:rPr>
              <w:fldChar w:fldCharType="separate"/>
            </w:r>
            <w:r w:rsidRPr="00C23FB9">
              <w:rPr>
                <w:rFonts w:cs="Arial"/>
              </w:rPr>
              <w:t>(233)</w:t>
            </w:r>
            <w:r>
              <w:rPr>
                <w:rFonts w:cs="Arial"/>
                <w:lang w:val="en-US"/>
              </w:rPr>
              <w:fldChar w:fldCharType="end"/>
            </w:r>
          </w:p>
        </w:tc>
      </w:tr>
      <w:tr w:rsidR="0022700A" w14:paraId="5992430F" w14:textId="77777777" w:rsidTr="0022700A">
        <w:tc>
          <w:tcPr>
            <w:tcW w:w="2830" w:type="dxa"/>
            <w:vAlign w:val="center"/>
          </w:tcPr>
          <w:p w14:paraId="5DAC64D8" w14:textId="473501C3" w:rsidR="0022700A" w:rsidRDefault="0022700A" w:rsidP="0022700A">
            <w:pPr>
              <w:jc w:val="center"/>
              <w:rPr>
                <w:lang w:val="en-US"/>
              </w:rPr>
            </w:pPr>
            <w:r w:rsidRPr="00773ECA">
              <w:rPr>
                <w:color w:val="9A9B9D" w:themeColor="text1" w:themeTint="99"/>
                <w:lang w:val="en-US"/>
              </w:rPr>
              <w:t>1 study (I) - 1 study (II)</w:t>
            </w:r>
          </w:p>
        </w:tc>
        <w:tc>
          <w:tcPr>
            <w:tcW w:w="1700" w:type="dxa"/>
            <w:vAlign w:val="center"/>
          </w:tcPr>
          <w:p w14:paraId="39A5AA94" w14:textId="579172AD" w:rsidR="0022700A" w:rsidRDefault="0022700A" w:rsidP="0022700A">
            <w:pPr>
              <w:jc w:val="center"/>
              <w:rPr>
                <w:lang w:val="en-US"/>
              </w:rPr>
            </w:pPr>
            <w:r w:rsidRPr="002149A6">
              <w:rPr>
                <w:color w:val="9A9B9D" w:themeColor="text1" w:themeTint="99"/>
                <w:lang w:val="en-US"/>
              </w:rPr>
              <w:t>7,5</w:t>
            </w:r>
          </w:p>
        </w:tc>
        <w:tc>
          <w:tcPr>
            <w:tcW w:w="2265" w:type="dxa"/>
            <w:vMerge/>
            <w:vAlign w:val="center"/>
          </w:tcPr>
          <w:p w14:paraId="238DD020" w14:textId="77777777" w:rsidR="0022700A" w:rsidRDefault="0022700A" w:rsidP="0022700A">
            <w:pPr>
              <w:jc w:val="center"/>
              <w:rPr>
                <w:lang w:val="en-US"/>
              </w:rPr>
            </w:pPr>
          </w:p>
        </w:tc>
        <w:tc>
          <w:tcPr>
            <w:tcW w:w="2265" w:type="dxa"/>
            <w:vAlign w:val="center"/>
          </w:tcPr>
          <w:p w14:paraId="127625BB" w14:textId="01E932B7"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dybq47YK","properties":{"formattedCitation":"(234,235)","plainCitation":"(234,235)","noteIndex":0},"citationItems":[{"id":49587,"uris":["http://zotero.org/users/5328021/items/SPNMM8PN"],"uri":["http://zotero.org/users/5328021/items/SPNMM8PN"],"itemData":{"id":49587,"type":"article-journal","abstract":"BACKGROUND: It has been reported that ozone therapy might be helpful in treating foot ulcers in people with diabetes mellitus (DM).\nOBJECTIVES: To assess the effects of ozone therapy on the healing of foot ulcers in people with DM.\nSEARCH METHODS: In March 2015 we searched: The Cochrane Wounds Group Specialised Register, The Cochrane Central Register of Controlled Trials (CENTRAL) (The Cochrane Library), Ovid MEDLINE, Ovid MEDLINE (In-Process &amp; Other Non-Indexed Citations), Ovid EMBASE, EBSCO CINAHL, Science Citation Index, Chinese Biomedical Literature Database and The Chinese Clinical Registry. There were no restrictions based on language, date or study setting.\nSELECTION CRITERIA: We included randomised controlled trials (RCTs) that compared ozone therapy with sham ozone therapy or any other interventions for foot ulcers in people with DM, irrespective of publication date or language.\nDATA COLLECTION AND ANALYSIS: Two reviewers independently screened all retrieved citations, selected relevant citations and extracted data. Disagreements were resolved by discussion with a third reviewer. The methodological quality of included studies and the evidence level of outcomes were assessed using the Cochrane risk of bias tool and the GRADE (Grading of Recommendations Assessment, Development and Evaluation) approach respectively. Data were expressed using risk ratio (RR) for dichotomous outcomes and mean difference (MD) for continuous outcomes with their 95% confidence interval (95% CI). Review Manager (RevMan) software was used to analyse the data.\nMAIN RESULTS: Three studies (212 participants) were included in this review. The overall risk of bias was high for two trials and unclear for one.One trial (101 participants) compared ozone treatment with antibiotics for foot ulcers in people with DM. The study had a follow-up period of 20 days. This study showed that ozone treatment was associated with a greater reduction in ulcer area from baseline to the end of the study than treatment with antibiotics (MD -20.54 cm(2), 95% CI -20.61 to -20.47), and a shorter duration of hospitalisation (MD -8.00 days, 95% CI -14.17 to -1.83), but did not appear to affect the number of ulcers healed over 20 days (RR 1.10, 95% CI 0.87 to 1.40). No side effects were observed in either group.The other two trials (111 participants) compared ozone treatment plus usual care with usual care for foot ulcers in people with DM. The meta-analysis results did not show evidence of a difference between groups for the outcomes of reduction of ulcer area (MD -2.11 cm(2), 95% CI -5.29 to 1.07), the number of ulcers healed (RR 1.69, 95% CI 0.90 to 3.17), adverse events (RR 2.27, 95% CI 0.48 to 10.79), or amputation rate (RR 2.73, 95%CI 0.12, 64.42).\nAUTHORS' CONCLUSIONS: The available evidence was three small RCTs with unclear methodology, so we are unable to draw any firm conclusions regarding the effectiveness of ozone therapy for foot ulcers in people with DM.","container-title":"The Cochrane Database of Systematic Reviews","issue":"10","journalAbbreviation":"Cochrane Database Syst Rev","language":"eng","note":"PMID: 26505864","page":"CD008474","title":"Ozone therapy for treating foot ulcers in people with diabetes","author":[{"family":"Liu","given":"Jian"},{"family":"Zhang","given":"Peng"},{"family":"Tian","given":"Jing"},{"family":"Li","given":"Lun"},{"family":"Li","given":"Jun"},{"family":"Tian","given":"Jin Hui"},{"family":"Yang","given":"KeHu"}],"issued":{"date-parts":[["2015",10,27]]}}},{"id":55270,"uris":["http://zotero.org/users/5328021/items/AAYPNKA8"],"uri":["http://zotero.org/users/5328021/items/AAYPNKA8"],"itemData":{"id":55270,"type":"article-journal","abstract":"BACKGROUND: Diabetic foot ulcers are associated with significant morbidity. Conventional treatment modalities are often of limited success in promoting complete wound closure. The aim of the present study was to examine the efficacy of noninvasive ozone-oxygen therapy in the treatment of diabetic foot ulcers.\nMETHODS: Diabetes patients with a Wagner classification stage 2 or 3 ulcer or a stage 4 ulcer after debridement of at least 8 weeks in duration were included in this double-blind, randomized, placebo-controlled clinical trial. Patients received conventional treatment in combination with either ozone-oxygen treatment or sham treatments for 12 weeks, and after an additional 12 weeks, wound status was re-examined.\nRESULTS: In total, 61 patients (62% male, 62.6±9.8 years old) participated in the study; 32 were randomized to ozone treatment, and 29 to placebo. The proportion of subjects with full wound closure did not differ significantly by treatment assignment (41% vs. 33%, P=0.34). Among the 34 subjects who completed the study per protocol (PP) (16 in the ozone group, 18 in the placebo group), a significantly higher rate of complete wound closure was observed in the ozone group (81% vs. 44%, P=0.03). Among PP patients with wound size ≤5 cm(2), the rate of total wound closure was 100% versus 50% in the sham treatment group (P=0.006). A nonsignificant, 55.5% relative increase in healed wound area was detected in the ozone group versus the placebo group (4.2±4.9 cm(2) vs. 2.7±1.5 cm(2), P=0.23).\nCONCLUSIONS: Among PP patients, ozone treatment in addition to conventional treatment was superior to conventional treatment alone in promoting the complete healing of diabetic foot ulcers.","container-title":"Diabetes Technology &amp; Therapeutics","issue":"12","journalAbbreviation":"Diabetes Technol. Ther.","language":"eng","note":"PMID: 21751891","page":"1255-1260","title":"Efficacy of ozone-oxygen therapy for the treatment of diabetic foot ulcers","volume":"13","author":[{"family":"Wainstein","given":"Julio"},{"family":"Feldbrin","given":"Ze'ev"},{"family":"Boaz","given":"Mona"},{"family":"Harman-Boehm","given":"Ilana"}],"issued":{"date-parts":[["2011",12]]}}}],"schema":"https://github.com/citation-style-language/schema/raw/master/csl-citation.json"} </w:instrText>
            </w:r>
            <w:r>
              <w:rPr>
                <w:rFonts w:cs="Arial"/>
                <w:lang w:val="en-US"/>
              </w:rPr>
              <w:fldChar w:fldCharType="separate"/>
            </w:r>
            <w:r w:rsidRPr="00C23FB9">
              <w:rPr>
                <w:rFonts w:cs="Arial"/>
              </w:rPr>
              <w:t>(234,235)</w:t>
            </w:r>
            <w:r>
              <w:rPr>
                <w:rFonts w:cs="Arial"/>
                <w:lang w:val="en-US"/>
              </w:rPr>
              <w:fldChar w:fldCharType="end"/>
            </w:r>
          </w:p>
        </w:tc>
      </w:tr>
      <w:tr w:rsidR="0022700A" w14:paraId="69958409" w14:textId="77777777" w:rsidTr="0022700A">
        <w:tc>
          <w:tcPr>
            <w:tcW w:w="9060" w:type="dxa"/>
            <w:gridSpan w:val="4"/>
            <w:vAlign w:val="center"/>
          </w:tcPr>
          <w:p w14:paraId="0177BCE0" w14:textId="412BD900" w:rsidR="0022700A" w:rsidRDefault="0022700A" w:rsidP="0022700A">
            <w:pPr>
              <w:jc w:val="left"/>
              <w:rPr>
                <w:lang w:val="en-US"/>
              </w:rPr>
            </w:pPr>
            <w:r w:rsidRPr="006658FE">
              <w:rPr>
                <w:b/>
                <w:sz w:val="18"/>
                <w:szCs w:val="18"/>
                <w:lang w:val="en-US"/>
              </w:rPr>
              <w:t>Time to healing</w:t>
            </w:r>
          </w:p>
        </w:tc>
      </w:tr>
      <w:tr w:rsidR="0022700A" w14:paraId="6BE4B812" w14:textId="77777777" w:rsidTr="0022700A">
        <w:tc>
          <w:tcPr>
            <w:tcW w:w="2830" w:type="dxa"/>
            <w:vAlign w:val="center"/>
          </w:tcPr>
          <w:p w14:paraId="50EFFCBC" w14:textId="639AE21C" w:rsidR="0022700A" w:rsidRDefault="0022700A" w:rsidP="0022700A">
            <w:pPr>
              <w:jc w:val="center"/>
              <w:rPr>
                <w:lang w:val="en-US"/>
              </w:rPr>
            </w:pPr>
            <w:r w:rsidRPr="00773ECA">
              <w:rPr>
                <w:szCs w:val="20"/>
                <w:lang w:val="en-US"/>
              </w:rPr>
              <w:t>1 study (II)</w:t>
            </w:r>
          </w:p>
        </w:tc>
        <w:tc>
          <w:tcPr>
            <w:tcW w:w="1700" w:type="dxa"/>
            <w:vAlign w:val="center"/>
          </w:tcPr>
          <w:p w14:paraId="21BFA77E" w14:textId="47E13B84" w:rsidR="0022700A" w:rsidRDefault="0022700A" w:rsidP="0022700A">
            <w:pPr>
              <w:jc w:val="center"/>
              <w:rPr>
                <w:lang w:val="en-US"/>
              </w:rPr>
            </w:pPr>
            <w:r>
              <w:rPr>
                <w:lang w:val="en-US"/>
              </w:rPr>
              <w:t>6</w:t>
            </w:r>
          </w:p>
        </w:tc>
        <w:tc>
          <w:tcPr>
            <w:tcW w:w="2265" w:type="dxa"/>
            <w:vAlign w:val="center"/>
          </w:tcPr>
          <w:p w14:paraId="50895587" w14:textId="26B50DA6" w:rsidR="0022700A" w:rsidRDefault="0022700A" w:rsidP="0022700A">
            <w:pPr>
              <w:jc w:val="center"/>
              <w:rPr>
                <w:lang w:val="en-US"/>
              </w:rPr>
            </w:pPr>
            <w:r>
              <w:rPr>
                <w:lang w:val="en-US"/>
              </w:rPr>
              <w:t>Moderate</w:t>
            </w:r>
          </w:p>
        </w:tc>
        <w:tc>
          <w:tcPr>
            <w:tcW w:w="2265" w:type="dxa"/>
            <w:vAlign w:val="center"/>
          </w:tcPr>
          <w:p w14:paraId="3FA30432" w14:textId="0AD952DA"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icASAtS7","properties":{"formattedCitation":"(236)","plainCitation":"(236)","noteIndex":0},"citationItems":[{"id":45030,"uris":["http://zotero.org/users/5328021/items/ZAYXCLKF"],"uri":["http://zotero.org/users/5328021/items/ZAYXCLKF"],"itemData":{"id":45030,"type":"article-journal","abstract":"BACKGROUND: Diabetic foot ulcer is one of the common complications of diabetes disease that is costly and difficult to treat. This problem can lead to morbidity and even mortality. Ozone is a gas that can optimize cellular metabolism and, because of its antioxidant and antibacterial effects, can help the better healing of diabetic foot ulcer.\nMETHOD: Two hundred patients, aged 18-85 with diabetic foot ulcers ranging from grade 1 to 4 according to Wagner classification in two groups were studied. Group 1 was treated by full ozone therapy besides the standard regular DFU treatment while group two just was received routine diabetic foot care. Wound size, wound grade, healing time, Fasting blood sugar and inflammatory biomarker before and after treatment were checked.\nRESULTS: All patients have had complete wound closure in the ozone group. The mean age of the patients included in the results was 59.03 ± 12.593 and 53.5 ± 10.212 for ozone group and control group. The baseline average surface area of ulcers was 13.41 ± 14.092 cm2 (range 1-70 cm2) in ozone group and 12.72 ± 0.911 (range 1_64 cm2) in the control group. Average healing time was 69.44 ± 36.055 days (range 15-180 days), which is significantly lower than the median healing time measured in the control group and some previous studies.\nCONCLUSION: Our study results support the efficacy of ozone therapy especially in its comprehensive use in DFU healing and reduction in the chances of infection and amputation.","container-title":"Diabetes &amp; Metabolic Syndrome","issue":"1","journalAbbreviation":"Diabetes Metab Syndr","language":"eng","note":"PMID: 30641815","page":"822-825","title":"Efficacy of comprehensive ozone therapy in diabetic foot ulcer healing","volume":"13","author":[{"family":"Izadi","given":"Morteza"},{"family":"Kheirjou","given":"Ramin"},{"family":"Mohammadpour","given":"Roya"},{"family":"Aliyoldashi","given":"Mohammad Hassan"},{"family":"Moghadam","given":"Saeedreza Jamali"},{"family":"Khorvash","given":"Farzin"},{"family":"Jafari","given":"Nematollah Jonaidi"},{"family":"Shirvani","given":"Shahram"},{"family":"Khalili","given":"Nahid"}],"issued":{"date-parts":[["2019",2]]}}}],"schema":"https://github.com/citation-style-language/schema/raw/master/csl-citation.json"} </w:instrText>
            </w:r>
            <w:r>
              <w:rPr>
                <w:rFonts w:cs="Arial"/>
                <w:lang w:val="en-US"/>
              </w:rPr>
              <w:fldChar w:fldCharType="separate"/>
            </w:r>
            <w:r w:rsidRPr="00C23FB9">
              <w:rPr>
                <w:rFonts w:cs="Arial"/>
              </w:rPr>
              <w:t>(236)</w:t>
            </w:r>
            <w:r>
              <w:rPr>
                <w:rFonts w:cs="Arial"/>
                <w:lang w:val="en-US"/>
              </w:rPr>
              <w:fldChar w:fldCharType="end"/>
            </w:r>
          </w:p>
        </w:tc>
      </w:tr>
      <w:tr w:rsidR="0022700A" w14:paraId="65464901" w14:textId="77777777" w:rsidTr="0022700A">
        <w:tc>
          <w:tcPr>
            <w:tcW w:w="9060" w:type="dxa"/>
            <w:gridSpan w:val="4"/>
            <w:vAlign w:val="center"/>
          </w:tcPr>
          <w:p w14:paraId="2FEE552C" w14:textId="32F4B1D7" w:rsidR="0022700A" w:rsidRDefault="0022700A" w:rsidP="0022700A">
            <w:pPr>
              <w:jc w:val="left"/>
              <w:rPr>
                <w:lang w:val="en-US"/>
              </w:rPr>
            </w:pPr>
            <w:r w:rsidRPr="006658FE">
              <w:rPr>
                <w:b/>
                <w:sz w:val="18"/>
                <w:szCs w:val="18"/>
                <w:lang w:val="en-US"/>
              </w:rPr>
              <w:t>Amputation events</w:t>
            </w:r>
          </w:p>
        </w:tc>
      </w:tr>
      <w:tr w:rsidR="0022700A" w14:paraId="7A632180" w14:textId="77777777" w:rsidTr="0022700A">
        <w:tc>
          <w:tcPr>
            <w:tcW w:w="2830" w:type="dxa"/>
            <w:vAlign w:val="center"/>
          </w:tcPr>
          <w:p w14:paraId="49929039" w14:textId="5DA0FF0C" w:rsidR="0022700A" w:rsidRDefault="0022700A" w:rsidP="0022700A">
            <w:pPr>
              <w:jc w:val="center"/>
              <w:rPr>
                <w:lang w:val="en-US"/>
              </w:rPr>
            </w:pPr>
            <w:r w:rsidRPr="00773ECA">
              <w:rPr>
                <w:szCs w:val="20"/>
                <w:lang w:val="en-US"/>
              </w:rPr>
              <w:t>1 study (II)</w:t>
            </w:r>
          </w:p>
        </w:tc>
        <w:tc>
          <w:tcPr>
            <w:tcW w:w="1700" w:type="dxa"/>
            <w:vAlign w:val="center"/>
          </w:tcPr>
          <w:p w14:paraId="16B3AE54" w14:textId="04655BEF" w:rsidR="0022700A" w:rsidRDefault="0022700A" w:rsidP="0022700A">
            <w:pPr>
              <w:jc w:val="center"/>
              <w:rPr>
                <w:lang w:val="en-US"/>
              </w:rPr>
            </w:pPr>
            <w:r>
              <w:rPr>
                <w:lang w:val="en-US"/>
              </w:rPr>
              <w:t>6</w:t>
            </w:r>
          </w:p>
        </w:tc>
        <w:tc>
          <w:tcPr>
            <w:tcW w:w="2265" w:type="dxa"/>
            <w:vAlign w:val="center"/>
          </w:tcPr>
          <w:p w14:paraId="06339B45" w14:textId="3F849ADE" w:rsidR="0022700A" w:rsidRDefault="0022700A" w:rsidP="0022700A">
            <w:pPr>
              <w:jc w:val="center"/>
              <w:rPr>
                <w:lang w:val="en-US"/>
              </w:rPr>
            </w:pPr>
            <w:r>
              <w:rPr>
                <w:lang w:val="en-US"/>
              </w:rPr>
              <w:t>Moderate</w:t>
            </w:r>
          </w:p>
        </w:tc>
        <w:tc>
          <w:tcPr>
            <w:tcW w:w="2265" w:type="dxa"/>
            <w:vAlign w:val="center"/>
          </w:tcPr>
          <w:p w14:paraId="04D855E0" w14:textId="5D361595"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i7GVtOkY","properties":{"formattedCitation":"(236)","plainCitation":"(236)","noteIndex":0},"citationItems":[{"id":45030,"uris":["http://zotero.org/users/5328021/items/ZAYXCLKF"],"uri":["http://zotero.org/users/5328021/items/ZAYXCLKF"],"itemData":{"id":45030,"type":"article-journal","abstract":"BACKGROUND: Diabetic foot ulcer is one of the common complications of diabetes disease that is costly and difficult to treat. This problem can lead to morbidity and even mortality. Ozone is a gas that can optimize cellular metabolism and, because of its antioxidant and antibacterial effects, can help the better healing of diabetic foot ulcer.\nMETHOD: Two hundred patients, aged 18-85 with diabetic foot ulcers ranging from grade 1 to 4 according to Wagner classification in two groups were studied. Group 1 was treated by full ozone therapy besides the standard regular DFU treatment while group two just was received routine diabetic foot care. Wound size, wound grade, healing time, Fasting blood sugar and inflammatory biomarker before and after treatment were checked.\nRESULTS: All patients have had complete wound closure in the ozone group. The mean age of the patients included in the results was 59.03 ± 12.593 and 53.5 ± 10.212 for ozone group and control group. The baseline average surface area of ulcers was 13.41 ± 14.092 cm2 (range 1-70 cm2) in ozone group and 12.72 ± 0.911 (range 1_64 cm2) in the control group. Average healing time was 69.44 ± 36.055 days (range 15-180 days), which is significantly lower than the median healing time measured in the control group and some previous studies.\nCONCLUSION: Our study results support the efficacy of ozone therapy especially in its comprehensive use in DFU healing and reduction in the chances of infection and amputation.","container-title":"Diabetes &amp; Metabolic Syndrome","issue":"1","journalAbbreviation":"Diabetes Metab Syndr","language":"eng","note":"PMID: 30641815","page":"822-825","title":"Efficacy of comprehensive ozone therapy in diabetic foot ulcer healing","volume":"13","author":[{"family":"Izadi","given":"Morteza"},{"family":"Kheirjou","given":"Ramin"},{"family":"Mohammadpour","given":"Roya"},{"family":"Aliyoldashi","given":"Mohammad Hassan"},{"family":"Moghadam","given":"Saeedreza Jamali"},{"family":"Khorvash","given":"Farzin"},{"family":"Jafari","given":"Nematollah Jonaidi"},{"family":"Shirvani","given":"Shahram"},{"family":"Khalili","given":"Nahid"}],"issued":{"date-parts":[["2019",2]]}}}],"schema":"https://github.com/citation-style-language/schema/raw/master/csl-citation.json"} </w:instrText>
            </w:r>
            <w:r>
              <w:rPr>
                <w:rFonts w:cs="Arial"/>
                <w:lang w:val="en-US"/>
              </w:rPr>
              <w:fldChar w:fldCharType="separate"/>
            </w:r>
            <w:r w:rsidRPr="00A91C12">
              <w:rPr>
                <w:rFonts w:cs="Arial"/>
                <w:lang w:val="en-US"/>
              </w:rPr>
              <w:t>(236)</w:t>
            </w:r>
            <w:r>
              <w:rPr>
                <w:rFonts w:cs="Arial"/>
                <w:lang w:val="en-US"/>
              </w:rPr>
              <w:fldChar w:fldCharType="end"/>
            </w:r>
          </w:p>
        </w:tc>
      </w:tr>
      <w:tr w:rsidR="0022700A" w14:paraId="2685E8D3" w14:textId="77777777" w:rsidTr="0022700A">
        <w:tc>
          <w:tcPr>
            <w:tcW w:w="9060" w:type="dxa"/>
            <w:gridSpan w:val="4"/>
            <w:shd w:val="clear" w:color="auto" w:fill="D4F1D3" w:themeFill="background2" w:themeFillTint="33"/>
            <w:vAlign w:val="center"/>
          </w:tcPr>
          <w:p w14:paraId="108702DF" w14:textId="7A684C90" w:rsidR="0022700A" w:rsidRDefault="0022700A" w:rsidP="0022700A">
            <w:pPr>
              <w:jc w:val="center"/>
              <w:rPr>
                <w:lang w:val="en-US"/>
              </w:rPr>
            </w:pPr>
            <w:r>
              <w:rPr>
                <w:b/>
                <w:bCs/>
                <w:color w:val="56575A"/>
                <w:szCs w:val="20"/>
                <w:lang w:val="en-US"/>
              </w:rPr>
              <w:t>Treatment with nutritional supplementation: a single nutrient supplementation</w:t>
            </w:r>
          </w:p>
        </w:tc>
      </w:tr>
      <w:tr w:rsidR="0022700A" w14:paraId="4012957E" w14:textId="77777777" w:rsidTr="00D2085D">
        <w:tc>
          <w:tcPr>
            <w:tcW w:w="9060" w:type="dxa"/>
            <w:gridSpan w:val="4"/>
            <w:vAlign w:val="center"/>
          </w:tcPr>
          <w:p w14:paraId="5825E016" w14:textId="7493C57B" w:rsidR="0022700A" w:rsidRDefault="0022700A" w:rsidP="0022700A">
            <w:pPr>
              <w:jc w:val="left"/>
              <w:rPr>
                <w:lang w:val="en-US"/>
              </w:rPr>
            </w:pPr>
            <w:r w:rsidRPr="006658FE">
              <w:rPr>
                <w:b/>
                <w:sz w:val="18"/>
                <w:szCs w:val="18"/>
                <w:lang w:val="en-US"/>
              </w:rPr>
              <w:t xml:space="preserve">Ulcer </w:t>
            </w:r>
            <w:r>
              <w:rPr>
                <w:b/>
                <w:sz w:val="18"/>
                <w:szCs w:val="18"/>
                <w:lang w:val="en-US"/>
              </w:rPr>
              <w:t>healing</w:t>
            </w:r>
          </w:p>
        </w:tc>
      </w:tr>
      <w:tr w:rsidR="005E2FBE" w14:paraId="152DFE8F" w14:textId="77777777" w:rsidTr="00D2085D">
        <w:tc>
          <w:tcPr>
            <w:tcW w:w="2830" w:type="dxa"/>
            <w:vAlign w:val="center"/>
          </w:tcPr>
          <w:p w14:paraId="2AFF7E5F" w14:textId="1653F208" w:rsidR="005E2FBE" w:rsidRDefault="005E2FBE" w:rsidP="0022700A">
            <w:pPr>
              <w:jc w:val="center"/>
              <w:rPr>
                <w:lang w:val="en-US"/>
              </w:rPr>
            </w:pPr>
            <w:r>
              <w:rPr>
                <w:lang w:val="en-US"/>
              </w:rPr>
              <w:t>5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tcPr>
          <w:p w14:paraId="269FC6A0" w14:textId="2D78ECB5" w:rsidR="005E2FBE" w:rsidRDefault="005E2FBE" w:rsidP="0022700A">
            <w:pPr>
              <w:jc w:val="center"/>
              <w:rPr>
                <w:lang w:val="en-US"/>
              </w:rPr>
            </w:pPr>
            <w:r>
              <w:rPr>
                <w:lang w:val="en-US"/>
              </w:rPr>
              <w:t>5,8</w:t>
            </w:r>
          </w:p>
        </w:tc>
        <w:tc>
          <w:tcPr>
            <w:tcW w:w="2265" w:type="dxa"/>
            <w:vMerge w:val="restart"/>
            <w:vAlign w:val="center"/>
          </w:tcPr>
          <w:p w14:paraId="5A939FDF" w14:textId="131DA064" w:rsidR="005E2FBE" w:rsidRDefault="005E2FBE" w:rsidP="0022700A">
            <w:pPr>
              <w:jc w:val="center"/>
              <w:rPr>
                <w:lang w:val="en-US"/>
              </w:rPr>
            </w:pPr>
            <w:r>
              <w:rPr>
                <w:lang w:val="en-US"/>
              </w:rPr>
              <w:t>Low</w:t>
            </w:r>
          </w:p>
        </w:tc>
        <w:tc>
          <w:tcPr>
            <w:tcW w:w="2265" w:type="dxa"/>
          </w:tcPr>
          <w:p w14:paraId="6C690D3E" w14:textId="729EDE7D" w:rsidR="005E2FBE" w:rsidRDefault="005E2FBE" w:rsidP="0022700A">
            <w:pPr>
              <w:jc w:val="center"/>
              <w:rPr>
                <w:lang w:val="en-US"/>
              </w:rPr>
            </w:pPr>
            <w:r>
              <w:rPr>
                <w:rFonts w:cs="Arial"/>
                <w:lang w:val="en-US"/>
              </w:rPr>
              <w:fldChar w:fldCharType="begin"/>
            </w:r>
            <w:r>
              <w:rPr>
                <w:rFonts w:cs="Arial"/>
                <w:lang w:val="en-US"/>
              </w:rPr>
              <w:instrText xml:space="preserve"> ADDIN ZOTERO_ITEM CSL_CITATION {"citationID":"cYiWNutL","properties":{"formattedCitation":"(237\\uc0\\u8211{}241)","plainCitation":"(237–241)","noteIndex":0},"citationItems":[{"id":47437,"uris":["http://zotero.org/users/5328021/items/KRYINZQ9"],"uri":["http://zotero.org/users/5328021/items/KRYINZQ9"],"itemData":{"id":47437,"type":"article-journal","abstract":"Hypomagnesemia is associated with the development of neuropathy and abnormal platelet activity, both of which are risk factors for diabetic foot ulcer (DFU). This study was carried out to evaluate the effects of magnesium administration on wound healing and metabolic status in subjects with DFU. This randomized, double-blind, placebo-controlled trial was performed among 70 subjects with grade 3 DFU. Subjects were randomly divided into two groups (35 subjects each group) to receive either 250 mg magnesium oxide supplements or placebo daily for 12 weeks. Pre- and post-intervention wound depth and appearance were scored in accordance with the \"Wagner-Meggitt's\" wound assessment tool. Fasting blood samples were taken at baseline and after the 12-week intervention to assess related markers. After the 12-week treatment, compared with the placebo, magnesium supplementation resulted in a significant increase in serum magnesium (+0.3 ± 0.3 vs. -0.1 ± 0.2 mg/dL, P &lt; 0.001) and significant reductions in ulcer length (-1.8 ± 2.0 vs. -0.9 ± 1.1 cm, P = 0.01), width (-1.6 ± 2.0 vs. -0.8 ± 0.9 cm, P = 0.02), and depth (-0.8 ± 0.8 vs. -0.3 ± 0.5 cm, P = 0.003). In addition, significant reductions in fasting plasma glucose (-45.4 ± 82.6 vs. -10.6 ± 53.7 mg/dL, P = 0.04), serum insulin values (-2.4 ± 5.6 vs. +1.5 ± 9.6 μIU/mL, P = 0.04), and HbA1c (-0.7 ± 1.5 vs. -0.1 ± 0.4%, P = 0.03) and a significant rise in the quantitative insulin sensitivity check index (+0.01 ± 0.01 vs. -0.004 ± 0.02, P = 0.01) were seen following supplementation of magnesium compared with the placebo. Additionally, compared with the placebo, taking magnesium resulted in significant decrease in serum high-sensitivity C-reactive protein (hs-CRP) (-19.6 ± 32.5 vs. -4.8 ± 11.2 mg/L, P = 0.01) and significant increase in plasma total antioxidant capacity (TAC) concentrations (+6.4 ± 65.2 vs. -129.9 ± 208.3 mmol/L, P &lt; 0.001). Overall, magnesium supplementation for 12 weeks among subjects with DFU had beneficial effects on parameters of ulcer size, glucose metabolism, serum hs-CRP, and plasma TAC levels.\nCLINICAL TRIAL REGISTRATION NUMBER: http://www.irct.ir : IRCT201612225623N96.","container-title":"Biological Trace Element Research","issue":"2","journalAbbreviation":"Biol Trace Elem Res","language":"eng","note":"PMID: 28540570","page":"207-215","title":"Magnesium Supplementation and the Effects on Wound Healing and Metabolic Status in Patients with Diabetic Foot Ulcer: a Randomized, Double-Blind, Placebo-Controlled Trial","volume":"181","author":[{"family":"Razzaghi","given":"Reza"},{"family":"Pidar","given":"Farangis"},{"family":"Momen-Heravi","given":"Mansooreh"},{"family":"Bahmani","given":"Fereshteh"},{"family":"Akbari","given":"Hossein"},{"family":"Asemi","given":"Zatollah"}],"issued":{"date-parts":[["2018",2]]}}},{"id":47552,"uris":["http://zotero.org/users/5328021/items/PPRDJFIQ"],"uri":["http://zotero.org/users/5328021/items/PPRDJFIQ"],"itemData":{"id":47552,"type":"article-journal","abstract":"This study was performed to determine the effects of zinc supplementation on wound healing and metabolic status in patients with diabetic foot ulcer. The current randomized, double-blind, placebo-controlled trial was conducted among 60 patients (aged 40-85 years old) with grade 3 diabetic foot ulcer. Participants were randomly divided into two groups (30 participants in each group) to take either 220 mg zinc sulfate supplements containing 50 mg elemental zinc or placebo daily for 12 weeks. After the 12-week intervention, compared with the placebo, zinc supplementation was associated with significant reductions in ulcer length (-1.5 ± 0.7 vs. -0.9 ± 1.2 cm, p = 0.02) and width (-1.4 ± 0.8 vs. -0.8 ± 1.0 cm, p = 0.02). In addition, changes in fasting plasma glucose (-40.5 ± 71.0 vs. -3.9 ± 48.5 mg/dl, p = 0.02), serum insulin concentration (-8.0 ± 15.4 vs. +1.1 ± 10.3 µIU/ml, p = 0.009), homeostasis model of assessment-estimated insulin resistance (-3.9 ± 7.1 vs. +0.8 ± 5.9, p = 0.007), the quantitative insulin sensitivity check index (+0.01 ± 0.03 vs. -0.002 ± 0.02, p = 0.04) and HbA1c (-0.5 ± 0.8 vs. -0.1 ± 0.5%, p = 0.01) in the supplemented group were significantly different from the changes in these indicators in the placebo group. Additionally, significant increases in serum HDL-cholesterol (+4.1 ± 4.3 vs. +1.1 ± 5.1 mg/dl, p = 0.01), plasma total antioxidant capacity (+91.7 ± 213.9 vs. -111.9 ± 188.7 mmol/L, p &lt; 0.01) and total glutathione (+68.1 ± 140.8 vs. -35.0 ± 136.1 µmol/L, p = 0.006), and significant decreases in high sensitivity C-reactive protein (-20.4 ± 24.6 vs. -6.8 ± 21.3 µg/ml, p = 0.02) and plasma malondialdehyde concentrations (-0.6 ± 0.9 vs. -0.2 ± 0.7 µmol/L, p = 0.03) were seen following supplementation with zinc compared with the placebo. Zinc supplementation for 12 weeks among diabetic foot ulcer patients had beneficial effects on parameters of ulcer size and metabolic profiles.","container-title":"Wound Repair and Regeneration: Official Publication of the Wound Healing Society [and] the European Tissue Repair Society","issue":"3","journalAbbreviation":"Wound Repair Regen","language":"eng","note":"PMID: 28395131","page":"512-520","title":"The effects of zinc supplementation on wound healing and metabolic status in patients with diabetic foot ulcer: A randomized, double-blind, placebo-controlled trial","volume":"25","author":[{"family":"Momen-Heravi","given":"Mansooreh"},{"family":"Barahimi","given":"Elham"},{"family":"Razzaghi","given":"Reza"},{"family":"Bahmani","given":"Fereshteh"},{"family":"Gilasi","given":"Hamid Reza"},{"family":"Asemi","given":"Zatollah"}],"issued":{"date-parts":[["2017"]]}}},{"id":47318,"uris":["http://zotero.org/users/5328021/items/WMQJQ6US"],"uri":["http://zotero.org/users/5328021/items/WMQJQ6US"],"itemData":{"id":47318,"type":"article-journal","abstract":"BACKGROUND: Data on the effects of flaxseed oil omega-3 fatty acids supplementation on wound healing and metabolic status in subjects with diabetic foot ulcer (DFU) are scarce.\nOBJECTIVE: This study was conducted to evaluate the effects of flaxseed oil omega-3 fatty acids supplementation on wound healing and metabolic status in subjects with DFU.\nMETHODS: The current randomized, double-blind, placebo-controlled trial was conducted among 60 subjects (aged 40-85years old) with grade 3 DFU. Subjects were randomly allocated into two groups (30 subjects each group) to receive either 1000mg omega-3 fatty acids from flaxseed oil supplements or placebo twice a day for 12weeks.\nRESULTS: After the 12-week intervention, compared with the placebo, omega-3 fatty acids supplementation resulted in significant decreases in ulcer length (-2.0±2.3 vs. -1.0±1.1cm, P=0.03), width (-1.8±1.7 vs. -1.0±1.0cm, P=0.02) and depth (-0.8±0.6 vs. -0.5±0.5cm, P=0.01). Additionally, significant reductions in serum insulin concentrations (-4.4±5.5 vs. +1.4±8.3 μIU/mL, P=0.002), homeostasis model of assessment-estimated insulin resistance (-2.1±3.0 vs. +1.0±5.0, P=0.005) and HbA1c (-0.9±1.5 vs. -0.1±0.4%, P=0.01), and a significant rise in the quantitative insulin sensitivity check index (+0.01±0.01 vs. -0.005±0.02, P=0.002) were seen following supplementation with omega-3 fatty acids compared with the placebo. In addition, omega-3 fatty acids supplementation significantly decreased serum high sensitivity C-reactive protein (hs-CRP) (-25.5±31.5 vs. -8.2±18.9μg/mL, P=0.01), and significantly increased plasma total antioxidant capacity (TAC) (+83.5±111.7 vs. -73.4±195.5mmol/L, P&lt;0.001) and glutathione (GSH) concentrations (+60.7±140.2 vs. -15.5±129.7μmol/L, P=0.03) compared with the placebo.\nCONCLUSIONS: Overall, omega-3 fatty acids supplementation for 12weeks among subjects with DFU had beneficial effects on parameters of ulcer size, markers of insulin metabolism, serum hs-CRP, plasma TAC and GSH levels. In addition, flaxseed oil omega-3 fatty acids may have played an indirect role in wound healing due to its effects on improved metabolic profiles.","container-title":"Journal of Diabetes and Its Complications","issue":"9","journalAbbreviation":"J. Diabetes Complicat.","language":"eng","note":"PMID: 28716357","page":"1394-1400","title":"Clinical and metabolic response to flaxseed oil omega-3 fatty acids supplementation in patients with diabetic foot ulcer: A randomized, double-blind, placebo-controlled trial","volume":"31","author":[{"family":"Soleimani","given":"Zahra"},{"family":"Hashemdokht","given":"Fatemeh"},{"family":"Bahmani","given":"Fereshteh"},{"family":"Taghizadeh","given":"Mohsen"},{"family":"Memarzadeh","given":"Mohammad Reza"},{"family":"Asemi","given":"Zatollah"}],"issued":{"date-parts":[["2017",9]]}}},{"id":47009,"uris":["http://zotero.org/users/5328021/items/VKCPHAK5"],"uri":["http://zotero.org/users/5328021/items/VKCPHAK5"],"itemData":{"id":47009,"type":"article-journal","abstract":"BACKGROUND: This study was conducted to evaluate the effects of probiotic supplementation on wound healing and metabolic status in subjects with diabetic foot ulcer (DFU).\nMETHODS: This randomized, double-blind, placebo-controlled trial was conducted among 60 subjects (aged 40-85 years old) with grade 3 diabetic foot ulcer. Individuals were randomly divided into 2 groups (30 subjects each group) to receive either probiotic or placebo daily for 12 weeks.\nRESULTS: After the 12-week intervention, compared with the placebo, probiotic supplementation led to significant reductions in ulcer length (-1.3 ± 0.9 vs. -0.8 ± 0.7 cm, P = .01), width (-1.1 ± 0.7 vs. -0.7 ± 0.7 cm, P = .02), and depth (-0.5 ± 0.3 vs. -0.3 ± 0.3 cm, P = .02). Furthermore, significant reductions in fasting plasma glucose (-29.6 ± 30.3 vs. -5.8 ± 39.8 mg/dL, P = .01), serum insulin concentrations (-4.3 ± 7.9 vs. +0.4 ± 8.5 μIU/mL, P = .03), and haemoglobin A1c (-0.6 ± 0.5 vs. -0.2 ± 0.4%, P = .003) and a significant rise in the quantitative insulin sensitivity check index (+0.01 ± 0.01 vs. -0.01 ± 0.02, P = .003) were seen following supplementation of probiotic compared with the placebo. Additionally, compared with the placebo, probiotic supplementation resulted in significant decreases in serum total cholesterol (-4.8 ± 16.1 vs. +7.0 ± 27.1 mg/dL, P = .04), high-sensitivity C-reactive protein (-9.0 ± 14.7 vs. -1.7 ± 8.6 mg/L, P = .02), plasma malondialdehyde (-0.8 ± 0.8 vs. -0.2 ± 0.8 μmol/L, P = .001), and significant increases in plasma nitric oxide (+6.2 ± 8.2 vs. +0.8 ± 8.0 μmol/L, P = .01) and total antioxidant capacity concentrations (+179.3 ± 97.2 vs. -85.1 ± 203.4 mmol/L, P &lt; .001).\nCONCLUSIONS: Overall, probiotic supplementation for 12 weeks among subjects with diabetic foot ulcer had beneficial effects on ulcer size, glycaemic control, total cholesterol, high-sensitivity C-reactive protein, plasma nitric oxide, total antioxidant capacity, and malondialdehyde levels.","container-title":"Diabetes/Metabolism Research and Reviews","issue":"3","journalAbbreviation":"Diabetes Metab. Res. Rev.","language":"eng","note":"PMID: 29193662","title":"The beneficial effects of probiotic administration on wound healing and metabolic status in patients with diabetic foot ulcer: A randomized, double-blind, placebo-controlled trial","volume":"34","author":[{"family":"Mohseni","given":"Sima"},{"family":"Bayani","given":"Masomeh"},{"family":"Bahmani","given":"Fereshteh"},{"family":"Tajabadi-Ebrahimi","given":"Maryam"},{"family":"Bayani","given":"Mohammad Ali"},{"family":"Jafari","given":"Parvaneh"},{"family":"Asemi","given":"Zatollah"}],"issued":{"date-parts":[["2018"]]}}},{"id":49126,"uris":["http://zotero.org/users/5328021/items/LT963VD7"],"uri":["http://zotero.org/users/5328021/items/LT963VD7"],"itemData":{"id":49126,"type":"article-journal","abstract":"OBJECTIVE: This study was conducted to evaluate the effects of vitamin D supplementation on wound healing and metabolic status in patients with diabetic foot ulcer (DFU).\nMETHODS: This randomized, double-blind, placebo-controlled trial was performed among 60 patients with grade 3 DFU according to \"Wagner-Meggitt's\" criteria. Participants were randomly divided into two groups (each 30 participants) and received either 50,000IU vitamin D supplements every 2weeks for 12weeks (group A) or placebo (group B). Fasting blood samples were taken at study baseline and after 12-week intervention to determine related markers.\nRESULTS: After 12weeks of intervention, compared with the placebo, vitamin D supplementation resulted in a significant reduction in ulcer length (-2.1±1.1 vs. -1.1±1.1cm, P=0.001), width (-2.0±1.2 vs. -1.1±1.0cm, P=0.02) and depth (-1.0±0.5 vs. -0.5±0.5cm, P&lt;0.001), and erythema rate (100% vs. 80%, P=0.01). In addition, in supplemented patients changes in serum insulin concentration (-3.4±9.2 vs. +2.8±9.3 μIU/mL, P=0.01), homeostasis model of assessment-estimated insulin resistance (-1.5±4.1 vs. +1.7±5.1, P=0.01), the quantitative insulin sensitivity check index (+0.006±0.02 vs. -0.006±0.02, P=0.03) and HbA1c (-0.6±0.6 vs. -0.1±0.5%, P=0.004) were significantly different from those of patients in the placebo group. Additionally, following supplementation with vitamin D, significant reductions in serum total- (-15.8±18.9 vs. +5.3±31.8mg/dL, P=0.003), LDL- (-17.2±19.8 vs. +2.2±28.6mg/dL, P=0.003), total-/HDL-cholesterol ratio (-1.1±0.8 vs. -0.2±1.1, P=0.001), high sensitivity C-reactive protein (hs-CRP) (-0.4±2.5 vs. +1.9±4.2μg/mL, P=0.01), erythrocyte sedimentation rate (ESR) (-34.7±32.4 vs. -18.0±26.6mm/h, P=0.03) and plasma malondialdehyde (MDA) concentrations (-0.7±0.9 vs. -0.2±0.5μmol/L, P=0.008) were seen compared with the placebo.\nCONCLUSIONS: Overall, vitamin D supplementation for 12weeks among patients with DFU had beneficial effects on glucose homeostasis, total-, LDL-, total-/HDL-cholesterol, ESR, hs-CRP and MDA levels. In addition, vitamin D may have played an indirect role in wound healing due to its effect on improved glycemic control.","container-title":"Journal of Diabetes and Its Complications","issue":"4","journalAbbreviation":"J. Diabetes Complicat.","language":"eng","note":"PMID: 27363929","page":"766-772","title":"The effects of vitamin D supplementation on wound healing and metabolic status in patients with diabetic foot ulcer: A randomized, double-blind, placebo-controlled trial","volume":"31","author":[{"family":"Razzaghi","given":"Reza"},{"family":"Pourbagheri","given":"Hamideh"},{"family":"Momen-Heravi","given":"Mansooreh"},{"family":"Bahmani","given":"Fereshteh"},{"family":"Shadi","given":"Jafar"},{"family":"Soleimani","given":"Zahra"},{"family":"Asemi","given":"Zatollah"}],"issued":{"date-parts":[["2017",4]]}}}],"schema":"https://github.com/citation-style-language/schema/raw/master/csl-citation.json"} </w:instrText>
            </w:r>
            <w:r>
              <w:rPr>
                <w:rFonts w:cs="Arial"/>
                <w:lang w:val="en-US"/>
              </w:rPr>
              <w:fldChar w:fldCharType="separate"/>
            </w:r>
            <w:r w:rsidRPr="00A91C12">
              <w:rPr>
                <w:rFonts w:cs="Arial"/>
                <w:szCs w:val="24"/>
              </w:rPr>
              <w:t>(237–241)</w:t>
            </w:r>
            <w:r>
              <w:rPr>
                <w:rFonts w:cs="Arial"/>
                <w:lang w:val="en-US"/>
              </w:rPr>
              <w:fldChar w:fldCharType="end"/>
            </w:r>
          </w:p>
        </w:tc>
      </w:tr>
      <w:tr w:rsidR="005E2FBE" w:rsidRPr="00166EC2" w14:paraId="490733C1" w14:textId="77777777" w:rsidTr="00D2085D">
        <w:tc>
          <w:tcPr>
            <w:tcW w:w="2830" w:type="dxa"/>
            <w:vAlign w:val="center"/>
          </w:tcPr>
          <w:p w14:paraId="239401B6" w14:textId="53CA4A29" w:rsidR="005E2FBE" w:rsidRDefault="005E2FBE" w:rsidP="0022700A">
            <w:pPr>
              <w:jc w:val="center"/>
              <w:rPr>
                <w:lang w:val="en-US"/>
              </w:rPr>
            </w:pPr>
            <w:r w:rsidRPr="00773ECA">
              <w:rPr>
                <w:color w:val="9A9B9D" w:themeColor="text1" w:themeTint="99"/>
                <w:lang w:val="en-US"/>
              </w:rPr>
              <w:t>1 study (II)</w:t>
            </w:r>
          </w:p>
        </w:tc>
        <w:tc>
          <w:tcPr>
            <w:tcW w:w="1700" w:type="dxa"/>
          </w:tcPr>
          <w:p w14:paraId="0012600A" w14:textId="128BDE57" w:rsidR="005E2FBE" w:rsidRDefault="005E2FBE" w:rsidP="0022700A">
            <w:pPr>
              <w:jc w:val="center"/>
              <w:rPr>
                <w:lang w:val="en-US"/>
              </w:rPr>
            </w:pPr>
            <w:r w:rsidRPr="002149A6">
              <w:rPr>
                <w:color w:val="9A9B9D" w:themeColor="text1" w:themeTint="99"/>
                <w:lang w:val="en-US"/>
              </w:rPr>
              <w:t>7</w:t>
            </w:r>
          </w:p>
        </w:tc>
        <w:tc>
          <w:tcPr>
            <w:tcW w:w="2265" w:type="dxa"/>
            <w:vMerge/>
          </w:tcPr>
          <w:p w14:paraId="5BFB0698" w14:textId="77777777" w:rsidR="005E2FBE" w:rsidRDefault="005E2FBE" w:rsidP="0022700A">
            <w:pPr>
              <w:jc w:val="center"/>
              <w:rPr>
                <w:lang w:val="en-US"/>
              </w:rPr>
            </w:pPr>
          </w:p>
        </w:tc>
        <w:tc>
          <w:tcPr>
            <w:tcW w:w="2265" w:type="dxa"/>
          </w:tcPr>
          <w:p w14:paraId="4838E071" w14:textId="1ADD621C" w:rsidR="005E2FBE" w:rsidRDefault="005E2FBE" w:rsidP="0022700A">
            <w:pPr>
              <w:jc w:val="center"/>
              <w:rPr>
                <w:lang w:val="en-US"/>
              </w:rPr>
            </w:pPr>
            <w:r>
              <w:rPr>
                <w:rFonts w:cs="Arial"/>
                <w:lang w:val="en-US"/>
              </w:rPr>
              <w:fldChar w:fldCharType="begin"/>
            </w:r>
            <w:r>
              <w:rPr>
                <w:rFonts w:cs="Arial"/>
                <w:lang w:val="en-US"/>
              </w:rPr>
              <w:instrText xml:space="preserve"> ADDIN ZOTERO_ITEM CSL_CITATION {"citationID":"3LRzaxEx","properties":{"formattedCitation":"(242)","plainCitation":"(242)","noteIndex":0},"citationItems":[{"id":51549,"uris":["http://zotero.org/users/5328021/items/PAJ3N9SW"],"uri":["http://zotero.org/users/5328021/items/PAJ3N9SW"],"itemData":{"id":51549,"type":"article-journal","abstract":"AIMS: Among people with diabetes, 10-25% will experience a foot ulcer. Research has shown that supplementation with arginine, glutamine and β-hydroxy-β-methylbutyrate may improve wound repair. This study tested whether such supplementation would improve healing of foot ulcers in persons with diabetes.\nMETHODS: Along with standard of care, 270 subjects received, in a double-blinded fashion, (twice per day) either arginine, glutamine and β-hydroxy-β-methylbutyrate or a control drink for 16 weeks. The proportion of subjects with total wound closure and time to complete healing was assessed. In a post-hoc analysis, the interaction of serum albumin or limb perfusion, as measured by ankle-brachial index, and supplementation on healing was investigated.\nRESULTS: Overall, there were no group differences in wound closure or time to wound healing at week 16. However, in subjects with an albumin level of ≤ 40 g/l and/or an ankle-brachial index of &lt; 1.0, a significantly greater proportion of subjects in the arginine, glutamine and β-hydroxy-β-methylbutyrate group healed at week 16 compared with control subjects (P = 0.03 and 0.008, respectively). Those with low albumin or decreased limb perfusion in the supplementation group were 1.70 (95% CI 1.04-2.79) and 1.66 (95% CI 1.15-2.38) times more likely to heal.\nCONCLUSIONS: While no differences in healing were identified with supplementation in non-ischaemic patients or those with normal albumin, addition of arginine, glutamine and β-hydroxy-β-methylbutyrate as an adjunct to standard of care may improve healing of diabetic foot ulcers in patients with risk of poor limb perfusion and/or low albumin levels. Further investigation involving arginine, glutamine and β-hydroxy-β-methylbutyrate in these high-risk subgroups might prove clinically valuable.","container-title":"Diabetic Medicine: A Journal of the British Diabetic Association","issue":"9","journalAbbreviation":"Diabet. Med.","language":"eng","note":"PMID: 24867069\nPMCID: PMC4232867","page":"1069-1077","title":"Effect of oral nutritional supplementation on wound healing in diabetic foot ulcers: a prospective randomized controlled trial","volume":"31","author":[{"family":"Armstrong","given":"D. G."},{"family":"Hanft","given":"J. R."},{"family":"Driver","given":"V. R."},{"family":"Smith","given":"A. P. S."},{"family":"Lazaro-Martinez","given":"J. L."},{"family":"Reyzelman","given":"A. M."},{"family":"Furst","given":"G. J."},{"family":"Vayser","given":"D. J."},{"family":"Cervantes","given":"H. L."},{"family":"Snyder","given":"R. J."},{"family":"Moore","given":"M. F."},{"family":"May","given":"P. E."},{"family":"Nelson","given":"J. L."},{"family":"Baggs","given":"G. E."},{"family":"Voss","given":"A. C."},{"literal":"Diabetic Foot Nutrition Study Group"}],"issued":{"date-parts":[["2014",9]]}}}],"schema":"https://github.com/citation-style-language/schema/raw/master/csl-citation.json"} </w:instrText>
            </w:r>
            <w:r>
              <w:rPr>
                <w:rFonts w:cs="Arial"/>
                <w:lang w:val="en-US"/>
              </w:rPr>
              <w:fldChar w:fldCharType="separate"/>
            </w:r>
            <w:r w:rsidRPr="00A91C12">
              <w:rPr>
                <w:rFonts w:cs="Arial"/>
                <w:lang w:val="en-US"/>
              </w:rPr>
              <w:t>(242)</w:t>
            </w:r>
            <w:r>
              <w:rPr>
                <w:rFonts w:cs="Arial"/>
                <w:lang w:val="en-US"/>
              </w:rPr>
              <w:fldChar w:fldCharType="end"/>
            </w:r>
          </w:p>
        </w:tc>
      </w:tr>
      <w:tr w:rsidR="0022700A" w:rsidRPr="00166EC2" w14:paraId="10A28292" w14:textId="77777777" w:rsidTr="0022700A">
        <w:tc>
          <w:tcPr>
            <w:tcW w:w="9060" w:type="dxa"/>
            <w:gridSpan w:val="4"/>
            <w:shd w:val="clear" w:color="auto" w:fill="D4F1D3" w:themeFill="background2" w:themeFillTint="33"/>
            <w:vAlign w:val="center"/>
          </w:tcPr>
          <w:p w14:paraId="4E7C4651" w14:textId="39B5CF54" w:rsidR="0022700A" w:rsidRDefault="0022700A" w:rsidP="0022700A">
            <w:pPr>
              <w:jc w:val="center"/>
              <w:rPr>
                <w:lang w:val="en-US"/>
              </w:rPr>
            </w:pPr>
            <w:r>
              <w:rPr>
                <w:b/>
                <w:bCs/>
                <w:color w:val="56575A"/>
                <w:szCs w:val="20"/>
                <w:lang w:val="en-US"/>
              </w:rPr>
              <w:t>Treatment with nutritional supplementation: a multi-nutrient nutrient supplementation</w:t>
            </w:r>
          </w:p>
        </w:tc>
      </w:tr>
      <w:tr w:rsidR="0022700A" w:rsidRPr="00166EC2" w14:paraId="66798A42" w14:textId="77777777" w:rsidTr="0022700A">
        <w:tc>
          <w:tcPr>
            <w:tcW w:w="9060" w:type="dxa"/>
            <w:gridSpan w:val="4"/>
            <w:vAlign w:val="center"/>
          </w:tcPr>
          <w:p w14:paraId="7BAAE754" w14:textId="71A91524" w:rsidR="0022700A" w:rsidRDefault="0022700A" w:rsidP="0022700A">
            <w:pPr>
              <w:jc w:val="left"/>
              <w:rPr>
                <w:lang w:val="en-US"/>
              </w:rPr>
            </w:pPr>
            <w:r w:rsidRPr="006658FE">
              <w:rPr>
                <w:b/>
                <w:sz w:val="18"/>
                <w:szCs w:val="18"/>
                <w:lang w:val="en-US"/>
              </w:rPr>
              <w:t>Ulcer area reduction</w:t>
            </w:r>
          </w:p>
        </w:tc>
      </w:tr>
      <w:tr w:rsidR="0022700A" w:rsidRPr="00166EC2" w14:paraId="3662FDFF" w14:textId="77777777" w:rsidTr="00D2085D">
        <w:tc>
          <w:tcPr>
            <w:tcW w:w="2830" w:type="dxa"/>
          </w:tcPr>
          <w:p w14:paraId="6224290C" w14:textId="4D578060" w:rsidR="0022700A" w:rsidRDefault="0022700A" w:rsidP="0022700A">
            <w:pPr>
              <w:jc w:val="center"/>
              <w:rPr>
                <w:lang w:val="en-US"/>
              </w:rPr>
            </w:pPr>
            <w:r w:rsidRPr="00773ECA">
              <w:rPr>
                <w:lang w:val="en-US"/>
              </w:rPr>
              <w:t>1 study (I) - 1 study (II)</w:t>
            </w:r>
          </w:p>
        </w:tc>
        <w:tc>
          <w:tcPr>
            <w:tcW w:w="1700" w:type="dxa"/>
          </w:tcPr>
          <w:p w14:paraId="2047A99F" w14:textId="30E4B60C" w:rsidR="0022700A" w:rsidRDefault="0022700A" w:rsidP="0022700A">
            <w:pPr>
              <w:jc w:val="center"/>
              <w:rPr>
                <w:lang w:val="en-US"/>
              </w:rPr>
            </w:pPr>
            <w:r>
              <w:rPr>
                <w:lang w:val="en-US"/>
              </w:rPr>
              <w:t>7</w:t>
            </w:r>
          </w:p>
        </w:tc>
        <w:tc>
          <w:tcPr>
            <w:tcW w:w="2265" w:type="dxa"/>
          </w:tcPr>
          <w:p w14:paraId="784300B1" w14:textId="5128B5A9" w:rsidR="0022700A" w:rsidRDefault="0022700A" w:rsidP="0022700A">
            <w:pPr>
              <w:jc w:val="center"/>
              <w:rPr>
                <w:lang w:val="en-US"/>
              </w:rPr>
            </w:pPr>
            <w:r>
              <w:rPr>
                <w:lang w:val="en-US"/>
              </w:rPr>
              <w:t>Good</w:t>
            </w:r>
          </w:p>
        </w:tc>
        <w:tc>
          <w:tcPr>
            <w:tcW w:w="2265" w:type="dxa"/>
          </w:tcPr>
          <w:p w14:paraId="3D7E6E87" w14:textId="21CE034A"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84ksfrJY","properties":{"formattedCitation":"(243,244)","plainCitation":"(243,244)","noteIndex":0},"citationItems":[{"id":44999,"uris":["http://zotero.org/users/5328021/items/JUIKWDLW"],"uri":["http://zotero.org/users/5328021/items/JUIKWDLW"],"itemData":{"id":44999,"type":"article-journal","abstract":"This study was carried out to determine the effects of magnesium and vitamin E co-supplementation on wound healing and metabolic status in patients with diabetic foot ulcer (DFU). The current randomized, double-blind, placebo-controlled trial was conducted among 57 patients with grade 3 DFU. Participants were randomly divided into two groups to take either 250 mg magnesium oxide plus 400 IU vitamin E (n = 29) or placebo per day (n = 28) for 12 weeks. Compared with the placebo, taking magnesium plus vitamin E supplements reduced ulcer length (β [difference in the mean of outcomes measures between treatment groups] -0.56 cm; 95% CI, -0.92, -0.20; p = 0.003), width (β -0.35 cm; 95% CI, -0.64, -0.05; p = 0.02) and depth (β -0.18 cm; 95% CI, -0.33, -0.02; p = 0.02). In addition, co-supplementation led to a significant reduction in fasting plasma glucose (β -13.41 mg/dL; 95% CI, -20.96, -5.86; p = 0.001), insulin (β -1.45 μIU/ml; 95% CI, -2.37, -0.52; p = 0.003), insulin resistance (β -0.60; 95% CI, -0.99, -0.20; p = 0.003) and HbA1c (β -0.32%; 95% CI, -0.48, -0.16; p &lt; 0.003), and a significant elevation in insulin sensitivity (β 0.007; 95% CI, 0.003, 0.01; p &lt; 0.001) compared with the placebo. Additionally, compared with the placebo, taking magnesium plus vitamin E supplements decreased triglycerides (β -10.08 mg/dL; 95% CI, -19.70, -0.46; p = 0.04), LDL-cholesterol (β -5.88 mg/dL; 95% CI, -11.42, -0.34; p = 0.03), high sensitivity C-reactive protein (hs-CRP) (β -3.42 mg/L; 95% CI, -4.44, -2.41; p &lt; 0.001) and malondialdehyde (MDA) (β -0.30 μmol/L; 95% CI, -0.45, -0.15; p &lt; 0.001), and increased HDL-cholesterol (β 2.62 mg/dL; 95% CI, 0.60, 4.63; p = 0.01) and total antioxidant capacity (TAC) levels (β 53.61 mmol/L; 95% CI, 4.65, 102.57; p = 0.03). Overall, magnesium and vitamin E co-supplementation for 12 weeks to patients with DFU had beneficial effects on ulcer size, glycemic control, triglycerides, LDL- and HDL-cholesterol, hs-CRP, TAC, and MDA levels.","container-title":"Wound Repair and Regeneration: Official Publication of the Wound Healing Society [and] the European Tissue Repair Society","issue":"3","journalAbbreviation":"Wound Repair Regen","language":"eng","note":"PMID: 30693609","page":"277-284","title":"The effects of magnesium and vitamin E co-supplementation on wound healing and metabolic status in patients with diabetic foot ulcer: A randomized, double-blind, placebo-controlled trial","volume":"27","author":[{"family":"Afzali","given":"Hassan"},{"family":"Jafari Kashi","given":"Amir Hosein"},{"family":"Momen-Heravi","given":"Mansooreh"},{"family":"Razzaghi","given":"Reza"},{"family":"Amirani","given":"Elaheh"},{"family":"Bahmani","given":"Fereshteh"},{"family":"Gilasi","given":"Hamid Reza"},{"family":"Asemi","given":"Zatollah"}],"issued":{"date-parts":[["2019"]]}}},{"id":82475,"uris":["http://zotero.org/users/5328021/items/36MDQ675"],"uri":["http://zotero.org/users/5328021/items/36MDQ675"],"itemData":{"id":82475,"type":"article-journal","abstract":"The overall aim of this study was to assess the effects of nutritional supplementation and education on the healing of foot ulcers in diabetic patients. The hypothesis was that improving dietary intake can promote wound healing by improving nutritional status, blood flow, and decreasing inflammatory biomarkers while increasing anti</w:instrText>
            </w:r>
            <w:r>
              <w:rPr>
                <w:rFonts w:ascii="Cambria Math" w:hAnsi="Cambria Math" w:cs="Cambria Math"/>
                <w:lang w:val="en-US"/>
              </w:rPr>
              <w:instrText>‐</w:instrText>
            </w:r>
            <w:r>
              <w:rPr>
                <w:rFonts w:cs="Arial"/>
                <w:lang w:val="en-US"/>
              </w:rPr>
              <w:instrText xml:space="preserve">inflammatory factors.","archive_location":"CN-01966409","container-title":"https://clinicaltrials.gov/show/NCT04055064","DOI":"doi:10.3390/biomedicines8080263","journalAbbreviation":"Biomedicines 2020,","title":"Nutritional Supplementation Concurrent with Nutrition Education Accelerates theWound Healing Process in Patients with Diabetic Foot Ulcers - NCT04055064","URL":"https://www.cochranelibrary.com/central/doi/10.1002/central/CN-01966409/full","author":[{"family":"Basiri","given":"Raedeh"},{"family":"Spicer","given":"Maria"},{"family":"Levenson","given":"Cathy"}],"issued":{"date-parts":[["2020"]]}}}],"schema":"https://github.com/citation-style-language/schema/raw/master/csl-citation.json"} </w:instrText>
            </w:r>
            <w:r>
              <w:rPr>
                <w:rFonts w:cs="Arial"/>
                <w:lang w:val="en-US"/>
              </w:rPr>
              <w:fldChar w:fldCharType="separate"/>
            </w:r>
            <w:r w:rsidRPr="00A91C12">
              <w:rPr>
                <w:rFonts w:cs="Arial"/>
                <w:lang w:val="en-US"/>
              </w:rPr>
              <w:t>(243,244)</w:t>
            </w:r>
            <w:r>
              <w:rPr>
                <w:rFonts w:cs="Arial"/>
                <w:lang w:val="en-US"/>
              </w:rPr>
              <w:fldChar w:fldCharType="end"/>
            </w:r>
          </w:p>
        </w:tc>
      </w:tr>
      <w:tr w:rsidR="0022700A" w:rsidRPr="00166EC2" w14:paraId="4E8FEAE1" w14:textId="77777777" w:rsidTr="0022700A">
        <w:tc>
          <w:tcPr>
            <w:tcW w:w="9060" w:type="dxa"/>
            <w:gridSpan w:val="4"/>
            <w:shd w:val="clear" w:color="auto" w:fill="D4F1D3" w:themeFill="background2" w:themeFillTint="33"/>
            <w:vAlign w:val="center"/>
          </w:tcPr>
          <w:p w14:paraId="7B322A5B" w14:textId="3BC17671" w:rsidR="0022700A" w:rsidRDefault="0022700A" w:rsidP="0022700A">
            <w:pPr>
              <w:jc w:val="center"/>
              <w:rPr>
                <w:lang w:val="en-US"/>
              </w:rPr>
            </w:pPr>
            <w:r>
              <w:rPr>
                <w:b/>
                <w:bCs/>
                <w:color w:val="56575A"/>
                <w:szCs w:val="20"/>
                <w:lang w:val="en-US"/>
              </w:rPr>
              <w:t>Treatment with pharmacological agents having an action on vessels</w:t>
            </w:r>
          </w:p>
        </w:tc>
      </w:tr>
      <w:tr w:rsidR="0022700A" w:rsidRPr="00166EC2" w14:paraId="6F38AC62" w14:textId="77777777" w:rsidTr="0022700A">
        <w:tc>
          <w:tcPr>
            <w:tcW w:w="9060" w:type="dxa"/>
            <w:gridSpan w:val="4"/>
            <w:vAlign w:val="center"/>
          </w:tcPr>
          <w:p w14:paraId="03BFC6C2" w14:textId="71307B89" w:rsidR="0022700A" w:rsidRDefault="0022700A" w:rsidP="0022700A">
            <w:pPr>
              <w:jc w:val="left"/>
              <w:rPr>
                <w:lang w:val="en-US"/>
              </w:rPr>
            </w:pPr>
            <w:r w:rsidRPr="006658FE">
              <w:rPr>
                <w:b/>
                <w:sz w:val="18"/>
                <w:szCs w:val="18"/>
                <w:lang w:val="en-US"/>
              </w:rPr>
              <w:t>Ulcer area reduction</w:t>
            </w:r>
          </w:p>
        </w:tc>
      </w:tr>
      <w:tr w:rsidR="0022700A" w14:paraId="0C60F19E" w14:textId="77777777" w:rsidTr="00D2085D">
        <w:tc>
          <w:tcPr>
            <w:tcW w:w="2830" w:type="dxa"/>
            <w:vAlign w:val="center"/>
          </w:tcPr>
          <w:p w14:paraId="3E7C69AD" w14:textId="2B89CBE7" w:rsidR="0022700A" w:rsidRDefault="0022700A" w:rsidP="0022700A">
            <w:pPr>
              <w:jc w:val="center"/>
              <w:rPr>
                <w:lang w:val="en-US"/>
              </w:rPr>
            </w:pPr>
            <w:r>
              <w:rPr>
                <w:lang w:val="en-US"/>
              </w:rPr>
              <w:t>2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tcPr>
          <w:p w14:paraId="45EEDE33" w14:textId="6060181C" w:rsidR="0022700A" w:rsidRDefault="0022700A" w:rsidP="0022700A">
            <w:pPr>
              <w:jc w:val="center"/>
              <w:rPr>
                <w:lang w:val="en-US"/>
              </w:rPr>
            </w:pPr>
            <w:r>
              <w:rPr>
                <w:lang w:val="en-US"/>
              </w:rPr>
              <w:t>5,5</w:t>
            </w:r>
          </w:p>
        </w:tc>
        <w:tc>
          <w:tcPr>
            <w:tcW w:w="2265" w:type="dxa"/>
          </w:tcPr>
          <w:p w14:paraId="77CF27E3" w14:textId="6189D70A" w:rsidR="0022700A" w:rsidRDefault="0022700A" w:rsidP="0022700A">
            <w:pPr>
              <w:jc w:val="center"/>
              <w:rPr>
                <w:lang w:val="en-US"/>
              </w:rPr>
            </w:pPr>
            <w:r>
              <w:rPr>
                <w:lang w:val="en-US"/>
              </w:rPr>
              <w:t>Low</w:t>
            </w:r>
          </w:p>
        </w:tc>
        <w:tc>
          <w:tcPr>
            <w:tcW w:w="2265" w:type="dxa"/>
          </w:tcPr>
          <w:p w14:paraId="613A15BE" w14:textId="000B97EB"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lbHsaAsh","properties":{"formattedCitation":"(245,246)","plainCitation":"(245,246)","noteIndex":0},"citationItems":[{"id":51649,"uris":["http://zotero.org/users/5328021/items/A5DG2U5H"],"uri":["http://zotero.org/users/5328021/items/A5DG2U5H"],"itemData":{"id":51649,"type":"article-journal","abstract":"Objective. The effect of a proprietary formulation of trans-resveratrol (t-RSV) on manifestations of diabetic foot syndrome (DFS) was studied in type 2 diabetic patients with newly diagnosed diabetic foot ulcers. Method. Placebo-controlled, examiner-blinded, parallel-group randomized controlled pilot clinical trial (ACTRN Clinical Trial Registry number 12610000629033) involving 24 patients with DFS (15 males and 9 females, average age of 56.4 ± 9.1 years) divided into the placebo and RSV-treatment groups was performed. 50 mg of t-RSV or placebo capsules was given to each patient twice a day over a 60-day time period. Results. Reduction in the parameters reflecting diabetic ulcer size was more profound in the RSV group as compared to placebo. RSV-treated patients also had a marginally improved performance in the foot pressure test. A statistically significant decline in the plasma fibrinogen level, but not CRP, was also found in the RSV-treated patients. Some improvement in the plasma lipid profile and fasting glucose levels were not related to RSV-treatment, since they have been seen on both the RSV and placebo groups, revealing the effectiveness of medical supervision and education in the newly diagnosed patients with DFS. Conclusion. t-RSV supplementation promotes reduction of the foot ulcer size and reduces plasma fibrinogen level in type 2 diabetic patients.","container-title":"ISRN endocrinology","journalAbbreviation":"ISRN Endocrinol","language":"eng","note":"PMID: 24701359\nPMCID: PMC3950537","page":"816307","title":"Resveratrol promotes foot ulcer size reduction in type 2 diabetes patients","volume":"2014","author":[{"family":"Bashmakov","given":"Yuriy K."},{"family":"Assaad-Khalil","given":"Samir H."},{"family":"Abou Seif","given":"Myriam"},{"family":"Udumyan","given":"Ruzan"},{"family":"Megallaa","given":"Magdy"},{"family":"Rohoma","given":"Kamel H."},{"family":"Zeitoun","given":"Mohamed"},{"family":"Petyaev","given":"Ivan M."}],"issued":{"date-parts":[["2014"]]}}},{"id":53779,"uris":["http://zotero.org/users/5328021/items/5EMH6DYP"],"uri":["http://zotero.org/users/5328021/items/5EMH6DYP"],"itemData":{"id":53779,"type":"article-journal","abstract":"This randomized, double-blind, placebo-controlled Phase 2 clinical trial explored NorLeu(3)-A(1-7) (DSC127) safety and healing efficacy in diabetic foot ulcers. Patients with chronic, noninfected, neuropathic, or neuroischemic plantar Wagner Grade 1 or 2 foot ulcers (n = 172) were screened for nonhealing. Subjects were randomized to receive 4 weeks' once-daily topical treatment with 0.03% DSC127 (n = 26), 0.01% DSC127 (n = 27), or Placebo (n = 24), followed by 20 weeks' standard of care. DSC127 was assessed for safety (including laboratory values and adverse events), primary efficacy (% ulcers completely epithelialized at Week 12), and durability of effect. Baseline, demography, and safety parameters were compared between intent-to-treat groups and were comparable. Dose-response curves for DSC127 effect on % area reduction from baseline at Week 12 (40% placebo; 67% 0.01% DSC127; 80% 0.03% DSC127) and 24 (23% placebo; 53% 0.01% DSC127; 95% 0.03% DSC127) followed a log-linear pattern for both intent-to-treat and per-protocol populations. Covariate analysis compared reduction in ulcer area, depth, and volume from baseline; reductions in the 0.03% DSC127 group were greater at Weeks 12 and 24. Placebo-treated ulcers healed in a median 22 weeks vs. 8.5 weeks for 0.03%DSC127 (p = 0.04). This study provides preliminary evidence that DSC127 is safe and effective in accelerating the healing of diabetic foot ulcers.","container-title":"Wound Repair and Regeneration: Official Publication of the Wound Healing Society [and] the European Tissue Repair Society","issue":"4","journalAbbreviation":"Wound Repair Regen","language":"eng","note":"PMID: 22672145\nPMCID: PMC6314814","page":"482-490","title":"NorLeu3-A(1-7) stimulation of diabetic foot ulcer healing: results of a randomized, parallel-group, double-blind, placebo-controlled phase 2 clinical trial","volume":"20","author":[{"family":"Balingit","given":"Peter P."},{"family":"Armstrong","given":"David G."},{"family":"Reyzelman","given":"Alexander M."},{"family":"Bolton","given":"Laura"},{"family":"Verco","given":"Shelagh J."},{"family":"Rodgers","given":"Kathleen E."},{"family":"Nigh","given":"Katherine A."},{"family":"diZerega","given":"Gere S."}],"issued":{"date-parts":[["2012",8]]}}}],"schema":"https://github.com/citation-style-language/schema/raw/master/csl-citation.json"} </w:instrText>
            </w:r>
            <w:r>
              <w:rPr>
                <w:rFonts w:cs="Arial"/>
                <w:lang w:val="en-US"/>
              </w:rPr>
              <w:fldChar w:fldCharType="separate"/>
            </w:r>
            <w:r w:rsidRPr="00C23FB9">
              <w:rPr>
                <w:rFonts w:cs="Arial"/>
              </w:rPr>
              <w:t>(245,246)</w:t>
            </w:r>
            <w:r>
              <w:rPr>
                <w:rFonts w:cs="Arial"/>
                <w:lang w:val="en-US"/>
              </w:rPr>
              <w:fldChar w:fldCharType="end"/>
            </w:r>
          </w:p>
        </w:tc>
      </w:tr>
      <w:tr w:rsidR="0022700A" w14:paraId="4D54BF7F" w14:textId="77777777" w:rsidTr="0022700A">
        <w:tc>
          <w:tcPr>
            <w:tcW w:w="9060" w:type="dxa"/>
            <w:gridSpan w:val="4"/>
            <w:vAlign w:val="center"/>
          </w:tcPr>
          <w:p w14:paraId="6FD1591E" w14:textId="4AED7363" w:rsidR="0022700A" w:rsidRDefault="0022700A" w:rsidP="0022700A">
            <w:pPr>
              <w:jc w:val="left"/>
              <w:rPr>
                <w:lang w:val="en-US"/>
              </w:rPr>
            </w:pPr>
            <w:r>
              <w:rPr>
                <w:b/>
                <w:sz w:val="18"/>
                <w:szCs w:val="18"/>
                <w:lang w:val="en-US"/>
              </w:rPr>
              <w:t>Quality of life</w:t>
            </w:r>
          </w:p>
        </w:tc>
      </w:tr>
      <w:tr w:rsidR="0022700A" w14:paraId="32C14F60" w14:textId="77777777" w:rsidTr="00D2085D">
        <w:tc>
          <w:tcPr>
            <w:tcW w:w="2830" w:type="dxa"/>
            <w:vAlign w:val="center"/>
          </w:tcPr>
          <w:p w14:paraId="2C08C606" w14:textId="3D0EF21D" w:rsidR="0022700A" w:rsidRDefault="0022700A" w:rsidP="0022700A">
            <w:pPr>
              <w:jc w:val="center"/>
              <w:rPr>
                <w:b/>
                <w:sz w:val="18"/>
                <w:szCs w:val="18"/>
                <w:lang w:val="en-US"/>
              </w:rPr>
            </w:pPr>
            <w:r w:rsidRPr="00773ECA">
              <w:rPr>
                <w:lang w:val="en-US"/>
              </w:rPr>
              <w:t>1 study (II)</w:t>
            </w:r>
          </w:p>
        </w:tc>
        <w:tc>
          <w:tcPr>
            <w:tcW w:w="1700" w:type="dxa"/>
          </w:tcPr>
          <w:p w14:paraId="67A1B01D" w14:textId="016B0D05" w:rsidR="0022700A" w:rsidRDefault="0022700A" w:rsidP="0022700A">
            <w:pPr>
              <w:jc w:val="center"/>
              <w:rPr>
                <w:lang w:val="en-US"/>
              </w:rPr>
            </w:pPr>
            <w:r>
              <w:rPr>
                <w:lang w:val="en-US"/>
              </w:rPr>
              <w:t>4</w:t>
            </w:r>
          </w:p>
        </w:tc>
        <w:tc>
          <w:tcPr>
            <w:tcW w:w="2265" w:type="dxa"/>
          </w:tcPr>
          <w:p w14:paraId="40EE43DE" w14:textId="02DF1B10" w:rsidR="0022700A" w:rsidRDefault="0022700A" w:rsidP="0022700A">
            <w:pPr>
              <w:jc w:val="center"/>
              <w:rPr>
                <w:lang w:val="en-US"/>
              </w:rPr>
            </w:pPr>
            <w:r>
              <w:rPr>
                <w:lang w:val="en-US"/>
              </w:rPr>
              <w:t>Low</w:t>
            </w:r>
          </w:p>
        </w:tc>
        <w:tc>
          <w:tcPr>
            <w:tcW w:w="2265" w:type="dxa"/>
          </w:tcPr>
          <w:p w14:paraId="0FAE74BE" w14:textId="441DE8AA" w:rsidR="0022700A" w:rsidRDefault="0022700A" w:rsidP="0022700A">
            <w:pPr>
              <w:jc w:val="center"/>
              <w:rPr>
                <w:lang w:val="en-US"/>
              </w:rPr>
            </w:pPr>
            <w:r>
              <w:rPr>
                <w:rFonts w:cs="Arial"/>
                <w:lang w:val="en-US"/>
              </w:rPr>
              <w:fldChar w:fldCharType="begin"/>
            </w:r>
            <w:r>
              <w:rPr>
                <w:rFonts w:cs="Arial"/>
                <w:lang w:val="en-US"/>
              </w:rPr>
              <w:instrText xml:space="preserve"> ADDIN ZOTERO_ITEM CSL_CITATION {"citationID":"Rryx9WYN","properties":{"formattedCitation":"(247)","plainCitation":"(247)","noteIndex":0},"citationItems":[{"id":73947,"uris":["http://zotero.org/users/5328021/items/ZEGWF3DB"],"uri":["http://zotero.org/users/5328021/items/ZEGWF3DB"],"itemData":{"id":73947,"type":"article-journal","abstract":"Objectives: To evaluate the effect of pentoxifylline on the quality of life (QoL) in diabetic foot syndrome (DFS) by using Short Form-36 questionnaire, and in reference to the revised neuropathy disability score (RNDS) and grading of diabetic foot. Methods: This randomized placebo-controlled study was carried in the Department of Pharmacology at University of the Sulaimani through 2018. A total number of 80 T2D patients were recruited from outpatients Department attended the Center of Diabetes and the Shar Teaching Hospital in the University  of Sulaimani, Sulaimani-Iraq. Group I (non-DFS, n=40) were subgrouped into Group-IA treated with placebo (n=20), and Group-IB treated with 400 mg pentoxifylline thrice daily for 8 weeks. Group II (DFS, n=40) sub grouped into Group-IIA treated with placebo (n=20), and Group-IIB treated with pentoxifylline. The primary outcome measures including the data of SF-36, RNDS, and grading of diabetic foot. Results: Pentoxifylline therapy significantly reduced the RNDS, improved the clinical evidence of diabetic foot, improved the QoL particularly the domains that related to emotional problems and physical health. Pentoxifylline offered a better effect in DFS compared with non-DFS patients. Conclusion: Pentoxifylline treatment improves the quality of life in diabetic foot syndrome and its effect is related to the scoring of revised neuropathy disability and grading of diabetic foot.","container-title":"Pakistan journal of medical sciences","issue":"5","journalAbbreviation":"Pak J Med Sci","language":"eng","note":"PMID: 31489009 \nPMCID: PMC6717475","page":"1370-1375","title":"Pentoxifylline improves the quality of life in type-2 diabetes foot syndrome.","volume":"35","author":[{"family":"Al-Nimer","given":"Marwan"},{"family":"Ratha","given":"Rawa"},{"family":"Mahwi","given":"Taha"}],"issued":{"date-parts":[["2019",10]]}}}],"schema":"https://github.com/citation-style-language/schema/raw/master/csl-citation.json"} </w:instrText>
            </w:r>
            <w:r>
              <w:rPr>
                <w:rFonts w:cs="Arial"/>
                <w:lang w:val="en-US"/>
              </w:rPr>
              <w:fldChar w:fldCharType="separate"/>
            </w:r>
            <w:r w:rsidRPr="00A91C12">
              <w:rPr>
                <w:rFonts w:cs="Arial"/>
                <w:lang w:val="en-US"/>
              </w:rPr>
              <w:t>(247)</w:t>
            </w:r>
            <w:r>
              <w:rPr>
                <w:rFonts w:cs="Arial"/>
                <w:lang w:val="en-US"/>
              </w:rPr>
              <w:fldChar w:fldCharType="end"/>
            </w:r>
          </w:p>
        </w:tc>
      </w:tr>
      <w:tr w:rsidR="0022700A" w:rsidRPr="00166EC2" w14:paraId="484E8C05" w14:textId="77777777" w:rsidTr="0022700A">
        <w:tc>
          <w:tcPr>
            <w:tcW w:w="9060" w:type="dxa"/>
            <w:gridSpan w:val="4"/>
            <w:shd w:val="clear" w:color="auto" w:fill="D4F1D3" w:themeFill="background2" w:themeFillTint="33"/>
            <w:vAlign w:val="center"/>
          </w:tcPr>
          <w:p w14:paraId="06C82C0C" w14:textId="02CD2429" w:rsidR="0022700A" w:rsidRDefault="0022700A" w:rsidP="0022700A">
            <w:pPr>
              <w:jc w:val="center"/>
              <w:rPr>
                <w:rFonts w:cs="Arial"/>
                <w:lang w:val="en-US"/>
              </w:rPr>
            </w:pPr>
            <w:r>
              <w:rPr>
                <w:b/>
                <w:bCs/>
                <w:color w:val="56575A"/>
                <w:szCs w:val="20"/>
                <w:lang w:val="en-US"/>
              </w:rPr>
              <w:t>Treatment with pharmacological agents having an action on immunity</w:t>
            </w:r>
          </w:p>
        </w:tc>
      </w:tr>
      <w:tr w:rsidR="0022700A" w14:paraId="601C0B92" w14:textId="77777777" w:rsidTr="0022700A">
        <w:tc>
          <w:tcPr>
            <w:tcW w:w="9060" w:type="dxa"/>
            <w:gridSpan w:val="4"/>
            <w:vAlign w:val="center"/>
          </w:tcPr>
          <w:p w14:paraId="384C3F10" w14:textId="2DB086AC" w:rsidR="0022700A" w:rsidRDefault="0022700A" w:rsidP="0022700A">
            <w:pPr>
              <w:jc w:val="left"/>
              <w:rPr>
                <w:rFonts w:cs="Arial"/>
                <w:lang w:val="en-US"/>
              </w:rPr>
            </w:pPr>
            <w:r w:rsidRPr="006658FE">
              <w:rPr>
                <w:b/>
                <w:sz w:val="18"/>
                <w:szCs w:val="18"/>
                <w:lang w:val="en-US"/>
              </w:rPr>
              <w:t xml:space="preserve">Ulcer </w:t>
            </w:r>
            <w:r>
              <w:rPr>
                <w:b/>
                <w:sz w:val="18"/>
                <w:szCs w:val="18"/>
                <w:lang w:val="en-US"/>
              </w:rPr>
              <w:t>healing</w:t>
            </w:r>
          </w:p>
        </w:tc>
      </w:tr>
      <w:tr w:rsidR="0022700A" w14:paraId="79EB26B3" w14:textId="77777777" w:rsidTr="00D2085D">
        <w:tc>
          <w:tcPr>
            <w:tcW w:w="2830" w:type="dxa"/>
            <w:vAlign w:val="center"/>
          </w:tcPr>
          <w:p w14:paraId="3C45CDAE" w14:textId="5F471380" w:rsidR="0022700A" w:rsidRPr="00773ECA" w:rsidRDefault="0022700A" w:rsidP="0022700A">
            <w:pPr>
              <w:jc w:val="center"/>
              <w:rPr>
                <w:lang w:val="en-US"/>
              </w:rPr>
            </w:pPr>
            <w:r>
              <w:rPr>
                <w:lang w:val="en-US"/>
              </w:rPr>
              <w:t>2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tcPr>
          <w:p w14:paraId="5CF061ED" w14:textId="44C405D1" w:rsidR="0022700A" w:rsidRDefault="0022700A" w:rsidP="0022700A">
            <w:pPr>
              <w:jc w:val="center"/>
              <w:rPr>
                <w:lang w:val="en-US"/>
              </w:rPr>
            </w:pPr>
            <w:r>
              <w:rPr>
                <w:lang w:val="en-US"/>
              </w:rPr>
              <w:t>5</w:t>
            </w:r>
          </w:p>
        </w:tc>
        <w:tc>
          <w:tcPr>
            <w:tcW w:w="2265" w:type="dxa"/>
            <w:vMerge w:val="restart"/>
            <w:vAlign w:val="center"/>
          </w:tcPr>
          <w:p w14:paraId="0CE9B983" w14:textId="2F20077B" w:rsidR="0022700A" w:rsidRDefault="0022700A" w:rsidP="0022700A">
            <w:pPr>
              <w:jc w:val="center"/>
              <w:rPr>
                <w:lang w:val="en-US"/>
              </w:rPr>
            </w:pPr>
            <w:r>
              <w:rPr>
                <w:lang w:val="en-US"/>
              </w:rPr>
              <w:t>Low</w:t>
            </w:r>
          </w:p>
        </w:tc>
        <w:tc>
          <w:tcPr>
            <w:tcW w:w="2265" w:type="dxa"/>
          </w:tcPr>
          <w:p w14:paraId="7D7E8617" w14:textId="7ACBCA61" w:rsidR="0022700A" w:rsidRDefault="0022700A" w:rsidP="0022700A">
            <w:pPr>
              <w:jc w:val="center"/>
              <w:rPr>
                <w:rFonts w:cs="Arial"/>
                <w:lang w:val="en-US"/>
              </w:rPr>
            </w:pPr>
            <w:r>
              <w:rPr>
                <w:rFonts w:cs="Arial"/>
                <w:lang w:val="en-US"/>
              </w:rPr>
              <w:fldChar w:fldCharType="begin"/>
            </w:r>
            <w:r>
              <w:rPr>
                <w:rFonts w:cs="Arial"/>
                <w:lang w:val="en-US"/>
              </w:rPr>
              <w:instrText xml:space="preserve"> ADDIN ZOTERO_ITEM CSL_CITATION {"citationID":"ZFyBuM2J","properties":{"formattedCitation":"(248,249)","plainCitation":"(248,249)","noteIndex":0},"citationItems":[{"id":49056,"uris":["http://zotero.org/users/5328021/items/5W87WFZW"],"uri":["http://zotero.org/users/5328021/items/5W87WFZW"],"itemData":{"id":49056,"type":"article-journal","abstract":"Only 30 percent of chronic diabetic foot ulcers heal after 20 weeks of standard treatment. Pirfenidone is a drug with biological, anti-inflammatory, and antifibrotic effects. The aim of this study was to evaluate the effect of topical pirfenidone added to conventional treatment in noninfected chronic diabetic foot ulcers. This was a randomized crossover study. Group 1 received topical pirfenidone plus conventional treatment for 8 weeks; after this period, they were switched to receive conventional treatment only for 8 more weeks. In group 2, the order of the treatments was the opposite. The end points were complete ulcer healing and size reduction. Final data were obtained from 35 ulcers in 24 patients. Fifty-two percent of ulcers treated with pirfenidone healed before 8 weeks versus 14.3% treated with conventional treatment only (P = 0.025). Between 8 and 16 weeks, 30.8% ulcers that received pirfenidone healed versus 0% with conventional treatment (P = 0.081). By week 8, the reduction in ulcer size was 100% [73-100] with pirfenidone versus 57.5% with conventional treatment [28.9-74] (P = 0.011). By week 16, the reduction was 93% [42.7-100] with pirfenidone and 21.8% [8-77.5] with conventional treatment (P = 0.050). The addition of topical pirfenidone to conventional treatment significantly improves the healing of chronic diabetic noninfected foot ulcers.","container-title":"Journal of Diabetes Research","journalAbbreviation":"J Diabetes Res","language":"eng","note":"PMID: 27478849\nPMCID: PMC4958428","page":"7340641","title":"Topical Administration of Pirfenidone Increases Healing of Chronic Diabetic Foot Ulcers: A Randomized Crossover Study","volume":"2016","author":[{"family":"Janka-Zires","given":"Marcela"},{"family":"Almeda-Valdes","given":"Paloma"},{"family":"Uribe-Wiechers","given":"Ana Cecilia"},{"family":"Juárez-Comboni","given":"Sonia Citlali"},{"family":"López-Gutiérrez","given":"Joel"},{"family":"Escobar-Jiménez","given":"Jarod Jazek"},{"family":"Gómez-Pérez","given":"Francisco J."}],"issued":{"date-parts":[["2016"]]}}},{"id":51243,"uris":["http://zotero.org/users/5328021/items/93FUWAUC"],"uri":["http://zotero.org/users/5328021/items/93FUWAUC"],"itemData":{"id":51243,"type":"article-journal","abstract":"AIMS/INTRODUCTION: Dysregulated inflammatory response is believed to be an important factor in the pathogenesis of several late complications of diabetes mellitus. β-Glucans are potent inducers of immune function. The present randomized, double blind, two-center, placebo-controlled study was undertaken to explore safety, tolerability and efficacy of soluble β-1,3/1,6-glucan (SBG) as a local treatment of diabetic foot ulcers.\nMATERIALS AND METHODS: A total of 60 patients with type 1 or 2 diabetes and lower extremity ulcers (Wagner grade 1-2, Ankle/Brachial Index ≥0.7) received SBG or a comparator product (methylcellulose) locally three times weekly up to 12 weeks in addition to conventional management scheme. A total of 54 patients completed the study.\nRESULTS: A tendency for shorter median time to complete healing in the SBG group was observed (36 vs 63 days, P = 0.130). Weekly percentage reduction in ulcer size was significantly higher in the SBG group than in the methylcellulose group between weeks 1-2, 3-4 and 5-6 (P &lt; 0.05). The proportion of ulcers healed by week 12 was also in favor of SBG (59% vs 37%, P = 0.09), with a significantly higher healing incidence in the SBG group at week 8 (44% vs 17%, P = 0.03). SBG was safe and well tolerated. There was a clinically significant difference regarding the incidence of serious adverse events in favor of the SBG treatment.\nCONCLUSIONS: Local treatment of diabetic lower extremity ulcers with β-1,3/1,6-polyglucose shows good safety results. This β-glucan preparation shows promising potential as a treatment accelerating cutaneous healing. Further studies are required to confirm this effect. This trial was registered with ClinicalTrials.gov (no. NCT00288392).","container-title":"Journal of Diabetes Investigation","issue":"4","journalAbbreviation":"J Diabetes Investig","language":"eng","note":"PMID: 25411598\nPMCID: PMC4210076","page":"392-399","title":"Macrophage stimulating agent soluble yeast β-1,3/1,6-glucan as a topical treatment of diabetic foot and leg ulcers: A randomized, double blind, placebo-controlled phase II study","volume":"5","author":[{"family":"Zykova","given":"Svetlana N."},{"family":"Balandina","given":"Ksenia A."},{"family":"Vorokhobina","given":"Natalia V."},{"family":"Kuznetsova","given":"Alla V."},{"family":"Engstad","given":"Rolf"},{"family":"Zykova","given":"Tatiana A."}],"issued":{"date-parts":[["2014",7]]}}}],"schema":"https://github.com/citation-style-language/schema/raw/master/csl-citation.json"} </w:instrText>
            </w:r>
            <w:r>
              <w:rPr>
                <w:rFonts w:cs="Arial"/>
                <w:lang w:val="en-US"/>
              </w:rPr>
              <w:fldChar w:fldCharType="separate"/>
            </w:r>
            <w:r w:rsidRPr="00C23FB9">
              <w:rPr>
                <w:rFonts w:cs="Arial"/>
              </w:rPr>
              <w:t>(248,249)</w:t>
            </w:r>
            <w:r>
              <w:rPr>
                <w:rFonts w:cs="Arial"/>
                <w:lang w:val="en-US"/>
              </w:rPr>
              <w:fldChar w:fldCharType="end"/>
            </w:r>
          </w:p>
        </w:tc>
      </w:tr>
      <w:tr w:rsidR="0022700A" w14:paraId="143515FF" w14:textId="77777777" w:rsidTr="00D2085D">
        <w:tc>
          <w:tcPr>
            <w:tcW w:w="2830" w:type="dxa"/>
            <w:vAlign w:val="center"/>
          </w:tcPr>
          <w:p w14:paraId="33F90DED" w14:textId="771FDD20" w:rsidR="0022700A" w:rsidRPr="00773ECA" w:rsidRDefault="0022700A" w:rsidP="0022700A">
            <w:pPr>
              <w:jc w:val="center"/>
              <w:rPr>
                <w:lang w:val="en-US"/>
              </w:rPr>
            </w:pPr>
            <w:r w:rsidRPr="00773ECA">
              <w:rPr>
                <w:color w:val="9A9B9D" w:themeColor="text1" w:themeTint="99"/>
                <w:lang w:val="en-US"/>
              </w:rPr>
              <w:t>1 study (II)</w:t>
            </w:r>
          </w:p>
        </w:tc>
        <w:tc>
          <w:tcPr>
            <w:tcW w:w="1700" w:type="dxa"/>
          </w:tcPr>
          <w:p w14:paraId="749819C8" w14:textId="1C73186D" w:rsidR="0022700A" w:rsidRDefault="0022700A" w:rsidP="0022700A">
            <w:pPr>
              <w:jc w:val="center"/>
              <w:rPr>
                <w:lang w:val="en-US"/>
              </w:rPr>
            </w:pPr>
            <w:r w:rsidRPr="002149A6">
              <w:rPr>
                <w:color w:val="9A9B9D" w:themeColor="text1" w:themeTint="99"/>
                <w:lang w:val="en-US"/>
              </w:rPr>
              <w:t>6</w:t>
            </w:r>
          </w:p>
        </w:tc>
        <w:tc>
          <w:tcPr>
            <w:tcW w:w="2265" w:type="dxa"/>
            <w:vMerge/>
          </w:tcPr>
          <w:p w14:paraId="0A2201F3" w14:textId="77777777" w:rsidR="0022700A" w:rsidRDefault="0022700A" w:rsidP="0022700A">
            <w:pPr>
              <w:jc w:val="center"/>
              <w:rPr>
                <w:lang w:val="en-US"/>
              </w:rPr>
            </w:pPr>
          </w:p>
        </w:tc>
        <w:tc>
          <w:tcPr>
            <w:tcW w:w="2265" w:type="dxa"/>
          </w:tcPr>
          <w:p w14:paraId="55B17728" w14:textId="067CD48F" w:rsidR="0022700A" w:rsidRDefault="0022700A" w:rsidP="0022700A">
            <w:pPr>
              <w:jc w:val="center"/>
              <w:rPr>
                <w:rFonts w:cs="Arial"/>
                <w:lang w:val="en-US"/>
              </w:rPr>
            </w:pPr>
            <w:r>
              <w:rPr>
                <w:lang w:val="en-US"/>
              </w:rPr>
              <w:fldChar w:fldCharType="begin"/>
            </w:r>
            <w:r>
              <w:rPr>
                <w:lang w:val="en-US"/>
              </w:rPr>
              <w:instrText xml:space="preserve"> ADDIN ZOTERO_ITEM CSL_CITATION {"citationID":"Av1t7lJX","properties":{"formattedCitation":"(250)","plainCitation":"(250)","noteIndex":0},"citationItems":[{"id":55357,"uris":["http://zotero.org/users/5328021/items/LVH5UXTJ"],"uri":["http://zotero.org/users/5328021/items/LVH5UXTJ"],"itemData":{"id":55357,"type":"article-journal","abstract":"PURPOSE: Aspirin is routinely given to reduce vascular events after angioplasty. Batroxobin has been shown to effectively prevent thrombosis after angioplasty via inhibition of the fibrinogen concentration. In this randomized clinical trial, the hypothesis that batroxobin plus aspirin is more effective than aspirin alone in reducing the incidence of restenosis/reocclusion in patients with diabetes undergoing angioplasty for lower-limb ischemia.\nMATERIALS AND METHODS: Patients with diabetes and symptomatic arterial obstructions (N = 129) were randomized to receive aspirin 100 mg/d plus batroxobin 5 IU every other day for six doses (n = 58) or aspirin alone (n = 71). The primary outcome was restenosis documented by magnetic resonance (MR) angiography or duplex imaging at 12 months. Secondary outcomes included amputation above the ankle, death, and cumulative rate of amputation or death. Kaplan-Meier analysis was used to evaluate limb salvage and survival rates.\nRESULTS: After 12 months, restenosis had occurred in 43.1% and 29.7% of patients in the control and batroxobin groups, respectively (P = .0018). MR angiography and duplex imaging revealed an improved restenosis rate for infrapopliteal lesions and for lesions longer than 10 cm (P = .0016). The primary and cumulative secondary outcomes indicated significant improvements in restenosis rate, symptom relief, and amputation rates in the batroxobin group compared with the aspirin-only group. Kaplan-Meier analysis showed limb salvage and survival rates of 78.3% in the aspirin-only group and 92.2% in the batroxobin group 12 months after angioplasty (log-rank test, P = .0414).\nCONCLUSIONS: Batroxobin plus aspirin reduced the rate of restenosis after arterial angioplasty, particularly in lesions located below the knee and in those longer than 10 cm, with better clinical symptom relief and improved rate of limb salvage.","container-title":"Journal of vascular and interventional radiology: JVIR","issue":"7","journalAbbreviation":"J Vasc Interv Radiol","language":"eng","note":"PMID: 21570870","page":"987-994","title":"Batroxobin plus aspirin reduces restenosis after angioplasty for arterial occlusive disease in diabetic patients with lower-limb ischemia","volume":"22","author":[{"family":"Wang","given":"Jue"},{"family":"Zhu","given":"Yue-Qi"},{"family":"Li","given":"Ming-Hua"},{"family":"Zhao","given":"Jun-Gong"},{"family":"Tan","given":"Hua-Qiao"},{"family":"Wang","given":"Jian-Bo"},{"family":"Liu","given":"Fang"},{"family":"Cheng","given":"Ying-Sheng"}],"issued":{"date-parts":[["2011",7]]}}}],"schema":"https://github.com/citation-style-language/schema/raw/master/csl-citation.json"} </w:instrText>
            </w:r>
            <w:r>
              <w:rPr>
                <w:lang w:val="en-US"/>
              </w:rPr>
              <w:fldChar w:fldCharType="separate"/>
            </w:r>
            <w:r w:rsidRPr="00C23FB9">
              <w:rPr>
                <w:rFonts w:cs="Arial"/>
              </w:rPr>
              <w:t>(250)</w:t>
            </w:r>
            <w:r>
              <w:rPr>
                <w:lang w:val="en-US"/>
              </w:rPr>
              <w:fldChar w:fldCharType="end"/>
            </w:r>
          </w:p>
        </w:tc>
      </w:tr>
      <w:tr w:rsidR="0022700A" w14:paraId="23F4C334" w14:textId="77777777" w:rsidTr="0022700A">
        <w:tc>
          <w:tcPr>
            <w:tcW w:w="9060" w:type="dxa"/>
            <w:gridSpan w:val="4"/>
            <w:vAlign w:val="center"/>
          </w:tcPr>
          <w:p w14:paraId="7AB24457" w14:textId="0A68F22B" w:rsidR="0022700A" w:rsidRDefault="0022700A" w:rsidP="0022700A">
            <w:pPr>
              <w:jc w:val="left"/>
              <w:rPr>
                <w:rFonts w:cs="Arial"/>
                <w:lang w:val="en-US"/>
              </w:rPr>
            </w:pPr>
            <w:r w:rsidRPr="006658FE">
              <w:rPr>
                <w:b/>
                <w:sz w:val="18"/>
                <w:szCs w:val="18"/>
                <w:lang w:val="en-US"/>
              </w:rPr>
              <w:t>Ulcer area reduction</w:t>
            </w:r>
          </w:p>
        </w:tc>
      </w:tr>
      <w:tr w:rsidR="0022700A" w14:paraId="37776FB9" w14:textId="77777777" w:rsidTr="00D2085D">
        <w:tc>
          <w:tcPr>
            <w:tcW w:w="2830" w:type="dxa"/>
            <w:vAlign w:val="center"/>
          </w:tcPr>
          <w:p w14:paraId="23529E1D" w14:textId="7403B75D" w:rsidR="0022700A" w:rsidRPr="00773ECA" w:rsidRDefault="0022700A" w:rsidP="0022700A">
            <w:pPr>
              <w:jc w:val="center"/>
              <w:rPr>
                <w:lang w:val="en-US"/>
              </w:rPr>
            </w:pPr>
            <w:r>
              <w:rPr>
                <w:lang w:val="en-US"/>
              </w:rPr>
              <w:t>2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tcPr>
          <w:p w14:paraId="33887E9A" w14:textId="4D9E4DC4" w:rsidR="0022700A" w:rsidRDefault="0022700A" w:rsidP="0022700A">
            <w:pPr>
              <w:jc w:val="center"/>
              <w:rPr>
                <w:lang w:val="en-US"/>
              </w:rPr>
            </w:pPr>
            <w:r>
              <w:rPr>
                <w:lang w:val="en-US"/>
              </w:rPr>
              <w:t>4,5</w:t>
            </w:r>
          </w:p>
        </w:tc>
        <w:tc>
          <w:tcPr>
            <w:tcW w:w="2265" w:type="dxa"/>
            <w:vMerge w:val="restart"/>
            <w:vAlign w:val="center"/>
          </w:tcPr>
          <w:p w14:paraId="166D990A" w14:textId="4D1A3018" w:rsidR="0022700A" w:rsidRDefault="0022700A" w:rsidP="0022700A">
            <w:pPr>
              <w:jc w:val="center"/>
              <w:rPr>
                <w:lang w:val="en-US"/>
              </w:rPr>
            </w:pPr>
            <w:r>
              <w:rPr>
                <w:lang w:val="en-US"/>
              </w:rPr>
              <w:t>Low</w:t>
            </w:r>
          </w:p>
        </w:tc>
        <w:tc>
          <w:tcPr>
            <w:tcW w:w="2265" w:type="dxa"/>
          </w:tcPr>
          <w:p w14:paraId="0594C5DD" w14:textId="00B3E509" w:rsidR="0022700A" w:rsidRDefault="0022700A" w:rsidP="0022700A">
            <w:pPr>
              <w:jc w:val="center"/>
              <w:rPr>
                <w:rFonts w:cs="Arial"/>
                <w:lang w:val="en-US"/>
              </w:rPr>
            </w:pPr>
            <w:r>
              <w:rPr>
                <w:rFonts w:cs="Arial"/>
                <w:lang w:val="en-US"/>
              </w:rPr>
              <w:fldChar w:fldCharType="begin"/>
            </w:r>
            <w:r>
              <w:rPr>
                <w:rFonts w:cs="Arial"/>
                <w:lang w:val="en-US"/>
              </w:rPr>
              <w:instrText xml:space="preserve"> ADDIN ZOTERO_ITEM CSL_CITATION {"citationID":"vDyA2dO2","properties":{"formattedCitation":"(249,251)","plainCitation":"(249,251)","noteIndex":0},"citationItems":[{"id":51243,"uris":["http://zotero.org/users/5328021/items/93FUWAUC"],"uri":["http://zotero.org/users/5328021/items/93FUWAUC"],"itemData":{"id":51243,"type":"article-journal","abstract":"AIMS/INTRODUCTION: Dysregulated inflammatory response is believed to be an important factor in the pathogenesis of several late complications of diabetes mellitus. β-Glucans are potent inducers of immune function. The present randomized, double blind, two-center, placebo-controlled study was undertaken to explore safety, tolerability and efficacy of soluble β-1,3/1,6-glucan (SBG) as a local treatment of diabetic foot ulcers.\nMATERIALS AND METHODS: A total of 60 patients with type 1 or 2 diabetes and lower extremity ulcers (Wagner grade 1-2, Ankle/Brachial Index ≥0.7) received SBG or a comparator product (methylcellulose) locally three times weekly up to 12 weeks in addition to conventional management scheme. A total of 54 patients completed the study.\nRESULTS: A tendency for shorter median time to complete healing in the SBG group was observed (36 vs 63 days, P = 0.130). Weekly percentage reduction in ulcer size was significantly higher in the SBG group than in the methylcellulose group between weeks 1-2, 3-4 and 5-6 (P &lt; 0.05). The proportion of ulcers healed by week 12 was also in favor of SBG (59% vs 37%, P = 0.09), with a significantly higher healing incidence in the SBG group at week 8 (44% vs 17%, P = 0.03). SBG was safe and well tolerated. There was a clinically significant difference regarding the incidence of serious adverse events in favor of the SBG treatment.\nCONCLUSIONS: Local treatment of diabetic lower extremity ulcers with β-1,3/1,6-polyglucose shows good safety results. This β-glucan preparation shows promising potential as a treatment accelerating cutaneous healing. Further studies are required to confirm this effect. This trial was registered with ClinicalTrials.gov (no. NCT00288392).","container-title":"Journal of Diabetes Investigation","issue":"4","journalAbbreviation":"J Diabetes Investig","language":"eng","note":"PMID: 25411598\nPMCID: PMC4210076","page":"392-399","title":"Macrophage stimulating agent soluble yeast β-1,3/1,6-glucan as a topical treatment of diabetic foot and leg ulcers: A randomized, double blind, placebo-controlled phase II study","volume":"5","author":[{"family":"Zykova","given":"Svetlana N."},{"family":"Balandina","given":"Ksenia A."},{"family":"Vorokhobina","given":"Natalia V."},{"family":"Kuznetsova","given":"Alla V."},{"family":"Engstad","given":"Rolf"},{"family":"Zykova","given":"Tatiana A."}],"issued":{"date-parts":[["2014",7]]}}},{"id":47726,"uris":["http://zotero.org/users/5328021/items/X28TSINR"],"uri":["http://zotero.org/users/5328021/items/X28TSINR"],"itemData":{"id":47726,"type":"article-journal","abstract":"Background: Diabetic foot ulcers are one disabling complication of diabetes mellitus. Pirfenidone (PFD) is a potent modulator of extracellular matrix. Modified diallyl disulfide oxide (M-DDO) is an antimicrobial and antiseptic agent.\nAim: To evaluate efficacy of topical PFD + M-DDO in a randomized, double-blind trial versus ketanserin in the treatment of noninfected chronic DFU.\nMethods: Patients received PFD + M-DDO or ketanserin for 6 months. Relative ulcer volume (RUV) was measured every month; biopsies were taken at baseline and months 1 and 2 for histopathology and gene expression analysis for COL-1α, COL-4, KGF, VEGF, ACTA2 (α-SMA), elastin, fibronectin, TGF-β1, TGF-β3, HIF-1α, and HIF-1β.\nResults: Reduction of median RUV in the PFD + M-DDO group was 62%, 89.8%, and 99.7% at months 1-3 and 100% from months 4 to 6. Ketanserin reduced RUV in 38.4%, 56%, 60.8%, 94%, 94.8%, and 100% from the first to the sixth month, respectively. Healing score improved 4.5 points with PFD + M-DDO and 1.5 points with ketanserin compared to basal value. Histology analysis revealed few inflammatory cells and organized/ordered collagen fiber bundles in PFD + M-DDO. Expression of most genes was increased with PFD + M-DDO; 43.8% of ulcers were resolved using PFD + M-DDO and 23.5% with ketanserin.\nConclusion: PFD + M-DDO was more effective than ketanserin in RUV reduction.","container-title":"Journal of Diabetes Research","journalAbbreviation":"J Diabetes Res","language":"eng","note":"PMID: 29675430\nPMCID: PMC5840678","page":"3159798","title":"Pirfenidone Accelerates Wound Healing in Chronic Diabetic Foot Ulcers: A Randomized, Double-Blind Controlled Trial","volume":"2017","author":[{"family":"Gasca-Lozano","given":"Luz E."},{"family":"Lucano-Landeros","given":"Silvia"},{"family":"Ruiz-Mercado","given":"Héctor"},{"family":"Salazar-Montes","given":"Adriana"},{"family":"Sandoval-Rodríguez","given":"Ana"},{"family":"Garcia-Bañuelos","given":"Jesus"},{"family":"Santos-Garcia","given":"Arturo"},{"family":"Davila-Rodriguez","given":"Judith R."},{"family":"Navarro-Partida","given":"José"},{"family":"Bojórquez-Sepúlveda","given":"Hiram"},{"family":"Castañeda-Gomez","given":"Juan"},{"family":"Domínguez-Rosales","given":"José"},{"family":"Ruiz-Arcos","given":"Myriam A."},{"family":"Sánchez-Parada","given":"María Guadalupe"},{"family":"Armendariz-Borunda","given":"Juan"}],"issued":{"date-parts":[["2017"]]}}}],"schema":"https://github.com/citation-style-language/schema/raw/master/csl-citation.json"} </w:instrText>
            </w:r>
            <w:r>
              <w:rPr>
                <w:rFonts w:cs="Arial"/>
                <w:lang w:val="en-US"/>
              </w:rPr>
              <w:fldChar w:fldCharType="separate"/>
            </w:r>
            <w:r w:rsidRPr="00C23FB9">
              <w:rPr>
                <w:rFonts w:cs="Arial"/>
              </w:rPr>
              <w:t>(249,251)</w:t>
            </w:r>
            <w:r>
              <w:rPr>
                <w:rFonts w:cs="Arial"/>
                <w:lang w:val="en-US"/>
              </w:rPr>
              <w:fldChar w:fldCharType="end"/>
            </w:r>
          </w:p>
        </w:tc>
      </w:tr>
      <w:tr w:rsidR="0022700A" w14:paraId="38E6E699" w14:textId="77777777" w:rsidTr="00D2085D">
        <w:tc>
          <w:tcPr>
            <w:tcW w:w="2830" w:type="dxa"/>
            <w:vAlign w:val="center"/>
          </w:tcPr>
          <w:p w14:paraId="76BB935C" w14:textId="1066355B" w:rsidR="0022700A" w:rsidRPr="00773ECA" w:rsidRDefault="0022700A" w:rsidP="0022700A">
            <w:pPr>
              <w:jc w:val="center"/>
              <w:rPr>
                <w:lang w:val="en-US"/>
              </w:rPr>
            </w:pPr>
            <w:r w:rsidRPr="00773ECA">
              <w:rPr>
                <w:color w:val="9A9B9D" w:themeColor="text1" w:themeTint="99"/>
                <w:lang w:val="en-US"/>
              </w:rPr>
              <w:t>1 study (II)</w:t>
            </w:r>
          </w:p>
        </w:tc>
        <w:tc>
          <w:tcPr>
            <w:tcW w:w="1700" w:type="dxa"/>
          </w:tcPr>
          <w:p w14:paraId="151127B6" w14:textId="3C19A88B" w:rsidR="0022700A" w:rsidRDefault="0022700A" w:rsidP="0022700A">
            <w:pPr>
              <w:jc w:val="center"/>
              <w:rPr>
                <w:lang w:val="en-US"/>
              </w:rPr>
            </w:pPr>
            <w:r w:rsidRPr="002149A6">
              <w:rPr>
                <w:color w:val="9A9B9D" w:themeColor="text1" w:themeTint="99"/>
                <w:lang w:val="en-US"/>
              </w:rPr>
              <w:t>5</w:t>
            </w:r>
          </w:p>
        </w:tc>
        <w:tc>
          <w:tcPr>
            <w:tcW w:w="2265" w:type="dxa"/>
            <w:vMerge/>
          </w:tcPr>
          <w:p w14:paraId="4E2D2B30" w14:textId="77777777" w:rsidR="0022700A" w:rsidRDefault="0022700A" w:rsidP="0022700A">
            <w:pPr>
              <w:jc w:val="center"/>
              <w:rPr>
                <w:lang w:val="en-US"/>
              </w:rPr>
            </w:pPr>
          </w:p>
        </w:tc>
        <w:tc>
          <w:tcPr>
            <w:tcW w:w="2265" w:type="dxa"/>
          </w:tcPr>
          <w:p w14:paraId="35DEA183" w14:textId="3F63C296" w:rsidR="0022700A" w:rsidRDefault="0022700A" w:rsidP="0022700A">
            <w:pPr>
              <w:jc w:val="center"/>
              <w:rPr>
                <w:rFonts w:cs="Arial"/>
                <w:lang w:val="en-US"/>
              </w:rPr>
            </w:pPr>
            <w:r>
              <w:rPr>
                <w:rFonts w:cs="Arial"/>
                <w:lang w:val="en-US"/>
              </w:rPr>
              <w:fldChar w:fldCharType="begin"/>
            </w:r>
            <w:r>
              <w:rPr>
                <w:rFonts w:cs="Arial"/>
                <w:lang w:val="en-US"/>
              </w:rPr>
              <w:instrText xml:space="preserve"> ADDIN ZOTERO_ITEM CSL_CITATION {"citationID":"NMMWjEv1","properties":{"formattedCitation":"(252)","plainCitation":"(252)","noteIndex":0},"citationItems":[{"id":55288,"uris":["http://zotero.org/users/5328021/items/AS7PKG2K"],"uri":["http://zotero.org/users/5328021/items/AS7PKG2K"],"itemData":{"id":55288,"type":"article-journal","abstract":"This randomized controlled trial was undertaken to evaluate the effect of WF10 (Immunokine) as an adjunct to the standard treatment of diabetic foot ulcer. A total of 40 participants were randomized into 2 groups of 20. One group underwent standard therapy combined with infusions of WF10, and 1 underwent standard therapy combined with placebo. The wound severity scores, which vary with the severity of infection and inflammation, necrotic and granulation tissues, and wound depth and area, were assessed weekly for 9 weeks. Before treatment, the wound severity scores were not significantly different statistically between the 2 groups (13.7 ± 2.8 and 12.9 ± 3.2). After 9 weeks, the WF10 group had a statistically significant decreased wound severity score compared with that of the placebo group (1.8 ± 1.9 versus 4.4 ± 5.3, respectively, p &lt; .05). Subgroup analyses comparing the WF10 and placebo groups showed statistically significant decreases of infection and inflammation (0.0 ± 0.0 versus 0.8 ± 0.9, respectively, p &lt; .01), necrotic tissue (0.0 ± 0.0 versus 0.8 ± 1.1, respectively, p &lt; .01), and an increase of the amount of granulation tissue (0.1 ± 0.3 versus 0.8 ± 1.2, respectively, p &lt; .05). The wound depth and wound area also decreased more in the WF10 group; however, these decreases were not statistically significant. No severe adverse events were observed throughout the observation period. We concluded that the addition of WF10 to standard wound care statistically significantly reduced the wound severity score, infection and inflammation, and necrotic tissue and enhanced the formation of granulation tissue.","container-title":"The Journal of Foot and Ankle Surgery: Official Publication of the American College of Foot and Ankle Surgeons","issue":"6","journalAbbreviation":"J Foot Ankle Surg","language":"eng","note":"PMID: 21723750","page":"635-640","title":"Effect of WF10 (immunokine) on diabetic foot ulcer therapy: a double-blind, randomized, placebo-controlled trial","volume":"50","author":[{"family":"Yingsakmongkol","given":"Narongchai"},{"family":"Maraprygsavan","given":"Paiboon"},{"family":"Sukosit","given":"Phongthon"}],"issued":{"date-parts":[["2011",12]]}}}],"schema":"https://github.com/citation-style-language/schema/raw/master/csl-citation.json"} </w:instrText>
            </w:r>
            <w:r>
              <w:rPr>
                <w:rFonts w:cs="Arial"/>
                <w:lang w:val="en-US"/>
              </w:rPr>
              <w:fldChar w:fldCharType="separate"/>
            </w:r>
            <w:r w:rsidRPr="00A91C12">
              <w:rPr>
                <w:rFonts w:cs="Arial"/>
                <w:lang w:val="en-US"/>
              </w:rPr>
              <w:t>(252)</w:t>
            </w:r>
            <w:r>
              <w:rPr>
                <w:rFonts w:cs="Arial"/>
                <w:lang w:val="en-US"/>
              </w:rPr>
              <w:fldChar w:fldCharType="end"/>
            </w:r>
          </w:p>
        </w:tc>
      </w:tr>
    </w:tbl>
    <w:p w14:paraId="00BA1C95" w14:textId="77777777" w:rsidR="0022700A" w:rsidRDefault="0075319C">
      <w:pPr>
        <w:rPr>
          <w:lang w:val="en-US"/>
        </w:rPr>
      </w:pPr>
      <w:r>
        <w:rPr>
          <w:lang w:val="en-US"/>
        </w:rPr>
        <w:br w:type="page"/>
      </w:r>
    </w:p>
    <w:p w14:paraId="7C82BE4A" w14:textId="2F860B31" w:rsidR="0022700A" w:rsidRPr="0022700A" w:rsidRDefault="0022700A" w:rsidP="0022700A">
      <w:pPr>
        <w:pStyle w:val="Caption"/>
        <w:keepNext/>
        <w:rPr>
          <w:bCs w:val="0"/>
          <w:color w:val="58595B" w:themeColor="text1"/>
          <w:szCs w:val="20"/>
          <w:lang w:val="en-US"/>
        </w:rPr>
      </w:pPr>
      <w:r>
        <w:rPr>
          <w:bCs w:val="0"/>
          <w:color w:val="58595B" w:themeColor="text1"/>
          <w:szCs w:val="20"/>
          <w:lang w:val="en-US"/>
        </w:rPr>
        <w:t>Additional table 5 (continued)</w:t>
      </w:r>
    </w:p>
    <w:tbl>
      <w:tblPr>
        <w:tblStyle w:val="TableGridLight"/>
        <w:tblW w:w="0" w:type="auto"/>
        <w:tblLook w:val="04A0" w:firstRow="1" w:lastRow="0" w:firstColumn="1" w:lastColumn="0" w:noHBand="0" w:noVBand="1"/>
      </w:tblPr>
      <w:tblGrid>
        <w:gridCol w:w="2830"/>
        <w:gridCol w:w="1700"/>
        <w:gridCol w:w="2265"/>
        <w:gridCol w:w="2265"/>
      </w:tblGrid>
      <w:tr w:rsidR="00D2085D" w:rsidRPr="00166EC2" w14:paraId="4117F0B5" w14:textId="77777777" w:rsidTr="00F377E2">
        <w:tc>
          <w:tcPr>
            <w:tcW w:w="9060" w:type="dxa"/>
            <w:gridSpan w:val="4"/>
            <w:shd w:val="clear" w:color="auto" w:fill="D4F1D3" w:themeFill="background2" w:themeFillTint="33"/>
            <w:vAlign w:val="center"/>
          </w:tcPr>
          <w:p w14:paraId="7C1EB523" w14:textId="7751083F" w:rsidR="00D2085D" w:rsidRDefault="00D2085D" w:rsidP="00D2085D">
            <w:pPr>
              <w:jc w:val="center"/>
              <w:rPr>
                <w:lang w:val="en-US"/>
              </w:rPr>
            </w:pPr>
            <w:r>
              <w:rPr>
                <w:b/>
                <w:bCs/>
                <w:color w:val="56575A"/>
                <w:szCs w:val="20"/>
                <w:lang w:val="en-US"/>
              </w:rPr>
              <w:t>Treatment with debridement: biological debridement</w:t>
            </w:r>
          </w:p>
        </w:tc>
      </w:tr>
      <w:tr w:rsidR="00F377E2" w14:paraId="7427678E" w14:textId="77777777" w:rsidTr="00F377E2">
        <w:tc>
          <w:tcPr>
            <w:tcW w:w="9060" w:type="dxa"/>
            <w:gridSpan w:val="4"/>
            <w:vAlign w:val="center"/>
          </w:tcPr>
          <w:p w14:paraId="263902A6" w14:textId="0DCC57CE" w:rsidR="00F377E2" w:rsidRDefault="00F377E2" w:rsidP="00F377E2">
            <w:pPr>
              <w:jc w:val="left"/>
              <w:rPr>
                <w:lang w:val="en-US"/>
              </w:rPr>
            </w:pPr>
            <w:r w:rsidRPr="006658FE">
              <w:rPr>
                <w:b/>
                <w:sz w:val="18"/>
                <w:szCs w:val="18"/>
                <w:lang w:val="en-US"/>
              </w:rPr>
              <w:t xml:space="preserve">Ulcer </w:t>
            </w:r>
            <w:r>
              <w:rPr>
                <w:b/>
                <w:sz w:val="18"/>
                <w:szCs w:val="18"/>
                <w:lang w:val="en-US"/>
              </w:rPr>
              <w:t>healing</w:t>
            </w:r>
          </w:p>
        </w:tc>
      </w:tr>
      <w:tr w:rsidR="00F377E2" w14:paraId="38D05F62" w14:textId="77777777" w:rsidTr="00F377E2">
        <w:tc>
          <w:tcPr>
            <w:tcW w:w="2830" w:type="dxa"/>
            <w:vAlign w:val="center"/>
          </w:tcPr>
          <w:p w14:paraId="26BC96D8" w14:textId="5C771C2E" w:rsidR="00F377E2" w:rsidRDefault="00F377E2" w:rsidP="00D2085D">
            <w:pPr>
              <w:jc w:val="center"/>
              <w:rPr>
                <w:lang w:val="en-US"/>
              </w:rPr>
            </w:pPr>
            <w:r w:rsidRPr="0062654A">
              <w:rPr>
                <w:lang w:val="en-US"/>
              </w:rPr>
              <w:t>1 study (II)</w:t>
            </w:r>
          </w:p>
        </w:tc>
        <w:tc>
          <w:tcPr>
            <w:tcW w:w="1700" w:type="dxa"/>
            <w:vAlign w:val="center"/>
          </w:tcPr>
          <w:p w14:paraId="2BF39172" w14:textId="60810633" w:rsidR="00F377E2" w:rsidRDefault="00F377E2" w:rsidP="00D2085D">
            <w:pPr>
              <w:jc w:val="center"/>
              <w:rPr>
                <w:lang w:val="en-US"/>
              </w:rPr>
            </w:pPr>
            <w:r>
              <w:rPr>
                <w:lang w:val="en-US"/>
              </w:rPr>
              <w:t>6</w:t>
            </w:r>
          </w:p>
        </w:tc>
        <w:tc>
          <w:tcPr>
            <w:tcW w:w="2265" w:type="dxa"/>
            <w:vMerge w:val="restart"/>
            <w:vAlign w:val="center"/>
          </w:tcPr>
          <w:p w14:paraId="3A1F8600" w14:textId="50D7BC2D" w:rsidR="00F377E2" w:rsidRDefault="00F377E2" w:rsidP="00D2085D">
            <w:pPr>
              <w:jc w:val="center"/>
              <w:rPr>
                <w:lang w:val="en-US"/>
              </w:rPr>
            </w:pPr>
            <w:r>
              <w:rPr>
                <w:lang w:val="en-US"/>
              </w:rPr>
              <w:t>Low</w:t>
            </w:r>
          </w:p>
        </w:tc>
        <w:tc>
          <w:tcPr>
            <w:tcW w:w="2265" w:type="dxa"/>
            <w:vAlign w:val="center"/>
          </w:tcPr>
          <w:p w14:paraId="666481B1" w14:textId="7F5AE887"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k8c8qNZo","properties":{"formattedCitation":"(253)","plainCitation":"(253)","noteIndex":0},"citationItems":[{"id":51567,"uris":["http://zotero.org/users/5328021/items/CABRJWUR"],"uri":["http://zotero.org/users/5328021/items/CABRJWUR"],"itemData":{"id":51567,"type":"article-journal","abstract":"OBJECTIVE: This study aimed to systematically evaluate maggot debridement therapy (MDT) in the treatment of chronically infected wounds and ulcers.\nMETHODS: We performed a meta-analysis referring to the PRISMA statement (Preferred Reporting Items for Systematic Reviews and Meta-Analyses). We searched for published articles in the following databases: PubMed, Web of Science, Embase, Wanfang (Chinese), and the China National Knowledge Infrastructure (CNKI). The latest search was updated on March 14, 2014. For dichotomous outcomes, the effects of MDT were expressed as the relative risk (RR) and 95% confidence interval (CI). For continuous outcomes with different measurement scales, we calculated the standardized mean difference (SMD). The pooled effects were estimated using a fixed effect model or random effect model based on the heterogeneity test. Subgroup analyses were performed according to the types of wounds or ulcers.\nRESULTS: MDT had a significantly increased positive effect on wound healing compared with conventional therapies, with a pooled RR of 1.80 (95% CI 1.24-2.60). The subgroup analysis revealed that the combined RRs were 1.79 (95% CI 0.95-3.38) for patients with diabetic foot ulcers (DFU) and 1.70 (95% CI 1.28-2.27) for patients with other types of ulcers. The time to healing of the ulcers was significantly shorter among patients treated with MDT, with a pooled SMD of -0.95 (95% CI -1.24, -0.65). For patients with DFU, the SMD was -0.79 (95% CI -1.18, -0.41), and for patients with other types of ulcers, the SMD was -1.16 (95% CI -1.63, -0.69).\nCONCLUSION: MDT not only shortened the healing time but also improved the healing rate of chronic ulcers. Therefore, MDT may be a feasible alternative in the treatment of chronic ulcers.","container-title":"International journal of infectious diseases: IJID: official publication of the International Society for Infectious Diseases","journalAbbreviation":"Int. J. Infect. Dis.","language":"eng","note":"PMID: 24841930","page":"32-37","title":"A systematic review of maggot debridement therapy for chronically infected wounds and ulcers","volume":"25","author":[{"family":"Sun","given":"Xinjuan"},{"family":"Jiang","given":"Kechun"},{"family":"Chen","given":"Jingan"},{"family":"Wu","given":"Liang"},{"family":"Lu","given":"Hui"},{"family":"Wang","given":"Aiping"},{"family":"Wang","given":"Jianming"}],"issued":{"date-parts":[["2014",8]]}}}],"schema":"https://github.com/citation-style-language/schema/raw/master/csl-citation.json"} </w:instrText>
            </w:r>
            <w:r>
              <w:rPr>
                <w:rFonts w:cs="Arial"/>
                <w:lang w:val="en-US"/>
              </w:rPr>
              <w:fldChar w:fldCharType="separate"/>
            </w:r>
            <w:r w:rsidRPr="00C23FB9">
              <w:rPr>
                <w:rFonts w:cs="Arial"/>
              </w:rPr>
              <w:t>(253)</w:t>
            </w:r>
            <w:r>
              <w:rPr>
                <w:rFonts w:cs="Arial"/>
                <w:lang w:val="en-US"/>
              </w:rPr>
              <w:fldChar w:fldCharType="end"/>
            </w:r>
          </w:p>
        </w:tc>
      </w:tr>
      <w:tr w:rsidR="00F377E2" w14:paraId="54106F93" w14:textId="77777777" w:rsidTr="00F377E2">
        <w:tc>
          <w:tcPr>
            <w:tcW w:w="2830" w:type="dxa"/>
            <w:vAlign w:val="center"/>
          </w:tcPr>
          <w:p w14:paraId="2CE804A6" w14:textId="5D978F9B" w:rsidR="00F377E2" w:rsidRDefault="00F377E2" w:rsidP="00D2085D">
            <w:pPr>
              <w:jc w:val="center"/>
              <w:rPr>
                <w:lang w:val="en-US"/>
              </w:rPr>
            </w:pPr>
            <w:r w:rsidRPr="002149A6">
              <w:rPr>
                <w:color w:val="9A9B9D" w:themeColor="text1" w:themeTint="99"/>
                <w:lang w:val="en-US"/>
              </w:rPr>
              <w:t>3 studies (II)</w:t>
            </w:r>
          </w:p>
        </w:tc>
        <w:tc>
          <w:tcPr>
            <w:tcW w:w="1700" w:type="dxa"/>
            <w:vAlign w:val="center"/>
          </w:tcPr>
          <w:p w14:paraId="5C072A2C" w14:textId="1A6D2439" w:rsidR="00F377E2" w:rsidRDefault="00F377E2" w:rsidP="00D2085D">
            <w:pPr>
              <w:jc w:val="center"/>
              <w:rPr>
                <w:lang w:val="en-US"/>
              </w:rPr>
            </w:pPr>
            <w:r w:rsidRPr="002149A6">
              <w:rPr>
                <w:color w:val="9A9B9D" w:themeColor="text1" w:themeTint="99"/>
                <w:lang w:val="en-US"/>
              </w:rPr>
              <w:t>6,3</w:t>
            </w:r>
          </w:p>
        </w:tc>
        <w:tc>
          <w:tcPr>
            <w:tcW w:w="2265" w:type="dxa"/>
            <w:vMerge/>
            <w:vAlign w:val="center"/>
          </w:tcPr>
          <w:p w14:paraId="19E9B9F8" w14:textId="77777777" w:rsidR="00F377E2" w:rsidRDefault="00F377E2" w:rsidP="00D2085D">
            <w:pPr>
              <w:jc w:val="center"/>
              <w:rPr>
                <w:lang w:val="en-US"/>
              </w:rPr>
            </w:pPr>
          </w:p>
        </w:tc>
        <w:tc>
          <w:tcPr>
            <w:tcW w:w="2265" w:type="dxa"/>
            <w:vAlign w:val="center"/>
          </w:tcPr>
          <w:p w14:paraId="36902CB8" w14:textId="68135C4C"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49MyyxLT","properties":{"formattedCitation":"(254\\uc0\\u8211{}256)","plainCitation":"(254–256)","noteIndex":0},"citationItems":[{"id":49433,"uris":["http://zotero.org/users/5328021/items/F8EBC4ZB"],"uri":["http://zotero.org/users/5328021/items/F8EBC4ZB"],"itemData":{"id":49433,"type":"article-journal","abstract":"BACKGROUND: Several methods of débridement of diabetic foot ulcers are currently used. The relative efficacy of these methods is not well established.\nMETHODS: This systematic review and meta-analysis was conducted to find the best available evidence for the effect of débridement on diabetic foot wound outcomes. We searched MEDLINE, Embase, Cochrane Central Register of Controlled Trials, Web of Science, and Scopus through October 2011 for randomized controlled studies (RCTs) and observational comparative studies.\nRESULTS: We identified 11 RCTs and three nonrandomized studies reporting on 800 patients. The risk of bias was moderate overall. Meta-analysis of three RCTs showed that autolytic débridement significantly increased the healing rate (relative risk [RR], 1.89; 95% confidence interval [CI] 1.35-2.64). Meta-analysis of four studies (one RCT) showed that larval débridement reduced amputation (RR, 0.43; 95% CI, 0.21-0.88) but did not increase complete healing (RR, 1.27; 95% CI, 0.84-1.91). Surgical débridement was associated with shorter healing time compared with conventional wound care (one RCT). Insufficient evidence was found for comparisons between autolytic and larval débridement (one RCT), between ultrasound-guided and surgical débridement, and between hydrosurgical and surgical débridement.\nCONCLUSIONS: The available literature supports the efficacy of several débridement methods, including surgical, autolytic, and larval débridement. Comparative effectiveness evidence between these methods and supportive evidence for other methods is of low quality due to methodologic limitations and imprecision. Hence, the choice of débridement method at the present time should be based on the available expertise, patient preferences, the clinical context and cost.","container-title":"Journal of Vascular Surgery","issue":"2 Suppl","journalAbbreviation":"J. Vasc. Surg.","language":"eng","note":"PMID: 26804366","page":"37S-45S.e1-2","title":"A systematic review and meta-analysis of débridement methods for chronic diabetic foot ulcers","volume":"63","author":[{"family":"Elraiyah","given":"Tarig"},{"family":"Domecq","given":"Juan Pablo"},{"family":"Prutsky","given":"Gabriela"},{"family":"Tsapas","given":"Apostolos"},{"family":"Nabhan","given":"Mohammed"},{"family":"Frykberg","given":"Robert G."},{"family":"Hasan","given":"Rim"},{"family":"Firwana","given":"Belal"},{"family":"Prokop","given":"Larry J."},{"family":"Murad","given":"Mohammad Hassan"}],"issued":{"date-parts":[["2016",2]]}}},{"id":51800,"uris":["http://zotero.org/users/5328021/items/MYG228AS"],"uri":["http://zotero.org/users/5328021/items/MYG228AS"],"itemData":{"id":51800,"type":"article-journal","abstract":"BACKGROUND/OBJECTIVE: Maggot wound therapy (MWT) has been used in various wounds including diabetic foot ulcers, venous leg ulcers, pressure ulcers, and acute surgical wounds. However, the efficacy of MWT therapy has been controversial. We therefore conducted a cohort study and a meta-analysis to assess MWT effects.\nMETHODS: A retrospective cohort study was performed in diabetic foot ulcer (DFU) patients who were treated with MWT or conventional wound therapy (CWT) in Thailand. The Kaplan-Meier curve was applied to estimate the healing probability. A meta-analysis was performed to pool our study with four previous cohort studies identified from Medline and Scopus.\nRESULTS: The estimated incidence of wound healing was 5.7/100 (95% CI: 4.49, 7.32) patients-week, and the median time to healing was 14 weeks. The hazard ratio (HR) of wound healing was 7.87 times significantly higher in the MWT than the CWT (p &lt; 0.001) after adjusting for duration and size of ulcers, ankle brachial index (ABI), and glycated hemoglobin (HbA1c). Meta-analysis was applied and suggested that the treatment effects were moderately heterogeneous {Chi-square = 6.18 [degrees of freedom (d.f.) = 4]; p = 0.186; I(2) = 35.2%}, with the pooled risk ratio (RR) of 1.77 [95% confidence intervals (CI) = 1.01, 3.11], i.e., the chance of wound healing was 20% significantly higher with MWT than CWT. The average costs of treatment in patients with DFU were lower in the MWT group than in the CWT group, with medians of US$292.82 and US$490, respectively.\nCONCLUSION: Our evidence suggests that MWT is significantly better for wound healing and more cost-effective than CWT. An updated meta-analysis or large scale randomized controlled trial (RCT) is required to confirm this effect.","container-title":"Asian Journal of Surgery","issue":"3","journalAbbreviation":"Asian J Surg","language":"eng","note":"PMID: 24382296","page":"138-147","title":"Maggot therapy for chronic ulcer: a retrospective cohort and a meta-analysis","volume":"37","author":[{"family":"Wilasrusmee","given":"Chumpon"},{"family":"Marjareonrungrung","given":"Mongkol"},{"family":"Eamkong","given":"Suwannee"},{"family":"Attia","given":"John"},{"family":"Poprom","given":"Napaphat"},{"family":"Jirasisrithum","given":"Sopon"},{"family":"Thakkinstian","given":"Ammarin"}],"issued":{"date-parts":[["2014",7]]}}},{"id":53042,"uris":["http://zotero.org/users/5328021/items/N6CLMKNS"],"uri":["http://zotero.org/users/5328021/items/N6CLMKNS"],"itemData":{"id":53042,"type":"article-journal","abstract":"OBJECTIVE: To assess the potential efficacy of maggot debridement therapy (MDT) compared with standard care for diabetic foot ulcers (DFUs).\nMETHOD: A meta-analysis was performed on the evidence for MDT for DFUs. Databases, including PubMed, Web of Science, the Cochrane Library, EMbase, EBSCOhost, Springer Link, ScienceDirect and Ovid-Medline, were electronically searched for randomised controlled trials, case-control studies and controlled clinical trials, up to 31 December 2012, and relevant references of the included articles were also manually searched. The literature was screened, the data were extracted and the methodological quality of the included studies was assessed. Meta-analyses were performed on the included data, for the outcomes healing rate, time to healing, incidence of infection, amputation rate and antibiotic-free days or antibiotics usage.\nRESULTS: Overall, four studies comparing MDT with standard therapy on a total of 356 participants were included. The results of meta-analyses suggested that the MDT group was significantly superior to the control group in the percentage of DFUs to achieve full healing (RR=1.8, 95%CI=1.07; 3.02; p=0.03), amputation rate (RR=0.41, 95%CI=0.20; 0.85; p=0.02), time to healing (RR=-3.70, 95%CI=-5.76; -1.64; p=0.0004) and number of antibiotic-free days (126.8 ± 30.3 days vs 81.9 ± 42.1 days; p=0.001); however, collated differences in incidence of infection after intervention revealed no evidence of a difference between the MDT and control groups (RR=0.82, 95%CI=0.65; 1.04, p=0.10).\nCONCLUSION: Although MDT may be a scientific and effective therapy in treatment of DFUs, the evidence is too weak to routinely recommend it for treatment. Large studies and sample sizes are needed to assess the efficacy and safety of MDT in the treatment of DFUs.\nDECLARATION OF INTEREST: There were no external sources of funding for this study. The authors have no conflicts of interest to declare with regard to this work or its contents. X. Tian and X.M. Liang contributed equally to this work.","container-title":"Journal of Wound Care","issue":"9","journalAbbreviation":"J Wound Care","language":"eng","note":"PMID: 24005780","page":"462-469","title":"Maggot debridement therapy for the treatment of diabetic foot ulcers: a meta-analysis","volume":"22","author":[{"family":"Tian","given":"X."},{"family":"Liang","given":"X. M."},{"family":"Song","given":"G. M."},{"family":"Zhao","given":"Y."},{"family":"Yang","given":"X. L."}],"issued":{"date-parts":[["2013",9]]}}}],"schema":"https://github.com/citation-style-language/schema/raw/master/csl-citation.json"} </w:instrText>
            </w:r>
            <w:r>
              <w:rPr>
                <w:rFonts w:cs="Arial"/>
                <w:lang w:val="en-US"/>
              </w:rPr>
              <w:fldChar w:fldCharType="separate"/>
            </w:r>
            <w:r w:rsidRPr="00A91C12">
              <w:rPr>
                <w:rFonts w:cs="Arial"/>
                <w:szCs w:val="24"/>
              </w:rPr>
              <w:t>(254–256)</w:t>
            </w:r>
            <w:r>
              <w:rPr>
                <w:rFonts w:cs="Arial"/>
                <w:lang w:val="en-US"/>
              </w:rPr>
              <w:fldChar w:fldCharType="end"/>
            </w:r>
          </w:p>
        </w:tc>
      </w:tr>
      <w:tr w:rsidR="00F377E2" w14:paraId="581F6E7C" w14:textId="77777777" w:rsidTr="00F377E2">
        <w:tc>
          <w:tcPr>
            <w:tcW w:w="9060" w:type="dxa"/>
            <w:gridSpan w:val="4"/>
            <w:vAlign w:val="center"/>
          </w:tcPr>
          <w:p w14:paraId="13059485" w14:textId="5EE402FA" w:rsidR="00F377E2" w:rsidRDefault="00F377E2" w:rsidP="00F377E2">
            <w:pPr>
              <w:jc w:val="left"/>
              <w:rPr>
                <w:lang w:val="en-US"/>
              </w:rPr>
            </w:pPr>
            <w:r w:rsidRPr="006658FE">
              <w:rPr>
                <w:b/>
                <w:sz w:val="18"/>
                <w:szCs w:val="18"/>
                <w:lang w:val="en-US"/>
              </w:rPr>
              <w:t>Ulcer area reduction</w:t>
            </w:r>
          </w:p>
        </w:tc>
      </w:tr>
      <w:tr w:rsidR="00D2085D" w14:paraId="0A7E972A" w14:textId="77777777" w:rsidTr="00F377E2">
        <w:tc>
          <w:tcPr>
            <w:tcW w:w="2830" w:type="dxa"/>
            <w:vAlign w:val="center"/>
          </w:tcPr>
          <w:p w14:paraId="48DE5F6A" w14:textId="33DF9E04" w:rsidR="00D2085D" w:rsidRDefault="00D2085D" w:rsidP="00D2085D">
            <w:pPr>
              <w:jc w:val="center"/>
              <w:rPr>
                <w:lang w:val="en-US"/>
              </w:rPr>
            </w:pPr>
            <w:r w:rsidRPr="00773ECA">
              <w:rPr>
                <w:lang w:val="en-US"/>
              </w:rPr>
              <w:t>1 study (II)</w:t>
            </w:r>
          </w:p>
        </w:tc>
        <w:tc>
          <w:tcPr>
            <w:tcW w:w="1700" w:type="dxa"/>
            <w:vAlign w:val="center"/>
          </w:tcPr>
          <w:p w14:paraId="15FF5395" w14:textId="24BDD9E5" w:rsidR="00D2085D" w:rsidRDefault="00D2085D" w:rsidP="00D2085D">
            <w:pPr>
              <w:jc w:val="center"/>
              <w:rPr>
                <w:lang w:val="en-US"/>
              </w:rPr>
            </w:pPr>
            <w:r>
              <w:rPr>
                <w:lang w:val="en-US"/>
              </w:rPr>
              <w:t>6</w:t>
            </w:r>
          </w:p>
        </w:tc>
        <w:tc>
          <w:tcPr>
            <w:tcW w:w="2265" w:type="dxa"/>
            <w:vAlign w:val="center"/>
          </w:tcPr>
          <w:p w14:paraId="7F362815" w14:textId="4D2643C4" w:rsidR="00D2085D" w:rsidRDefault="00D2085D" w:rsidP="00D2085D">
            <w:pPr>
              <w:jc w:val="center"/>
              <w:rPr>
                <w:lang w:val="en-US"/>
              </w:rPr>
            </w:pPr>
            <w:r>
              <w:rPr>
                <w:lang w:val="en-US"/>
              </w:rPr>
              <w:t>Moderate</w:t>
            </w:r>
          </w:p>
        </w:tc>
        <w:tc>
          <w:tcPr>
            <w:tcW w:w="2265" w:type="dxa"/>
            <w:vAlign w:val="center"/>
          </w:tcPr>
          <w:p w14:paraId="5BACAD3B" w14:textId="6078D6E2" w:rsidR="00D2085D" w:rsidRDefault="00D2085D" w:rsidP="00D2085D">
            <w:pPr>
              <w:jc w:val="center"/>
              <w:rPr>
                <w:lang w:val="en-US"/>
              </w:rPr>
            </w:pPr>
            <w:r>
              <w:rPr>
                <w:rFonts w:cs="Arial"/>
                <w:lang w:val="en-US"/>
              </w:rPr>
              <w:fldChar w:fldCharType="begin"/>
            </w:r>
            <w:r>
              <w:rPr>
                <w:rFonts w:cs="Arial"/>
                <w:lang w:val="en-US"/>
              </w:rPr>
              <w:instrText xml:space="preserve"> ADDIN ZOTERO_ITEM CSL_CITATION {"citationID":"0PoxN7OM","properties":{"formattedCitation":"(257)","plainCitation":"(257)","noteIndex":0},"citationItems":[{"id":52948,"uris":["http://zotero.org/users/5328021/items/GI68HM5Z"],"uri":["http://zotero.org/users/5328021/items/GI68HM5Z"],"itemData":{"id":52948,"type":"article-journal","abstract":"BACKGROUND: Despite significant advances, the treatment of diabetic foot ulcers (DFUs) remains a major therapeutic challenge for clinicians, surgeons, and other health care professionals. There is an urgent need for new strategies with clinically effective interventions to treat DFUs to reduce the burden of care in an efficient and cost-effective way.\nOBJECTIVE: This randomized trial evaluated and compared the clinical effectiveness, tolerability, and costs of clostridial collagenase ointment (CCO) debridement to that of debridement using saline moistened gauze (SMG) and selective sharp debridement for the treatment of DFUs.\nMETHODS: Randomized, controlled, parallel group, multicenter, open-label, 12-week study of 48 patients with neuropathic DFUs randomized to 4 weeks of treatment with either CCO or SMG after baseline surgical debridement. The primary end point was the condition of the ulcer bed at the end of treatment as measured using a standardized wound assessment tool. Secondary end points were the percentage of reduction in wound area and therapeutic response rates. Adverse events were monitored for the tolerability analysis. In addition, a comparative cost-effectiveness analysis was performed from the perspective of the Centers for Medicare and Medicaid Services as a payer.\nRESULTS: Both the CCO and SMG groups had significantly improved wound assessment scores after 4 weeks of treatment (CCO, -2.5, P = 0.007; SMG, -3.4, P = 0.006). Only CCO treatment resulted in a statistically significant decrease from baseline in the mean wound area at the end of treatment (P = 0.0164) and at the end of follow-up (P = 0.012). In addition, the CCO group exhibited a significantly better response rate at the end of follow-up compared with the SMG group (0.92 vs 0.75, P &lt; 0.05). Reported adverse events were similar between the 2 treatment groups. None of the reported adverse events were considered to be related to treatment. The economic analysis indicated that the direct mean costs per responder in the physician office setting of care were $832 versus $1042 for the CCO group versus the SMG group, whereas the direct mean costs per responder in the hospital outpatient department setting were $1607 versus $1980.\nCONCLUSIONS: CCO treatment provides equivalent debridement of DFUs similar to SMG while fostering better progress toward healing as measured by decreasing wound area over time and improved response rates at the end of follow-up. In addition, CCO yields a more favorable cost-effectiveness ratio in both the physician office and hospital outpatient department settings of care. ClinicalTrials.gov identifier: NCT01056198.","container-title":"Clinical Therapeutics","issue":"11","journalAbbreviation":"Clin Ther","language":"eng","note":"PMID: 24145042","page":"1805-1820","title":"Clinical and economic assessment of diabetic foot ulcer debridement with collagenase: results of a randomized controlled study","volume":"35","author":[{"family":"Tallis","given":"Arthur"},{"family":"Motley","given":"Travis A."},{"family":"Wunderlich","given":"Robert P."},{"family":"Dickerson","given":"Jaime E."},{"family":"Waycaster","given":"Curtis"},{"family":"Slade","given":"Herbert B."},{"literal":"Collagenase Diabetic Foot Ulcer Study Group"}],"issued":{"date-parts":[["2013",11]]}}}],"schema":"https://github.com/citation-style-language/schema/raw/master/csl-citation.json"} </w:instrText>
            </w:r>
            <w:r>
              <w:rPr>
                <w:rFonts w:cs="Arial"/>
                <w:lang w:val="en-US"/>
              </w:rPr>
              <w:fldChar w:fldCharType="separate"/>
            </w:r>
            <w:r w:rsidRPr="00C23FB9">
              <w:rPr>
                <w:rFonts w:cs="Arial"/>
              </w:rPr>
              <w:t>(257)</w:t>
            </w:r>
            <w:r>
              <w:rPr>
                <w:rFonts w:cs="Arial"/>
                <w:lang w:val="en-US"/>
              </w:rPr>
              <w:fldChar w:fldCharType="end"/>
            </w:r>
          </w:p>
        </w:tc>
      </w:tr>
      <w:tr w:rsidR="00F377E2" w14:paraId="685653B7" w14:textId="77777777" w:rsidTr="00F377E2">
        <w:tc>
          <w:tcPr>
            <w:tcW w:w="9060" w:type="dxa"/>
            <w:gridSpan w:val="4"/>
            <w:vAlign w:val="center"/>
          </w:tcPr>
          <w:p w14:paraId="0B160F51" w14:textId="7A112280" w:rsidR="00F377E2" w:rsidRDefault="00F377E2" w:rsidP="00F377E2">
            <w:pPr>
              <w:jc w:val="left"/>
              <w:rPr>
                <w:lang w:val="en-US"/>
              </w:rPr>
            </w:pPr>
            <w:r w:rsidRPr="006658FE">
              <w:rPr>
                <w:b/>
                <w:sz w:val="18"/>
                <w:szCs w:val="18"/>
                <w:lang w:val="en-US"/>
              </w:rPr>
              <w:t>Time to healing</w:t>
            </w:r>
          </w:p>
        </w:tc>
      </w:tr>
      <w:tr w:rsidR="00F377E2" w14:paraId="41DA409B" w14:textId="77777777" w:rsidTr="00F377E2">
        <w:tc>
          <w:tcPr>
            <w:tcW w:w="2830" w:type="dxa"/>
            <w:vAlign w:val="center"/>
          </w:tcPr>
          <w:p w14:paraId="52D683A6" w14:textId="0DA69CE2" w:rsidR="00F377E2" w:rsidRDefault="00F377E2" w:rsidP="00D2085D">
            <w:pPr>
              <w:jc w:val="center"/>
              <w:rPr>
                <w:lang w:val="en-US"/>
              </w:rPr>
            </w:pPr>
            <w:r>
              <w:rPr>
                <w:lang w:val="en-US"/>
              </w:rPr>
              <w:t>2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0A854DED" w14:textId="4BDD4AB0" w:rsidR="00F377E2" w:rsidRDefault="00F377E2" w:rsidP="00D2085D">
            <w:pPr>
              <w:jc w:val="center"/>
              <w:rPr>
                <w:lang w:val="en-US"/>
              </w:rPr>
            </w:pPr>
            <w:r>
              <w:rPr>
                <w:lang w:val="en-US"/>
              </w:rPr>
              <w:t>5,5</w:t>
            </w:r>
          </w:p>
        </w:tc>
        <w:tc>
          <w:tcPr>
            <w:tcW w:w="2265" w:type="dxa"/>
            <w:vMerge w:val="restart"/>
            <w:vAlign w:val="center"/>
          </w:tcPr>
          <w:p w14:paraId="370B2FAD" w14:textId="038731CF" w:rsidR="00F377E2" w:rsidRDefault="00F377E2" w:rsidP="00D2085D">
            <w:pPr>
              <w:jc w:val="center"/>
              <w:rPr>
                <w:lang w:val="en-US"/>
              </w:rPr>
            </w:pPr>
            <w:r>
              <w:rPr>
                <w:lang w:val="en-US"/>
              </w:rPr>
              <w:t>Low</w:t>
            </w:r>
          </w:p>
        </w:tc>
        <w:tc>
          <w:tcPr>
            <w:tcW w:w="2265" w:type="dxa"/>
            <w:vAlign w:val="center"/>
          </w:tcPr>
          <w:p w14:paraId="4330CAA0" w14:textId="748E8CF1"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VCBcfNyI","properties":{"formattedCitation":"(253,256)","plainCitation":"(253,256)","noteIndex":0},"citationItems":[{"id":51567,"uris":["http://zotero.org/users/5328021/items/CABRJWUR"],"uri":["http://zotero.org/users/5328021/items/CABRJWUR"],"itemData":{"id":51567,"type":"article-journal","abstract":"OBJECTIVE: This study aimed to systematically evaluate maggot debridement therapy (MDT) in the treatment of chronically infected wounds and ulcers.\nMETHODS: We performed a meta-analysis referring to the PRISMA statement (Preferred Reporting Items for Systematic Reviews and Meta-Analyses). We searched for published articles in the following databases: PubMed, Web of Science, Embase, Wanfang (Chinese), and the China National Knowledge Infrastructure (CNKI). The latest search was updated on March 14, 2014. For dichotomous outcomes, the effects of MDT were expressed as the relative risk (RR) and 95% confidence interval (CI). For continuous outcomes with different measurement scales, we calculated the standardized mean difference (SMD). The pooled effects were estimated using a fixed effect model or random effect model based on the heterogeneity test. Subgroup analyses were performed according to the types of wounds or ulcers.\nRESULTS: MDT had a significantly increased positive effect on wound healing compared with conventional therapies, with a pooled RR of 1.80 (95% CI 1.24-2.60). The subgroup analysis revealed that the combined RRs were 1.79 (95% CI 0.95-3.38) for patients with diabetic foot ulcers (DFU) and 1.70 (95% CI 1.28-2.27) for patients with other types of ulcers. The time to healing of the ulcers was significantly shorter among patients treated with MDT, with a pooled SMD of -0.95 (95% CI -1.24, -0.65). For patients with DFU, the SMD was -0.79 (95% CI -1.18, -0.41), and for patients with other types of ulcers, the SMD was -1.16 (95% CI -1.63, -0.69).\nCONCLUSION: MDT not only shortened the healing time but also improved the healing rate of chronic ulcers. Therefore, MDT may be a feasible alternative in the treatment of chronic ulcers.","container-title":"International journal of infectious diseases: IJID: official publication of the International Society for Infectious Diseases","journalAbbreviation":"Int. J. Infect. Dis.","language":"eng","note":"PMID: 24841930","page":"32-37","title":"A systematic review of maggot debridement therapy for chronically infected wounds and ulcers","volume":"25","author":[{"family":"Sun","given":"Xinjuan"},{"family":"Jiang","given":"Kechun"},{"family":"Chen","given":"Jingan"},{"family":"Wu","given":"Liang"},{"family":"Lu","given":"Hui"},{"family":"Wang","given":"Aiping"},{"family":"Wang","given":"Jianming"}],"issued":{"date-parts":[["2014",8]]}}},{"id":53042,"uris":["http://zotero.org/users/5328021/items/N6CLMKNS"],"uri":["http://zotero.org/users/5328021/items/N6CLMKNS"],"itemData":{"id":53042,"type":"article-journal","abstract":"OBJECTIVE: To assess the potential efficacy of maggot debridement therapy (MDT) compared with standard care for diabetic foot ulcers (DFUs).\nMETHOD: A meta-analysis was performed on the evidence for MDT for DFUs. Databases, including PubMed, Web of Science, the Cochrane Library, EMbase, EBSCOhost, Springer Link, ScienceDirect and Ovid-Medline, were electronically searched for randomised controlled trials, case-control studies and controlled clinical trials, up to 31 December 2012, and relevant references of the included articles were also manually searched. The literature was screened, the data were extracted and the methodological quality of the included studies was assessed. Meta-analyses were performed on the included data, for the outcomes healing rate, time to healing, incidence of infection, amputation rate and antibiotic-free days or antibiotics usage.\nRESULTS: Overall, four studies comparing MDT with standard therapy on a total of 356 participants were included. The results of meta-analyses suggested that the MDT group was significantly superior to the control group in the percentage of DFUs to achieve full healing (RR=1.8, 95%CI=1.07; 3.02; p=0.03), amputation rate (RR=0.41, 95%CI=0.20; 0.85; p=0.02), time to healing (RR=-3.70, 95%CI=-5.76; -1.64; p=0.0004) and number of antibiotic-free days (126.8 ± 30.3 days vs 81.9 ± 42.1 days; p=0.001); however, collated differences in incidence of infection after intervention revealed no evidence of a difference between the MDT and control groups (RR=0.82, 95%CI=0.65; 1.04, p=0.10).\nCONCLUSION: Although MDT may be a scientific and effective therapy in treatment of DFUs, the evidence is too weak to routinely recommend it for treatment. Large studies and sample sizes are needed to assess the efficacy and safety of MDT in the treatment of DFUs.\nDECLARATION OF INTEREST: There were no external sources of funding for this study. The authors have no conflicts of interest to declare with regard to this work or its contents. X. Tian and X.M. Liang contributed equally to this work.","container-title":"Journal of Wound Care","issue":"9","journalAbbreviation":"J Wound Care","language":"eng","note":"PMID: 24005780","page":"462-469","title":"Maggot debridement therapy for the treatment of diabetic foot ulcers: a meta-analysis","volume":"22","author":[{"family":"Tian","given":"X."},{"family":"Liang","given":"X. M."},{"family":"Song","given":"G. M."},{"family":"Zhao","given":"Y."},{"family":"Yang","given":"X. L."}],"issued":{"date-parts":[["2013",9]]}}}],"schema":"https://github.com/citation-style-language/schema/raw/master/csl-citation.json"} </w:instrText>
            </w:r>
            <w:r>
              <w:rPr>
                <w:rFonts w:cs="Arial"/>
                <w:lang w:val="en-US"/>
              </w:rPr>
              <w:fldChar w:fldCharType="separate"/>
            </w:r>
            <w:r w:rsidRPr="00C23FB9">
              <w:rPr>
                <w:rFonts w:cs="Arial"/>
              </w:rPr>
              <w:t>(253,256)</w:t>
            </w:r>
            <w:r>
              <w:rPr>
                <w:rFonts w:cs="Arial"/>
                <w:lang w:val="en-US"/>
              </w:rPr>
              <w:fldChar w:fldCharType="end"/>
            </w:r>
          </w:p>
        </w:tc>
      </w:tr>
      <w:tr w:rsidR="00F377E2" w14:paraId="6026BB6B" w14:textId="77777777" w:rsidTr="00F377E2">
        <w:tc>
          <w:tcPr>
            <w:tcW w:w="2830" w:type="dxa"/>
            <w:vAlign w:val="center"/>
          </w:tcPr>
          <w:p w14:paraId="246982D7" w14:textId="1BC1E2FA" w:rsidR="00F377E2" w:rsidRDefault="00F377E2" w:rsidP="00D2085D">
            <w:pPr>
              <w:jc w:val="center"/>
              <w:rPr>
                <w:lang w:val="en-US"/>
              </w:rPr>
            </w:pPr>
            <w:r w:rsidRPr="00773ECA">
              <w:rPr>
                <w:color w:val="9A9B9D" w:themeColor="text1" w:themeTint="99"/>
                <w:lang w:val="en-US"/>
              </w:rPr>
              <w:t>1 study (II)</w:t>
            </w:r>
          </w:p>
        </w:tc>
        <w:tc>
          <w:tcPr>
            <w:tcW w:w="1700" w:type="dxa"/>
            <w:vAlign w:val="center"/>
          </w:tcPr>
          <w:p w14:paraId="7ECD41AD" w14:textId="782D5A2C" w:rsidR="00F377E2" w:rsidRDefault="00F377E2" w:rsidP="00D2085D">
            <w:pPr>
              <w:jc w:val="center"/>
              <w:rPr>
                <w:lang w:val="en-US"/>
              </w:rPr>
            </w:pPr>
            <w:r w:rsidRPr="002149A6">
              <w:rPr>
                <w:color w:val="9A9B9D" w:themeColor="text1" w:themeTint="99"/>
                <w:lang w:val="en-US"/>
              </w:rPr>
              <w:t>6</w:t>
            </w:r>
          </w:p>
        </w:tc>
        <w:tc>
          <w:tcPr>
            <w:tcW w:w="2265" w:type="dxa"/>
            <w:vMerge/>
            <w:vAlign w:val="center"/>
          </w:tcPr>
          <w:p w14:paraId="235D864E" w14:textId="77777777" w:rsidR="00F377E2" w:rsidRDefault="00F377E2" w:rsidP="00D2085D">
            <w:pPr>
              <w:jc w:val="center"/>
              <w:rPr>
                <w:lang w:val="en-US"/>
              </w:rPr>
            </w:pPr>
          </w:p>
        </w:tc>
        <w:tc>
          <w:tcPr>
            <w:tcW w:w="2265" w:type="dxa"/>
            <w:vAlign w:val="center"/>
          </w:tcPr>
          <w:p w14:paraId="55F62CEF" w14:textId="7EE94384"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1kqKND7X","properties":{"formattedCitation":"(255)","plainCitation":"(255)","noteIndex":0},"citationItems":[{"id":51800,"uris":["http://zotero.org/users/5328021/items/MYG228AS"],"uri":["http://zotero.org/users/5328021/items/MYG228AS"],"itemData":{"id":51800,"type":"article-journal","abstract":"BACKGROUND/OBJECTIVE: Maggot wound therapy (MWT) has been used in various wounds including diabetic foot ulcers, venous leg ulcers, pressure ulcers, and acute surgical wounds. However, the efficacy of MWT therapy has been controversial. We therefore conducted a cohort study and a meta-analysis to assess MWT effects.\nMETHODS: A retrospective cohort study was performed in diabetic foot ulcer (DFU) patients who were treated with MWT or conventional wound therapy (CWT) in Thailand. The Kaplan-Meier curve was applied to estimate the healing probability. A meta-analysis was performed to pool our study with four previous cohort studies identified from Medline and Scopus.\nRESULTS: The estimated incidence of wound healing was 5.7/100 (95% CI: 4.49, 7.32) patients-week, and the median time to healing was 14 weeks. The hazard ratio (HR) of wound healing was 7.87 times significantly higher in the MWT than the CWT (p &lt; 0.001) after adjusting for duration and size of ulcers, ankle brachial index (ABI), and glycated hemoglobin (HbA1c). Meta-analysis was applied and suggested that the treatment effects were moderately heterogeneous {Chi-square = 6.18 [degrees of freedom (d.f.) = 4]; p = 0.186; I(2) = 35.2%}, with the pooled risk ratio (RR) of 1.77 [95% confidence intervals (CI) = 1.01, 3.11], i.e., the chance of wound healing was 20% significantly higher with MWT than CWT. The average costs of treatment in patients with DFU were lower in the MWT group than in the CWT group, with medians of US$292.82 and US$490, respectively.\nCONCLUSION: Our evidence suggests that MWT is significantly better for wound healing and more cost-effective than CWT. An updated meta-analysis or large scale randomized controlled trial (RCT) is required to confirm this effect.","container-title":"Asian Journal of Surgery","issue":"3","journalAbbreviation":"Asian J Surg","language":"eng","note":"PMID: 24382296","page":"138-147","title":"Maggot therapy for chronic ulcer: a retrospective cohort and a meta-analysis","volume":"37","author":[{"family":"Wilasrusmee","given":"Chumpon"},{"family":"Marjareonrungrung","given":"Mongkol"},{"family":"Eamkong","given":"Suwannee"},{"family":"Attia","given":"John"},{"family":"Poprom","given":"Napaphat"},{"family":"Jirasisrithum","given":"Sopon"},{"family":"Thakkinstian","given":"Ammarin"}],"issued":{"date-parts":[["2014",7]]}}}],"schema":"https://github.com/citation-style-language/schema/raw/master/csl-citation.json"} </w:instrText>
            </w:r>
            <w:r>
              <w:rPr>
                <w:rFonts w:cs="Arial"/>
                <w:lang w:val="en-US"/>
              </w:rPr>
              <w:fldChar w:fldCharType="separate"/>
            </w:r>
            <w:r w:rsidRPr="00C23FB9">
              <w:rPr>
                <w:rFonts w:cs="Arial"/>
              </w:rPr>
              <w:t>(255)</w:t>
            </w:r>
            <w:r>
              <w:rPr>
                <w:rFonts w:cs="Arial"/>
                <w:lang w:val="en-US"/>
              </w:rPr>
              <w:fldChar w:fldCharType="end"/>
            </w:r>
          </w:p>
        </w:tc>
      </w:tr>
      <w:tr w:rsidR="00F377E2" w14:paraId="7EF40820" w14:textId="77777777" w:rsidTr="00F377E2">
        <w:tc>
          <w:tcPr>
            <w:tcW w:w="9060" w:type="dxa"/>
            <w:gridSpan w:val="4"/>
            <w:vAlign w:val="center"/>
          </w:tcPr>
          <w:p w14:paraId="30671DEE" w14:textId="00AB0B8F" w:rsidR="00F377E2" w:rsidRDefault="00F377E2" w:rsidP="00F377E2">
            <w:pPr>
              <w:jc w:val="left"/>
              <w:rPr>
                <w:lang w:val="en-US"/>
              </w:rPr>
            </w:pPr>
            <w:r w:rsidRPr="00DD5B6D">
              <w:rPr>
                <w:b/>
                <w:sz w:val="18"/>
                <w:szCs w:val="18"/>
                <w:lang w:val="en-US"/>
              </w:rPr>
              <w:t>Reduction of amputation events</w:t>
            </w:r>
          </w:p>
        </w:tc>
      </w:tr>
      <w:tr w:rsidR="00D2085D" w14:paraId="0E74944F" w14:textId="77777777" w:rsidTr="00F377E2">
        <w:tc>
          <w:tcPr>
            <w:tcW w:w="2830" w:type="dxa"/>
            <w:vAlign w:val="center"/>
          </w:tcPr>
          <w:p w14:paraId="154962DB" w14:textId="2A202C1C" w:rsidR="00D2085D" w:rsidRDefault="00D2085D" w:rsidP="00D2085D">
            <w:pPr>
              <w:jc w:val="center"/>
              <w:rPr>
                <w:lang w:val="en-US"/>
              </w:rPr>
            </w:pPr>
            <w:r>
              <w:rPr>
                <w:lang w:val="en-US"/>
              </w:rPr>
              <w:t>2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3B6232D1" w14:textId="2F490025" w:rsidR="00D2085D" w:rsidRDefault="00D2085D" w:rsidP="00D2085D">
            <w:pPr>
              <w:jc w:val="center"/>
              <w:rPr>
                <w:lang w:val="en-US"/>
              </w:rPr>
            </w:pPr>
            <w:r>
              <w:rPr>
                <w:lang w:val="en-US"/>
              </w:rPr>
              <w:t>6,5</w:t>
            </w:r>
          </w:p>
        </w:tc>
        <w:tc>
          <w:tcPr>
            <w:tcW w:w="2265" w:type="dxa"/>
            <w:vAlign w:val="center"/>
          </w:tcPr>
          <w:p w14:paraId="41444BCD" w14:textId="1E975A58" w:rsidR="00D2085D" w:rsidRDefault="00D2085D" w:rsidP="00D2085D">
            <w:pPr>
              <w:jc w:val="center"/>
              <w:rPr>
                <w:lang w:val="en-US"/>
              </w:rPr>
            </w:pPr>
            <w:r>
              <w:rPr>
                <w:lang w:val="en-US"/>
              </w:rPr>
              <w:t>Moderate</w:t>
            </w:r>
          </w:p>
        </w:tc>
        <w:tc>
          <w:tcPr>
            <w:tcW w:w="2265" w:type="dxa"/>
            <w:vAlign w:val="center"/>
          </w:tcPr>
          <w:p w14:paraId="741CC313" w14:textId="2F719FB6" w:rsidR="00D2085D" w:rsidRDefault="00D2085D" w:rsidP="00D2085D">
            <w:pPr>
              <w:jc w:val="center"/>
              <w:rPr>
                <w:lang w:val="en-US"/>
              </w:rPr>
            </w:pPr>
            <w:r>
              <w:rPr>
                <w:rFonts w:cs="Arial"/>
                <w:lang w:val="en-US"/>
              </w:rPr>
              <w:fldChar w:fldCharType="begin"/>
            </w:r>
            <w:r>
              <w:rPr>
                <w:rFonts w:cs="Arial"/>
                <w:lang w:val="en-US"/>
              </w:rPr>
              <w:instrText xml:space="preserve"> ADDIN ZOTERO_ITEM CSL_CITATION {"citationID":"5TU06c1I","properties":{"formattedCitation":"(254,256)","plainCitation":"(254,256)","noteIndex":0},"citationItems":[{"id":49433,"uris":["http://zotero.org/users/5328021/items/F8EBC4ZB"],"uri":["http://zotero.org/users/5328021/items/F8EBC4ZB"],"itemData":{"id":49433,"type":"article-journal","abstract":"BACKGROUND: Several methods of débridement of diabetic foot ulcers are currently used. The relative efficacy of these methods is not well established.\nMETHODS: This systematic review and meta-analysis was conducted to find the best available evidence for the effect of débridement on diabetic foot wound outcomes. We searched MEDLINE, Embase, Cochrane Central Register of Controlled Trials, Web of Science, and Scopus through October 2011 for randomized controlled studies (RCTs) and observational comparative studies.\nRESULTS: We identified 11 RCTs and three nonrandomized studies reporting on 800 patients. The risk of bias was moderate overall. Meta-analysis of three RCTs showed that autolytic débridement significantly increased the healing rate (relative risk [RR], 1.89; 95% confidence interval [CI] 1.35-2.64). Meta-analysis of four studies (one RCT) showed that larval débridement reduced amputation (RR, 0.43; 95% CI, 0.21-0.88) but did not increase complete healing (RR, 1.27; 95% CI, 0.84-1.91). Surgical débridement was associated with shorter healing time compared with conventional wound care (one RCT). Insufficient evidence was found for comparisons between autolytic and larval débridement (one RCT), between ultrasound-guided and surgical débridement, and between hydrosurgical and surgical débridement.\nCONCLUSIONS: The available literature supports the efficacy of several débridement methods, including surgical, autolytic, and larval débridement. Comparative effectiveness evidence between these methods and supportive evidence for other methods is of low quality due to methodologic limitations and imprecision. Hence, the choice of débridement method at the present time should be based on the available expertise, patient preferences, the clinical context and cost.","container-title":"Journal of Vascular Surgery","issue":"2 Suppl","journalAbbreviation":"J. Vasc. Surg.","language":"eng","note":"PMID: 26804366","page":"37S-45S.e1-2","title":"A systematic review and meta-analysis of débridement methods for chronic diabetic foot ulcers","volume":"63","author":[{"family":"Elraiyah","given":"Tarig"},{"family":"Domecq","given":"Juan Pablo"},{"family":"Prutsky","given":"Gabriela"},{"family":"Tsapas","given":"Apostolos"},{"family":"Nabhan","given":"Mohammed"},{"family":"Frykberg","given":"Robert G."},{"family":"Hasan","given":"Rim"},{"family":"Firwana","given":"Belal"},{"family":"Prokop","given":"Larry J."},{"family":"Murad","given":"Mohammad Hassan"}],"issued":{"date-parts":[["2016",2]]}}},{"id":53042,"uris":["http://zotero.org/users/5328021/items/N6CLMKNS"],"uri":["http://zotero.org/users/5328021/items/N6CLMKNS"],"itemData":{"id":53042,"type":"article-journal","abstract":"OBJECTIVE: To assess the potential efficacy of maggot debridement therapy (MDT) compared with standard care for diabetic foot ulcers (DFUs).\nMETHOD: A meta-analysis was performed on the evidence for MDT for DFUs. Databases, including PubMed, Web of Science, the Cochrane Library, EMbase, EBSCOhost, Springer Link, ScienceDirect and Ovid-Medline, were electronically searched for randomised controlled trials, case-control studies and controlled clinical trials, up to 31 December 2012, and relevant references of the included articles were also manually searched. The literature was screened, the data were extracted and the methodological quality of the included studies was assessed. Meta-analyses were performed on the included data, for the outcomes healing rate, time to healing, incidence of infection, amputation rate and antibiotic-free days or antibiotics usage.\nRESULTS: Overall, four studies comparing MDT with standard therapy on a total of 356 participants were included. The results of meta-analyses suggested that the MDT group was significantly superior to the control group in the percentage of DFUs to achieve full healing (RR=1.8, 95%CI=1.07; 3.02; p=0.03), amputation rate (RR=0.41, 95%CI=0.20; 0.85; p=0.02), time to healing (RR=-3.70, 95%CI=-5.76; -1.64; p=0.0004) and number of antibiotic-free days (126.8 ± 30.3 days vs 81.9 ± 42.1 days; p=0.001); however, collated differences in incidence of infection after intervention revealed no evidence of a difference between the MDT and control groups (RR=0.82, 95%CI=0.65; 1.04, p=0.10).\nCONCLUSION: Although MDT may be a scientific and effective therapy in treatment of DFUs, the evidence is too weak to routinely recommend it for treatment. Large studies and sample sizes are needed to assess the efficacy and safety of MDT in the treatment of DFUs.\nDECLARATION OF INTEREST: There were no external sources of funding for this study. The authors have no conflicts of interest to declare with regard to this work or its contents. X. Tian and X.M. Liang contributed equally to this work.","container-title":"Journal of Wound Care","issue":"9","journalAbbreviation":"J Wound Care","language":"eng","note":"PMID: 24005780","page":"462-469","title":"Maggot debridement therapy for the treatment of diabetic foot ulcers: a meta-analysis","volume":"22","author":[{"family":"Tian","given":"X."},{"family":"Liang","given":"X. M."},{"family":"Song","given":"G. M."},{"family":"Zhao","given":"Y."},{"family":"Yang","given":"X. L."}],"issued":{"date-parts":[["2013",9]]}}}],"schema":"https://github.com/citation-style-language/schema/raw/master/csl-citation.json"} </w:instrText>
            </w:r>
            <w:r>
              <w:rPr>
                <w:rFonts w:cs="Arial"/>
                <w:lang w:val="en-US"/>
              </w:rPr>
              <w:fldChar w:fldCharType="separate"/>
            </w:r>
            <w:r w:rsidRPr="00C23FB9">
              <w:rPr>
                <w:rFonts w:cs="Arial"/>
              </w:rPr>
              <w:t>(254,256)</w:t>
            </w:r>
            <w:r>
              <w:rPr>
                <w:rFonts w:cs="Arial"/>
                <w:lang w:val="en-US"/>
              </w:rPr>
              <w:fldChar w:fldCharType="end"/>
            </w:r>
          </w:p>
        </w:tc>
      </w:tr>
      <w:tr w:rsidR="00F377E2" w14:paraId="79DC9A8A" w14:textId="77777777" w:rsidTr="00F377E2">
        <w:tc>
          <w:tcPr>
            <w:tcW w:w="6795" w:type="dxa"/>
            <w:gridSpan w:val="3"/>
            <w:vAlign w:val="center"/>
          </w:tcPr>
          <w:p w14:paraId="76379F8A" w14:textId="2347EF44" w:rsidR="00F377E2" w:rsidRDefault="00F377E2" w:rsidP="00F377E2">
            <w:pPr>
              <w:jc w:val="left"/>
              <w:rPr>
                <w:lang w:val="en-US"/>
              </w:rPr>
            </w:pPr>
            <w:r w:rsidRPr="002352D7">
              <w:rPr>
                <w:b/>
                <w:sz w:val="18"/>
                <w:szCs w:val="18"/>
                <w:lang w:val="en-US"/>
              </w:rPr>
              <w:t>Cost-effectiveness</w:t>
            </w:r>
          </w:p>
        </w:tc>
        <w:tc>
          <w:tcPr>
            <w:tcW w:w="2265" w:type="dxa"/>
            <w:vAlign w:val="center"/>
          </w:tcPr>
          <w:p w14:paraId="4EF0759B" w14:textId="77777777" w:rsidR="00F377E2" w:rsidRDefault="00F377E2" w:rsidP="00D2085D">
            <w:pPr>
              <w:jc w:val="center"/>
              <w:rPr>
                <w:lang w:val="en-US"/>
              </w:rPr>
            </w:pPr>
          </w:p>
        </w:tc>
      </w:tr>
      <w:tr w:rsidR="00D2085D" w:rsidRPr="00166EC2" w14:paraId="3D22841B" w14:textId="77777777" w:rsidTr="00F377E2">
        <w:tc>
          <w:tcPr>
            <w:tcW w:w="2830" w:type="dxa"/>
            <w:vAlign w:val="center"/>
          </w:tcPr>
          <w:p w14:paraId="222CC7EC" w14:textId="2F14B867" w:rsidR="00D2085D" w:rsidRDefault="00D2085D" w:rsidP="00D2085D">
            <w:pPr>
              <w:jc w:val="center"/>
              <w:rPr>
                <w:lang w:val="en-US"/>
              </w:rPr>
            </w:pPr>
            <w:r>
              <w:rPr>
                <w:lang w:val="en-US"/>
              </w:rPr>
              <w:t>2 studies (</w:t>
            </w:r>
            <w:r>
              <w:rPr>
                <w:rFonts w:asciiTheme="minorHAnsi" w:eastAsia="Times New Roman" w:hAnsiTheme="minorHAnsi" w:cstheme="minorHAnsi"/>
                <w:szCs w:val="20"/>
                <w:lang w:val="en-US"/>
              </w:rPr>
              <w:t>I</w:t>
            </w:r>
            <w:r w:rsidRPr="00504251">
              <w:rPr>
                <w:rFonts w:asciiTheme="minorHAnsi" w:eastAsia="Times New Roman" w:hAnsiTheme="minorHAnsi" w:cstheme="minorHAnsi"/>
                <w:szCs w:val="20"/>
                <w:lang w:val="en-US"/>
              </w:rPr>
              <w:t>I</w:t>
            </w:r>
            <w:r>
              <w:rPr>
                <w:rFonts w:asciiTheme="minorHAnsi" w:eastAsia="Times New Roman" w:hAnsiTheme="minorHAnsi" w:cstheme="minorHAnsi"/>
                <w:szCs w:val="20"/>
                <w:lang w:val="en-US"/>
              </w:rPr>
              <w:t>)</w:t>
            </w:r>
          </w:p>
        </w:tc>
        <w:tc>
          <w:tcPr>
            <w:tcW w:w="1700" w:type="dxa"/>
            <w:vAlign w:val="center"/>
          </w:tcPr>
          <w:p w14:paraId="2AFE7E01" w14:textId="48F3229B" w:rsidR="00D2085D" w:rsidRDefault="00D2085D" w:rsidP="00D2085D">
            <w:pPr>
              <w:jc w:val="center"/>
              <w:rPr>
                <w:lang w:val="en-US"/>
              </w:rPr>
            </w:pPr>
            <w:r>
              <w:rPr>
                <w:lang w:val="en-US"/>
              </w:rPr>
              <w:t>6</w:t>
            </w:r>
          </w:p>
        </w:tc>
        <w:tc>
          <w:tcPr>
            <w:tcW w:w="2265" w:type="dxa"/>
            <w:vAlign w:val="center"/>
          </w:tcPr>
          <w:p w14:paraId="0034BAF8" w14:textId="32837052" w:rsidR="00D2085D" w:rsidRDefault="00D2085D" w:rsidP="00D2085D">
            <w:pPr>
              <w:jc w:val="center"/>
              <w:rPr>
                <w:lang w:val="en-US"/>
              </w:rPr>
            </w:pPr>
            <w:r>
              <w:rPr>
                <w:lang w:val="en-US"/>
              </w:rPr>
              <w:t>Moderate</w:t>
            </w:r>
          </w:p>
        </w:tc>
        <w:tc>
          <w:tcPr>
            <w:tcW w:w="2265" w:type="dxa"/>
            <w:vAlign w:val="center"/>
          </w:tcPr>
          <w:p w14:paraId="01F55DF7" w14:textId="7778D5B9" w:rsidR="00D2085D" w:rsidRDefault="00D2085D" w:rsidP="00D2085D">
            <w:pPr>
              <w:jc w:val="center"/>
              <w:rPr>
                <w:lang w:val="en-US"/>
              </w:rPr>
            </w:pPr>
            <w:r>
              <w:rPr>
                <w:rFonts w:cs="Arial"/>
                <w:lang w:val="en-US"/>
              </w:rPr>
              <w:fldChar w:fldCharType="begin"/>
            </w:r>
            <w:r>
              <w:rPr>
                <w:rFonts w:cs="Arial"/>
                <w:lang w:val="en-US"/>
              </w:rPr>
              <w:instrText xml:space="preserve"> ADDIN ZOTERO_ITEM CSL_CITATION {"citationID":"M3hool1g","properties":{"formattedCitation":"(255,257)","plainCitation":"(255,257)","noteIndex":0},"citationItems":[{"id":51800,"uris":["http://zotero.org/users/5328021/items/MYG228AS"],"uri":["http://zotero.org/users/5328021/items/MYG228AS"],"itemData":{"id":51800,"type":"article-journal","abstract":"BACKGROUND/OBJECTIVE: Maggot wound therapy (MWT) has been used in various wounds including diabetic foot ulcers, venous leg ulcers, pressure ulcers, and acute surgical wounds. However, the efficacy of MWT therapy has been controversial. We therefore conducted a cohort study and a meta-analysis to assess MWT effects.\nMETHODS: A retrospective cohort study was performed in diabetic foot ulcer (DFU) patients who were treated with MWT or conventional wound therapy (CWT) in Thailand. The Kaplan-Meier curve was applied to estimate the healing probability. A meta-analysis was performed to pool our study with four previous cohort studies identified from Medline and Scopus.\nRESULTS: The estimated incidence of wound healing was 5.7/100 (95% CI: 4.49, 7.32) patients-week, and the median time to healing was 14 weeks. The hazard ratio (HR) of wound healing was 7.87 times significantly higher in the MWT than the CWT (p &lt; 0.001) after adjusting for duration and size of ulcers, ankle brachial index (ABI), and glycated hemoglobin (HbA1c). Meta-analysis was applied and suggested that the treatment effects were moderately heterogeneous {Chi-square = 6.18 [degrees of freedom (d.f.) = 4]; p = 0.186; I(2) = 35.2%}, with the pooled risk ratio (RR) of 1.77 [95% confidence intervals (CI) = 1.01, 3.11], i.e., the chance of wound healing was 20% significantly higher with MWT than CWT. The average costs of treatment in patients with DFU were lower in the MWT group than in the CWT group, with medians of US$292.82 and US$490, respectively.\nCONCLUSION: Our evidence suggests that MWT is significantly better for wound healing and more cost-effective than CWT. An updated meta-analysis or large scale randomized controlled trial (RCT) is required to confirm this effect.","container-title":"Asian Journal of Surgery","issue":"3","journalAbbreviation":"Asian J Surg","language":"eng","note":"PMID: 24382296","page":"138-147","title":"Maggot therapy for chronic ulcer: a retrospective cohort and a meta-analysis","volume":"37","author":[{"family":"Wilasrusmee","given":"Chumpon"},{"family":"Marjareonrungrung","given":"Mongkol"},{"family":"Eamkong","given":"Suwannee"},{"family":"Attia","given":"John"},{"family":"Poprom","given":"Napaphat"},{"family":"Jirasisrithum","given":"Sopon"},{"family":"Thakkinstian","given":"Ammarin"}],"issued":{"date-parts":[["2014",7]]}}},{"id":52948,"uris":["http://zotero.org/users/5328021/items/GI68HM5Z"],"uri":["http://zotero.org/users/5328021/items/GI68HM5Z"],"itemData":{"id":52948,"type":"article-journal","abstract":"BACKGROUND: Despite significant advances, the treatment of diabetic foot ulcers (DFUs) remains a major therapeutic challenge for clinicians, surgeons, and other health care professionals. There is an urgent need for new strategies with clinically effective interventions to treat DFUs to reduce the burden of care in an efficient and cost-effective way.\nOBJECTIVE: This randomized trial evaluated and compared the clinical effectiveness, tolerability, and costs of clostridial collagenase ointment (CCO) debridement to that of debridement using saline moistened gauze (SMG) and selective sharp debridement for the treatment of DFUs.\nMETHODS: Randomized, controlled, parallel group, multicenter, open-label, 12-week study of 48 patients with neuropathic DFUs randomized to 4 weeks of treatment with either CCO or SMG after baseline surgical debridement. The primary end point was the condition of the ulcer bed at the end of treatment as measured using a standardized wound assessment tool. Secondary end points were the percentage of reduction in wound area and therapeutic response rates. Adverse events were monitored for the tolerability analysis. In addition, a comparative cost-effectiveness analysis was performed from the perspective of the Centers for Medicare and Medicaid Services as a payer.\nRESULTS: Both the CCO and SMG groups had significantly improved wound assessment scores after 4 weeks of treatment (CCO, -2.5, P = 0.007; SMG, -3.4, P = 0.006). Only CCO treatment resulted in a statistically significant decrease from baseline in the mean wound area at the end of treatment (P = 0.0164) and at the end of follow-up (P = 0.012). In addition, the CCO group exhibited a significantly better response rate at the end of follow-up compared with the SMG group (0.92 vs 0.75, P &lt; 0.05). Reported adverse events were similar between the 2 treatment groups. None of the reported adverse events were considered to be related to treatment. The economic analysis indicated that the direct mean costs per responder in the physician office setting of care were $832 versus $1042 for the CCO group versus the SMG group, whereas the direct mean costs per responder in the hospital outpatient department setting were $1607 versus $1980.\nCONCLUSIONS: CCO treatment provides equivalent debridement of DFUs similar to SMG while fostering better progress toward healing as measured by decreasing wound area over time and improved response rates at the end of follow-up. In addition, CCO yields a more favorable cost-effectiveness ratio in both the physician office and hospital outpatient department settings of care. ClinicalTrials.gov identifier: NCT01056198.","container-title":"Clinical Therapeutics","issue":"11","journalAbbreviation":"Clin Ther","language":"eng","note":"PMID: 24145042","page":"1805-1820","title":"Clinical and economic assessment of diabetic foot ulcer debridement with collagenase: results of a randomized controlled study","volume":"35","author":[{"family":"Tallis","given":"Arthur"},{"family":"Motley","given":"Travis A."},{"family":"Wunderlich","given":"Robert P."},{"family":"Dickerson","given":"Jaime E."},{"family":"Waycaster","given":"Curtis"},{"family":"Slade","given":"Herbert B."},{"literal":"Collagenase Diabetic Foot Ulcer Study Group"}],"issued":{"date-parts":[["2013",11]]}}}],"schema":"https://github.com/citation-style-language/schema/raw/master/csl-citation.json"} </w:instrText>
            </w:r>
            <w:r>
              <w:rPr>
                <w:rFonts w:cs="Arial"/>
                <w:lang w:val="en-US"/>
              </w:rPr>
              <w:fldChar w:fldCharType="separate"/>
            </w:r>
            <w:r w:rsidRPr="00A91C12">
              <w:rPr>
                <w:rFonts w:cs="Arial"/>
                <w:lang w:val="en-US"/>
              </w:rPr>
              <w:t>(255,257)</w:t>
            </w:r>
            <w:r>
              <w:rPr>
                <w:rFonts w:cs="Arial"/>
                <w:lang w:val="en-US"/>
              </w:rPr>
              <w:fldChar w:fldCharType="end"/>
            </w:r>
          </w:p>
        </w:tc>
      </w:tr>
      <w:tr w:rsidR="00D2085D" w:rsidRPr="00166EC2" w14:paraId="3E2AED20" w14:textId="77777777" w:rsidTr="00F377E2">
        <w:tc>
          <w:tcPr>
            <w:tcW w:w="9060" w:type="dxa"/>
            <w:gridSpan w:val="4"/>
            <w:shd w:val="clear" w:color="auto" w:fill="D4F1D3" w:themeFill="background2" w:themeFillTint="33"/>
            <w:vAlign w:val="center"/>
          </w:tcPr>
          <w:p w14:paraId="1E0EF071" w14:textId="696A2364" w:rsidR="00D2085D" w:rsidRDefault="00D2085D" w:rsidP="00D2085D">
            <w:pPr>
              <w:jc w:val="center"/>
              <w:rPr>
                <w:lang w:val="en-US"/>
              </w:rPr>
            </w:pPr>
            <w:r>
              <w:rPr>
                <w:b/>
                <w:bCs/>
                <w:color w:val="56575A"/>
                <w:szCs w:val="20"/>
                <w:lang w:val="en-US"/>
              </w:rPr>
              <w:t>Treatment with debridement: enzymatic debridement</w:t>
            </w:r>
          </w:p>
        </w:tc>
      </w:tr>
      <w:tr w:rsidR="00F377E2" w:rsidRPr="00166EC2" w14:paraId="66CAD267" w14:textId="77777777" w:rsidTr="00F377E2">
        <w:tc>
          <w:tcPr>
            <w:tcW w:w="9060" w:type="dxa"/>
            <w:gridSpan w:val="4"/>
            <w:vAlign w:val="center"/>
          </w:tcPr>
          <w:p w14:paraId="4B71C622" w14:textId="703852FF" w:rsidR="00F377E2" w:rsidRDefault="00F377E2" w:rsidP="00F377E2">
            <w:pPr>
              <w:jc w:val="left"/>
              <w:rPr>
                <w:lang w:val="en-US"/>
              </w:rPr>
            </w:pPr>
            <w:r w:rsidRPr="006658FE">
              <w:rPr>
                <w:b/>
                <w:sz w:val="18"/>
                <w:szCs w:val="18"/>
                <w:lang w:val="en-US"/>
              </w:rPr>
              <w:t xml:space="preserve">Ulcer </w:t>
            </w:r>
            <w:r>
              <w:rPr>
                <w:b/>
                <w:sz w:val="18"/>
                <w:szCs w:val="18"/>
                <w:lang w:val="en-US"/>
              </w:rPr>
              <w:t>healing</w:t>
            </w:r>
          </w:p>
        </w:tc>
      </w:tr>
      <w:tr w:rsidR="00D2085D" w14:paraId="2009D0DA" w14:textId="77777777" w:rsidTr="00F377E2">
        <w:tc>
          <w:tcPr>
            <w:tcW w:w="2830" w:type="dxa"/>
            <w:vAlign w:val="center"/>
          </w:tcPr>
          <w:p w14:paraId="75A16497" w14:textId="71B20951" w:rsidR="00D2085D" w:rsidRDefault="00D2085D" w:rsidP="00D2085D">
            <w:pPr>
              <w:jc w:val="center"/>
              <w:rPr>
                <w:lang w:val="en-US"/>
              </w:rPr>
            </w:pPr>
            <w:r w:rsidRPr="0062654A">
              <w:rPr>
                <w:lang w:val="en-US"/>
              </w:rPr>
              <w:t>1 study (I)</w:t>
            </w:r>
          </w:p>
        </w:tc>
        <w:tc>
          <w:tcPr>
            <w:tcW w:w="1700" w:type="dxa"/>
            <w:vAlign w:val="center"/>
          </w:tcPr>
          <w:p w14:paraId="4B9CE120" w14:textId="561C5D03" w:rsidR="00D2085D" w:rsidRDefault="00D2085D" w:rsidP="00D2085D">
            <w:pPr>
              <w:jc w:val="center"/>
              <w:rPr>
                <w:lang w:val="en-US"/>
              </w:rPr>
            </w:pPr>
            <w:r>
              <w:rPr>
                <w:lang w:val="en-US"/>
              </w:rPr>
              <w:t>10</w:t>
            </w:r>
          </w:p>
        </w:tc>
        <w:tc>
          <w:tcPr>
            <w:tcW w:w="2265" w:type="dxa"/>
            <w:vAlign w:val="center"/>
          </w:tcPr>
          <w:p w14:paraId="5C757498" w14:textId="500297AF" w:rsidR="00D2085D" w:rsidRDefault="00D2085D" w:rsidP="00D2085D">
            <w:pPr>
              <w:jc w:val="center"/>
              <w:rPr>
                <w:lang w:val="en-US"/>
              </w:rPr>
            </w:pPr>
            <w:r>
              <w:rPr>
                <w:lang w:val="en-US"/>
              </w:rPr>
              <w:t>Very high</w:t>
            </w:r>
          </w:p>
        </w:tc>
        <w:tc>
          <w:tcPr>
            <w:tcW w:w="2265" w:type="dxa"/>
            <w:vAlign w:val="center"/>
          </w:tcPr>
          <w:p w14:paraId="2106E19C" w14:textId="5BDE733B" w:rsidR="00D2085D" w:rsidRDefault="00D2085D" w:rsidP="00D2085D">
            <w:pPr>
              <w:jc w:val="center"/>
              <w:rPr>
                <w:lang w:val="en-US"/>
              </w:rPr>
            </w:pPr>
            <w:r>
              <w:rPr>
                <w:rFonts w:cs="Arial"/>
                <w:lang w:val="en-US"/>
              </w:rPr>
              <w:fldChar w:fldCharType="begin"/>
            </w:r>
            <w:r>
              <w:rPr>
                <w:rFonts w:cs="Arial"/>
                <w:lang w:val="en-US"/>
              </w:rPr>
              <w:instrText xml:space="preserve"> ADDIN ZOTERO_ITEM CSL_CITATION {"citationID":"EuEQx3Fs","properties":{"formattedCitation":"(254)","plainCitation":"(254)","noteIndex":0},"citationItems":[{"id":49433,"uris":["http://zotero.org/users/5328021/items/F8EBC4ZB"],"uri":["http://zotero.org/users/5328021/items/F8EBC4ZB"],"itemData":{"id":49433,"type":"article-journal","abstract":"BACKGROUND: Several methods of débridement of diabetic foot ulcers are currently used. The relative efficacy of these methods is not well established.\nMETHODS: This systematic review and meta-analysis was conducted to find the best available evidence for the effect of débridement on diabetic foot wound outcomes. We searched MEDLINE, Embase, Cochrane Central Register of Controlled Trials, Web of Science, and Scopus through October 2011 for randomized controlled studies (RCTs) and observational comparative studies.\nRESULTS: We identified 11 RCTs and three nonrandomized studies reporting on 800 patients. The risk of bias was moderate overall. Meta-analysis of three RCTs showed that autolytic débridement significantly increased the healing rate (relative risk [RR], 1.89; 95% confidence interval [CI] 1.35-2.64). Meta-analysis of four studies (one RCT) showed that larval débridement reduced amputation (RR, 0.43; 95% CI, 0.21-0.88) but did not increase complete healing (RR, 1.27; 95% CI, 0.84-1.91). Surgical débridement was associated with shorter healing time compared with conventional wound care (one RCT). Insufficient evidence was found for comparisons between autolytic and larval débridement (one RCT), between ultrasound-guided and surgical débridement, and between hydrosurgical and surgical débridement.\nCONCLUSIONS: The available literature supports the efficacy of several débridement methods, including surgical, autolytic, and larval débridement. Comparative effectiveness evidence between these methods and supportive evidence for other methods is of low quality due to methodologic limitations and imprecision. Hence, the choice of débridement method at the present time should be based on the available expertise, patient preferences, the clinical context and cost.","container-title":"Journal of Vascular Surgery","issue":"2 Suppl","journalAbbreviation":"J. Vasc. Surg.","language":"eng","note":"PMID: 26804366","page":"37S-45S.e1-2","title":"A systematic review and meta-analysis of débridement methods for chronic diabetic foot ulcers","volume":"63","author":[{"family":"Elraiyah","given":"Tarig"},{"family":"Domecq","given":"Juan Pablo"},{"family":"Prutsky","given":"Gabriela"},{"family":"Tsapas","given":"Apostolos"},{"family":"Nabhan","given":"Mohammed"},{"family":"Frykberg","given":"Robert G."},{"family":"Hasan","given":"Rim"},{"family":"Firwana","given":"Belal"},{"family":"Prokop","given":"Larry J."},{"family":"Murad","given":"Mohammad Hassan"}],"issued":{"date-parts":[["2016",2]]}}}],"schema":"https://github.com/citation-style-language/schema/raw/master/csl-citation.json"} </w:instrText>
            </w:r>
            <w:r>
              <w:rPr>
                <w:rFonts w:cs="Arial"/>
                <w:lang w:val="en-US"/>
              </w:rPr>
              <w:fldChar w:fldCharType="separate"/>
            </w:r>
            <w:r w:rsidRPr="00C23FB9">
              <w:rPr>
                <w:rFonts w:cs="Arial"/>
              </w:rPr>
              <w:t>(254)</w:t>
            </w:r>
            <w:r>
              <w:rPr>
                <w:rFonts w:cs="Arial"/>
                <w:lang w:val="en-US"/>
              </w:rPr>
              <w:fldChar w:fldCharType="end"/>
            </w:r>
          </w:p>
        </w:tc>
      </w:tr>
      <w:tr w:rsidR="00F377E2" w14:paraId="0CF40D73" w14:textId="77777777" w:rsidTr="00F377E2">
        <w:tc>
          <w:tcPr>
            <w:tcW w:w="9060" w:type="dxa"/>
            <w:gridSpan w:val="4"/>
            <w:vAlign w:val="center"/>
          </w:tcPr>
          <w:p w14:paraId="1CBCAAE0" w14:textId="15296036" w:rsidR="00F377E2" w:rsidRDefault="00F377E2" w:rsidP="00F377E2">
            <w:pPr>
              <w:jc w:val="left"/>
              <w:rPr>
                <w:lang w:val="en-US"/>
              </w:rPr>
            </w:pPr>
            <w:r w:rsidRPr="002352D7">
              <w:rPr>
                <w:b/>
                <w:sz w:val="18"/>
                <w:szCs w:val="18"/>
                <w:lang w:val="en-US"/>
              </w:rPr>
              <w:t>Cost-effectiveness</w:t>
            </w:r>
          </w:p>
        </w:tc>
      </w:tr>
      <w:tr w:rsidR="00D2085D" w:rsidRPr="00166EC2" w14:paraId="0D484488" w14:textId="77777777" w:rsidTr="00F377E2">
        <w:tc>
          <w:tcPr>
            <w:tcW w:w="2830" w:type="dxa"/>
            <w:vAlign w:val="center"/>
          </w:tcPr>
          <w:p w14:paraId="591BBFEE" w14:textId="54DC1AF2" w:rsidR="00D2085D" w:rsidRDefault="00D2085D" w:rsidP="00D2085D">
            <w:pPr>
              <w:jc w:val="center"/>
              <w:rPr>
                <w:lang w:val="en-US"/>
              </w:rPr>
            </w:pPr>
            <w:r w:rsidRPr="0062654A">
              <w:rPr>
                <w:lang w:val="en-US"/>
              </w:rPr>
              <w:t>1 study (III)</w:t>
            </w:r>
          </w:p>
        </w:tc>
        <w:tc>
          <w:tcPr>
            <w:tcW w:w="1700" w:type="dxa"/>
            <w:vAlign w:val="center"/>
          </w:tcPr>
          <w:p w14:paraId="189EFDA2" w14:textId="1B028B8F" w:rsidR="00D2085D" w:rsidRDefault="00D2085D" w:rsidP="00D2085D">
            <w:pPr>
              <w:jc w:val="center"/>
              <w:rPr>
                <w:lang w:val="en-US"/>
              </w:rPr>
            </w:pPr>
            <w:r>
              <w:rPr>
                <w:lang w:val="en-US"/>
              </w:rPr>
              <w:t>3</w:t>
            </w:r>
          </w:p>
        </w:tc>
        <w:tc>
          <w:tcPr>
            <w:tcW w:w="2265" w:type="dxa"/>
            <w:vAlign w:val="center"/>
          </w:tcPr>
          <w:p w14:paraId="2674E01B" w14:textId="4BB0B807" w:rsidR="00D2085D" w:rsidRDefault="00D2085D" w:rsidP="00D2085D">
            <w:pPr>
              <w:jc w:val="center"/>
              <w:rPr>
                <w:lang w:val="en-US"/>
              </w:rPr>
            </w:pPr>
            <w:r>
              <w:rPr>
                <w:lang w:val="en-US"/>
              </w:rPr>
              <w:t>Low</w:t>
            </w:r>
          </w:p>
        </w:tc>
        <w:tc>
          <w:tcPr>
            <w:tcW w:w="2265" w:type="dxa"/>
            <w:vAlign w:val="center"/>
          </w:tcPr>
          <w:p w14:paraId="6CC644BF" w14:textId="5590BE88" w:rsidR="00D2085D" w:rsidRDefault="00D2085D" w:rsidP="00D2085D">
            <w:pPr>
              <w:jc w:val="center"/>
              <w:rPr>
                <w:lang w:val="en-US"/>
              </w:rPr>
            </w:pPr>
            <w:r>
              <w:rPr>
                <w:rFonts w:cs="Arial"/>
                <w:lang w:val="en-US"/>
              </w:rPr>
              <w:fldChar w:fldCharType="begin"/>
            </w:r>
            <w:r>
              <w:rPr>
                <w:rFonts w:cs="Arial"/>
                <w:lang w:val="en-US"/>
              </w:rPr>
              <w:instrText xml:space="preserve"> ADDIN ZOTERO_ITEM CSL_CITATION {"citationID":"28ukQeNU","properties":{"formattedCitation":"(258)","plainCitation":"(258)","noteIndex":0},"citationItems":[{"id":51032,"uris":["http://zotero.org/users/5328021/items/L6WIZ2DR"],"uri":["http://zotero.org/users/5328021/items/L6WIZ2DR"],"itemData":{"id":51032,"type":"article-journal","abstract":"BACKGROUND: Approximately 10%-15% of people with diabetes develop at least one foot ulcer during their lifetime. Treatment of diabetic foot ulcers (DFUs) represents a significant economic burden. Enzymatic debridement with clostridial collagenase ointment (CCO) can be used to remove necrotic tissue from wounds. This study examined the impact of CCO as an effective adjunct therapy to serial sharp debridement (SSD) and assessed the cost-effectiveness of CCO compared with standard DFU treatments over 1 year.\nMETHODS: Adults 18 years or older with a diagnosis of type 1 or type 2 diabetes who had a neuropathic DFU were enrolled in a 12-week, randomized, open-label trial. Patients were randomly assigned to either treatment with CCO + SSD or to investigator-selected supportive care + SSD (Control). A 3-state Markov model with a 1-week cycle length was developed using wound-closure rates from the trial to estimate the number of healed-wound weeks and the expected DFU cost per patient. The 3 states included unhealed, healed, and death. Results were extrapolated to 1 year to estimate the number of healed-wound weeks per treatment and the average cost to achieve epithelialization. The perspective of the analysis was that of the payer, specifically, the third party payer.\nRESULTS: The study sample included 55 patients (28 in CCO group; 27 Control). The majority were men (74.5%) with a mean age of 57.9 years. Projected healing rates were greater for the CCO + SSD group compared to Control (89% vs. 80%, respectively). The expected number of epithelialized weeks accumulated over 1 year was 25% greater in the CCO + SSD group than for Control (35 vs. 28 weeks, respectively). Over a 1-year time horizon, the expected cost per DFU was greater in the Control group than the CCO group ($2,376 vs. $2,099, respectively). The estimated cost per ulcer-free week was 40% higher for Control ($85/closed-wound week) than for CCO + SSD ($61/closed-wound week).\nCONCLUSIONS: CCO + SSD therapy is a cost-effective method of debridement in the management of patients with DFUs, providing better outcomes at a lower cost. Further high quality trials are needed to confirm this finding.\nTRIAL REGISTRATION: This study was registered at ClinicalTrials.gov as NCT01408277.","container-title":"Journal of Foot and Ankle Research","journalAbbreviation":"J Foot Ankle Res","language":"eng","note":"PMID: 25767565\nPMCID: PMC4357050","page":"7","title":"Cost-effectiveness of clostridial collagenase ointment on wound closure in patients with diabetic foot ulcers: economic analysis of results from a multicenter, randomized, open-label trial","volume":"8","author":[{"family":"Motley","given":"Travis A."},{"family":"Gilligan","given":"Adrienne M."},{"family":"Lange","given":"Darrell L."},{"family":"Waycaster","given":"Curtis R."},{"family":"Dickerson","given":"Jaime E."}],"issued":{"date-parts":[["2015"]]}}}],"schema":"https://github.com/citation-style-language/schema/raw/master/csl-citation.json"} </w:instrText>
            </w:r>
            <w:r>
              <w:rPr>
                <w:rFonts w:cs="Arial"/>
                <w:lang w:val="en-US"/>
              </w:rPr>
              <w:fldChar w:fldCharType="separate"/>
            </w:r>
            <w:r w:rsidRPr="00A91C12">
              <w:rPr>
                <w:rFonts w:cs="Arial"/>
                <w:lang w:val="en-US"/>
              </w:rPr>
              <w:t>(258)</w:t>
            </w:r>
            <w:r>
              <w:rPr>
                <w:rFonts w:cs="Arial"/>
                <w:lang w:val="en-US"/>
              </w:rPr>
              <w:fldChar w:fldCharType="end"/>
            </w:r>
          </w:p>
        </w:tc>
      </w:tr>
      <w:tr w:rsidR="00D2085D" w:rsidRPr="00166EC2" w14:paraId="709C7AF5" w14:textId="77777777" w:rsidTr="00F377E2">
        <w:tc>
          <w:tcPr>
            <w:tcW w:w="9060" w:type="dxa"/>
            <w:gridSpan w:val="4"/>
            <w:shd w:val="clear" w:color="auto" w:fill="D4F1D3" w:themeFill="background2" w:themeFillTint="33"/>
            <w:vAlign w:val="center"/>
          </w:tcPr>
          <w:p w14:paraId="16B9CA8F" w14:textId="0019FBAF" w:rsidR="00D2085D" w:rsidRDefault="00D2085D" w:rsidP="00D2085D">
            <w:pPr>
              <w:jc w:val="center"/>
              <w:rPr>
                <w:lang w:val="en-US"/>
              </w:rPr>
            </w:pPr>
            <w:r>
              <w:rPr>
                <w:b/>
                <w:bCs/>
                <w:color w:val="56575A"/>
                <w:szCs w:val="20"/>
                <w:lang w:val="en-US"/>
              </w:rPr>
              <w:t>Treatment with surgical procedures: amputation</w:t>
            </w:r>
          </w:p>
        </w:tc>
      </w:tr>
      <w:tr w:rsidR="00F377E2" w:rsidRPr="00166EC2" w14:paraId="60EA50DE" w14:textId="77777777" w:rsidTr="00F377E2">
        <w:tc>
          <w:tcPr>
            <w:tcW w:w="9060" w:type="dxa"/>
            <w:gridSpan w:val="4"/>
            <w:vAlign w:val="center"/>
          </w:tcPr>
          <w:p w14:paraId="4302E3CF" w14:textId="104318DB" w:rsidR="00F377E2" w:rsidRDefault="00F377E2" w:rsidP="00F377E2">
            <w:pPr>
              <w:jc w:val="left"/>
              <w:rPr>
                <w:lang w:val="en-US"/>
              </w:rPr>
            </w:pPr>
            <w:r>
              <w:rPr>
                <w:b/>
                <w:sz w:val="18"/>
                <w:szCs w:val="18"/>
                <w:lang w:val="en-US"/>
              </w:rPr>
              <w:t>Reduction of the risk of mortality</w:t>
            </w:r>
          </w:p>
        </w:tc>
      </w:tr>
      <w:tr w:rsidR="00F377E2" w14:paraId="6E465B35" w14:textId="77777777" w:rsidTr="00F377E2">
        <w:tc>
          <w:tcPr>
            <w:tcW w:w="2830" w:type="dxa"/>
            <w:vAlign w:val="center"/>
          </w:tcPr>
          <w:p w14:paraId="727A14E8" w14:textId="5973EBA7" w:rsidR="00F377E2" w:rsidRDefault="00F377E2" w:rsidP="00D2085D">
            <w:pPr>
              <w:jc w:val="center"/>
              <w:rPr>
                <w:lang w:val="en-US"/>
              </w:rPr>
            </w:pPr>
            <w:r w:rsidRPr="0062654A">
              <w:rPr>
                <w:lang w:val="en-US"/>
              </w:rPr>
              <w:t>1 study (III)</w:t>
            </w:r>
          </w:p>
        </w:tc>
        <w:tc>
          <w:tcPr>
            <w:tcW w:w="1700" w:type="dxa"/>
            <w:vAlign w:val="center"/>
          </w:tcPr>
          <w:p w14:paraId="50810297" w14:textId="4F243D2F" w:rsidR="00F377E2" w:rsidRDefault="00F377E2" w:rsidP="00D2085D">
            <w:pPr>
              <w:jc w:val="center"/>
              <w:rPr>
                <w:lang w:val="en-US"/>
              </w:rPr>
            </w:pPr>
            <w:r>
              <w:rPr>
                <w:lang w:val="en-US"/>
              </w:rPr>
              <w:t>3</w:t>
            </w:r>
          </w:p>
        </w:tc>
        <w:tc>
          <w:tcPr>
            <w:tcW w:w="2265" w:type="dxa"/>
            <w:vMerge w:val="restart"/>
            <w:vAlign w:val="center"/>
          </w:tcPr>
          <w:p w14:paraId="004D4CFA" w14:textId="3C4C1F5F" w:rsidR="00F377E2" w:rsidRDefault="00F377E2" w:rsidP="00D2085D">
            <w:pPr>
              <w:jc w:val="center"/>
              <w:rPr>
                <w:lang w:val="en-US"/>
              </w:rPr>
            </w:pPr>
            <w:r>
              <w:rPr>
                <w:lang w:val="en-US"/>
              </w:rPr>
              <w:t>Low</w:t>
            </w:r>
          </w:p>
        </w:tc>
        <w:tc>
          <w:tcPr>
            <w:tcW w:w="2265" w:type="dxa"/>
            <w:vAlign w:val="center"/>
          </w:tcPr>
          <w:p w14:paraId="308EB870" w14:textId="4F5C5D8C"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8dFVfkdM","properties":{"formattedCitation":"(259)","plainCitation":"(259)","noteIndex":0},"citationItems":[{"id":53632,"uris":["http://zotero.org/users/5328021/items/TJV97KRG"],"uri":["http://zotero.org/users/5328021/items/TJV97KRG"],"itemData":{"id":53632,"type":"article-journal","abstract":"BACKGROUND: Transtibial amputations (TTA) are performed for recalcitrant or infected ulcers of the midfoot, hindfoot, or ankle. This procedure results in decreased ambulatory status caused by increased oxygen demands and energy expenditure. Partial foot amputations have the advantage of being an end-bearing limb and require less work to walk, theoretically suggesting improved functional outcome. The purpose of this research was to examine the longevity, outcome, and mortality of partial foot amputations as an alternative to TTA.\nMETHODS: Retrospective chart review identified diabetic patients with transmetatarsal, Chopart's, and calcanectomy amputations for osteomyelitis or nonhealing ulcers. A control group consisted of diabetic patients who underwent TTA. A comparison between groups examined mortality, proximal ipsilateral reamputation, and a validated ambulatory functional outcome measure.\nRESULTS: Eighteen TTA patients were enrolled. The 5-year mortality rate was 0.45, one patient required reamputation, and the mean postoperative ambulatory score was 2.8. Twenty-one transmetatarsal patients were enrolled. The 5-year mortality rate was 0.30, two patients required reamputation, and the mean postoperative ambulatory score was 4.3. Ten Chopart's amputation patients were enrolled. The 5-year mortality rate was 0.36, six patients required reamputation, and the mean postoperative ambulatory score was 4.3. Seventeen partial calcanectomy patients were enrolled. The 5-year mortality rate was 0.69, six patients required reamputation, and the mean postoperative ambulatory score was 4.3. Sixteen total calcanectomy patients were enrolled. The 5-year mortality rate was 0.59, five patients required reamputation, and the mean postoperative ambulatory score was 3.3.\nCONCLUSION: TTA is associated with high morbidity and mortality, which suggests that the advantage of partial foot amputations should be investigated. Only transmetatarsal amputations at 1 and 3 years were statistically lower for mortality than TTA. Partial foot amputations at the other levels failed to show statistically improved survivorship. Transmetatarsal and Chopart's amputations had high ambulatory levels and the longest durability, which suggests that these amputations may provide some ambulatory advantage.","container-title":"Foot &amp; Ankle International","issue":"9","journalAbbreviation":"Foot Ankle Int","language":"eng","note":"PMID: 22995256","page":"707-716","title":"Partial foot amputation in patients with diabetic foot ulcers","volume":"33","author":[{"family":"Brown","given":"Matthew L."},{"family":"Tang","given":"Wan"},{"family":"Patel","given":"Amar"},{"family":"Baumhauer","given":"Judith F."}],"issued":{"date-parts":[["2012",9]]}}}],"schema":"https://github.com/citation-style-language/schema/raw/master/csl-citation.json"} </w:instrText>
            </w:r>
            <w:r>
              <w:rPr>
                <w:rFonts w:cs="Arial"/>
                <w:lang w:val="en-US"/>
              </w:rPr>
              <w:fldChar w:fldCharType="separate"/>
            </w:r>
            <w:r w:rsidRPr="00C23FB9">
              <w:rPr>
                <w:rFonts w:cs="Arial"/>
              </w:rPr>
              <w:t>(259)</w:t>
            </w:r>
            <w:r>
              <w:rPr>
                <w:rFonts w:cs="Arial"/>
                <w:lang w:val="en-US"/>
              </w:rPr>
              <w:fldChar w:fldCharType="end"/>
            </w:r>
          </w:p>
        </w:tc>
      </w:tr>
      <w:tr w:rsidR="00F377E2" w14:paraId="7C1A43C1" w14:textId="77777777" w:rsidTr="00F377E2">
        <w:tc>
          <w:tcPr>
            <w:tcW w:w="2830" w:type="dxa"/>
            <w:vAlign w:val="center"/>
          </w:tcPr>
          <w:p w14:paraId="1D42A9E6" w14:textId="257D9C20" w:rsidR="00F377E2" w:rsidRDefault="00F377E2" w:rsidP="00D2085D">
            <w:pPr>
              <w:jc w:val="center"/>
              <w:rPr>
                <w:lang w:val="en-US"/>
              </w:rPr>
            </w:pPr>
            <w:r w:rsidRPr="00711267">
              <w:rPr>
                <w:color w:val="9A9B9D" w:themeColor="text1" w:themeTint="99"/>
                <w:lang w:val="en-US"/>
              </w:rPr>
              <w:t>2 studies (III)</w:t>
            </w:r>
          </w:p>
        </w:tc>
        <w:tc>
          <w:tcPr>
            <w:tcW w:w="1700" w:type="dxa"/>
            <w:vAlign w:val="center"/>
          </w:tcPr>
          <w:p w14:paraId="217CB08D" w14:textId="5EDB506A" w:rsidR="00F377E2" w:rsidRDefault="00F377E2" w:rsidP="00D2085D">
            <w:pPr>
              <w:jc w:val="center"/>
              <w:rPr>
                <w:lang w:val="en-US"/>
              </w:rPr>
            </w:pPr>
            <w:r w:rsidRPr="002149A6">
              <w:rPr>
                <w:color w:val="9A9B9D" w:themeColor="text1" w:themeTint="99"/>
                <w:lang w:val="en-US"/>
              </w:rPr>
              <w:t>3,5</w:t>
            </w:r>
          </w:p>
        </w:tc>
        <w:tc>
          <w:tcPr>
            <w:tcW w:w="2265" w:type="dxa"/>
            <w:vMerge/>
            <w:vAlign w:val="center"/>
          </w:tcPr>
          <w:p w14:paraId="478DDC73" w14:textId="77777777" w:rsidR="00F377E2" w:rsidRDefault="00F377E2" w:rsidP="00D2085D">
            <w:pPr>
              <w:jc w:val="center"/>
              <w:rPr>
                <w:lang w:val="en-US"/>
              </w:rPr>
            </w:pPr>
          </w:p>
        </w:tc>
        <w:tc>
          <w:tcPr>
            <w:tcW w:w="2265" w:type="dxa"/>
            <w:vAlign w:val="center"/>
          </w:tcPr>
          <w:p w14:paraId="284F0FB4" w14:textId="1EA8D5B7"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dYnOyMzI","properties":{"formattedCitation":"(260,261)","plainCitation":"(260,261)","noteIndex":0},"citationItems":[{"id":74128,"uris":["http://zotero.org/users/5328021/items/IFESJAJ3"],"uri":["http://zotero.org/users/5328021/items/IFESJAJ3"],"itemData":{"id":74128,"type":"article-journal","abstract":"BACKGROUND: Major lower extremity amputations remain among the most common procedures performed by vascular surgeons in patients with diabetes and its associated peripheral vascular disease. After major amputation, this population commonly suffers from high readmission rates, increased wound complications, and  conversion to more proximal major amputations. These events impact quality in terms of cost, resources, and subjective quality of life. The aim of this study is to compare outcomes between primary lower extremity above-ankle amputations (primary amputation [PA]) and staged ankle guillotine amputations followed by interval formalization to an above-ankle amputation (staged amputation [SA]) for  nonsalvageable infected diabetic foot disease. METHODS: A retrospective review of all de novo major lower extremity amputations performed by the vascular surgery service at a single institution between January 2014 and March 2017 was performed. Inclusion criteria were diabetic patients with foot gangrene who underwent a major de novo above- or below-knee amputation. Amputations for trauma, acute limb ischemia, or malignancy were excluded. Per institutional practice, SA was performed for uncontrolled infection and/or infection with uncontrolled diabetes, and PA was performed in the absence of active infection and in stable diabetes. The primary outcome measure was 30-day freedom from conversion to a higher level amputation. Secondary outcome measures were 30-day stump complications, 30-day readmissions, 30-day major adverse cardiovascular events, and 30-day mortality. RESULTS: One hundred sixteen patients met the inclusion criteria. Sixty-eight percent were male, 18% were active smokers, 30% had end-stage renal disease, and 22% had congestive heart failure. Sixty-one patients underwent SA, and 55 patients underwent PA. The two cohorts were well-matched by demographics and comorbidities. Consistent with the institutional practice, 57% of SA patients met two or more systemic inflammatory response syndrome criteria at presentation compared with 24% of PA patients (P = .0003). There were no 30-day mortalities. There was no significant difference in major adverse cardiovascular events between the groups (2% vs 4%; SA vs PA, respectively; P = .6). The average length of stay did not significantly differ between SA and PA (mean of 14 +/- 8 days vs 11 +/- 11 days; P = .1). SA patients  had a lower rate of 30-day readmission (7% vs 27%; P = .005) and 30-day unplanned conversion to higher level amputation (2% vs 13%; P = .026) compared with PA patients. CONCLUSIONS: In the setting of infected diabetic foot disease, a staged lower extremity amputation achieves quality outcomes superior to a one-stage amputation, despite the former cohort's greater illness acuity level. SA should be considered in all diabetic patients presenting with active foot infection.","container-title":"Journal of vascular surgery","journalAbbreviation":"J Vasc Surg","language":"eng","note":"PMID: 31901363","title":"Short-term contemporary outcomes for staged versus primary lower limb amputation  in diabetic foot disease.","author":[{"family":"Cheun","given":"Tracy J."},{"family":"Jayakumar","given":"Lalithapriya"},{"family":"Sideman","given":"Matthew J."},{"family":"Ferrer","given":"Lucas"},{"family":"Mitromaras","given":"Christopher"},{"family":"Miserlis","given":"Dimitrios"},{"family":"Davies","given":"Mark G."}],"issued":{"date-parts":[["2019",12,31]]}}},{"id":47137,"uris":["http://zotero.org/users/5328021/items/4UNP6S85"],"uri":["http://zotero.org/users/5328021/items/4UNP6S85"],"itemData":{"id":47137,"type":"article-journal","abstract":"Aim We aim to compare the outcome of diabetic patients with gangrenous toes who were managed initially either by digital amputation or by transmetatarsal amputation. The null hypothesis is that transmetatarsal amputation had less theatre trips and better healing. Materials and Methods A parallel observational comparative study of all diabetic patients who underwent either digital or transmetatarsal amputation in a tertiary referral center from 2002 through 2015. Comorbid conditions, subsequent amputations, hospital stay, and readmission were noted. Results A total of 223 patients underwent minor amputation during the study period, of which 147 patients were diabetic and 76 patients were non-diabetic. Seventy-seven patients had digital amputation and 70 transmetatarsal amputation in diabetic patients. Demographics were similar in both groups. The median time to major amputation was (400 ± IQR 1205 days) in the digital amputation group, compared to 690 ± IQR 891 days in the transmetatarsal amputation group ( P = 0.974). 29.9% of digital amputations and 15.7% of transmetatarsal amputations in diabetic patients, required minor amputations or revision procedures ( P = 0.04). Median length of hospital stay was (20 days, IQR 27) in the digital group and (17 days, IQR17) in the transmetatarsal amputation group ( P = 0.17). Need for re-admission was 48.1% in digital patients compared to 50% in transmetatarsal amputation patients ( P = 0.81). Quality of time spent without symptoms of disease or toxicity of treatment (Q-TWiST) was (315 days, IQR 45) in digital group and (346 days, IQR 48) in the transmetatarsal amputation patients ( P = 0.099). Conclusion Despite the lack of statistical significance, transmetatarsal amputation offered better outcome in the diabetic patients, with less re-intervention rate, shorter hospital stays, less theatre trips, and longer time without toxicity (TWiST).","container-title":"Vascular","issue":"2","journalAbbreviation":"Vascular","language":"eng","note":"PMID: 29020882","page":"142-150","title":"Quality of time spent without symptoms of disease or toxicity of treatment for transmetatarsal amputation versus digital amputation in diabetic patients with digital gangrene","volume":"26","author":[{"family":"Elsherif","given":"Mohamed"},{"family":"Tawfick","given":"Wael"},{"family":"Canning","given":"Patrick"},{"family":"Hynes","given":"Niamh"},{"family":"Sultan","given":"Sherif"}],"issued":{"date-parts":[["2018",4]]}}}],"schema":"https://github.com/citation-style-language/schema/raw/master/csl-citation.json"} </w:instrText>
            </w:r>
            <w:r>
              <w:rPr>
                <w:rFonts w:cs="Arial"/>
                <w:lang w:val="en-US"/>
              </w:rPr>
              <w:fldChar w:fldCharType="separate"/>
            </w:r>
            <w:r w:rsidRPr="00C23FB9">
              <w:rPr>
                <w:rFonts w:cs="Arial"/>
              </w:rPr>
              <w:t>(260,261)</w:t>
            </w:r>
            <w:r>
              <w:rPr>
                <w:rFonts w:cs="Arial"/>
                <w:lang w:val="en-US"/>
              </w:rPr>
              <w:fldChar w:fldCharType="end"/>
            </w:r>
          </w:p>
        </w:tc>
      </w:tr>
      <w:tr w:rsidR="00F377E2" w14:paraId="744EA69F" w14:textId="77777777" w:rsidTr="00F377E2">
        <w:tc>
          <w:tcPr>
            <w:tcW w:w="9060" w:type="dxa"/>
            <w:gridSpan w:val="4"/>
            <w:vAlign w:val="center"/>
          </w:tcPr>
          <w:p w14:paraId="019961EE" w14:textId="34CD722C" w:rsidR="00F377E2" w:rsidRDefault="00F377E2" w:rsidP="00F377E2">
            <w:pPr>
              <w:jc w:val="left"/>
              <w:rPr>
                <w:lang w:val="en-US"/>
              </w:rPr>
            </w:pPr>
            <w:r>
              <w:rPr>
                <w:b/>
                <w:sz w:val="18"/>
                <w:szCs w:val="18"/>
                <w:lang w:val="en-US"/>
              </w:rPr>
              <w:t>Beneficial impact on ambulatory function (</w:t>
            </w:r>
            <w:proofErr w:type="spellStart"/>
            <w:r>
              <w:rPr>
                <w:b/>
                <w:sz w:val="18"/>
                <w:szCs w:val="18"/>
                <w:lang w:val="en-US"/>
              </w:rPr>
              <w:t>QoL</w:t>
            </w:r>
            <w:proofErr w:type="spellEnd"/>
            <w:r>
              <w:rPr>
                <w:b/>
                <w:sz w:val="18"/>
                <w:szCs w:val="18"/>
                <w:lang w:val="en-US"/>
              </w:rPr>
              <w:t>)</w:t>
            </w:r>
          </w:p>
        </w:tc>
      </w:tr>
      <w:tr w:rsidR="00D2085D" w14:paraId="7BA26463" w14:textId="77777777" w:rsidTr="00F377E2">
        <w:tc>
          <w:tcPr>
            <w:tcW w:w="2830" w:type="dxa"/>
            <w:vAlign w:val="center"/>
          </w:tcPr>
          <w:p w14:paraId="303D2ECE" w14:textId="13036817" w:rsidR="00D2085D" w:rsidRDefault="00D2085D" w:rsidP="00D2085D">
            <w:pPr>
              <w:jc w:val="center"/>
              <w:rPr>
                <w:lang w:val="en-US"/>
              </w:rPr>
            </w:pPr>
            <w:r w:rsidRPr="0062654A">
              <w:rPr>
                <w:lang w:val="en-US"/>
              </w:rPr>
              <w:t>1 study (III)</w:t>
            </w:r>
          </w:p>
        </w:tc>
        <w:tc>
          <w:tcPr>
            <w:tcW w:w="1700" w:type="dxa"/>
            <w:vAlign w:val="center"/>
          </w:tcPr>
          <w:p w14:paraId="363953DA" w14:textId="04BCEAB0" w:rsidR="00D2085D" w:rsidRDefault="00D2085D" w:rsidP="00D2085D">
            <w:pPr>
              <w:jc w:val="center"/>
              <w:rPr>
                <w:lang w:val="en-US"/>
              </w:rPr>
            </w:pPr>
            <w:r>
              <w:rPr>
                <w:lang w:val="en-US"/>
              </w:rPr>
              <w:t>4</w:t>
            </w:r>
          </w:p>
        </w:tc>
        <w:tc>
          <w:tcPr>
            <w:tcW w:w="2265" w:type="dxa"/>
            <w:vAlign w:val="center"/>
          </w:tcPr>
          <w:p w14:paraId="5052A2D1" w14:textId="5E841B7B" w:rsidR="00D2085D" w:rsidRDefault="00D2085D" w:rsidP="00D2085D">
            <w:pPr>
              <w:jc w:val="center"/>
              <w:rPr>
                <w:lang w:val="en-US"/>
              </w:rPr>
            </w:pPr>
            <w:r>
              <w:rPr>
                <w:lang w:val="en-US"/>
              </w:rPr>
              <w:t>Low</w:t>
            </w:r>
          </w:p>
        </w:tc>
        <w:tc>
          <w:tcPr>
            <w:tcW w:w="2265" w:type="dxa"/>
            <w:vAlign w:val="center"/>
          </w:tcPr>
          <w:p w14:paraId="0D3D16DA" w14:textId="0D1F2AB5" w:rsidR="00D2085D" w:rsidRDefault="00D2085D" w:rsidP="00D2085D">
            <w:pPr>
              <w:jc w:val="center"/>
              <w:rPr>
                <w:lang w:val="en-US"/>
              </w:rPr>
            </w:pPr>
            <w:r>
              <w:rPr>
                <w:rFonts w:cs="Arial"/>
                <w:lang w:val="en-US"/>
              </w:rPr>
              <w:fldChar w:fldCharType="begin"/>
            </w:r>
            <w:r>
              <w:rPr>
                <w:rFonts w:cs="Arial"/>
                <w:lang w:val="en-US"/>
              </w:rPr>
              <w:instrText xml:space="preserve"> ADDIN ZOTERO_ITEM CSL_CITATION {"citationID":"dY57J4kH","properties":{"formattedCitation":"(262)","plainCitation":"(262)","noteIndex":0},"citationItems":[{"id":45291,"uris":["http://zotero.org/users/5328021/items/7EFUCTVY"],"uri":["http://zotero.org/users/5328021/items/7EFUCTVY"],"itemData":{"id":45291,"type":"article-journal","abstract":"BACKGROUND: The benefits of total transmetatarsal amputation over higher level amputation are well known. However, there are no studies evaluating the effects of first ray- or first two ray-sparing transmetatarsal amputation with flap coverage. The authors evaluated this approach with regard to functional outcome and to identify long-term complications.\nMETHODS: Retrospective data of 59 patients were evaluated according to their surgical method. Complete transmetatarsal amputation with free flap reconstruction was designated as the transmetatarsal amputation group with 27 patients and first ray- or first two ray-preserving transmetatarsal amputation with free flap reconstruction was designated as the ray group, with 32 patients. Demographics, flap outcomes, additional procedures after initial healing, and functional outcomes were measured and evaluated.\nRESULTS: There was no statistically significant difference in demographic distribution and flap outcomes in either group, except for poor blood glucose control in the ray group. Additional procedures after initial healing showed no statistical difference, but the tendency of minor procedures was higher in the ray group. The maximum achieved ambulatory function was significantly better in the ray group, with an ambulatory function score of 4.4 compared with 3.7 in the transmetatarsal amputation group (p = 0.012).\nCONCLUSIONS: The preservation of the first ray or first two rays with free flap reconstruction may functionally benefit the patients despite the higher tendency toward minor procedures after initial healing. Furthermore, the progressive deformity of the preserved first and second toes will inevitably occur, requiring patients to undergo further surgery. Further studies are warranted to evaluate this approach.\nCLINICAL QUESTION/LEVEL OF EVIDENCE: Therapeutic, III.","container-title":"Plastic and Reconstructive Surgery","issue":"1","journalAbbreviation":"Plast. Reconstr. Surg.","language":"eng","note":"PMID: 30286045","page":"294-305","title":"Is Reconstruction Preserving the First Ray or First Two Rays Better Than Full Transmetatarsal Amputation in Diabetic Foot?","volume":"143","author":[{"family":"Suh","given":"Young Chul"},{"family":"Kushida-Contreras","given":"Beatriz Hatsue"},{"family":"Suh","given":"HyunSuk Peter"},{"family":"Lee","given":"Ho Seung"},{"family":"Lee","given":"Woo Je"},{"family":"Lee","given":"Seung Hwan"},{"family":"Hong","given":"Joon Pio Jp"}],"issued":{"date-parts":[["2019"]]}}}],"schema":"https://github.com/citation-style-language/schema/raw/master/csl-citation.json"} </w:instrText>
            </w:r>
            <w:r>
              <w:rPr>
                <w:rFonts w:cs="Arial"/>
                <w:lang w:val="en-US"/>
              </w:rPr>
              <w:fldChar w:fldCharType="separate"/>
            </w:r>
            <w:r w:rsidRPr="00A91C12">
              <w:rPr>
                <w:rFonts w:cs="Arial"/>
                <w:lang w:val="en-US"/>
              </w:rPr>
              <w:t>(262)</w:t>
            </w:r>
            <w:r>
              <w:rPr>
                <w:rFonts w:cs="Arial"/>
                <w:lang w:val="en-US"/>
              </w:rPr>
              <w:fldChar w:fldCharType="end"/>
            </w:r>
          </w:p>
        </w:tc>
      </w:tr>
      <w:tr w:rsidR="00D2085D" w:rsidRPr="00166EC2" w14:paraId="56E0260C" w14:textId="77777777" w:rsidTr="00F377E2">
        <w:tc>
          <w:tcPr>
            <w:tcW w:w="9060" w:type="dxa"/>
            <w:gridSpan w:val="4"/>
            <w:shd w:val="clear" w:color="auto" w:fill="D4F1D3" w:themeFill="background2" w:themeFillTint="33"/>
            <w:vAlign w:val="center"/>
          </w:tcPr>
          <w:p w14:paraId="06611E9D" w14:textId="7652FC55" w:rsidR="00D2085D" w:rsidRDefault="00D2085D" w:rsidP="00D2085D">
            <w:pPr>
              <w:jc w:val="center"/>
              <w:rPr>
                <w:lang w:val="en-US"/>
              </w:rPr>
            </w:pPr>
            <w:r>
              <w:rPr>
                <w:b/>
                <w:bCs/>
                <w:color w:val="56575A"/>
                <w:szCs w:val="20"/>
                <w:lang w:val="en-US"/>
              </w:rPr>
              <w:t>Treatment with surgical procedures: bony surgical offloading</w:t>
            </w:r>
          </w:p>
        </w:tc>
      </w:tr>
      <w:tr w:rsidR="00F377E2" w:rsidRPr="00166EC2" w14:paraId="68A4FD4A" w14:textId="77777777" w:rsidTr="00F377E2">
        <w:tc>
          <w:tcPr>
            <w:tcW w:w="9060" w:type="dxa"/>
            <w:gridSpan w:val="4"/>
            <w:tcBorders>
              <w:right w:val="nil"/>
            </w:tcBorders>
            <w:vAlign w:val="center"/>
          </w:tcPr>
          <w:p w14:paraId="3CB78CE5" w14:textId="65357D8E" w:rsidR="00F377E2" w:rsidRDefault="00F377E2" w:rsidP="00F377E2">
            <w:pPr>
              <w:jc w:val="left"/>
              <w:rPr>
                <w:lang w:val="en-US"/>
              </w:rPr>
            </w:pPr>
            <w:r>
              <w:rPr>
                <w:b/>
                <w:sz w:val="18"/>
                <w:szCs w:val="18"/>
                <w:lang w:val="en-US"/>
              </w:rPr>
              <w:t>Reduction of the risk of mortality</w:t>
            </w:r>
          </w:p>
        </w:tc>
      </w:tr>
      <w:tr w:rsidR="00D2085D" w14:paraId="0203E0E5" w14:textId="77777777" w:rsidTr="00F377E2">
        <w:tc>
          <w:tcPr>
            <w:tcW w:w="2830" w:type="dxa"/>
            <w:vAlign w:val="center"/>
          </w:tcPr>
          <w:p w14:paraId="71FCE3D9" w14:textId="6BC9693B" w:rsidR="00D2085D" w:rsidRDefault="00D2085D" w:rsidP="00D2085D">
            <w:pPr>
              <w:jc w:val="center"/>
              <w:rPr>
                <w:lang w:val="en-US"/>
              </w:rPr>
            </w:pPr>
            <w:r w:rsidRPr="0062654A">
              <w:rPr>
                <w:lang w:val="en-US"/>
              </w:rPr>
              <w:t>1 study (III)</w:t>
            </w:r>
          </w:p>
        </w:tc>
        <w:tc>
          <w:tcPr>
            <w:tcW w:w="1700" w:type="dxa"/>
            <w:vAlign w:val="center"/>
          </w:tcPr>
          <w:p w14:paraId="0DBDE70F" w14:textId="28D6E004" w:rsidR="00D2085D" w:rsidRDefault="00D2085D" w:rsidP="00D2085D">
            <w:pPr>
              <w:jc w:val="center"/>
              <w:rPr>
                <w:lang w:val="en-US"/>
              </w:rPr>
            </w:pPr>
            <w:r>
              <w:rPr>
                <w:lang w:val="en-US"/>
              </w:rPr>
              <w:t>2</w:t>
            </w:r>
          </w:p>
        </w:tc>
        <w:tc>
          <w:tcPr>
            <w:tcW w:w="2265" w:type="dxa"/>
            <w:vAlign w:val="center"/>
          </w:tcPr>
          <w:p w14:paraId="4955DB3A" w14:textId="565CBC5D" w:rsidR="00D2085D" w:rsidRDefault="00D2085D" w:rsidP="00D2085D">
            <w:pPr>
              <w:jc w:val="center"/>
              <w:rPr>
                <w:lang w:val="en-US"/>
              </w:rPr>
            </w:pPr>
            <w:r>
              <w:rPr>
                <w:lang w:val="en-US"/>
              </w:rPr>
              <w:t>Low</w:t>
            </w:r>
          </w:p>
        </w:tc>
        <w:tc>
          <w:tcPr>
            <w:tcW w:w="2265" w:type="dxa"/>
            <w:tcBorders>
              <w:right w:val="nil"/>
            </w:tcBorders>
            <w:vAlign w:val="center"/>
          </w:tcPr>
          <w:p w14:paraId="7DC8236C" w14:textId="170F5649" w:rsidR="00D2085D" w:rsidRDefault="00FC4B6F" w:rsidP="007B6214">
            <w:pPr>
              <w:jc w:val="center"/>
              <w:rPr>
                <w:lang w:val="en-US"/>
              </w:rPr>
            </w:pPr>
            <w:r>
              <w:rPr>
                <w:rFonts w:cs="Arial"/>
                <w:lang w:val="en-US"/>
              </w:rPr>
              <w:t>(</w:t>
            </w:r>
            <w:r w:rsidR="00D2085D">
              <w:rPr>
                <w:rFonts w:cs="Arial"/>
                <w:lang w:val="en-US"/>
              </w:rPr>
              <w:t>26</w:t>
            </w:r>
            <w:r w:rsidR="007B6214">
              <w:rPr>
                <w:rFonts w:cs="Arial"/>
                <w:lang w:val="en-US"/>
              </w:rPr>
              <w:t>3</w:t>
            </w:r>
            <w:r>
              <w:rPr>
                <w:rFonts w:cs="Arial"/>
                <w:lang w:val="en-US"/>
              </w:rPr>
              <w:t>)</w:t>
            </w:r>
          </w:p>
        </w:tc>
      </w:tr>
      <w:tr w:rsidR="00F377E2" w14:paraId="2B143B75" w14:textId="77777777" w:rsidTr="00F377E2">
        <w:tc>
          <w:tcPr>
            <w:tcW w:w="9060" w:type="dxa"/>
            <w:gridSpan w:val="4"/>
            <w:vAlign w:val="center"/>
          </w:tcPr>
          <w:p w14:paraId="25C90010" w14:textId="4E5E329D" w:rsidR="00F377E2" w:rsidRDefault="00F377E2" w:rsidP="00F377E2">
            <w:pPr>
              <w:jc w:val="left"/>
              <w:rPr>
                <w:lang w:val="en-US"/>
              </w:rPr>
            </w:pPr>
            <w:r w:rsidRPr="0022136F">
              <w:rPr>
                <w:b/>
                <w:sz w:val="18"/>
                <w:szCs w:val="18"/>
                <w:lang w:val="en-US"/>
              </w:rPr>
              <w:t>Time to healing</w:t>
            </w:r>
          </w:p>
        </w:tc>
      </w:tr>
      <w:tr w:rsidR="00F377E2" w14:paraId="096E631F" w14:textId="77777777" w:rsidTr="00F377E2">
        <w:tc>
          <w:tcPr>
            <w:tcW w:w="2830" w:type="dxa"/>
            <w:vAlign w:val="center"/>
          </w:tcPr>
          <w:p w14:paraId="1FB56A35" w14:textId="44A91605" w:rsidR="00F377E2" w:rsidRDefault="00F377E2" w:rsidP="00D2085D">
            <w:pPr>
              <w:jc w:val="center"/>
              <w:rPr>
                <w:lang w:val="en-US"/>
              </w:rPr>
            </w:pPr>
            <w:r>
              <w:rPr>
                <w:lang w:val="en-US"/>
              </w:rPr>
              <w:t>3 studies</w:t>
            </w:r>
            <w:r w:rsidRPr="0062654A">
              <w:rPr>
                <w:lang w:val="en-US"/>
              </w:rPr>
              <w:t xml:space="preserve"> (III)</w:t>
            </w:r>
          </w:p>
        </w:tc>
        <w:tc>
          <w:tcPr>
            <w:tcW w:w="1700" w:type="dxa"/>
            <w:vAlign w:val="center"/>
          </w:tcPr>
          <w:p w14:paraId="0DB82BD4" w14:textId="25BE8D2B" w:rsidR="00F377E2" w:rsidRDefault="00F377E2" w:rsidP="00D2085D">
            <w:pPr>
              <w:jc w:val="center"/>
              <w:rPr>
                <w:lang w:val="en-US"/>
              </w:rPr>
            </w:pPr>
            <w:r>
              <w:rPr>
                <w:lang w:val="en-US"/>
              </w:rPr>
              <w:t>1,6</w:t>
            </w:r>
          </w:p>
        </w:tc>
        <w:tc>
          <w:tcPr>
            <w:tcW w:w="2265" w:type="dxa"/>
            <w:vMerge w:val="restart"/>
            <w:vAlign w:val="center"/>
          </w:tcPr>
          <w:p w14:paraId="6D761CCF" w14:textId="1A3A6BD0" w:rsidR="00F377E2" w:rsidRDefault="00F377E2" w:rsidP="00D2085D">
            <w:pPr>
              <w:jc w:val="center"/>
              <w:rPr>
                <w:lang w:val="en-US"/>
              </w:rPr>
            </w:pPr>
            <w:r>
              <w:rPr>
                <w:lang w:val="en-US"/>
              </w:rPr>
              <w:t>Low</w:t>
            </w:r>
          </w:p>
        </w:tc>
        <w:tc>
          <w:tcPr>
            <w:tcW w:w="2265" w:type="dxa"/>
            <w:vAlign w:val="center"/>
          </w:tcPr>
          <w:p w14:paraId="673C2543" w14:textId="4E46BF16"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Oqcxhdid","properties":{"formattedCitation":"(263\\uc0\\u8211{}265)","plainCitation":"(263–265)","noteIndex":0},"citationItems":[{"id":47616,"uris":["http://zotero.org/users/5328021/items/UEJ552M5"],"uri":["http://zotero.org/users/5328021/items/UEJ552M5"],"itemData":{"id":47616,"type":"article-journal","abstract":"Complications from diabetic foot ulcers often lead to increased patient morbidity. Much debate still ensues concerning surgical versus conservative management of neuropathic diabetic foot ulcerations. The present study assessed and compared the efficacy of metatarsal head resection and medical approach in the treatment of neuropathic diabetic foot ulcers located at the plantar surface of metatarsal heads. In a retrospective cohort study, 24 consecutive neuropathic diabetic foot ulcers in the lower area of the metatarsal heads that had undergone metatarsal head resection were included as the operative group. For the control group, we included 25 similar ulcers that were scheduled for medical therapy. With respect to postoperative complications, wound healing occurred earlier in the operative group, and the recurrence rate was inversely greater in the medical treatment group. Also, the hospitalization rate was significantly greater in the medical treatment group. Overall, the long-term complication rate was lower in the operative than in the medical treatment group. Also, the infection rate was greater in the medical treatment group than in the operative group. Comparing early and late clinical outcomes of metatarsal head resection surgery and medical treatment showed complete superiority for the surgical approach, and metatarsal head resection is more completely cost beneficial than the medical approach.","container-title":"The Journal of Foot and Ankle Surgery: Official Publication of the American College of Foot and Ankle Surgeons","issue":"3","journalAbbreviation":"J Foot Ankle Surg","language":"eng","note":"PMID: 28268140","page":"428-433","title":"Comparison of Metatarsal Head Resection Versus Conservative Care in Treatment of Neuropathic Diabetic Foot Ulcers","volume":"56","author":[{"family":"Kalantar Motamedi","given":"Alireza"},{"family":"Ansari","given":"Mohammad"}],"issued":{"date-parts":[["2017",6]]}}},{"id":51218,"uris":["http://zotero.org/users/5328021/items/ACQAE2M6"],"uri":["http://zotero.org/users/5328021/items/ACQAE2M6"],"itemData":{"id":51218,"type":"article-journal","abstract":"Patients with chronic diabetes can develop plantar hallux ulcerations secondary to neuropathy, increased pressure, and deformity. The present retrospective study evaluated the efficacy of hallux interphalangeal joint (HIPJ) arthroplasty to address recalcitrant ulceration. Two groups of patients with diabetes were compared: a surgical group of 13 patients and a nonsurgical standard therapy group of 13 patients. The patients in the surgical group underwent HIPJ arthroplasty. All the patients in the standard therapy group received local wound care and offloading. The mean duration of follow-up was 19.5 (range 1.2 to 47.9) months, and the mean age was 55 ± 13.0 years. Statistical significance was found in the surgical group for faster time to healing (3.5 weeks [2.5, 4.25] vs 9 weeks [2, 17.29], p = .033) and lower incidence of ulcer recurrence (8% ± 7.69 vs 54% ± 53.85, p = .031). There were also fewer amputations in the surgical group (0% ± 0 vs 38% ± 38.6, p = .063). To our knowledge, only 1 other published study has evaluated HIPJ arthroplasty as a treatment of recalcitrant hallux ulceration. The present study adds comparison data from a nonoperative standard therapy group and found that HIPJ arthroplasty is an effective curative treatment option to address chronic plantar hallux ulcerations in diabetic patients with neuropathy.","container-title":"The Journal of Foot and Ankle Surgery: Official Publication of the American College of Foot and Ankle Surgeons","issue":"4","journalAbbreviation":"J Foot Ankle Surg","language":"eng","note":"PMID: 25441849","page":"541-548","title":"Evaluation of Hallux Interphalangeal Joint Arthroplasty Compared With Nonoperative Treatment of Recalcitrant Hallux Ulceration","volume":"54","author":[{"family":"Lew","given":"Eric"},{"family":"Nicolosi","given":"Nicole"},{"family":"McKee","given":"Patrick"}],"issued":{"date-parts":[["2015",8]]}}},{"id":53074,"uris":["http://zotero.org/users/5328021/items/2EBFLYCV"],"uri":["http://zotero.org/users/5328021/items/2EBFLYCV"],"itemData":{"id":53074,"type":"article-journal","abstract":"AIM OF THE STUDY: The plantar neuropathic ulcer is a classical and frequent complication of a pathology recognized as pandemic by the WHO: diabetes. Even if frequently encountered during medical practice, the neuropathic ulcer remains poorly understood in its pathophysiology. Its treatment is usually long and disappointing, resulting too often in an amputation. Paradoxically, medical literature is particularly scarce on the subject of surgical approaches to the plantar neuropathic ulcer. Beyond the cases of vascular lesions requiring above all a technique of revascularization, we have tested out an original approach enabling the surgical treatment of an overt neuropathic ulcer. Our purpose was to correct the architecture of the foot for a superior distribution of foot support points. We performed subtraction osteotomies ahead of the neuropathic ulcer in order to redress the deformed bone axis. Standing with full weight on the foot is prescribed from the following day of the intervention in almost all cases.\nPATIENTS AND METHODS: We have evaluated the effectiveness of this innovative conservative surgical treatment on neuropathic ulcers of metatarsal heads by comparing it with the usual medical treatment. Two groups of patients have thus been analysed for this retrospective comparative study in order to determinate whether the use of this surgical technique benefits the patient. The studied criteria were healing time, recurrence rate, amputation rate and overall failure rate of the treatment, represented by the occurrence of the event \"recurrence or amputation\".\nRESULTS: All the differences found were in favour of the surgical technique with, in particular, significant differences in healing time, amputation rate and occurrence rate of the event \"recurrence or amputation\". The difference in recurrence rate was also clearly in favour of the surgery group, but it was not significant.\nCONCLUSION: The conservative surgical treatment by proximal osteotomy is therefore an innovative technique enabling a significant improvement in healing time and treatment after-effects of neuropathic ulcers in non-arteritis diabetic patients.","container-title":"Annales De Chirurgie Plastique Et Esthetique","issue":"3","journalAbbreviation":"Ann Chir Plast Esthet","language":"fre","note":"PMID: 23973116","page":"161-169","title":"[Conservative surgical treatment for diabetic foot ulcers under the metatarsal heads. A retrospective case-control study]","volume":"59","author":[{"family":"Vanlerberghe","given":"B."},{"family":"Devemy","given":"F."},{"family":"Duhamel","given":"A."},{"family":"Guerreschi","given":"P."},{"family":"Torabi","given":"D."}],"issued":{"date-parts":[["2014",6]]}}}],"schema":"https://github.com/citation-style-language/schema/raw/master/csl-citation.json"} </w:instrText>
            </w:r>
            <w:r>
              <w:rPr>
                <w:rFonts w:cs="Arial"/>
                <w:lang w:val="en-US"/>
              </w:rPr>
              <w:fldChar w:fldCharType="separate"/>
            </w:r>
            <w:r w:rsidRPr="00A91C12">
              <w:rPr>
                <w:rFonts w:cs="Arial"/>
                <w:szCs w:val="24"/>
              </w:rPr>
              <w:t>(263–265)</w:t>
            </w:r>
            <w:r>
              <w:rPr>
                <w:rFonts w:cs="Arial"/>
                <w:lang w:val="en-US"/>
              </w:rPr>
              <w:fldChar w:fldCharType="end"/>
            </w:r>
          </w:p>
        </w:tc>
      </w:tr>
      <w:tr w:rsidR="00F377E2" w14:paraId="41EC8593" w14:textId="77777777" w:rsidTr="00F377E2">
        <w:tc>
          <w:tcPr>
            <w:tcW w:w="2830" w:type="dxa"/>
            <w:vAlign w:val="center"/>
          </w:tcPr>
          <w:p w14:paraId="5BB7F92B" w14:textId="0B1D957F" w:rsidR="00F377E2" w:rsidRDefault="00F377E2" w:rsidP="00D2085D">
            <w:pPr>
              <w:jc w:val="center"/>
              <w:rPr>
                <w:lang w:val="en-US"/>
              </w:rPr>
            </w:pPr>
            <w:r w:rsidRPr="00D374EB">
              <w:rPr>
                <w:color w:val="9A9B9D" w:themeColor="text1" w:themeTint="99"/>
                <w:lang w:val="en-US"/>
              </w:rPr>
              <w:t>1 study (III)</w:t>
            </w:r>
          </w:p>
        </w:tc>
        <w:tc>
          <w:tcPr>
            <w:tcW w:w="1700" w:type="dxa"/>
            <w:vAlign w:val="center"/>
          </w:tcPr>
          <w:p w14:paraId="3BDEE0D4" w14:textId="08FCEF33" w:rsidR="00F377E2" w:rsidRDefault="00F377E2" w:rsidP="00D2085D">
            <w:pPr>
              <w:jc w:val="center"/>
              <w:rPr>
                <w:lang w:val="en-US"/>
              </w:rPr>
            </w:pPr>
            <w:r w:rsidRPr="002149A6">
              <w:rPr>
                <w:color w:val="9A9B9D" w:themeColor="text1" w:themeTint="99"/>
                <w:lang w:val="en-US"/>
              </w:rPr>
              <w:t>4</w:t>
            </w:r>
          </w:p>
        </w:tc>
        <w:tc>
          <w:tcPr>
            <w:tcW w:w="2265" w:type="dxa"/>
            <w:vMerge/>
            <w:vAlign w:val="center"/>
          </w:tcPr>
          <w:p w14:paraId="706408AB" w14:textId="77777777" w:rsidR="00F377E2" w:rsidRDefault="00F377E2" w:rsidP="00D2085D">
            <w:pPr>
              <w:jc w:val="center"/>
              <w:rPr>
                <w:lang w:val="en-US"/>
              </w:rPr>
            </w:pPr>
          </w:p>
        </w:tc>
        <w:tc>
          <w:tcPr>
            <w:tcW w:w="2265" w:type="dxa"/>
            <w:vAlign w:val="center"/>
          </w:tcPr>
          <w:p w14:paraId="48AD784A" w14:textId="6A7124A2"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yllYw216","properties":{"formattedCitation":"(266)","plainCitation":"(266)","noteIndex":0},"citationItems":[{"id":45082,"uris":["http://zotero.org/users/5328021/items/WEJ7X4MN"],"uri":["http://zotero.org/users/5328021/items/WEJ7X4MN"],"itemData":{"id":45082,"type":"article-journal","abstract":"The aim of this study was to evaluate the recovery time and the development of complications in the dorsal and plantar approach to metatarsal head resections (MHR) in patients with diabetic foot ulcers complicated by osteomyelitis. A retrospective study was carried out involving 108 patients who underwent MHRs for the treatment of diabetic foot osteomyelitis. Two cohorts were defined: dorsal approach with incision closed with sutures and plantar approach with ulcer healed using conservative treatment. The main outcomes were the weeks until healing and complications related to the approaches. Fifty-three patients (49.1%) underwent a plantar approach and 55 (50.9%) a dorsal approach. Both approaches rendered similar healing times. However, the patients undergoing a dorsal approach developed more post-surgical complications than patients treated through a plantar approach. The dorsal approach intervention was performed on smaller and shallower ulcers; however, more complications developed at follow up using this approach than through a plantar approach for MHR complicated with osteomyelitis.","container-title":"International Wound Journal","issue":"2","journalAbbreviation":"Int Wound J","language":"eng","note":"PMID: 30588775","page":"467-472","title":"Complications associated with the approach to metatarsal head resection in diabetic foot osteomyelitis","volume":"16","author":[{"family":"Tardáguila-García","given":"Aroa"},{"family":"Sanz-Corbalán","given":"Irene"},{"family":"Molines-Barroso","given":"Raúl J."},{"family":"Álvaro-Afonso","given":"Francisco J."},{"family":"García-Álvarez","given":"Yolanda"},{"family":"Lázaro-Martínez","given":"José L."}],"issued":{"date-parts":[["2019",4]]}}}],"schema":"https://github.com/citation-style-language/schema/raw/master/csl-citation.json"} </w:instrText>
            </w:r>
            <w:r>
              <w:rPr>
                <w:rFonts w:cs="Arial"/>
                <w:lang w:val="en-US"/>
              </w:rPr>
              <w:fldChar w:fldCharType="separate"/>
            </w:r>
            <w:r w:rsidRPr="00C23FB9">
              <w:rPr>
                <w:rFonts w:cs="Arial"/>
              </w:rPr>
              <w:t>(266)</w:t>
            </w:r>
            <w:r>
              <w:rPr>
                <w:rFonts w:cs="Arial"/>
                <w:lang w:val="en-US"/>
              </w:rPr>
              <w:fldChar w:fldCharType="end"/>
            </w:r>
          </w:p>
        </w:tc>
      </w:tr>
      <w:tr w:rsidR="00F377E2" w14:paraId="7583E639" w14:textId="77777777" w:rsidTr="00F377E2">
        <w:tc>
          <w:tcPr>
            <w:tcW w:w="9060" w:type="dxa"/>
            <w:gridSpan w:val="4"/>
            <w:vAlign w:val="center"/>
          </w:tcPr>
          <w:p w14:paraId="352F6008" w14:textId="58B52B95" w:rsidR="00F377E2" w:rsidRDefault="00F377E2" w:rsidP="00F377E2">
            <w:pPr>
              <w:jc w:val="left"/>
              <w:rPr>
                <w:lang w:val="en-US"/>
              </w:rPr>
            </w:pPr>
            <w:r w:rsidRPr="00DD5B6D">
              <w:rPr>
                <w:b/>
                <w:sz w:val="18"/>
                <w:szCs w:val="18"/>
                <w:lang w:val="en-US"/>
              </w:rPr>
              <w:t>Reduction of amputation events</w:t>
            </w:r>
          </w:p>
        </w:tc>
      </w:tr>
      <w:tr w:rsidR="00D2085D" w14:paraId="49100B2D" w14:textId="77777777" w:rsidTr="00F377E2">
        <w:tc>
          <w:tcPr>
            <w:tcW w:w="2830" w:type="dxa"/>
            <w:vAlign w:val="center"/>
          </w:tcPr>
          <w:p w14:paraId="56FCA366" w14:textId="72CCE4F3" w:rsidR="00D2085D" w:rsidRDefault="00D2085D" w:rsidP="00D2085D">
            <w:pPr>
              <w:jc w:val="center"/>
              <w:rPr>
                <w:lang w:val="en-US"/>
              </w:rPr>
            </w:pPr>
            <w:r>
              <w:rPr>
                <w:lang w:val="en-US"/>
              </w:rPr>
              <w:t>2 studies</w:t>
            </w:r>
            <w:r w:rsidRPr="0062654A">
              <w:rPr>
                <w:lang w:val="en-US"/>
              </w:rPr>
              <w:t xml:space="preserve"> (III)</w:t>
            </w:r>
          </w:p>
        </w:tc>
        <w:tc>
          <w:tcPr>
            <w:tcW w:w="1700" w:type="dxa"/>
            <w:vAlign w:val="center"/>
          </w:tcPr>
          <w:p w14:paraId="35156210" w14:textId="39783963" w:rsidR="00D2085D" w:rsidRDefault="00D2085D" w:rsidP="00D2085D">
            <w:pPr>
              <w:jc w:val="center"/>
              <w:rPr>
                <w:lang w:val="en-US"/>
              </w:rPr>
            </w:pPr>
            <w:r>
              <w:rPr>
                <w:lang w:val="en-US"/>
              </w:rPr>
              <w:t>1,5</w:t>
            </w:r>
          </w:p>
        </w:tc>
        <w:tc>
          <w:tcPr>
            <w:tcW w:w="2265" w:type="dxa"/>
            <w:vAlign w:val="center"/>
          </w:tcPr>
          <w:p w14:paraId="105FC9C5" w14:textId="543E4F39" w:rsidR="00D2085D" w:rsidRDefault="00D2085D" w:rsidP="00D2085D">
            <w:pPr>
              <w:jc w:val="center"/>
              <w:rPr>
                <w:lang w:val="en-US"/>
              </w:rPr>
            </w:pPr>
            <w:r>
              <w:rPr>
                <w:lang w:val="en-US"/>
              </w:rPr>
              <w:t>Low</w:t>
            </w:r>
          </w:p>
        </w:tc>
        <w:tc>
          <w:tcPr>
            <w:tcW w:w="2265" w:type="dxa"/>
            <w:vAlign w:val="center"/>
          </w:tcPr>
          <w:p w14:paraId="45CC48C2" w14:textId="757229C0" w:rsidR="00D2085D" w:rsidRDefault="00D2085D" w:rsidP="00D2085D">
            <w:pPr>
              <w:jc w:val="center"/>
              <w:rPr>
                <w:lang w:val="en-US"/>
              </w:rPr>
            </w:pPr>
            <w:r>
              <w:rPr>
                <w:rFonts w:cs="Arial"/>
                <w:lang w:val="en-US"/>
              </w:rPr>
              <w:fldChar w:fldCharType="begin"/>
            </w:r>
            <w:r>
              <w:rPr>
                <w:rFonts w:cs="Arial"/>
                <w:lang w:val="en-US"/>
              </w:rPr>
              <w:instrText xml:space="preserve"> ADDIN ZOTERO_ITEM CSL_CITATION {"citationID":"SJC6h6Av","properties":{"formattedCitation":"(265,267)","plainCitation":"(265,267)","noteIndex":0},"citationItems":[{"id":53074,"uris":["http://zotero.org/users/5328021/items/2EBFLYCV"],"uri":["http://zotero.org/users/5328021/items/2EBFLYCV"],"itemData":{"id":53074,"type":"article-journal","abstract":"AIM OF THE STUDY: The plantar neuropathic ulcer is a classical and frequent complication of a pathology recognized as pandemic by the WHO: diabetes. Even if frequently encountered during medical practice, the neuropathic ulcer remains poorly understood in its pathophysiology. Its treatment is usually long and disappointing, resulting too often in an amputation. Paradoxically, medical literature is particularly scarce on the subject of surgical approaches to the plantar neuropathic ulcer. Beyond the cases of vascular lesions requiring above all a technique of revascularization, we have tested out an original approach enabling the surgical treatment of an overt neuropathic ulcer. Our purpose was to correct the architecture of the foot for a superior distribution of foot support points. We performed subtraction osteotomies ahead of the neuropathic ulcer in order to redress the deformed bone axis. Standing with full weight on the foot is prescribed from the following day of the intervention in almost all cases.\nPATIENTS AND METHODS: We have evaluated the effectiveness of this innovative conservative surgical treatment on neuropathic ulcers of metatarsal heads by comparing it with the usual medical treatment. Two groups of patients have thus been analysed for this retrospective comparative study in order to determinate whether the use of this surgical technique benefits the patient. The studied criteria were healing time, recurrence rate, amputation rate and overall failure rate of the treatment, represented by the occurrence of the event \"recurrence or amputation\".\nRESULTS: All the differences found were in favour of the surgical technique with, in particular, significant differences in healing time, amputation rate and occurrence rate of the event \"recurrence or amputation\". The difference in recurrence rate was also clearly in favour of the surgery group, but it was not significant.\nCONCLUSION: The conservative surgical treatment by proximal osteotomy is therefore an innovative technique enabling a significant improvement in healing time and treatment after-effects of neuropathic ulcers in non-arteritis diabetic patients.","container-title":"Annales De Chirurgie Plastique Et Esthetique","issue":"3","journalAbbreviation":"Ann Chir Plast Esthet","language":"fre","note":"PMID: 23973116","page":"161-169","title":"[Conservative surgical treatment for diabetic foot ulcers under the metatarsal heads. A retrospective case-control study]","volume":"59","author":[{"family":"Vanlerberghe","given":"B."},{"family":"Devemy","given":"F."},{"family":"Duhamel","given":"A."},{"family":"Guerreschi","given":"P."},{"family":"Torabi","given":"D."}],"issued":{"date-parts":[["2014",6]]}}},{"id":55312,"uris":["http://zotero.org/users/5328021/items/THBK9673"],"uri":["http://zotero.org/users/5328021/items/THBK9673"],"itemData":{"id":55312,"type":"article-journal","abstract":"OBJECTIVE: Diabetes predisposes patients to multiple complications, such as osteomyelitis, which, if not managed adequately, may result in amputation, sepsis, or death. This study aimed to compare the rates of amputation associated with two different treatment plans for osteomyelitis being utilized with a group of Puerto Ricans with diabetes.\nMETHODS: We reviewed the medical records of adult patients with diabetes and osteomyelitis who had been admitted to a community hospital within a two-year timeframe; a total of 169 records were reviewed. Data were analyzed using descriptive statistics, chi-square, odds ratios, and multivariate logistic regression to compare the amputation rate of patients receiving conservative management (antibiotics and/or local care alone) with that of patients receiving combined surgical treatment (any modality consisting of an initial surgical treatment plus antibiotics and/or local care).\nRESULTS: We found a general amputation rate of 34.5%. Amputation was less likely in patients undergoing combined surgical treatment (OR: 0.22; 95% IC: 0.08-0.59) than it was in those patients whose disease management was conservative. In addition, men (OR: 2.09; 95% CI: 1.04-4.23) and non-geriatric patients (OR: 3.38; 95% CI: 1.65-6.94) had higher probabilities of amputation than did women and geriatric patients, respectively.\nCONCLUSION: This study revealed an amputation rate among patients with diabetes that is higher than that reported in the United States (34.5% vs. 11.0% to 20.0%). We also found that the probability of amputation secondary to osteomyelitis among patients with diabetes is two times higher for men and three times higher for non-geriatric patients; combined surgical treatment was associated with a significant reduction (78%) of the probability of amputation.","container-title":"Puerto Rico Health Sciences Journal","issue":"2","journalAbbreviation":"P R Health Sci J","language":"eng","note":"PMID: 21682146","page":"51-57","title":"Outcomes of osteomyelitis in patients with diabetes: conservative vs. combined surgical management in a community hospital in Puerto Rico","volume":"30","author":[{"family":"Maldonado-Rodríguez","given":"Miguel"},{"family":"Cajigas-Feliciano","given":"Yanniris"},{"family":"Torres-Torres","given":"Nancy"}],"issued":{"date-parts":[["2011",6]]}}}],"schema":"https://github.com/citation-style-language/schema/raw/master/csl-citation.json"} </w:instrText>
            </w:r>
            <w:r>
              <w:rPr>
                <w:rFonts w:cs="Arial"/>
                <w:lang w:val="en-US"/>
              </w:rPr>
              <w:fldChar w:fldCharType="separate"/>
            </w:r>
            <w:r w:rsidRPr="00C23FB9">
              <w:rPr>
                <w:rFonts w:cs="Arial"/>
              </w:rPr>
              <w:t>(265,267)</w:t>
            </w:r>
            <w:r>
              <w:rPr>
                <w:rFonts w:cs="Arial"/>
                <w:lang w:val="en-US"/>
              </w:rPr>
              <w:fldChar w:fldCharType="end"/>
            </w:r>
          </w:p>
        </w:tc>
      </w:tr>
      <w:tr w:rsidR="00F377E2" w14:paraId="74A41FB3" w14:textId="77777777" w:rsidTr="00F377E2">
        <w:tc>
          <w:tcPr>
            <w:tcW w:w="9060" w:type="dxa"/>
            <w:gridSpan w:val="4"/>
            <w:vAlign w:val="center"/>
          </w:tcPr>
          <w:p w14:paraId="71841EF2" w14:textId="791BE9A9" w:rsidR="00F377E2" w:rsidRDefault="00F377E2" w:rsidP="00F377E2">
            <w:pPr>
              <w:jc w:val="left"/>
              <w:rPr>
                <w:lang w:val="en-US"/>
              </w:rPr>
            </w:pPr>
            <w:r>
              <w:rPr>
                <w:b/>
                <w:sz w:val="18"/>
                <w:szCs w:val="18"/>
                <w:lang w:val="en-US"/>
              </w:rPr>
              <w:t>Ulcer recurrence</w:t>
            </w:r>
          </w:p>
        </w:tc>
      </w:tr>
      <w:tr w:rsidR="00F377E2" w14:paraId="56771E10" w14:textId="77777777" w:rsidTr="00F377E2">
        <w:tc>
          <w:tcPr>
            <w:tcW w:w="2830" w:type="dxa"/>
            <w:vAlign w:val="center"/>
          </w:tcPr>
          <w:p w14:paraId="568091E6" w14:textId="4215E94D" w:rsidR="00F377E2" w:rsidRDefault="00F377E2" w:rsidP="00D2085D">
            <w:pPr>
              <w:jc w:val="center"/>
              <w:rPr>
                <w:lang w:val="en-US"/>
              </w:rPr>
            </w:pPr>
            <w:r>
              <w:rPr>
                <w:lang w:val="en-US"/>
              </w:rPr>
              <w:t>2 studies</w:t>
            </w:r>
            <w:r w:rsidRPr="0062654A">
              <w:rPr>
                <w:lang w:val="en-US"/>
              </w:rPr>
              <w:t xml:space="preserve"> (III)</w:t>
            </w:r>
          </w:p>
        </w:tc>
        <w:tc>
          <w:tcPr>
            <w:tcW w:w="1700" w:type="dxa"/>
            <w:vAlign w:val="center"/>
          </w:tcPr>
          <w:p w14:paraId="1D6A110E" w14:textId="5DA4127A" w:rsidR="00F377E2" w:rsidRDefault="00F377E2" w:rsidP="00D2085D">
            <w:pPr>
              <w:jc w:val="center"/>
              <w:rPr>
                <w:lang w:val="en-US"/>
              </w:rPr>
            </w:pPr>
            <w:r>
              <w:rPr>
                <w:lang w:val="en-US"/>
              </w:rPr>
              <w:t>2</w:t>
            </w:r>
          </w:p>
        </w:tc>
        <w:tc>
          <w:tcPr>
            <w:tcW w:w="2265" w:type="dxa"/>
            <w:vMerge w:val="restart"/>
            <w:vAlign w:val="center"/>
          </w:tcPr>
          <w:p w14:paraId="091CFA2A" w14:textId="7A65B48C" w:rsidR="00F377E2" w:rsidRDefault="00F377E2" w:rsidP="00D2085D">
            <w:pPr>
              <w:jc w:val="center"/>
              <w:rPr>
                <w:lang w:val="en-US"/>
              </w:rPr>
            </w:pPr>
            <w:r>
              <w:rPr>
                <w:lang w:val="en-US"/>
              </w:rPr>
              <w:t>Low</w:t>
            </w:r>
          </w:p>
        </w:tc>
        <w:tc>
          <w:tcPr>
            <w:tcW w:w="2265" w:type="dxa"/>
            <w:vAlign w:val="center"/>
          </w:tcPr>
          <w:p w14:paraId="37B5D9F3" w14:textId="2ACC6415"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tfFumbK0","properties":{"formattedCitation":"(263,264)","plainCitation":"(263,264)","noteIndex":0},"citationItems":[{"id":47616,"uris":["http://zotero.org/users/5328021/items/UEJ552M5"],"uri":["http://zotero.org/users/5328021/items/UEJ552M5"],"itemData":{"id":47616,"type":"article-journal","abstract":"Complications from diabetic foot ulcers often lead to increased patient morbidity. Much debate still ensues concerning surgical versus conservative management of neuropathic diabetic foot ulcerations. The present study assessed and compared the efficacy of metatarsal head resection and medical approach in the treatment of neuropathic diabetic foot ulcers located at the plantar surface of metatarsal heads. In a retrospective cohort study, 24 consecutive neuropathic diabetic foot ulcers in the lower area of the metatarsal heads that had undergone metatarsal head resection were included as the operative group. For the control group, we included 25 similar ulcers that were scheduled for medical therapy. With respect to postoperative complications, wound healing occurred earlier in the operative group, and the recurrence rate was inversely greater in the medical treatment group. Also, the hospitalization rate was significantly greater in the medical treatment group. Overall, the long-term complication rate was lower in the operative than in the medical treatment group. Also, the infection rate was greater in the medical treatment group than in the operative group. Comparing early and late clinical outcomes of metatarsal head resection surgery and medical treatment showed complete superiority for the surgical approach, and metatarsal head resection is more completely cost beneficial than the medical approach.","container-title":"The Journal of Foot and Ankle Surgery: Official Publication of the American College of Foot and Ankle Surgeons","issue":"3","journalAbbreviation":"J Foot Ankle Surg","language":"eng","note":"PMID: 28268140","page":"428-433","title":"Comparison of Metatarsal Head Resection Versus Conservative Care in Treatment of Neuropathic Diabetic Foot Ulcers","volume":"56","author":[{"family":"Kalantar Motamedi","given":"Alireza"},{"family":"Ansari","given":"Mohammad"}],"issued":{"date-parts":[["2017",6]]}}},{"id":51218,"uris":["http://zotero.org/users/5328021/items/ACQAE2M6"],"uri":["http://zotero.org/users/5328021/items/ACQAE2M6"],"itemData":{"id":51218,"type":"article-journal","abstract":"Patients with chronic diabetes can develop plantar hallux ulcerations secondary to neuropathy, increased pressure, and deformity. The present retrospective study evaluated the efficacy of hallux interphalangeal joint (HIPJ) arthroplasty to address recalcitrant ulceration. Two groups of patients with diabetes were compared: a surgical group of 13 patients and a nonsurgical standard therapy group of 13 patients. The patients in the surgical group underwent HIPJ arthroplasty. All the patients in the standard therapy group received local wound care and offloading. The mean duration of follow-up was 19.5 (range 1.2 to 47.9) months, and the mean age was 55 ± 13.0 years. Statistical significance was found in the surgical group for faster time to healing (3.5 weeks [2.5, 4.25] vs 9 weeks [2, 17.29], p = .033) and lower incidence of ulcer recurrence (8% ± 7.69 vs 54% ± 53.85, p = .031). There were also fewer amputations in the surgical group (0% ± 0 vs 38% ± 38.6, p = .063). To our knowledge, only 1 other published study has evaluated HIPJ arthroplasty as a treatment of recalcitrant hallux ulceration. The present study adds comparison data from a nonoperative standard therapy group and found that HIPJ arthroplasty is an effective curative treatment option to address chronic plantar hallux ulcerations in diabetic patients with neuropathy.","container-title":"The Journal of Foot and Ankle Surgery: Official Publication of the American College of Foot and Ankle Surgeons","issue":"4","journalAbbreviation":"J Foot Ankle Surg","language":"eng","note":"PMID: 25441849","page":"541-548","title":"Evaluation of Hallux Interphalangeal Joint Arthroplasty Compared With Nonoperative Treatment of Recalcitrant Hallux Ulceration","volume":"54","author":[{"family":"Lew","given":"Eric"},{"family":"Nicolosi","given":"Nicole"},{"family":"McKee","given":"Patrick"}],"issued":{"date-parts":[["2015",8]]}}}],"schema":"https://github.com/citation-style-language/schema/raw/master/csl-citation.json"} </w:instrText>
            </w:r>
            <w:r>
              <w:rPr>
                <w:rFonts w:cs="Arial"/>
                <w:lang w:val="en-US"/>
              </w:rPr>
              <w:fldChar w:fldCharType="separate"/>
            </w:r>
            <w:r w:rsidRPr="00C23FB9">
              <w:rPr>
                <w:rFonts w:cs="Arial"/>
              </w:rPr>
              <w:t>(263,264)</w:t>
            </w:r>
            <w:r>
              <w:rPr>
                <w:rFonts w:cs="Arial"/>
                <w:lang w:val="en-US"/>
              </w:rPr>
              <w:fldChar w:fldCharType="end"/>
            </w:r>
          </w:p>
        </w:tc>
      </w:tr>
      <w:tr w:rsidR="00F377E2" w14:paraId="742BA680" w14:textId="77777777" w:rsidTr="00F377E2">
        <w:tc>
          <w:tcPr>
            <w:tcW w:w="2830" w:type="dxa"/>
            <w:vAlign w:val="center"/>
          </w:tcPr>
          <w:p w14:paraId="058635B1" w14:textId="7E2851F7" w:rsidR="00F377E2" w:rsidRDefault="00F377E2" w:rsidP="00D2085D">
            <w:pPr>
              <w:jc w:val="center"/>
              <w:rPr>
                <w:lang w:val="en-US"/>
              </w:rPr>
            </w:pPr>
            <w:r w:rsidRPr="00D374EB">
              <w:rPr>
                <w:color w:val="9A9B9D" w:themeColor="text1" w:themeTint="99"/>
                <w:lang w:val="en-US"/>
              </w:rPr>
              <w:t>1 study (III)</w:t>
            </w:r>
          </w:p>
        </w:tc>
        <w:tc>
          <w:tcPr>
            <w:tcW w:w="1700" w:type="dxa"/>
            <w:vAlign w:val="center"/>
          </w:tcPr>
          <w:p w14:paraId="08C68B6A" w14:textId="6BDD76DA" w:rsidR="00F377E2" w:rsidRDefault="00F377E2" w:rsidP="00D2085D">
            <w:pPr>
              <w:jc w:val="center"/>
              <w:rPr>
                <w:lang w:val="en-US"/>
              </w:rPr>
            </w:pPr>
            <w:r w:rsidRPr="002149A6">
              <w:rPr>
                <w:color w:val="9A9B9D" w:themeColor="text1" w:themeTint="99"/>
                <w:lang w:val="en-US"/>
              </w:rPr>
              <w:t>1</w:t>
            </w:r>
          </w:p>
        </w:tc>
        <w:tc>
          <w:tcPr>
            <w:tcW w:w="2265" w:type="dxa"/>
            <w:vMerge/>
            <w:vAlign w:val="center"/>
          </w:tcPr>
          <w:p w14:paraId="43DF1941" w14:textId="77777777" w:rsidR="00F377E2" w:rsidRDefault="00F377E2" w:rsidP="00D2085D">
            <w:pPr>
              <w:jc w:val="center"/>
              <w:rPr>
                <w:lang w:val="en-US"/>
              </w:rPr>
            </w:pPr>
          </w:p>
        </w:tc>
        <w:tc>
          <w:tcPr>
            <w:tcW w:w="2265" w:type="dxa"/>
            <w:vAlign w:val="center"/>
          </w:tcPr>
          <w:p w14:paraId="60D8B1D8" w14:textId="2A25686E" w:rsidR="00F377E2" w:rsidRDefault="00F377E2" w:rsidP="00D2085D">
            <w:pPr>
              <w:jc w:val="center"/>
              <w:rPr>
                <w:lang w:val="en-US"/>
              </w:rPr>
            </w:pPr>
            <w:r>
              <w:rPr>
                <w:rFonts w:cs="Arial"/>
                <w:lang w:val="en-US"/>
              </w:rPr>
              <w:fldChar w:fldCharType="begin"/>
            </w:r>
            <w:r>
              <w:rPr>
                <w:rFonts w:cs="Arial"/>
                <w:lang w:val="en-US"/>
              </w:rPr>
              <w:instrText xml:space="preserve"> ADDIN ZOTERO_ITEM CSL_CITATION {"citationID":"avO5epJd","properties":{"formattedCitation":"(265)","plainCitation":"(265)","noteIndex":0},"citationItems":[{"id":53074,"uris":["http://zotero.org/users/5328021/items/2EBFLYCV"],"uri":["http://zotero.org/users/5328021/items/2EBFLYCV"],"itemData":{"id":53074,"type":"article-journal","abstract":"AIM OF THE STUDY: The plantar neuropathic ulcer is a classical and frequent complication of a pathology recognized as pandemic by the WHO: diabetes. Even if frequently encountered during medical practice, the neuropathic ulcer remains poorly understood in its pathophysiology. Its treatment is usually long and disappointing, resulting too often in an amputation. Paradoxically, medical literature is particularly scarce on the subject of surgical approaches to the plantar neuropathic ulcer. Beyond the cases of vascular lesions requiring above all a technique of revascularization, we have tested out an original approach enabling the surgical treatment of an overt neuropathic ulcer. Our purpose was to correct the architecture of the foot for a superior distribution of foot support points. We performed subtraction osteotomies ahead of the neuropathic ulcer in order to redress the deformed bone axis. Standing with full weight on the foot is prescribed from the following day of the intervention in almost all cases.\nPATIENTS AND METHODS: We have evaluated the effectiveness of this innovative conservative surgical treatment on neuropathic ulcers of metatarsal heads by comparing it with the usual medical treatment. Two groups of patients have thus been analysed for this retrospective comparative study in order to determinate whether the use of this surgical technique benefits the patient. The studied criteria were healing time, recurrence rate, amputation rate and overall failure rate of the treatment, represented by the occurrence of the event \"recurrence or amputation\".\nRESULTS: All the differences found were in favour of the surgical technique with, in particular, significant differences in healing time, amputation rate and occurrence rate of the event \"recurrence or amputation\". The difference in recurrence rate was also clearly in favour of the surgery group, but it was not significant.\nCONCLUSION: The conservative surgical treatment by proximal osteotomy is therefore an innovative technique enabling a significant improvement in healing time and treatment after-effects of neuropathic ulcers in non-arteritis diabetic patients.","container-title":"Annales De Chirurgie Plastique Et Esthetique","issue":"3","journalAbbreviation":"Ann Chir Plast Esthet","language":"fre","note":"PMID: 23973116","page":"161-169","title":"[Conservative surgical treatment for diabetic foot ulcers under the metatarsal heads. A retrospective case-control study]","volume":"59","author":[{"family":"Vanlerberghe","given":"B."},{"family":"Devemy","given":"F."},{"family":"Duhamel","given":"A."},{"family":"Guerreschi","given":"P."},{"family":"Torabi","given":"D."}],"issued":{"date-parts":[["2014",6]]}}}],"schema":"https://github.com/citation-style-language/schema/raw/master/csl-citation.json"} </w:instrText>
            </w:r>
            <w:r>
              <w:rPr>
                <w:rFonts w:cs="Arial"/>
                <w:lang w:val="en-US"/>
              </w:rPr>
              <w:fldChar w:fldCharType="separate"/>
            </w:r>
            <w:r w:rsidRPr="00C23FB9">
              <w:rPr>
                <w:rFonts w:cs="Arial"/>
              </w:rPr>
              <w:t>(265)</w:t>
            </w:r>
            <w:r>
              <w:rPr>
                <w:rFonts w:cs="Arial"/>
                <w:lang w:val="en-US"/>
              </w:rPr>
              <w:fldChar w:fldCharType="end"/>
            </w:r>
          </w:p>
        </w:tc>
      </w:tr>
      <w:tr w:rsidR="00F377E2" w14:paraId="0347C9A2" w14:textId="77777777" w:rsidTr="00F377E2">
        <w:tc>
          <w:tcPr>
            <w:tcW w:w="9060" w:type="dxa"/>
            <w:gridSpan w:val="4"/>
            <w:vAlign w:val="center"/>
          </w:tcPr>
          <w:p w14:paraId="22070B43" w14:textId="7E872804" w:rsidR="00F377E2" w:rsidRDefault="00F377E2" w:rsidP="00F377E2">
            <w:pPr>
              <w:jc w:val="left"/>
              <w:rPr>
                <w:lang w:val="en-US"/>
              </w:rPr>
            </w:pPr>
            <w:r>
              <w:rPr>
                <w:b/>
                <w:sz w:val="18"/>
                <w:szCs w:val="18"/>
                <w:lang w:val="en-US"/>
              </w:rPr>
              <w:t>Reduction hospitalization rate</w:t>
            </w:r>
          </w:p>
        </w:tc>
      </w:tr>
      <w:tr w:rsidR="00D2085D" w14:paraId="2FC3A78A" w14:textId="77777777" w:rsidTr="00F377E2">
        <w:tc>
          <w:tcPr>
            <w:tcW w:w="2830" w:type="dxa"/>
            <w:vAlign w:val="center"/>
          </w:tcPr>
          <w:p w14:paraId="142CCBDE" w14:textId="1BD49BF1" w:rsidR="00D2085D" w:rsidRDefault="00D2085D" w:rsidP="00D2085D">
            <w:pPr>
              <w:jc w:val="center"/>
              <w:rPr>
                <w:lang w:val="en-US"/>
              </w:rPr>
            </w:pPr>
            <w:r w:rsidRPr="00753D0B">
              <w:rPr>
                <w:lang w:val="en-US"/>
              </w:rPr>
              <w:t>1 study (III)</w:t>
            </w:r>
          </w:p>
        </w:tc>
        <w:tc>
          <w:tcPr>
            <w:tcW w:w="1700" w:type="dxa"/>
            <w:vAlign w:val="center"/>
          </w:tcPr>
          <w:p w14:paraId="1595BA33" w14:textId="466F2B6A" w:rsidR="00D2085D" w:rsidRDefault="00D2085D" w:rsidP="00D2085D">
            <w:pPr>
              <w:jc w:val="center"/>
              <w:rPr>
                <w:lang w:val="en-US"/>
              </w:rPr>
            </w:pPr>
            <w:r>
              <w:rPr>
                <w:lang w:val="en-US"/>
              </w:rPr>
              <w:t>2</w:t>
            </w:r>
          </w:p>
        </w:tc>
        <w:tc>
          <w:tcPr>
            <w:tcW w:w="2265" w:type="dxa"/>
            <w:vAlign w:val="center"/>
          </w:tcPr>
          <w:p w14:paraId="2C14F2FF" w14:textId="31E16A8F" w:rsidR="00D2085D" w:rsidRDefault="00D2085D" w:rsidP="00D2085D">
            <w:pPr>
              <w:jc w:val="center"/>
              <w:rPr>
                <w:lang w:val="en-US"/>
              </w:rPr>
            </w:pPr>
            <w:r>
              <w:rPr>
                <w:lang w:val="en-US"/>
              </w:rPr>
              <w:t>Low</w:t>
            </w:r>
          </w:p>
        </w:tc>
        <w:tc>
          <w:tcPr>
            <w:tcW w:w="2265" w:type="dxa"/>
            <w:vAlign w:val="center"/>
          </w:tcPr>
          <w:p w14:paraId="3ABAEA84" w14:textId="2FC1BCC1" w:rsidR="00D2085D" w:rsidRDefault="00D2085D" w:rsidP="00D2085D">
            <w:pPr>
              <w:jc w:val="center"/>
              <w:rPr>
                <w:lang w:val="en-US"/>
              </w:rPr>
            </w:pPr>
            <w:r>
              <w:rPr>
                <w:rFonts w:cs="Arial"/>
                <w:lang w:val="en-US"/>
              </w:rPr>
              <w:fldChar w:fldCharType="begin"/>
            </w:r>
            <w:r>
              <w:rPr>
                <w:rFonts w:cs="Arial"/>
                <w:lang w:val="en-US"/>
              </w:rPr>
              <w:instrText xml:space="preserve"> ADDIN ZOTERO_ITEM CSL_CITATION {"citationID":"4xtCP13d","properties":{"formattedCitation":"(263)","plainCitation":"(263)","noteIndex":0},"citationItems":[{"id":47616,"uris":["http://zotero.org/users/5328021/items/UEJ552M5"],"uri":["http://zotero.org/users/5328021/items/UEJ552M5"],"itemData":{"id":47616,"type":"article-journal","abstract":"Complications from diabetic foot ulcers often lead to increased patient morbidity. Much debate still ensues concerning surgical versus conservative management of neuropathic diabetic foot ulcerations. The present study assessed and compared the efficacy of metatarsal head resection and medical approach in the treatment of neuropathic diabetic foot ulcers located at the plantar surface of metatarsal heads. In a retrospective cohort study, 24 consecutive neuropathic diabetic foot ulcers in the lower area of the metatarsal heads that had undergone metatarsal head resection were included as the operative group. For the control group, we included 25 similar ulcers that were scheduled for medical therapy. With respect to postoperative complications, wound healing occurred earlier in the operative group, and the recurrence rate was inversely greater in the medical treatment group. Also, the hospitalization rate was significantly greater in the medical treatment group. Overall, the long-term complication rate was lower in the operative than in the medical treatment group. Also, the infection rate was greater in the medical treatment group than in the operative group. Comparing early and late clinical outcomes of metatarsal head resection surgery and medical treatment showed complete superiority for the surgical approach, and metatarsal head resection is more completely cost beneficial than the medical approach.","container-title":"The Journal of Foot and Ankle Surgery: Official Publication of the American College of Foot and Ankle Surgeons","issue":"3","journalAbbreviation":"J Foot Ankle Surg","language":"eng","note":"PMID: 28268140","page":"428-433","title":"Comparison of Metatarsal Head Resection Versus Conservative Care in Treatment of Neuropathic Diabetic Foot Ulcers","volume":"56","author":[{"family":"Kalantar Motamedi","given":"Alireza"},{"family":"Ansari","given":"Mohammad"}],"issued":{"date-parts":[["2017",6]]}}}],"schema":"https://github.com/citation-style-language/schema/raw/master/csl-citation.json"} </w:instrText>
            </w:r>
            <w:r>
              <w:rPr>
                <w:rFonts w:cs="Arial"/>
                <w:lang w:val="en-US"/>
              </w:rPr>
              <w:fldChar w:fldCharType="separate"/>
            </w:r>
            <w:r w:rsidRPr="00A91C12">
              <w:rPr>
                <w:rFonts w:cs="Arial"/>
                <w:lang w:val="en-US"/>
              </w:rPr>
              <w:t>(263)</w:t>
            </w:r>
            <w:r>
              <w:rPr>
                <w:rFonts w:cs="Arial"/>
                <w:lang w:val="en-US"/>
              </w:rPr>
              <w:fldChar w:fldCharType="end"/>
            </w:r>
          </w:p>
        </w:tc>
      </w:tr>
      <w:tr w:rsidR="00D2085D" w:rsidRPr="00166EC2" w14:paraId="0EC0E48C" w14:textId="77777777" w:rsidTr="00F377E2">
        <w:tc>
          <w:tcPr>
            <w:tcW w:w="9060" w:type="dxa"/>
            <w:gridSpan w:val="4"/>
            <w:shd w:val="clear" w:color="auto" w:fill="D4F1D3" w:themeFill="background2" w:themeFillTint="33"/>
            <w:vAlign w:val="center"/>
          </w:tcPr>
          <w:p w14:paraId="19669077" w14:textId="38CA38DD" w:rsidR="00D2085D" w:rsidRDefault="00D2085D" w:rsidP="00F377E2">
            <w:pPr>
              <w:jc w:val="center"/>
              <w:rPr>
                <w:lang w:val="en-US"/>
              </w:rPr>
            </w:pPr>
            <w:r>
              <w:rPr>
                <w:b/>
                <w:bCs/>
                <w:color w:val="56575A"/>
                <w:szCs w:val="20"/>
                <w:lang w:val="en-US"/>
              </w:rPr>
              <w:t>Treatment with surgical procedures: soft tissue surgical offloading</w:t>
            </w:r>
          </w:p>
        </w:tc>
      </w:tr>
      <w:tr w:rsidR="00F377E2" w14:paraId="6834B1A3" w14:textId="77777777" w:rsidTr="00F377E2">
        <w:tc>
          <w:tcPr>
            <w:tcW w:w="9060" w:type="dxa"/>
            <w:gridSpan w:val="4"/>
            <w:vAlign w:val="center"/>
          </w:tcPr>
          <w:p w14:paraId="2209ACBE" w14:textId="64A64533" w:rsidR="00F377E2" w:rsidRDefault="00F377E2" w:rsidP="00F377E2">
            <w:pPr>
              <w:jc w:val="left"/>
              <w:rPr>
                <w:lang w:val="en-US"/>
              </w:rPr>
            </w:pPr>
            <w:r>
              <w:rPr>
                <w:b/>
                <w:sz w:val="18"/>
                <w:szCs w:val="18"/>
                <w:lang w:val="en-US"/>
              </w:rPr>
              <w:t>Ulcer recurrence</w:t>
            </w:r>
          </w:p>
        </w:tc>
      </w:tr>
      <w:tr w:rsidR="00D2085D" w:rsidRPr="00166EC2" w14:paraId="5DDE5761" w14:textId="77777777" w:rsidTr="00F377E2">
        <w:tc>
          <w:tcPr>
            <w:tcW w:w="2830" w:type="dxa"/>
            <w:vAlign w:val="center"/>
          </w:tcPr>
          <w:p w14:paraId="599B0656" w14:textId="2708C873" w:rsidR="00D2085D" w:rsidRDefault="00D2085D" w:rsidP="00D2085D">
            <w:pPr>
              <w:jc w:val="center"/>
              <w:rPr>
                <w:lang w:val="en-US"/>
              </w:rPr>
            </w:pPr>
            <w:r w:rsidRPr="0062654A">
              <w:rPr>
                <w:lang w:val="en-US"/>
              </w:rPr>
              <w:t>1 study (I)</w:t>
            </w:r>
            <w:r>
              <w:rPr>
                <w:lang w:val="en-US"/>
              </w:rPr>
              <w:t xml:space="preserve"> - </w:t>
            </w:r>
            <w:r w:rsidRPr="0062654A">
              <w:rPr>
                <w:lang w:val="en-US"/>
              </w:rPr>
              <w:t>1 study (III)</w:t>
            </w:r>
          </w:p>
        </w:tc>
        <w:tc>
          <w:tcPr>
            <w:tcW w:w="1700" w:type="dxa"/>
            <w:vAlign w:val="center"/>
          </w:tcPr>
          <w:p w14:paraId="2B4EEFA7" w14:textId="16FEA544" w:rsidR="00D2085D" w:rsidRDefault="00D2085D" w:rsidP="00D2085D">
            <w:pPr>
              <w:jc w:val="center"/>
              <w:rPr>
                <w:lang w:val="en-US"/>
              </w:rPr>
            </w:pPr>
            <w:r>
              <w:rPr>
                <w:lang w:val="en-US"/>
              </w:rPr>
              <w:t>7</w:t>
            </w:r>
          </w:p>
        </w:tc>
        <w:tc>
          <w:tcPr>
            <w:tcW w:w="2265" w:type="dxa"/>
            <w:vAlign w:val="center"/>
          </w:tcPr>
          <w:p w14:paraId="0E4CAE6A" w14:textId="2D562451" w:rsidR="00D2085D" w:rsidRDefault="00D2085D" w:rsidP="00D2085D">
            <w:pPr>
              <w:jc w:val="center"/>
              <w:rPr>
                <w:lang w:val="en-US"/>
              </w:rPr>
            </w:pPr>
            <w:r>
              <w:rPr>
                <w:lang w:val="en-US"/>
              </w:rPr>
              <w:t>Moderate</w:t>
            </w:r>
          </w:p>
        </w:tc>
        <w:tc>
          <w:tcPr>
            <w:tcW w:w="2265" w:type="dxa"/>
            <w:vAlign w:val="center"/>
          </w:tcPr>
          <w:p w14:paraId="2ECBDCB2" w14:textId="0552A578" w:rsidR="00D2085D" w:rsidRDefault="00D2085D" w:rsidP="00D2085D">
            <w:pPr>
              <w:jc w:val="center"/>
              <w:rPr>
                <w:lang w:val="en-US"/>
              </w:rPr>
            </w:pPr>
            <w:r>
              <w:rPr>
                <w:rFonts w:cs="Arial"/>
                <w:lang w:val="en-US"/>
              </w:rPr>
              <w:fldChar w:fldCharType="begin"/>
            </w:r>
            <w:r>
              <w:rPr>
                <w:rFonts w:cs="Arial"/>
                <w:lang w:val="en-US"/>
              </w:rPr>
              <w:instrText xml:space="preserve"> ADDIN ZOTERO_ITEM CSL_CITATION {"citationID":"aLGjOJIl","properties":{"formattedCitation":"(268,269)","plainCitation":"(268,269)","noteIndex":0},"citationItems":[{"id":49700,"uris":["http://zotero.org/users/5328021/items/M6VNRMKT"],"uri":["http://zotero.org/users/5328021/items/M6VNRMKT"],"itemData":{"id":49700,"type":"article-journal","abstract":"BACKGROUND: Diabetic foot ulcers have a devastating impact on an individual's health-related quality of life and functional status. Additionally, diabetic foot ulcers impose a significant economic burden on our health care systems as a result of complications such as infection, hospitalisation and amputation. The current gold standard treatment for diabetic foot ulcers is total contact casting. However, the rate of ulcer recurrence is high, indicating the need for more effective long-term treatment options. Therefore, the aim of this study was to systematically identify, critique and evaluate all literature investigating the effectiveness of Achilles tendon lengthening, gastrocnemius recession and selective plantar fascia release in healing and preventing diabetic foot ulcers.\nREVIEW: Searches were conducted in MEDLINE, CINAHL, AMED, EMBASE and The Cochrane Library from the earliest available date to November 2014. Methodological quality of included studies was assessed using the Downs and Black checklist. Data from randomised-controlled trials were analysed using random effects meta-analysis. For all other studies, data were analysed descriptively. Eleven studies (614 participants) were included in the review, with a median sample size of 29 participants. Meta-analysis of two randomised-controlled trials found that there was no statistically significant difference between Achilles tendon lengthening or gastrocnemius recession and total contact casting for time to healing of diabetic foot ulcers (mean difference, MD, 8.22 days; 95 % CI, -18.99 to 35.43; P = 0.55; I (2)  = 34 %) and the rate of ulcers healed (risk ratio, RR, 1.06; 95 % CI, 0.94 to 1.20; P = 0.34; I (2)  = 41 %). The rate of ulcer recurrence was significantly lower following Achilles tendon lengthening or gastrocnemius recession than total contact casting (RR, 0.45; 95 % CI, 0.28 to 0.72; P &lt; 0.001; I (2)  = 0 %).\nCONCLUSIONS: Achilles tendon lengthening and gastrocnemius recession appear to be effective surgical treatments for healing diabetic foot ulcers. The rate of ulcer recurrence was lower following Achilles tendon lengthening or gastrocnemius recession procedures compared to total contact casting treatment alone. Therefore, these surgical procedures may provide viable treatment options for the management and prevention of diabetic foot ulcers. Further rigorous randomised-controlled trials with longer follow-up are required to determine the long-term effectiveness and safety of these procedures.","container-title":"Journal of Foot and Ankle Research","journalAbbreviation":"J Foot Ankle Res","language":"eng","note":"PMID: 26300980\nPMCID: PMC4546251","page":"33","title":"Tendon lengthening and fascia release for healing and preventing diabetic foot ulcers: a systematic review and meta-analysis","volume":"8","author":[{"family":"Dallimore","given":"Sarah M."},{"family":"Kaminski","given":"Michelle R."}],"issued":{"date-parts":[["2015"]]}}},{"id":53477,"uris":["http://zotero.org/users/5328021/items/REWSVHZW"],"uri":["http://zotero.org/users/5328021/items/REWSVHZW"],"itemData":{"id":53477,"type":"article-journal","abstract":"BACKGROUND: Literature in the past decade has shown that Achilles tendon-lengthening surgery in addition to total contact casting decreases the rate of plantar ulcer recurrence in the forefoot and midfoot; however, the risk of heel ulceration or recurrent equinus deformity with new forefoot or midfoot wounds is not insignificant. The purpose of this study was to compare the rate of recurrent ulceration between the patient groups who have undergone soft-tissue repair of diabetic forefoot or midfoot wounds either with or without concomitant Achilles tendon-lengthening surgery.\nMETHODS: All diabetic patients with plantar forefoot or midfoot ulceration who underwent soft-tissue reconstruction during two different time periods-from 1983 to 1991 or from 1996 to 2004-were reviewed. Multiple patient-related factors were compared. The \"early group\" consisted of 179 wounds in 149 patients who underwent wound closure surgery alone. The \"later group\" included 145 wounds in 138 patients who underwent similar wound closure procedures with the addition of Achilles tendon-lengthening surgery.\nRESULTS: Twenty-five percent in the early group and 2 percent of patients in the later group developed recurrent ulceration requiring reoperation, which resulted in 94 percent relative risk reduction (p &lt; 0.001), whereas the risk factors and demographic data were similar in each group. In addition, 12 percent in the early group and 4 percent of the later group developed transfer lesions (p &lt; 0.001).\nCONCLUSION: If one avoids excessive Achilles lengthening, the addition of an Achilles tendon-lengthening procedure can significantly reduce the risk of recurrent diabetic foot ulcerations.\nCLINICAL QUESTION/LEVEL OF EVIDENCE: Therapeutic, III.","container-title":"Plastic and Reconstructive Surgery","issue":"1","journalAbbreviation":"Plast. Reconstr. Surg.","language":"eng","note":"PMID: 23271552","page":"37e-43e","title":"Achilles tendon lengthening:  friend or foe in the diabetic foot?","volume":"131","author":[{"family":"Colen","given":"Lawrence B."},{"family":"Kim","given":"Claudia J."},{"family":"Grant","given":"William P."},{"family":"Yeh","given":"Jiun-Ting"},{"family":"Hind","given":"Baydoun"}],"issued":{"date-parts":[["2013",1]]}}}],"schema":"https://github.com/citation-style-language/schema/raw/master/csl-citation.json"} </w:instrText>
            </w:r>
            <w:r>
              <w:rPr>
                <w:rFonts w:cs="Arial"/>
                <w:lang w:val="en-US"/>
              </w:rPr>
              <w:fldChar w:fldCharType="separate"/>
            </w:r>
            <w:r w:rsidRPr="00A91C12">
              <w:rPr>
                <w:rFonts w:cs="Arial"/>
                <w:lang w:val="en-US"/>
              </w:rPr>
              <w:t>(268,269)</w:t>
            </w:r>
            <w:r>
              <w:rPr>
                <w:rFonts w:cs="Arial"/>
                <w:lang w:val="en-US"/>
              </w:rPr>
              <w:fldChar w:fldCharType="end"/>
            </w:r>
          </w:p>
        </w:tc>
      </w:tr>
    </w:tbl>
    <w:p w14:paraId="5A3F7E10" w14:textId="77777777" w:rsidR="00D2085D" w:rsidRDefault="00D2085D">
      <w:pPr>
        <w:rPr>
          <w:lang w:val="en-US"/>
        </w:rPr>
      </w:pPr>
    </w:p>
    <w:p w14:paraId="7339CEB2" w14:textId="77777777" w:rsidR="00D2085D" w:rsidRDefault="00D2085D">
      <w:pPr>
        <w:rPr>
          <w:lang w:val="en-US"/>
        </w:rPr>
      </w:pPr>
      <w:r>
        <w:rPr>
          <w:lang w:val="en-US"/>
        </w:rPr>
        <w:br w:type="page"/>
      </w:r>
    </w:p>
    <w:p w14:paraId="39CB9008" w14:textId="772744BC" w:rsidR="00D2085D" w:rsidRPr="00D2085D" w:rsidRDefault="00D2085D" w:rsidP="00D2085D">
      <w:pPr>
        <w:pStyle w:val="Caption"/>
        <w:keepNext/>
        <w:rPr>
          <w:bCs w:val="0"/>
          <w:color w:val="58595B" w:themeColor="text1"/>
          <w:szCs w:val="20"/>
          <w:lang w:val="en-US"/>
        </w:rPr>
      </w:pPr>
      <w:r>
        <w:rPr>
          <w:bCs w:val="0"/>
          <w:color w:val="58595B" w:themeColor="text1"/>
          <w:szCs w:val="20"/>
          <w:lang w:val="en-US"/>
        </w:rPr>
        <w:t>Additional table 5 (continued)</w:t>
      </w:r>
    </w:p>
    <w:tbl>
      <w:tblPr>
        <w:tblStyle w:val="TableGridLight"/>
        <w:tblW w:w="0" w:type="auto"/>
        <w:tblLook w:val="04A0" w:firstRow="1" w:lastRow="0" w:firstColumn="1" w:lastColumn="0" w:noHBand="0" w:noVBand="1"/>
      </w:tblPr>
      <w:tblGrid>
        <w:gridCol w:w="2830"/>
        <w:gridCol w:w="1700"/>
        <w:gridCol w:w="2265"/>
        <w:gridCol w:w="2265"/>
      </w:tblGrid>
      <w:tr w:rsidR="00F377E2" w:rsidRPr="00166EC2" w14:paraId="1F24E92D" w14:textId="77777777" w:rsidTr="00F377E2">
        <w:tc>
          <w:tcPr>
            <w:tcW w:w="9060" w:type="dxa"/>
            <w:gridSpan w:val="4"/>
            <w:shd w:val="clear" w:color="auto" w:fill="92D050"/>
          </w:tcPr>
          <w:p w14:paraId="5D36ECBD" w14:textId="087138BA" w:rsidR="00F377E2" w:rsidRDefault="00F377E2" w:rsidP="00F377E2">
            <w:pPr>
              <w:jc w:val="center"/>
              <w:rPr>
                <w:lang w:val="en-US"/>
              </w:rPr>
            </w:pPr>
            <w:r w:rsidRPr="00C71608">
              <w:rPr>
                <w:b/>
                <w:lang w:val="en-US"/>
              </w:rPr>
              <w:t>PERIPHERAL ARTERY DISEASE DOMAIN</w:t>
            </w:r>
          </w:p>
        </w:tc>
      </w:tr>
      <w:tr w:rsidR="00F377E2" w:rsidRPr="00166EC2" w14:paraId="5FDD8DA9" w14:textId="77777777" w:rsidTr="00F377E2">
        <w:tc>
          <w:tcPr>
            <w:tcW w:w="9060" w:type="dxa"/>
            <w:gridSpan w:val="4"/>
            <w:shd w:val="clear" w:color="auto" w:fill="D4F1D3" w:themeFill="accent1" w:themeFillTint="33"/>
            <w:vAlign w:val="center"/>
          </w:tcPr>
          <w:p w14:paraId="72A93184" w14:textId="43EBF959" w:rsidR="00F377E2" w:rsidRDefault="00F377E2" w:rsidP="00F377E2">
            <w:pPr>
              <w:jc w:val="center"/>
              <w:rPr>
                <w:lang w:val="en-US"/>
              </w:rPr>
            </w:pPr>
            <w:r w:rsidRPr="00C71608">
              <w:rPr>
                <w:b/>
                <w:lang w:val="en-US"/>
              </w:rPr>
              <w:t xml:space="preserve">Revascularization with endovascular surgery (vs. open </w:t>
            </w:r>
            <w:r>
              <w:rPr>
                <w:b/>
                <w:lang w:val="en-US"/>
              </w:rPr>
              <w:t xml:space="preserve">vascular </w:t>
            </w:r>
            <w:r w:rsidRPr="00C71608">
              <w:rPr>
                <w:b/>
                <w:lang w:val="en-US"/>
              </w:rPr>
              <w:t>surgery)</w:t>
            </w:r>
          </w:p>
        </w:tc>
      </w:tr>
      <w:tr w:rsidR="00F377E2" w:rsidRPr="00166EC2" w14:paraId="1EE71FC3" w14:textId="77777777" w:rsidTr="00F377E2">
        <w:tc>
          <w:tcPr>
            <w:tcW w:w="9060" w:type="dxa"/>
            <w:gridSpan w:val="4"/>
            <w:vAlign w:val="center"/>
          </w:tcPr>
          <w:p w14:paraId="70B65BA8" w14:textId="6F54A2A7" w:rsidR="00F377E2" w:rsidRDefault="00F377E2" w:rsidP="00F377E2">
            <w:pPr>
              <w:jc w:val="left"/>
              <w:rPr>
                <w:lang w:val="en-US"/>
              </w:rPr>
            </w:pPr>
            <w:r w:rsidRPr="00C71608">
              <w:rPr>
                <w:b/>
                <w:sz w:val="18"/>
                <w:szCs w:val="18"/>
                <w:lang w:val="en-US"/>
              </w:rPr>
              <w:t>Limb salvage/amputation-free survival</w:t>
            </w:r>
          </w:p>
        </w:tc>
      </w:tr>
      <w:tr w:rsidR="00F377E2" w14:paraId="05484F7A" w14:textId="77777777" w:rsidTr="00F377E2">
        <w:tc>
          <w:tcPr>
            <w:tcW w:w="2830" w:type="dxa"/>
            <w:vAlign w:val="center"/>
          </w:tcPr>
          <w:p w14:paraId="23BA4CB1" w14:textId="78972847" w:rsidR="00F377E2" w:rsidRDefault="00F377E2" w:rsidP="00F377E2">
            <w:pPr>
              <w:jc w:val="center"/>
              <w:rPr>
                <w:lang w:val="en-US"/>
              </w:rPr>
            </w:pPr>
            <w:r>
              <w:rPr>
                <w:lang w:val="en-US"/>
              </w:rPr>
              <w:t>2 studies</w:t>
            </w:r>
            <w:r w:rsidRPr="0062654A">
              <w:rPr>
                <w:lang w:val="en-US"/>
              </w:rPr>
              <w:t xml:space="preserve"> (III)</w:t>
            </w:r>
          </w:p>
        </w:tc>
        <w:tc>
          <w:tcPr>
            <w:tcW w:w="1700" w:type="dxa"/>
            <w:vAlign w:val="center"/>
          </w:tcPr>
          <w:p w14:paraId="3D1CD567" w14:textId="59F12B05" w:rsidR="00F377E2" w:rsidRDefault="00F377E2" w:rsidP="00F377E2">
            <w:pPr>
              <w:jc w:val="center"/>
              <w:rPr>
                <w:lang w:val="en-US"/>
              </w:rPr>
            </w:pPr>
            <w:r>
              <w:rPr>
                <w:lang w:val="en-US"/>
              </w:rPr>
              <w:t>2,5</w:t>
            </w:r>
          </w:p>
        </w:tc>
        <w:tc>
          <w:tcPr>
            <w:tcW w:w="2265" w:type="dxa"/>
            <w:vMerge w:val="restart"/>
            <w:vAlign w:val="center"/>
          </w:tcPr>
          <w:p w14:paraId="1633A59D" w14:textId="140C4925" w:rsidR="00F377E2" w:rsidRDefault="00F377E2" w:rsidP="00F377E2">
            <w:pPr>
              <w:jc w:val="center"/>
              <w:rPr>
                <w:lang w:val="en-US"/>
              </w:rPr>
            </w:pPr>
            <w:r>
              <w:rPr>
                <w:lang w:val="en-US"/>
              </w:rPr>
              <w:t>Low</w:t>
            </w:r>
          </w:p>
        </w:tc>
        <w:tc>
          <w:tcPr>
            <w:tcW w:w="2265" w:type="dxa"/>
            <w:vAlign w:val="center"/>
          </w:tcPr>
          <w:p w14:paraId="56653FAA" w14:textId="365EBA41"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ucQJX1sg","properties":{"formattedCitation":"(270,271)","plainCitation":"(270,271)","noteIndex":0},"citationItems":[{"id":5496,"uris":["http://zotero.org/users/5328021/items/LKRLVXCP"],"uri":["http://zotero.org/users/5328021/items/LKRLVXCP"],"itemData":{"id":5496,"type":"article-journal","abstract":"Objective: Critical limb ischemia remains a difficult disease to treat, with limited level 1 data. The Best Endovascular vs Best Surgical Therapy in Patients with Critical Limb Ischemia (BEST-CLI) trial is attempting to answer whether initial treatment with surgical bypass or endovascular therapy improves outcomes. Although still in the enrollment phase, this study aims to compare amputation-free survival (AFS) and reintervention in patients treated with initial open surgical bypass or endovascular intervention for ischemic ulcers of the lower extremities. Methods: By use of statewide data, all patients were identified with lower extremity ulcers and a diagnosis of peripheral arterial disease who underwent a revascularization procedure from 2005 to 2013. Propensity scores were formulated from baseline characteristics of the patients. Inverse probability weighting was used within Kaplan-Meier analysis to determine AFS and time to reintervention for open vs endovascular treatment. Cox proportional hazards modeling was used to adjust for access to care and hospital revascularization experience. Results: A total of 16,800 patients were identified. Open surgical bypass was the initial treatment of 5970 (36%) patients, whereas 10,830 (64%) underwent endovascular interventions. Patients in the endovascular group were slightly younger compared with the open group (70 vs 72 years; standard deviation, 12 years; P &lt; .001). Endovascular patients were more likely to have renal failure (36% vs 24%) and coronary artery disease (34% vs 32%), whereas patients in the open bypass group were more likely to have diabetes mellitus (30% vs 44%; all P values &lt; .05). After propensity weighting, open first treatment was associated with lower rates of reintervention (hazard ratio [HR], 0.87; 95% confidence interval [CI], 0.83-0.91); however, surgery first was associated with a lower AFS (HR, 1.16; 95% CI, 1.12-1.2; Fig). Initial treatment at a high-volume center was associated with improved AFS compared with medium-volume (HR, 1.3; CI, 1.21-1.36) or low-volume (HR, 1.2; CI, 1.1-1.3) centers. Conclusions: Patients with critical limb ischemia have multiple comorbidities, and initial surgical bypass is associated with poorer quality of AFS compared with an endovascular first approach. Treatment in high-volume centers improves AFS. This may be due to improved resources at high-volume centers.","archive":"Embase","container-title":"Journal of Vascular Surgery","issue":"6","journalAbbreviation":"J. Vasc. Surg.","language":"English","page":"e145","title":"Endovascular first treatment is associated with improved amputation-free survival in patients with critical limb ischemia","volume":"67","author":[{"literal":"Lin J.H."},{"literal":"Brunson A."},{"literal":"Romano P.S."},{"literal":"Pevec W.C."},{"literal":"Humphries M.D."}],"issued":{"date-parts":[["2018"]]}}},{"id":12215,"uris":["http://zotero.org/users/5328021/items/HMU6PXQM"],"uri":["http://zotero.org/users/5328021/items/HMU6PXQM"],"itemData":{"id":12215,"type":"article-journal","abstract":"Background: To review patient characteristics and outcomes of inpatient diabetic foot limb salvage and identify risk factors predicting for endovascular limb salvage failure. Methodology: Retrospective study of 809 limb salvage ttempts between January 2014 and December 2015. Results: 68% of our study population were male with mean age at 65 years-old. Majority had cardiovascular co-morbidities (73% smokers, 86% hypertension, 91% hyperlipidaemia and 59% ischaemic heart disease). 36% had previous lower limb amputations and 73% were Rutherford 6 classification. 41% had toe pressures &lt;50mmHg and 91% had infra-inguinal TASCII (trans- Atlantic inter-society consensus) patterns type B (27%), type C (37%) and type D (27%) disease. 777 patients underwent endovascular limb salvage, with 67% requiring superficial femoral angioplasty, 68% with popliteal angioplasty and 91% with infra-popliteal angioplasty. 32 patients underwent surgical bypass limb salvage, with most (63%) performed as salvage procedures for failed angioplasties. The mean in-patient stay was 12.3days within the endovascular group and 43.4days within the bypass group (p&lt;0.01). Limb salvage was successful in 88% of endovascular group, as compared to 72% of bypass group (p=0.01). The mean in-patient cost was SGD$5,518 within the endovascular group and SGD$15,141 within the bypass group (p&lt;0.01). Multivariate analysis showed independent predictors for failure of endovascular limb salvage included endstage renal failure (OR2.04, p=0.01), toe pressures &lt;50mmHg (OR2.15, p=0.01), infrainguinal TASCII patterns C/D (OR1.99, p=0.03) and post-angioplasty below-knee single-vessel flow (OR2.03, p=0.02). Conclusion: Within our study population of Asian ethnicity, most inpatient diabetic foot disease presented with Rutherford 6 classification and required infra-popliteal revascularisation. As many were poor surgical candidates, majority underwent endovascular-first approach. Most surgical bypasses were performed as salvage procedures for failed angioplasties, hence had longer in-patient stay, lower limb salvage success and more expensive in-patient cost. Patients with end-stage renal failure, poor toe pressures and post-angioplasty infra-popliteal single-vessel flow were at risk of limb salvage failure.","archive":"Embase","container-title":"Vascular","issue":"1","journalAbbreviation":"Vascular","language":"English","page":"61-62","title":"Diabetic foot limb salvage-a series of 809 attempts and predictors for endovascular failure","volume":"24","author":[{"literal":"Lo Z.J."},{"literal":"Lin Z."},{"literal":"Pua U."},{"literal":"Quek L.H.H."},{"literal":"Tan B.P."},{"literal":"Punamiya S."},{"literal":"Tan G.W.L."},{"literal":"Narayanan S."},{"literal":"Chandrasekar S."}],"issued":{"date-parts":[["2016"]]}}}],"schema":"https://github.com/citation-style-language/schema/raw/master/csl-citation.json"} </w:instrText>
            </w:r>
            <w:r>
              <w:rPr>
                <w:rFonts w:cs="Arial"/>
                <w:lang w:val="en-US"/>
              </w:rPr>
              <w:fldChar w:fldCharType="separate"/>
            </w:r>
            <w:r w:rsidRPr="00C23FB9">
              <w:rPr>
                <w:rFonts w:cs="Arial"/>
              </w:rPr>
              <w:t>(270,271)</w:t>
            </w:r>
            <w:r>
              <w:rPr>
                <w:rFonts w:cs="Arial"/>
                <w:lang w:val="en-US"/>
              </w:rPr>
              <w:fldChar w:fldCharType="end"/>
            </w:r>
          </w:p>
        </w:tc>
      </w:tr>
      <w:tr w:rsidR="00F377E2" w14:paraId="22EBA197" w14:textId="77777777" w:rsidTr="00F377E2">
        <w:tc>
          <w:tcPr>
            <w:tcW w:w="2830" w:type="dxa"/>
            <w:vAlign w:val="center"/>
          </w:tcPr>
          <w:p w14:paraId="421DB251" w14:textId="6B1C10B9" w:rsidR="00F377E2" w:rsidRDefault="00F377E2" w:rsidP="00F377E2">
            <w:pPr>
              <w:jc w:val="center"/>
              <w:rPr>
                <w:lang w:val="en-US"/>
              </w:rPr>
            </w:pPr>
            <w:r>
              <w:rPr>
                <w:color w:val="9A9B9D" w:themeColor="text1" w:themeTint="99"/>
                <w:lang w:val="en-US"/>
              </w:rPr>
              <w:t>3</w:t>
            </w:r>
            <w:r w:rsidRPr="00CE5028">
              <w:rPr>
                <w:color w:val="9A9B9D" w:themeColor="text1" w:themeTint="99"/>
                <w:lang w:val="en-US"/>
              </w:rPr>
              <w:t xml:space="preserve"> studies (III)</w:t>
            </w:r>
          </w:p>
        </w:tc>
        <w:tc>
          <w:tcPr>
            <w:tcW w:w="1700" w:type="dxa"/>
            <w:vAlign w:val="center"/>
          </w:tcPr>
          <w:p w14:paraId="084EB3B5" w14:textId="426DF9F9" w:rsidR="00F377E2" w:rsidRDefault="003B5E32" w:rsidP="00F377E2">
            <w:pPr>
              <w:jc w:val="center"/>
              <w:rPr>
                <w:lang w:val="en-US"/>
              </w:rPr>
            </w:pPr>
            <w:r>
              <w:rPr>
                <w:color w:val="9A9B9D" w:themeColor="text1" w:themeTint="99"/>
                <w:lang w:val="en-US"/>
              </w:rPr>
              <w:t>3</w:t>
            </w:r>
          </w:p>
        </w:tc>
        <w:tc>
          <w:tcPr>
            <w:tcW w:w="2265" w:type="dxa"/>
            <w:vMerge/>
            <w:vAlign w:val="center"/>
          </w:tcPr>
          <w:p w14:paraId="4E50D7E8" w14:textId="77777777" w:rsidR="00F377E2" w:rsidRDefault="00F377E2" w:rsidP="00F377E2">
            <w:pPr>
              <w:jc w:val="center"/>
              <w:rPr>
                <w:lang w:val="en-US"/>
              </w:rPr>
            </w:pPr>
          </w:p>
        </w:tc>
        <w:tc>
          <w:tcPr>
            <w:tcW w:w="2265" w:type="dxa"/>
            <w:vAlign w:val="center"/>
          </w:tcPr>
          <w:p w14:paraId="0E77BF1E" w14:textId="44533D08"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aKv9aQEg","properties":{"formattedCitation":"(271\\uc0\\u8211{}273)","plainCitation":"(271–273)","noteIndex":0},"citationItems":[{"id":12215,"uris":["http://zotero.org/users/5328021/items/HMU6PXQM"],"uri":["http://zotero.org/users/5328021/items/HMU6PXQM"],"itemData":{"id":12215,"type":"article-journal","abstract":"Background: To review patient characteristics and outcomes of inpatient diabetic foot limb salvage and identify risk factors predicting for endovascular limb salvage failure. Methodology: Retrospective study of 809 limb salvage ttempts between January 2014 and December 2015. Results: 68% of our study population were male with mean age at 65 years-old. Majority had cardiovascular co-morbidities (73% smokers, 86% hypertension, 91% hyperlipidaemia and 59% ischaemic heart disease). 36% had previous lower limb amputations and 73% were Rutherford 6 classification. 41% had toe pressures &lt;50mmHg and 91% had infra-inguinal TASCII (trans- Atlantic inter-society consensus) patterns type B (27%), type C (37%) and type D (27%) disease. 777 patients underwent endovascular limb salvage, with 67% requiring superficial femoral angioplasty, 68% with popliteal angioplasty and 91% with infra-popliteal angioplasty. 32 patients underwent surgical bypass limb salvage, with most (63%) performed as salvage procedures for failed angioplasties. The mean in-patient stay was 12.3days within the endovascular group and 43.4days within the bypass group (p&lt;0.01). Limb salvage was successful in 88% of endovascular group, as compared to 72% of bypass group (p=0.01). The mean in-patient cost was SGD$5,518 within the endovascular group and SGD$15,141 within the bypass group (p&lt;0.01). Multivariate analysis showed independent predictors for failure of endovascular limb salvage included endstage renal failure (OR2.04, p=0.01), toe pressures &lt;50mmHg (OR2.15, p=0.01), infrainguinal TASCII patterns C/D (OR1.99, p=0.03) and post-angioplasty below-knee single-vessel flow (OR2.03, p=0.02). Conclusion: Within our study population of Asian ethnicity, most inpatient diabetic foot disease presented with Rutherford 6 classification and required infra-popliteal revascularisation. As many were poor surgical candidates, majority underwent endovascular-first approach. Most surgical bypasses were performed as salvage procedures for failed angioplasties, hence had longer in-patient stay, lower limb salvage success and more expensive in-patient cost. Patients with end-stage renal failure, poor toe pressures and post-angioplasty infra-popliteal single-vessel flow were at risk of limb salvage failure.","archive":"Embase","container-title":"Vascular","issue":"1","journalAbbreviation":"Vascular","language":"English","page":"61-62","title":"Diabetic foot limb salvage-a series of 809 attempts and predictors for endovascular failure","volume":"24","author":[{"literal":"Lo Z.J."},{"literal":"Lin Z."},{"literal":"Pua U."},{"literal":"Quek L.H.H."},{"literal":"Tan B.P."},{"literal":"Punamiya S."},{"literal":"Tan G.W.L."},{"literal":"Narayanan S."},{"literal":"Chandrasekar S."}],"issued":{"date-parts":[["2016"]]}}},{"id":73302,"uris":["http://zotero.org/users/5328021/items/EGBQPI78"],"uri":["http://zotero.org/users/5328021/items/EGBQPI78"],"itemData":{"id":73302,"type":"article-journal","abstract":"AIMS: The aim of the present study was to compare outcomes of endovascular surgery versus open vascular surgery in patients with diabetic foot ulcer (DFU) and peripheral arterial disease (PAD). METHODS: Between 1984 and 2006, 1151 patients with DFU were admitted to the diabetic foot care team. Three hundred seventy-six patients with 408 limbs were consecutively included at a multidisciplinary foot center, 289 limbs were treated with endovascular surgery and 119 limbs with open vascular surgery first strategy. A propensity score adjusted analysis was performed to compare outcomes for type of revascularization. RESULTS: Major amputation rates at 3years were 17.0% and 16.8% (p=0.97) and mortality at 3years were 43.1% and 46.5% (p=0.55) after endovascular surgery and open vascular surgery, respectively. In the propensity score adjusted analysis, patients undergoing endovascular surgery first had similar outcomes in  terms of major amputation, mortality, combined major amputation/mortality compared to those undergoing open vascular surgery. Longer time to intervention (p=0.003) was associated with increased major amputation rate in the multivariable Cox regression analysis. CONCLUSION: The endovascular surgery first and open vascular surgery first strategies were associated with similar long-term results in a large cohort of patients with DFU and PAD undergoing revascularization. Rapid revascularization reduces the risk of amputation.","container-title":"Journal of diabetes and its complications","journalAbbreviation":"J Diabetes Complications","language":"eng","note":"PMID: 32061519","page":"107551","title":"Amputation-free survival in patients with diabetic foot ulcer and peripheral arterial disease: Endovascular versus open surgery in a propensity score adjusted analysis.","author":[{"family":"Butt","given":"Talha"},{"family":"Lilja","given":"Erika"},{"family":"Elgzyri","given":"Targ"},{"family":"Apelqvist","given":"Jan"},{"family":"Gottsater","given":"Anders"},{"family":"Engstrom","given":"Gunnar"},{"family":"Acosta","given":"Stefan"}],"issued":{"date-parts":[["2020",2,6]]}}},{"id":12740,"uris":["http://zotero.org/users/5328021/items/256GQ42D"],"uri":["http://zotero.org/users/5328021/items/256GQ42D"],"itemData":{"id":12740,"type":"article-journal","abstract":"Background Extensive defects of the lower limb as a result of diabetes and peripheral vascular disease require multidisciplinary treatment. Numerous studies with regards combining vascular bypass surgery and free tissue reconstruction of the lower limb had been published. However the trend has evolved toward a combination of endovascular revascularization and free flap reconstruction. The aim of this study was to compare the safety and efficacy of this combination of treatment to the traditional combination of bypass surgery and free tissue reconstruction. Methods All patients who had undergone vascular bypass surgery and free tissue reconstruction of the lower limb as well as those who had undergone endovascular angioplasty with free tissue transfer for lower limb preservation, over a 10-year period was included in this study. Results A total of 46 patients that underwent limb preservation were included in this study, 22 patients underwent open bypass revascularization and free flap transfer and 24 patients underwent endovascular revascularization and free tissue transfer. There were no differences between the two methods with regards to age, sex, defect size, TransAtlantic InterSociety Consensus level, Wagner classification, length of hospitalization, limb preservation rate, total flap necrosis rate, and partial flap necrosis rate. More importantly, there was no significant difference in the limb preservation rate (P = 0.14). Conclusion In this study we found that the safety and the success rate of lower limb preservation using a combination of endovascular revascularization and free tissue reconstruction is comparable to using a combination of bypass surgery and free tissue transfer.","archive":"Embase","container-title":"Microsurgery","issue":"7","journalAbbreviation":"Microsurgery","language":"English","note":"PMID: 26361236","page":"518-527","title":"A comparison between combined open bypass revascularization and free tissue transfer versus endovascular revascularization and free tissue transfer for lower limb preservation","volume":"35","author":[{"literal":"Hsu H."},{"literal":"Chang C.-H."},{"literal":"Lee C.-Y."},{"literal":"Huang C.-C."},{"literal":"Mark Chiu C.-H."},{"literal":"Lin C.-M."},{"literal":"Lee J.-T."},{"literal":"Chien S.-H."}],"issued":{"date-parts":[["2015",10]]}}}],"schema":"https://github.com/citation-style-language/schema/raw/master/csl-citation.json"} </w:instrText>
            </w:r>
            <w:r>
              <w:rPr>
                <w:rFonts w:cs="Arial"/>
                <w:lang w:val="en-US"/>
              </w:rPr>
              <w:fldChar w:fldCharType="separate"/>
            </w:r>
            <w:r w:rsidRPr="00A91C12">
              <w:rPr>
                <w:rFonts w:cs="Arial"/>
                <w:szCs w:val="24"/>
              </w:rPr>
              <w:t>(271–273)</w:t>
            </w:r>
            <w:r>
              <w:rPr>
                <w:rFonts w:cs="Arial"/>
                <w:lang w:val="en-US"/>
              </w:rPr>
              <w:fldChar w:fldCharType="end"/>
            </w:r>
          </w:p>
        </w:tc>
      </w:tr>
      <w:tr w:rsidR="00F377E2" w14:paraId="338458A1" w14:textId="77777777" w:rsidTr="00F377E2">
        <w:tc>
          <w:tcPr>
            <w:tcW w:w="9060" w:type="dxa"/>
            <w:gridSpan w:val="4"/>
            <w:shd w:val="clear" w:color="auto" w:fill="auto"/>
            <w:vAlign w:val="center"/>
          </w:tcPr>
          <w:p w14:paraId="002C0339" w14:textId="0A997667" w:rsidR="00F377E2" w:rsidRDefault="00F377E2" w:rsidP="00F377E2">
            <w:pPr>
              <w:jc w:val="left"/>
              <w:rPr>
                <w:lang w:val="en-US"/>
              </w:rPr>
            </w:pPr>
            <w:r w:rsidRPr="00C71608">
              <w:rPr>
                <w:b/>
                <w:sz w:val="18"/>
                <w:szCs w:val="18"/>
                <w:lang w:val="en-US"/>
              </w:rPr>
              <w:t>Amputation events</w:t>
            </w:r>
          </w:p>
        </w:tc>
      </w:tr>
      <w:tr w:rsidR="00F377E2" w14:paraId="7C41EC08" w14:textId="77777777" w:rsidTr="00F377E2">
        <w:tc>
          <w:tcPr>
            <w:tcW w:w="2830" w:type="dxa"/>
            <w:vAlign w:val="center"/>
          </w:tcPr>
          <w:p w14:paraId="7748F7CC" w14:textId="242A32A2" w:rsidR="00F377E2" w:rsidRDefault="00F377E2" w:rsidP="00F377E2">
            <w:pPr>
              <w:jc w:val="center"/>
              <w:rPr>
                <w:lang w:val="en-US"/>
              </w:rPr>
            </w:pPr>
            <w:r w:rsidRPr="0062654A">
              <w:rPr>
                <w:lang w:val="en-US"/>
              </w:rPr>
              <w:t>1 study (III)</w:t>
            </w:r>
          </w:p>
        </w:tc>
        <w:tc>
          <w:tcPr>
            <w:tcW w:w="1700" w:type="dxa"/>
            <w:vAlign w:val="center"/>
          </w:tcPr>
          <w:p w14:paraId="45573722" w14:textId="01E54646" w:rsidR="00F377E2" w:rsidRDefault="00F377E2" w:rsidP="00F377E2">
            <w:pPr>
              <w:jc w:val="center"/>
              <w:rPr>
                <w:lang w:val="en-US"/>
              </w:rPr>
            </w:pPr>
            <w:r>
              <w:rPr>
                <w:lang w:val="en-US"/>
              </w:rPr>
              <w:t>5</w:t>
            </w:r>
          </w:p>
        </w:tc>
        <w:tc>
          <w:tcPr>
            <w:tcW w:w="2265" w:type="dxa"/>
            <w:vMerge w:val="restart"/>
            <w:shd w:val="clear" w:color="auto" w:fill="auto"/>
            <w:vAlign w:val="center"/>
          </w:tcPr>
          <w:p w14:paraId="3DEAEE17" w14:textId="53C5A19A" w:rsidR="00F377E2" w:rsidRDefault="00F377E2" w:rsidP="00F377E2">
            <w:pPr>
              <w:jc w:val="center"/>
              <w:rPr>
                <w:lang w:val="en-US"/>
              </w:rPr>
            </w:pPr>
            <w:r>
              <w:rPr>
                <w:lang w:val="en-US"/>
              </w:rPr>
              <w:t>Low</w:t>
            </w:r>
          </w:p>
        </w:tc>
        <w:tc>
          <w:tcPr>
            <w:tcW w:w="2265" w:type="dxa"/>
            <w:vAlign w:val="center"/>
          </w:tcPr>
          <w:p w14:paraId="78BCC0EB" w14:textId="5FD5774C"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DOWKR1fM","properties":{"formattedCitation":"(274)","plainCitation":"(274)","noteIndex":0},"citationItems":[{"id":48967,"uris":["http://zotero.org/users/5328021/items/B4XMKUHW"],"uri":["http://zotero.org/users/5328021/items/B4XMKUHW"],"itemData":{"id":48967,"type":"article-journal","abstract":"OBJECTIVE/BACKGROUND: To describe the risk factor distribution and outcome for patients with critical limb ischemia (CLI) due to infrapopliteal arterial lesions treated by endovascular or open procedures, with special consideration of diabetic patients.\nMETHODS: Data were collected from the Swedish Vascular Registry, Swedvasc, covering all procedures performed on 549 consecutive patients between May 2008 and January 2014 at the Karolinska University Hospital. Diagnosis of ischemic rest pain and/or tissue loss and treatment of infrapopliteal arterial occlusive disease were considered. Analysis was performed on the first procedure during the observation period, \"endo\" or \"open\". Amputation rate and death from any cause were recorded as the primary outcome measures. Subgroup analysis was performed on diabetic patients.\nRESULTS: Patient demographics did not differ between the endo (n = 430) and open (n = 114) cohorts. Wound complications requiring treatment within 30 days were more common in patients treated with open procedures (32% vs. 1% for endo; p &lt; .001), as well as stroke and myocardial infarction. Amputation rates were higher at 30 days in the open group (7% vs. 2%; p = .012) but similar at 1 year (10% vs. 7%; p = .206). Mortality was similar at 30 days (p = .400) and 1 year (p = .860). Median survival at the end of the observation period was 43 months for endo and 56 months for open patients (p = .055). Patients with diabetes treated with open procedures had more complications at 30 days and a higher rate of transfemoral amputations at 1 year compared with non-diabetic patients.\nCONCLUSION: This non-randomized registry based study shows similar outcomes regarding amputation and survival rate in a large group of patients treated for infrapopliteal CLI with endovascular or open procedures, although more post-operative complications were reported in the open group. These findings support the continued use of both treatments while stressing the importance of minimizing surgical trauma to reduce wound complications.","container-title":"European Journal of Vascular and Endovascular Surgery: The Official Journal of the European Society for Vascular Surgery","issue":"5","journalAbbreviation":"Eur J Vasc Endovasc Surg","language":"eng","note":"PMID: 27592734","page":"643-649","title":"Outcome for Endovascular and Open Procedures in Infrapopliteal Lesions for Critical Limb Ischemia: Registry Based Single Center Study","volume":"52","author":[{"family":"Gentile","given":"F."},{"family":"Lundberg","given":"G."},{"family":"Hultgren","given":"R."}],"issued":{"date-parts":[["2016",11]]}}}],"schema":"https://github.com/citation-style-language/schema/raw/master/csl-citation.json"} </w:instrText>
            </w:r>
            <w:r>
              <w:rPr>
                <w:rFonts w:cs="Arial"/>
                <w:lang w:val="en-US"/>
              </w:rPr>
              <w:fldChar w:fldCharType="separate"/>
            </w:r>
            <w:r w:rsidRPr="00C23FB9">
              <w:rPr>
                <w:rFonts w:cs="Arial"/>
              </w:rPr>
              <w:t>(274)</w:t>
            </w:r>
            <w:r>
              <w:rPr>
                <w:rFonts w:cs="Arial"/>
                <w:lang w:val="en-US"/>
              </w:rPr>
              <w:fldChar w:fldCharType="end"/>
            </w:r>
          </w:p>
        </w:tc>
      </w:tr>
      <w:tr w:rsidR="00F377E2" w14:paraId="6D910412" w14:textId="77777777" w:rsidTr="00F377E2">
        <w:tc>
          <w:tcPr>
            <w:tcW w:w="2830" w:type="dxa"/>
            <w:vAlign w:val="center"/>
          </w:tcPr>
          <w:p w14:paraId="0808E812" w14:textId="1B4E9419" w:rsidR="00F377E2" w:rsidRDefault="00F377E2" w:rsidP="00F377E2">
            <w:pPr>
              <w:jc w:val="center"/>
              <w:rPr>
                <w:lang w:val="en-US"/>
              </w:rPr>
            </w:pPr>
            <w:r w:rsidRPr="00E46F9C">
              <w:rPr>
                <w:color w:val="9A9B9D" w:themeColor="text1" w:themeTint="99"/>
                <w:lang w:val="en-US"/>
              </w:rPr>
              <w:t>1 study (II)</w:t>
            </w:r>
            <w:r>
              <w:rPr>
                <w:lang w:val="en-US"/>
              </w:rPr>
              <w:t xml:space="preserve"> </w:t>
            </w:r>
            <w:r w:rsidRPr="00B3100B">
              <w:rPr>
                <w:color w:val="9A9B9D" w:themeColor="text1" w:themeTint="99"/>
                <w:lang w:val="en-US"/>
              </w:rPr>
              <w:t xml:space="preserve">- </w:t>
            </w:r>
            <w:r>
              <w:rPr>
                <w:color w:val="9A9B9D" w:themeColor="text1" w:themeTint="99"/>
                <w:lang w:val="en-US"/>
              </w:rPr>
              <w:t>2</w:t>
            </w:r>
            <w:r w:rsidRPr="00CE5028">
              <w:rPr>
                <w:color w:val="9A9B9D" w:themeColor="text1" w:themeTint="99"/>
                <w:lang w:val="en-US"/>
              </w:rPr>
              <w:t xml:space="preserve"> studies (III)</w:t>
            </w:r>
          </w:p>
        </w:tc>
        <w:tc>
          <w:tcPr>
            <w:tcW w:w="1700" w:type="dxa"/>
            <w:vAlign w:val="center"/>
          </w:tcPr>
          <w:p w14:paraId="58BBA313" w14:textId="309455BB" w:rsidR="00F377E2" w:rsidRDefault="00F377E2" w:rsidP="00F377E2">
            <w:pPr>
              <w:jc w:val="center"/>
              <w:rPr>
                <w:lang w:val="en-US"/>
              </w:rPr>
            </w:pPr>
            <w:r w:rsidRPr="0091169A">
              <w:rPr>
                <w:color w:val="9A9B9D" w:themeColor="text1" w:themeTint="99"/>
                <w:lang w:val="en-US"/>
              </w:rPr>
              <w:t>4,6</w:t>
            </w:r>
          </w:p>
        </w:tc>
        <w:tc>
          <w:tcPr>
            <w:tcW w:w="2265" w:type="dxa"/>
            <w:vMerge/>
            <w:shd w:val="clear" w:color="auto" w:fill="auto"/>
            <w:vAlign w:val="center"/>
          </w:tcPr>
          <w:p w14:paraId="316BF402" w14:textId="77777777" w:rsidR="00F377E2" w:rsidRDefault="00F377E2" w:rsidP="00F377E2">
            <w:pPr>
              <w:jc w:val="center"/>
              <w:rPr>
                <w:lang w:val="en-US"/>
              </w:rPr>
            </w:pPr>
          </w:p>
        </w:tc>
        <w:tc>
          <w:tcPr>
            <w:tcW w:w="2265" w:type="dxa"/>
            <w:vAlign w:val="center"/>
          </w:tcPr>
          <w:p w14:paraId="157CBDFB" w14:textId="45A9A7D2"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AckxUcRd","properties":{"formattedCitation":"(272,275,276)","plainCitation":"(272,275,276)","noteIndex":0},"citationItems":[{"id":73302,"uris":["http://zotero.org/users/5328021/items/EGBQPI78"],"uri":["http://zotero.org/users/5328021/items/EGBQPI78"],"itemData":{"id":73302,"type":"article-journal","abstract":"AIMS: The aim of the present study was to compare outcomes of endovascular surgery versus open vascular surgery in patients with diabetic foot ulcer (DFU) and peripheral arterial disease (PAD). METHODS: Between 1984 and 2006, 1151 patients with DFU were admitted to the diabetic foot care team. Three hundred seventy-six patients with 408 limbs were consecutively included at a multidisciplinary foot center, 289 limbs were treated with endovascular surgery and 119 limbs with open vascular surgery first strategy. A propensity score adjusted analysis was performed to compare outcomes for type of revascularization. RESULTS: Major amputation rates at 3years were 17.0% and 16.8% (p=0.97) and mortality at 3years were 43.1% and 46.5% (p=0.55) after endovascular surgery and open vascular surgery, respectively. In the propensity score adjusted analysis, patients undergoing endovascular surgery first had similar outcomes in  terms of major amputation, mortality, combined major amputation/mortality compared to those undergoing open vascular surgery. Longer time to intervention (p=0.003) was associated with increased major amputation rate in the multivariable Cox regression analysis. CONCLUSION: The endovascular surgery first and open vascular surgery first strategies were associated with similar long-term results in a large cohort of patients with DFU and PAD undergoing revascularization. Rapid revascularization reduces the risk of amputation.","container-title":"Journal of diabetes and its complications","journalAbbreviation":"J Diabetes Complications","language":"eng","note":"PMID: 32061519","page":"107551","title":"Amputation-free survival in patients with diabetic foot ulcer and peripheral arterial disease: Endovascular versus open surgery in a propensity score adjusted analysis.","author":[{"family":"Butt","given":"Talha"},{"family":"Lilja","given":"Erika"},{"family":"Elgzyri","given":"Targ"},{"family":"Apelqvist","given":"Jan"},{"family":"Gottsater","given":"Anders"},{"family":"Engstrom","given":"Gunnar"},{"family":"Acosta","given":"Stefan"}],"issued":{"date-parts":[["2020",2,6]]}}},{"id":9196,"uris":["http://zotero.org/users/5328021/items/4FE6WPS2"],"uri":["http://zotero.org/users/5328021/items/4FE6WPS2"],"itemData":{"id":9196,"type":"article-journal","abstract":"Both open surgery and endovascular peripheral interventions have been shown to effectively improve outcomes in patients with peripheral artery disease, but minimal data exist comparing outcomes performed at and below the knee. The purpose of this study was to compare outcomes following infrageniculate lower extremity open bypass (LEB) versus peripheral vascular intervention (PVI) in patients with critical limb ischemia. Using data from the 2008-2014 Vascular Quality Initiative, 1-year primary patency, major amputation, and mortality were compared among all patients undergoing LEB versus PVI at or below the knee for rest pain or tissue loss. Overall, 2566 patients were included (LEB=500, PVI=2066). One-year primary patency was significantly worse following LEB (73% vs 81%; p&lt;0.001). One-year major amputation (14% vs 12%; p=0.18) and mortality (4% vs 6%; p=0.15) were similar regardless of revascularization approach. Multivariable analysis adjusting for baseline differences between groups confirmed inferior primary patency following LEB versus PVI (HR 0.74; 95% CI, 0.60-0.90; p=0.004), but no significant differences in 1-year major amputation (HR 1.06; 95% CI, 0.80-1.40; p=0.67) or mortality (HR 0.71; 95% CI, 0.44-1.14; p=0.16). Based on these data, we conclude that endovascular revascularization is a viable treatment approach for critical limb ischemia resulting from infrageniculate arterial occlusive disease.","archive":"Embase","container-title":"Vascular Medicine (United Kingdom)","issue":"1","journalAbbreviation":"Vasc. Med.","language":"English","page":"28-34","title":"Below-knee endovascular interventions have better outcomes compared to open bypass for patients with critical limb ischemia","volume":"22","author":[{"family":"Hicks C.W.","given":""},{"literal":"Najafian A."},{"literal":"Farber A."},{"literal":"Menard M.T."},{"literal":"Malas M.B."},{"literal":"Black J.H."},{"literal":"Abularrage C.J."}],"issued":{"date-parts":[["2017"]]}}},{"id":53165,"uris":["http://zotero.org/users/5328021/items/8QXY6J8R"],"uri":["http://zotero.org/users/5328021/items/8QXY6J8R"],"itemData":{"id":53165,"type":"article-journal","abstract":"BACKGROUND: The 1-year restenosis rate after balloon angioplasty of long lesions in below-the-knee arteries may be as high as 70%. Our aim was to investigate the efficacy of a paclitaxel drug-eluting balloons versus conventional percutaneous transluminal angioplasty (PTA) for the reduction of restenosis in diabetic patients with critical limb ischemia undergoing endovascular intervention of below-the-knee arteries.\nMETHODS AND RESULTS: The Drug-Eluting Balloon in Peripheral Intervention for below the knee angioplasty evaluation (DEBATE-BTK) is a randomized, open-label, single-center study comparing drug-eluting balloons and PTA. Inclusion criteria were diabetes mellitus, critical limb ischemia (Rutherford class 4 or higher), significant stenosis or occlusion &gt;40 mm of at least 1 below-the-knee vessel with distal runoff, and life expectancy &gt;1 year. Binary in-segment restenosis at a 1-year angiographic or ultrasonographic follow-up was the primary end point. Clinically driven target lesion revascularization, major amputation, and target vessel occlusion were the secondary end points. One hundred thirty-two patients with 158 infrapopliteal atherosclerotic lesions were enrolled. Mean length of the treated segments was 129±83 mm in the drug-eluting balloon group compared with 131±79 mm in the PTA group (P=0.7). Binary restenosis, assessed by angiography in &gt;90% of patients, occurred in 20 of 74 lesions (27%) in the drug-eluting balloon group compared with 55 of 74 lesions (74%) in the PTA group (P&lt;0.001); target lesion revascularization, in 12 (18%) versus 29 (43%; P=0.002); and target vessel occlusion, in 12 (17%) versus 41 (55%; P&lt;0.001). Only 1 major amputation occurred, in the PTA group (P=0.9).\nCONCLUSIONS: Drug-eluting balloons compared with PTA strikingly reduce 1-year restenosis, target lesion revascularization, and target vessel occlusion in the treatment of below-the-knee lesions in diabetic patients with critical limb ischemia.","container-title":"Circulation","issue":"6","journalAbbreviation":"Circulation","language":"eng","note":"PMID: 23797811","page":"615-621","title":"Drug-eluting balloon in peripheral intervention for below the knee angioplasty evaluation (DEBATE-BTK): a randomized trial in diabetic patients with critical limb ischemia","volume":"128","author":[{"family":"Liistro","given":"Francesco"},{"family":"Porto","given":"Italo"},{"family":"Angioli","given":"Paolo"},{"family":"Grotti","given":"Simone"},{"family":"Ricci","given":"Lucia"},{"family":"Ducci","given":"Kenneth"},{"family":"Falsini","given":"Giovanni"},{"family":"Ventoruzzo","given":"Giorgio"},{"family":"Turini","given":"Filippo"},{"family":"Bellandi","given":"Guido"},{"family":"Bolognese","given":"Leonardo"}],"issued":{"date-parts":[["2013",8,6]]}}}],"schema":"https://github.com/citation-style-language/schema/raw/master/csl-citation.json"} </w:instrText>
            </w:r>
            <w:r>
              <w:rPr>
                <w:rFonts w:cs="Arial"/>
                <w:lang w:val="en-US"/>
              </w:rPr>
              <w:fldChar w:fldCharType="separate"/>
            </w:r>
            <w:r w:rsidRPr="00C23FB9">
              <w:rPr>
                <w:rFonts w:cs="Arial"/>
              </w:rPr>
              <w:t>(272,275,276)</w:t>
            </w:r>
            <w:r>
              <w:rPr>
                <w:rFonts w:cs="Arial"/>
                <w:lang w:val="en-US"/>
              </w:rPr>
              <w:fldChar w:fldCharType="end"/>
            </w:r>
          </w:p>
        </w:tc>
      </w:tr>
      <w:tr w:rsidR="00F377E2" w14:paraId="4EFFAF06" w14:textId="77777777" w:rsidTr="00F377E2">
        <w:tc>
          <w:tcPr>
            <w:tcW w:w="9060" w:type="dxa"/>
            <w:gridSpan w:val="4"/>
            <w:shd w:val="clear" w:color="auto" w:fill="auto"/>
            <w:vAlign w:val="center"/>
          </w:tcPr>
          <w:p w14:paraId="48FDE324" w14:textId="3701E91E" w:rsidR="00F377E2" w:rsidRDefault="00F377E2" w:rsidP="00F377E2">
            <w:pPr>
              <w:jc w:val="left"/>
              <w:rPr>
                <w:lang w:val="en-US"/>
              </w:rPr>
            </w:pPr>
            <w:r w:rsidRPr="00C71608">
              <w:rPr>
                <w:b/>
                <w:sz w:val="18"/>
                <w:szCs w:val="18"/>
                <w:lang w:val="en-US"/>
              </w:rPr>
              <w:t>Hospitalization days</w:t>
            </w:r>
          </w:p>
        </w:tc>
      </w:tr>
      <w:tr w:rsidR="00F377E2" w14:paraId="4EA2ADAC" w14:textId="77777777" w:rsidTr="00F377E2">
        <w:tc>
          <w:tcPr>
            <w:tcW w:w="2830" w:type="dxa"/>
            <w:vAlign w:val="center"/>
          </w:tcPr>
          <w:p w14:paraId="26044216" w14:textId="1B9158BF" w:rsidR="00F377E2" w:rsidRDefault="00F377E2" w:rsidP="00F377E2">
            <w:pPr>
              <w:jc w:val="center"/>
              <w:rPr>
                <w:lang w:val="en-US"/>
              </w:rPr>
            </w:pPr>
            <w:r w:rsidRPr="0062654A">
              <w:rPr>
                <w:lang w:val="en-US"/>
              </w:rPr>
              <w:t>1 study (III)</w:t>
            </w:r>
          </w:p>
        </w:tc>
        <w:tc>
          <w:tcPr>
            <w:tcW w:w="1700" w:type="dxa"/>
            <w:vAlign w:val="center"/>
          </w:tcPr>
          <w:p w14:paraId="0C68180B" w14:textId="32065BF3" w:rsidR="00F377E2" w:rsidRDefault="00F377E2" w:rsidP="00F377E2">
            <w:pPr>
              <w:jc w:val="center"/>
              <w:rPr>
                <w:lang w:val="en-US"/>
              </w:rPr>
            </w:pPr>
            <w:r>
              <w:rPr>
                <w:lang w:val="en-US"/>
              </w:rPr>
              <w:t>3</w:t>
            </w:r>
          </w:p>
        </w:tc>
        <w:tc>
          <w:tcPr>
            <w:tcW w:w="2265" w:type="dxa"/>
            <w:vMerge w:val="restart"/>
            <w:shd w:val="clear" w:color="auto" w:fill="auto"/>
            <w:vAlign w:val="center"/>
          </w:tcPr>
          <w:p w14:paraId="106F0D81" w14:textId="39023479" w:rsidR="00F377E2" w:rsidRDefault="00F377E2" w:rsidP="00F377E2">
            <w:pPr>
              <w:jc w:val="center"/>
              <w:rPr>
                <w:lang w:val="en-US"/>
              </w:rPr>
            </w:pPr>
            <w:r>
              <w:rPr>
                <w:lang w:val="en-US"/>
              </w:rPr>
              <w:t>Low</w:t>
            </w:r>
          </w:p>
        </w:tc>
        <w:tc>
          <w:tcPr>
            <w:tcW w:w="2265" w:type="dxa"/>
            <w:vAlign w:val="center"/>
          </w:tcPr>
          <w:p w14:paraId="0F65C77D" w14:textId="24A3CC77"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4m6cSzbf","properties":{"formattedCitation":"(271)","plainCitation":"(271)","noteIndex":0},"citationItems":[{"id":12215,"uris":["http://zotero.org/users/5328021/items/HMU6PXQM"],"uri":["http://zotero.org/users/5328021/items/HMU6PXQM"],"itemData":{"id":12215,"type":"article-journal","abstract":"Background: To review patient characteristics and outcomes of inpatient diabetic foot limb salvage and identify risk factors predicting for endovascular limb salvage failure. Methodology: Retrospective study of 809 limb salvage ttempts between January 2014 and December 2015. Results: 68% of our study population were male with mean age at 65 years-old. Majority had cardiovascular co-morbidities (73% smokers, 86% hypertension, 91% hyperlipidaemia and 59% ischaemic heart disease). 36% had previous lower limb amputations and 73% were Rutherford 6 classification. 41% had toe pressures &lt;50mmHg and 91% had infra-inguinal TASCII (trans- Atlantic inter-society consensus) patterns type B (27%), type C (37%) and type D (27%) disease. 777 patients underwent endovascular limb salvage, with 67% requiring superficial femoral angioplasty, 68% with popliteal angioplasty and 91% with infra-popliteal angioplasty. 32 patients underwent surgical bypass limb salvage, with most (63%) performed as salvage procedures for failed angioplasties. The mean in-patient stay was 12.3days within the endovascular group and 43.4days within the bypass group (p&lt;0.01). Limb salvage was successful in 88% of endovascular group, as compared to 72% of bypass group (p=0.01). The mean in-patient cost was SGD$5,518 within the endovascular group and SGD$15,141 within the bypass group (p&lt;0.01). Multivariate analysis showed independent predictors for failure of endovascular limb salvage included endstage renal failure (OR2.04, p=0.01), toe pressures &lt;50mmHg (OR2.15, p=0.01), infrainguinal TASCII patterns C/D (OR1.99, p=0.03) and post-angioplasty below-knee single-vessel flow (OR2.03, p=0.02). Conclusion: Within our study population of Asian ethnicity, most inpatient diabetic foot disease presented with Rutherford 6 classification and required infra-popliteal revascularisation. As many were poor surgical candidates, majority underwent endovascular-first approach. Most surgical bypasses were performed as salvage procedures for failed angioplasties, hence had longer in-patient stay, lower limb salvage success and more expensive in-patient cost. Patients with end-stage renal failure, poor toe pressures and post-angioplasty infra-popliteal single-vessel flow were at risk of limb salvage failure.","archive":"Embase","container-title":"Vascular","issue":"1","journalAbbreviation":"Vascular","language":"English","page":"61-62","title":"Diabetic foot limb salvage-a series of 809 attempts and predictors for endovascular failure","volume":"24","author":[{"literal":"Lo Z.J."},{"literal":"Lin Z."},{"literal":"Pua U."},{"literal":"Quek L.H.H."},{"literal":"Tan B.P."},{"literal":"Punamiya S."},{"literal":"Tan G.W.L."},{"literal":"Narayanan S."},{"literal":"Chandrasekar S."}],"issued":{"date-parts":[["2016"]]}}}],"schema":"https://github.com/citation-style-language/schema/raw/master/csl-citation.json"} </w:instrText>
            </w:r>
            <w:r>
              <w:rPr>
                <w:rFonts w:cs="Arial"/>
                <w:lang w:val="en-US"/>
              </w:rPr>
              <w:fldChar w:fldCharType="separate"/>
            </w:r>
            <w:r w:rsidRPr="00C23FB9">
              <w:rPr>
                <w:rFonts w:cs="Arial"/>
              </w:rPr>
              <w:t>(271)</w:t>
            </w:r>
            <w:r>
              <w:rPr>
                <w:rFonts w:cs="Arial"/>
                <w:lang w:val="en-US"/>
              </w:rPr>
              <w:fldChar w:fldCharType="end"/>
            </w:r>
          </w:p>
        </w:tc>
      </w:tr>
      <w:tr w:rsidR="00F377E2" w14:paraId="02584EC4" w14:textId="77777777" w:rsidTr="00F377E2">
        <w:tc>
          <w:tcPr>
            <w:tcW w:w="2830" w:type="dxa"/>
            <w:vAlign w:val="center"/>
          </w:tcPr>
          <w:p w14:paraId="429E2FC2" w14:textId="3AE7C826" w:rsidR="00F377E2" w:rsidRDefault="00F377E2" w:rsidP="00F377E2">
            <w:pPr>
              <w:jc w:val="center"/>
              <w:rPr>
                <w:lang w:val="en-US"/>
              </w:rPr>
            </w:pPr>
            <w:r w:rsidRPr="00D374EB">
              <w:rPr>
                <w:color w:val="9A9B9D" w:themeColor="text1" w:themeTint="99"/>
                <w:lang w:val="en-US"/>
              </w:rPr>
              <w:t>1 study (III)</w:t>
            </w:r>
          </w:p>
        </w:tc>
        <w:tc>
          <w:tcPr>
            <w:tcW w:w="1700" w:type="dxa"/>
            <w:vAlign w:val="center"/>
          </w:tcPr>
          <w:p w14:paraId="499AFECA" w14:textId="68F62841" w:rsidR="00F377E2" w:rsidRDefault="00F377E2" w:rsidP="00F377E2">
            <w:pPr>
              <w:jc w:val="center"/>
              <w:rPr>
                <w:lang w:val="en-US"/>
              </w:rPr>
            </w:pPr>
            <w:r w:rsidRPr="00CE5028">
              <w:rPr>
                <w:color w:val="9A9B9D" w:themeColor="text1" w:themeTint="99"/>
                <w:lang w:val="en-US"/>
              </w:rPr>
              <w:t>5</w:t>
            </w:r>
          </w:p>
        </w:tc>
        <w:tc>
          <w:tcPr>
            <w:tcW w:w="2265" w:type="dxa"/>
            <w:vMerge/>
            <w:shd w:val="clear" w:color="auto" w:fill="auto"/>
            <w:vAlign w:val="center"/>
          </w:tcPr>
          <w:p w14:paraId="5A2D7900" w14:textId="77777777" w:rsidR="00F377E2" w:rsidRDefault="00F377E2" w:rsidP="00F377E2">
            <w:pPr>
              <w:jc w:val="center"/>
              <w:rPr>
                <w:lang w:val="en-US"/>
              </w:rPr>
            </w:pPr>
          </w:p>
        </w:tc>
        <w:tc>
          <w:tcPr>
            <w:tcW w:w="2265" w:type="dxa"/>
            <w:vAlign w:val="center"/>
          </w:tcPr>
          <w:p w14:paraId="1D87EB3D" w14:textId="46732645"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FL8kDfxi","properties":{"formattedCitation":"(277)","plainCitation":"(277)","noteIndex":0},"citationItems":[{"id":45748,"uris":["http://zotero.org/users/5328021/items/9LCHBHPT"],"uri":["http://zotero.org/users/5328021/items/9LCHBHPT"],"itemData":{"id":45748,"type":"article-journal","abstract":"OBJECTIVE: There are conflicting reports about outcomes after infrainguinal bypass for chronic limb-threatening ischemia (CLTI) in patients with diabetes. We compared perioperative outcomes between patients with and patients without diabetes in the current era.\nMETHODS: The National Surgical Quality Improvement Program vascular module, 2011 to 2014, was used to identify patients undergoing infrainguinal revascularization for CLTI. Patients with and without diabetes were compared in terms of presentation, comorbidities, operative approach, and 30-day outcomes. Major adverse limb events (MALEs) included 30-day major reintervention or amputation, and major adverse cardiovascular events (MACEs) included 30-day myocardial infarction, cardiac arrest, stroke, or death. Multivariable logistic regression was used to adjust for baseline differences.\nRESULTS: We identified 8887 patients undergoing open (5744; 50% diabetic) or endovascular (3143; 62% diabetic) treatment for CLTI. Patients with diabetes were younger and more often nonwhite, nonsmokers, and obese. Patients with diabetes presented more often with tissue loss (71% vs 47%; P &lt; .001) and were more likely to be treated with endovascular intervention (41% vs 29%; P &lt; .001). The 30-day mortality was similar before (open, 3.1% vs 2.8% [P = .53]; endovascular, 2.6% vs 2.1% [P = .37]) and after adjustment for baseline differences (open: odds ratio [OR], 1.1 [95% confidence interval (CI), 0.7-1.5]; endovascular: OR, 1.2 [95% CI, 0.7-2.0]). Patients with diabetes had longer lengths of stay (open, 8 vs 6 days [P &lt; .001]; endovascular, 3 vs 2 days [P &lt; .001]) and higher 30-day readmission rates (open, 21% vs 18% [P &lt; .01]; endovascular, 20% vs 15% [P &lt; .01]); however, these differences were no longer significant after adjustment for baseline differences. Patients with diabetes had a higher rate of MACEs (7.0% vs 5.1%; P &lt; .01) and lower rate of MALEs (8.1% vs 10%; P &lt; .01) after bypass. After adjustment, patients with diabetes still had a lower rate of MALEs (OR, 0.7; 95% CI, 0.6-0.9) but no longer had a higher rate of MACEs (OR, 1.2; 95% CI, 0.9-1.6).\nCONCLUSIONS: CLTI patients with diabetes undergoing revascularization have similar 30-day outcomes compared with those without diabetes, although they appear to be at lower risk for MALEs after bypass. Prolonged length of stay and readmission in patients with diabetes is not due to underlying diabetic disease but likely secondary to other baseline comorbidities, such as higher rates of tissue loss. Concern for worse perioperative outcomes in patients with diabetes after lower extremity bypass is unsubstantiated and should not discourage a physician from performing an open bypass.","container-title":"Journal of Vascular Surgery","issue":"2","journalAbbreviation":"J. Vasc. Surg.","language":"eng","note":"PMID: 29576404\nPMCID: PMC6057811","page":"487-494","title":"Treatment outcomes in diabetic patients with chronic limb-threatening ischemia","volume":"68","author":[{"family":"Liang","given":"Patric"},{"family":"Soden","given":"Peter A."},{"family":"Zettervall","given":"Sara L."},{"family":"Shean","given":"Katie E."},{"family":"Deery","given":"Sarah E."},{"family":"Guzman","given":"Raul J."},{"family":"Hamdan","given":"Allen D."},{"family":"Schermerhorn","given":"Marc L."}],"issued":{"date-parts":[["2018"]]}}}],"schema":"https://github.com/citation-style-language/schema/raw/master/csl-citation.json"} </w:instrText>
            </w:r>
            <w:r>
              <w:rPr>
                <w:rFonts w:cs="Arial"/>
                <w:lang w:val="en-US"/>
              </w:rPr>
              <w:fldChar w:fldCharType="separate"/>
            </w:r>
            <w:r w:rsidRPr="00C23FB9">
              <w:rPr>
                <w:rFonts w:cs="Arial"/>
              </w:rPr>
              <w:t>(277)</w:t>
            </w:r>
            <w:r>
              <w:rPr>
                <w:rFonts w:cs="Arial"/>
                <w:lang w:val="en-US"/>
              </w:rPr>
              <w:fldChar w:fldCharType="end"/>
            </w:r>
          </w:p>
        </w:tc>
      </w:tr>
      <w:tr w:rsidR="00F377E2" w14:paraId="636D3C81" w14:textId="77777777" w:rsidTr="00F377E2">
        <w:tc>
          <w:tcPr>
            <w:tcW w:w="9060" w:type="dxa"/>
            <w:gridSpan w:val="4"/>
            <w:shd w:val="clear" w:color="auto" w:fill="auto"/>
            <w:vAlign w:val="center"/>
          </w:tcPr>
          <w:p w14:paraId="4A4F689D" w14:textId="507BE7F3" w:rsidR="00F377E2" w:rsidRDefault="00F377E2" w:rsidP="00F377E2">
            <w:pPr>
              <w:jc w:val="left"/>
              <w:rPr>
                <w:lang w:val="en-US"/>
              </w:rPr>
            </w:pPr>
            <w:r w:rsidRPr="00C71608">
              <w:rPr>
                <w:b/>
                <w:sz w:val="18"/>
                <w:szCs w:val="18"/>
                <w:lang w:val="en-US"/>
              </w:rPr>
              <w:t>Cost-effective</w:t>
            </w:r>
          </w:p>
        </w:tc>
      </w:tr>
      <w:tr w:rsidR="00F377E2" w14:paraId="01DB5F6B" w14:textId="77777777" w:rsidTr="00F377E2">
        <w:tc>
          <w:tcPr>
            <w:tcW w:w="2830" w:type="dxa"/>
            <w:vAlign w:val="center"/>
          </w:tcPr>
          <w:p w14:paraId="08F62DA5" w14:textId="13048701" w:rsidR="00F377E2" w:rsidRDefault="00F377E2" w:rsidP="00F377E2">
            <w:pPr>
              <w:jc w:val="center"/>
              <w:rPr>
                <w:lang w:val="en-US"/>
              </w:rPr>
            </w:pPr>
            <w:r w:rsidRPr="0062654A">
              <w:rPr>
                <w:lang w:val="en-US"/>
              </w:rPr>
              <w:t>1 study (III)</w:t>
            </w:r>
          </w:p>
        </w:tc>
        <w:tc>
          <w:tcPr>
            <w:tcW w:w="1700" w:type="dxa"/>
            <w:vAlign w:val="center"/>
          </w:tcPr>
          <w:p w14:paraId="6741BEEC" w14:textId="2FBBFB52" w:rsidR="00F377E2" w:rsidRDefault="00F377E2" w:rsidP="00F377E2">
            <w:pPr>
              <w:jc w:val="center"/>
              <w:rPr>
                <w:lang w:val="en-US"/>
              </w:rPr>
            </w:pPr>
            <w:r>
              <w:rPr>
                <w:lang w:val="en-US"/>
              </w:rPr>
              <w:t>2</w:t>
            </w:r>
          </w:p>
        </w:tc>
        <w:tc>
          <w:tcPr>
            <w:tcW w:w="2265" w:type="dxa"/>
            <w:vAlign w:val="center"/>
          </w:tcPr>
          <w:p w14:paraId="60465579" w14:textId="59A536FA" w:rsidR="00F377E2" w:rsidRDefault="00F377E2" w:rsidP="00F377E2">
            <w:pPr>
              <w:jc w:val="center"/>
              <w:rPr>
                <w:lang w:val="en-US"/>
              </w:rPr>
            </w:pPr>
            <w:r>
              <w:rPr>
                <w:lang w:val="en-US"/>
              </w:rPr>
              <w:t>Low</w:t>
            </w:r>
          </w:p>
        </w:tc>
        <w:tc>
          <w:tcPr>
            <w:tcW w:w="2265" w:type="dxa"/>
            <w:vAlign w:val="center"/>
          </w:tcPr>
          <w:p w14:paraId="0549F8D3" w14:textId="323B0BE2"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h78Qc84k","properties":{"formattedCitation":"(278)","plainCitation":"(278)","noteIndex":0},"citationItems":[{"id":7211,"uris":["http://zotero.org/users/5328021/items/BFNGWIEB"],"uri":["http://zotero.org/users/5328021/items/BFNGWIEB"],"itemData":{"id":7211,"type":"article-journal","abstract":"Background Critical limb ischemia (CLI) is a feared complication of peripheral vascular disease that often requires surgical management and may require amputation of the affected limb. We developed a decision model to inform clinical management for a 63-year-old woman with CLI and multiple medical comorbidities, including advanced heart failure and diabetes. Methods We developed a Markov decision model to evaluate 4 strategies: amputation, surgical bypass, endovascular therapy (e.g. stent or revascularization), and medical management. We measured the impact of parameter uncertainty using 1-way, 2-way, and multiway sensitivity analyses. Results In the base case, endovascular therapy yielded similar discounted quality-adjusted life months (26.50 QALMs) compared with surgical bypass (26.34 QALMs). Both endovascular and surgical therapies were superior to amputation (18.83 QALMs) and medical management (11.08 QALMs). This finding was robust to a wide range of periprocedural mortality weights and was most sensitive to long-term mortality associated with endovascular and surgical therapies. Utility weights were not stratified by patient comorbidities; nonetheless, our conclusion was robust to a range of utility weight values. Conclusions For a patient with CLI, endovascular therapy and surgical bypass provided comparable clinical outcomes. However, this finding was sensitive to long-term mortality rates associated with each procedure. Both endovascular and surgical therapies were superior to amputation or medical management in a range of scenarios.","archive":"Embase","container-title":"Annals of Vascular Surgery","issue":"(Deutsch A.J.; Jain C.C.; Dickinson M.W.) Division of General Internal Medicine, Department of Medicine, Massachusetts General Hospital, Boston, MA, United States","journalAbbreviation":"Ann. Vasc. Surg.","language":"English","page":"1-9","title":"Decision-Making in Critical Limb Ischemia: A Markov Simulation","volume":"45","author":[{"literal":"Deutsch A.J."},{"literal":"Jain C.C."},{"literal":"Blumenthal K.G."},{"literal":"Dickinson M.W."},{"literal":"Neilan A.M."}],"issued":{"date-parts":[["2017"]]}}}],"schema":"https://github.com/citation-style-language/schema/raw/master/csl-citation.json"} </w:instrText>
            </w:r>
            <w:r>
              <w:rPr>
                <w:rFonts w:cs="Arial"/>
                <w:lang w:val="en-US"/>
              </w:rPr>
              <w:fldChar w:fldCharType="separate"/>
            </w:r>
            <w:r w:rsidRPr="00A91C12">
              <w:rPr>
                <w:rFonts w:cs="Arial"/>
                <w:lang w:val="en-US"/>
              </w:rPr>
              <w:t>(278)</w:t>
            </w:r>
            <w:r>
              <w:rPr>
                <w:rFonts w:cs="Arial"/>
                <w:lang w:val="en-US"/>
              </w:rPr>
              <w:fldChar w:fldCharType="end"/>
            </w:r>
          </w:p>
        </w:tc>
      </w:tr>
      <w:tr w:rsidR="00F377E2" w:rsidRPr="00166EC2" w14:paraId="725F7477" w14:textId="77777777" w:rsidTr="00F377E2">
        <w:tc>
          <w:tcPr>
            <w:tcW w:w="9060" w:type="dxa"/>
            <w:gridSpan w:val="4"/>
            <w:shd w:val="clear" w:color="auto" w:fill="D4F1D3" w:themeFill="accent1" w:themeFillTint="33"/>
            <w:vAlign w:val="center"/>
          </w:tcPr>
          <w:p w14:paraId="3161073D" w14:textId="3BEEDC29" w:rsidR="00F377E2" w:rsidRDefault="00F377E2" w:rsidP="00F377E2">
            <w:pPr>
              <w:jc w:val="center"/>
              <w:rPr>
                <w:lang w:val="en-US"/>
              </w:rPr>
            </w:pPr>
            <w:r w:rsidRPr="00C71608">
              <w:rPr>
                <w:b/>
                <w:lang w:val="en-US"/>
              </w:rPr>
              <w:t xml:space="preserve">Revascularization with </w:t>
            </w:r>
            <w:r>
              <w:rPr>
                <w:b/>
                <w:lang w:val="en-US"/>
              </w:rPr>
              <w:t xml:space="preserve">open vascular </w:t>
            </w:r>
            <w:r w:rsidRPr="00C71608">
              <w:rPr>
                <w:b/>
                <w:lang w:val="en-US"/>
              </w:rPr>
              <w:t xml:space="preserve">surgery (vs. </w:t>
            </w:r>
            <w:r>
              <w:rPr>
                <w:b/>
                <w:lang w:val="en-US"/>
              </w:rPr>
              <w:t xml:space="preserve">endovascular </w:t>
            </w:r>
            <w:r w:rsidRPr="00C71608">
              <w:rPr>
                <w:b/>
                <w:lang w:val="en-US"/>
              </w:rPr>
              <w:t>surgery)</w:t>
            </w:r>
          </w:p>
        </w:tc>
      </w:tr>
      <w:tr w:rsidR="00F377E2" w14:paraId="143C7819" w14:textId="77777777" w:rsidTr="00F377E2">
        <w:tc>
          <w:tcPr>
            <w:tcW w:w="9060" w:type="dxa"/>
            <w:gridSpan w:val="4"/>
            <w:vAlign w:val="center"/>
          </w:tcPr>
          <w:p w14:paraId="0D551612" w14:textId="165CE5F0" w:rsidR="00F377E2" w:rsidRDefault="00F377E2" w:rsidP="00F377E2">
            <w:pPr>
              <w:jc w:val="left"/>
              <w:rPr>
                <w:lang w:val="en-US"/>
              </w:rPr>
            </w:pPr>
            <w:r w:rsidRPr="00C71608">
              <w:rPr>
                <w:b/>
                <w:sz w:val="18"/>
                <w:szCs w:val="18"/>
                <w:lang w:val="en-US"/>
              </w:rPr>
              <w:t>Limb salvage/amputation-free survival</w:t>
            </w:r>
          </w:p>
        </w:tc>
      </w:tr>
      <w:tr w:rsidR="00F377E2" w14:paraId="1C129DE2" w14:textId="77777777" w:rsidTr="00F377E2">
        <w:tc>
          <w:tcPr>
            <w:tcW w:w="2830" w:type="dxa"/>
            <w:vAlign w:val="center"/>
          </w:tcPr>
          <w:p w14:paraId="03BD3526" w14:textId="1C5E3AB2" w:rsidR="00F377E2" w:rsidRDefault="00F377E2" w:rsidP="00F377E2">
            <w:pPr>
              <w:jc w:val="center"/>
              <w:rPr>
                <w:lang w:val="en-US"/>
              </w:rPr>
            </w:pPr>
            <w:r w:rsidRPr="006E4B1C">
              <w:rPr>
                <w:lang w:val="en-US"/>
              </w:rPr>
              <w:t>3 studies (III)</w:t>
            </w:r>
          </w:p>
        </w:tc>
        <w:tc>
          <w:tcPr>
            <w:tcW w:w="1700" w:type="dxa"/>
            <w:vAlign w:val="center"/>
          </w:tcPr>
          <w:p w14:paraId="0CACB32C" w14:textId="65FE8013" w:rsidR="00F377E2" w:rsidRDefault="00F377E2" w:rsidP="00F377E2">
            <w:pPr>
              <w:jc w:val="center"/>
              <w:rPr>
                <w:lang w:val="en-US"/>
              </w:rPr>
            </w:pPr>
            <w:r>
              <w:rPr>
                <w:lang w:val="en-US"/>
              </w:rPr>
              <w:t>4</w:t>
            </w:r>
          </w:p>
        </w:tc>
        <w:tc>
          <w:tcPr>
            <w:tcW w:w="2265" w:type="dxa"/>
            <w:vMerge w:val="restart"/>
            <w:vAlign w:val="center"/>
          </w:tcPr>
          <w:p w14:paraId="58625395" w14:textId="6F8448B1" w:rsidR="00F377E2" w:rsidRDefault="00F377E2" w:rsidP="00F377E2">
            <w:pPr>
              <w:jc w:val="center"/>
              <w:rPr>
                <w:lang w:val="en-US"/>
              </w:rPr>
            </w:pPr>
            <w:r>
              <w:rPr>
                <w:lang w:val="en-US"/>
              </w:rPr>
              <w:t>Low</w:t>
            </w:r>
          </w:p>
        </w:tc>
        <w:tc>
          <w:tcPr>
            <w:tcW w:w="2265" w:type="dxa"/>
            <w:vAlign w:val="center"/>
          </w:tcPr>
          <w:p w14:paraId="4F2D6899" w14:textId="40E5AECE"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Tak1SUOl","properties":{"formattedCitation":"(277,279,280)","plainCitation":"(277,279,280)","noteIndex":0},"citationItems":[{"id":45748,"uris":["http://zotero.org/users/5328021/items/9LCHBHPT"],"uri":["http://zotero.org/users/5328021/items/9LCHBHPT"],"itemData":{"id":45748,"type":"article-journal","abstract":"OBJECTIVE: There are conflicting reports about outcomes after infrainguinal bypass for chronic limb-threatening ischemia (CLTI) in patients with diabetes. We compared perioperative outcomes between patients with and patients without diabetes in the current era.\nMETHODS: The National Surgical Quality Improvement Program vascular module, 2011 to 2014, was used to identify patients undergoing infrainguinal revascularization for CLTI. Patients with and without diabetes were compared in terms of presentation, comorbidities, operative approach, and 30-day outcomes. Major adverse limb events (MALEs) included 30-day major reintervention or amputation, and major adverse cardiovascular events (MACEs) included 30-day myocardial infarction, cardiac arrest, stroke, or death. Multivariable logistic regression was used to adjust for baseline differences.\nRESULTS: We identified 8887 patients undergoing open (5744; 50% diabetic) or endovascular (3143; 62% diabetic) treatment for CLTI. Patients with diabetes were younger and more often nonwhite, nonsmokers, and obese. Patients with diabetes presented more often with tissue loss (71% vs 47%; P &lt; .001) and were more likely to be treated with endovascular intervention (41% vs 29%; P &lt; .001). The 30-day mortality was similar before (open, 3.1% vs 2.8% [P = .53]; endovascular, 2.6% vs 2.1% [P = .37]) and after adjustment for baseline differences (open: odds ratio [OR], 1.1 [95% confidence interval (CI), 0.7-1.5]; endovascular: OR, 1.2 [95% CI, 0.7-2.0]). Patients with diabetes had longer lengths of stay (open, 8 vs 6 days [P &lt; .001]; endovascular, 3 vs 2 days [P &lt; .001]) and higher 30-day readmission rates (open, 21% vs 18% [P &lt; .01]; endovascular, 20% vs 15% [P &lt; .01]); however, these differences were no longer significant after adjustment for baseline differences. Patients with diabetes had a higher rate of MACEs (7.0% vs 5.1%; P &lt; .01) and lower rate of MALEs (8.1% vs 10%; P &lt; .01) after bypass. After adjustment, patients with diabetes still had a lower rate of MALEs (OR, 0.7; 95% CI, 0.6-0.9) but no longer had a higher rate of MACEs (OR, 1.2; 95% CI, 0.9-1.6).\nCONCLUSIONS: CLTI patients with diabetes undergoing revascularization have similar 30-day outcomes compared with those without diabetes, although they appear to be at lower risk for MALEs after bypass. Prolonged length of stay and readmission in patients with diabetes is not due to underlying diabetic disease but likely secondary to other baseline comorbidities, such as higher rates of tissue loss. Concern for worse perioperative outcomes in patients with diabetes after lower extremity bypass is unsubstantiated and should not discourage a physician from performing an open bypass.","container-title":"Journal of Vascular Surgery","issue":"2","journalAbbreviation":"J. Vasc. Surg.","language":"eng","note":"PMID: 29576404\nPMCID: PMC6057811","page":"487-494","title":"Treatment outcomes in diabetic patients with chronic limb-threatening ischemia","volume":"68","author":[{"family":"Liang","given":"Patric"},{"family":"Soden","given":"Peter A."},{"family":"Zettervall","given":"Sara L."},{"family":"Shean","given":"Katie E."},{"family":"Deery","given":"Sarah E."},{"family":"Guzman","given":"Raul J."},{"family":"Hamdan","given":"Allen D."},{"family":"Schermerhorn","given":"Marc L."}],"issued":{"date-parts":[["2018"]]}}},{"id":45162,"uris":["http://zotero.org/users/5328021/items/G4PQCP8A"],"uri":["http://zotero.org/users/5328021/items/G4PQCP8A"],"itemData":{"id":45162,"type":"article-journal","abstract":"BACKGROUND:: Heel ulcers in patients with diabetes mellitus (DM) and peripheral arterial disease (PAD) are hard to heal. The aim of the present study was to evaluate the difference in amputation-free survival (AFS) between open and endovascular revascularization in patients with DM, PAD, and heel ulcers.\nMETHODS:: Retrospective comparative study of results of open versus endovascular surgery in patients with DM, PAD, and heel ulcer presented at the multidisciplinary diabetes foot clinic between 1983 and 2013.\nRESULTS:: Patients with heel ulcers were treated with endovascular intervention (n = 97) and open vascular surgery (n = 30). Kaplan-Meier analysis showed that the AFS was higher in patients undergoing open vascular surgery compared to the endovascular group ( P = .009). Multivariate analysis showed that open vascular surgery versus endovascular therapy (hazard ratio 2.1, 95% confidence interval 1.1-3.9; P = .025) was an independent factor associated with higher AFS. The proportion of patients undergoing endovascular therapy in the former (1983-2000) time period was 47% compared to 89% in the latter (2001-2013) time period ( P &lt; .001).\nCONCLUSION:: The AFS was higher after open than endovascular surgery among patients with DM and PAD with heel ulcer. These results suggest that open vascular surgery should be offered more often as opposed to current practice.","container-title":"Vascular and Endovascular Surgery","issue":"2","journalAbbreviation":"Vasc Endovascular Surg","language":"eng","note":"PMID: 30466379","page":"118-125","title":"Amputation-Free Survival in Patients With Diabetes Mellitus and Peripheral Arterial Disease With Heel Ulcer: Open Versus Endovascular Surgery","volume":"53","author":[{"family":"Butt","given":"Talha"},{"family":"Lilja","given":"Erika"},{"family":"Örneholm","given":"Hedvig"},{"family":"Apelqvist","given":"Jan"},{"family":"Gottsäter","given":"Anders"},{"family":"Eneroth","given":"Magnus"},{"family":"Acosta","given":"Stefan"}],"issued":{"date-parts":[["2019",2]]}}},{"id":47652,"uris":["http://zotero.org/users/5328021/items/EFZAFQDV"],"uri":["http://zotero.org/users/5328021/items/EFZAFQDV"],"itemData":{"id":47652,"type":"article-journal","abstract":"INTRODUCTION: This study aimed to evaluate the impact of angiosome targeted (direct) revascularisation according to revascularisation method in patients with diabetes.\nMATERIALS AND METHODS: This retrospective study cohort comprised 545 diabetic patients with critical limb ischaemia and tissue loss (Rutherford 5, 6). All patients underwent infrapopliteal endovascular (PTA) or open surgical revascularisation between January 2008 and December 2013. Differences in the outcome after direct revascularisation, bypass surgery, and PTA were investigated by means of Cox proportional hazards analysis. The endpoints were wound healing, leg salvage, and amputation free survival.\nRESULTS: Overall, 60.3% of the ischaemic wounds healed during 1 year of follow-up. The highest wound healing rate was achieved after direct bypass (77%) and the worst after indirect PTA (52%). The Cox proportional hazards analysis showed that the number of affected angiosomes &lt;3 (HR 1.37, 95% CI 1.01-1.84) was associated with improved wound healing, whereas wound healing was poorest after indirect PTA (p = .001). When Cox proportional hazard analysis was adjusted for the number of affected angiosomes, direct bypass gave the best wound healing (p = 0.003). The overall amputation rate was 25.1% at 1 year of follow-up, and the Cox proportional hazards analysis indicated that haemodialysis compared with patients with no haemodialysis (HR 2.55, 95% CI 1.49-4.38), C-reactive protein ≥10 mg/dL (HR 2.05, 95% CI 1.45-2.90), atrial fibrillation (HR 1.54, 95% CI 1.05-2.26), and number of affected angiosomes &gt;3 (HR 1.75, 95% CI 1.24-2.46) were significantly associated with poor leg salvage. Direct PTA was associated with a lower rate of major amputation compared with indirect PTA (HR 0.57 95% CI 0.37-0.89).\nCONCLUSION: In diabetics, indirect endovascular revascularisation leads to significantly worse wound healing and leg salvage rates compared with direct revascularisation. Therefore, endovascular procedures should be targeted according to the angiosome concept. In bypass surgery, however, the concept is of less value and the artery with the best runoff should be selected as the outflow artery.","container-title":"European Journal of Vascular and Endovascular Surgery: The Official Journal of the European Society for Vascular Surgery","issue":"4","journalAbbreviation":"Eur J Vasc Endovasc Surg","language":"eng","note":"PMID: 28215512","page":"567-575","title":"Angiosome Targeted PTA is More Important in Endovascular Revascularisation than in Surgical Revascularisation: Analysis of 545 Patients with Ischaemic Tissue Lesions","volume":"53","author":[{"family":"Špillerová","given":"K."},{"family":"Settembre","given":"N."},{"family":"Biancari","given":"F."},{"family":"Albäck","given":"A."},{"family":"Venermo","given":"M."}],"issued":{"date-parts":[["2017",4]]}}}],"schema":"https://github.com/citation-style-language/schema/raw/master/csl-citation.json"} </w:instrText>
            </w:r>
            <w:r>
              <w:rPr>
                <w:rFonts w:cs="Arial"/>
                <w:lang w:val="en-US"/>
              </w:rPr>
              <w:fldChar w:fldCharType="separate"/>
            </w:r>
            <w:r w:rsidRPr="00C23FB9">
              <w:rPr>
                <w:rFonts w:cs="Arial"/>
              </w:rPr>
              <w:t>(277,279,280)</w:t>
            </w:r>
            <w:r>
              <w:rPr>
                <w:rFonts w:cs="Arial"/>
                <w:lang w:val="en-US"/>
              </w:rPr>
              <w:fldChar w:fldCharType="end"/>
            </w:r>
          </w:p>
        </w:tc>
      </w:tr>
      <w:tr w:rsidR="00F377E2" w14:paraId="54B9A4FE" w14:textId="77777777" w:rsidTr="00F377E2">
        <w:tc>
          <w:tcPr>
            <w:tcW w:w="2830" w:type="dxa"/>
            <w:vAlign w:val="center"/>
          </w:tcPr>
          <w:p w14:paraId="5BFB91B4" w14:textId="466FDC18" w:rsidR="00F377E2" w:rsidRDefault="00F377E2" w:rsidP="00F377E2">
            <w:pPr>
              <w:jc w:val="center"/>
              <w:rPr>
                <w:lang w:val="en-US"/>
              </w:rPr>
            </w:pPr>
            <w:r>
              <w:rPr>
                <w:color w:val="9A9B9D" w:themeColor="text1" w:themeTint="99"/>
                <w:lang w:val="en-US"/>
              </w:rPr>
              <w:t>3</w:t>
            </w:r>
            <w:r w:rsidRPr="00CE5028">
              <w:rPr>
                <w:color w:val="9A9B9D" w:themeColor="text1" w:themeTint="99"/>
                <w:lang w:val="en-US"/>
              </w:rPr>
              <w:t xml:space="preserve"> studies (III)</w:t>
            </w:r>
          </w:p>
        </w:tc>
        <w:tc>
          <w:tcPr>
            <w:tcW w:w="1700" w:type="dxa"/>
            <w:vAlign w:val="center"/>
          </w:tcPr>
          <w:p w14:paraId="5D118C24" w14:textId="4C5B5498" w:rsidR="00F377E2" w:rsidRDefault="00F377E2" w:rsidP="00F377E2">
            <w:pPr>
              <w:jc w:val="center"/>
              <w:rPr>
                <w:lang w:val="en-US"/>
              </w:rPr>
            </w:pPr>
            <w:r w:rsidRPr="0091169A">
              <w:rPr>
                <w:color w:val="9A9B9D" w:themeColor="text1" w:themeTint="99"/>
                <w:lang w:val="en-US"/>
              </w:rPr>
              <w:t>3</w:t>
            </w:r>
          </w:p>
        </w:tc>
        <w:tc>
          <w:tcPr>
            <w:tcW w:w="2265" w:type="dxa"/>
            <w:vMerge/>
            <w:vAlign w:val="center"/>
          </w:tcPr>
          <w:p w14:paraId="053A348C" w14:textId="77777777" w:rsidR="00F377E2" w:rsidRDefault="00F377E2" w:rsidP="00F377E2">
            <w:pPr>
              <w:jc w:val="center"/>
              <w:rPr>
                <w:lang w:val="en-US"/>
              </w:rPr>
            </w:pPr>
          </w:p>
        </w:tc>
        <w:tc>
          <w:tcPr>
            <w:tcW w:w="2265" w:type="dxa"/>
            <w:vAlign w:val="center"/>
          </w:tcPr>
          <w:p w14:paraId="24FE8ED1" w14:textId="66C916D2"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RSELjkos","properties":{"formattedCitation":"(271\\uc0\\u8211{}273)","plainCitation":"(271–273)","noteIndex":0},"citationItems":[{"id":12215,"uris":["http://zotero.org/users/5328021/items/HMU6PXQM"],"uri":["http://zotero.org/users/5328021/items/HMU6PXQM"],"itemData":{"id":12215,"type":"article-journal","abstract":"Background: To review patient characteristics and outcomes of inpatient diabetic foot limb salvage and identify risk factors predicting for endovascular limb salvage failure. Methodology: Retrospective study of 809 limb salvage ttempts between January 2014 and December 2015. Results: 68% of our study population were male with mean age at 65 years-old. Majority had cardiovascular co-morbidities (73% smokers, 86% hypertension, 91% hyperlipidaemia and 59% ischaemic heart disease). 36% had previous lower limb amputations and 73% were Rutherford 6 classification. 41% had toe pressures &lt;50mmHg and 91% had infra-inguinal TASCII (trans- Atlantic inter-society consensus) patterns type B (27%), type C (37%) and type D (27%) disease. 777 patients underwent endovascular limb salvage, with 67% requiring superficial femoral angioplasty, 68% with popliteal angioplasty and 91% with infra-popliteal angioplasty. 32 patients underwent surgical bypass limb salvage, with most (63%) performed as salvage procedures for failed angioplasties. The mean in-patient stay was 12.3days within the endovascular group and 43.4days within the bypass group (p&lt;0.01). Limb salvage was successful in 88% of endovascular group, as compared to 72% of bypass group (p=0.01). The mean in-patient cost was SGD$5,518 within the endovascular group and SGD$15,141 within the bypass group (p&lt;0.01). Multivariate analysis showed independent predictors for failure of endovascular limb salvage included endstage renal failure (OR2.04, p=0.01), toe pressures &lt;50mmHg (OR2.15, p=0.01), infrainguinal TASCII patterns C/D (OR1.99, p=0.03) and post-angioplasty below-knee single-vessel flow (OR2.03, p=0.02). Conclusion: Within our study population of Asian ethnicity, most inpatient diabetic foot disease presented with Rutherford 6 classification and required infra-popliteal revascularisation. As many were poor surgical candidates, majority underwent endovascular-first approach. Most surgical bypasses were performed as salvage procedures for failed angioplasties, hence had longer in-patient stay, lower limb salvage success and more expensive in-patient cost. Patients with end-stage renal failure, poor toe pressures and post-angioplasty infra-popliteal single-vessel flow were at risk of limb salvage failure.","archive":"Embase","container-title":"Vascular","issue":"1","journalAbbreviation":"Vascular","language":"English","page":"61-62","title":"Diabetic foot limb salvage-a series of 809 attempts and predictors for endovascular failure","volume":"24","author":[{"literal":"Lo Z.J."},{"literal":"Lin Z."},{"literal":"Pua U."},{"literal":"Quek L.H.H."},{"literal":"Tan B.P."},{"literal":"Punamiya S."},{"literal":"Tan G.W.L."},{"literal":"Narayanan S."},{"literal":"Chandrasekar S."}],"issued":{"date-parts":[["2016"]]}}},{"id":73302,"uris":["http://zotero.org/users/5328021/items/EGBQPI78"],"uri":["http://zotero.org/users/5328021/items/EGBQPI78"],"itemData":{"id":73302,"type":"article-journal","abstract":"AIMS: The aim of the present study was to compare outcomes of endovascular surgery versus open vascular surgery in patients with diabetic foot ulcer (DFU) and peripheral arterial disease (PAD). METHODS: Between 1984 and 2006, 1151 patients with DFU were admitted to the diabetic foot care team. Three hundred seventy-six patients with 408 limbs were consecutively included at a multidisciplinary foot center, 289 limbs were treated with endovascular surgery and 119 limbs with open vascular surgery first strategy. A propensity score adjusted analysis was performed to compare outcomes for type of revascularization. RESULTS: Major amputation rates at 3years were 17.0% and 16.8% (p=0.97) and mortality at 3years were 43.1% and 46.5% (p=0.55) after endovascular surgery and open vascular surgery, respectively. In the propensity score adjusted analysis, patients undergoing endovascular surgery first had similar outcomes in  terms of major amputation, mortality, combined major amputation/mortality compared to those undergoing open vascular surgery. Longer time to intervention (p=0.003) was associated with increased major amputation rate in the multivariable Cox regression analysis. CONCLUSION: The endovascular surgery first and open vascular surgery first strategies were associated with similar long-term results in a large cohort of patients with DFU and PAD undergoing revascularization. Rapid revascularization reduces the risk of amputation.","container-title":"Journal of diabetes and its complications","journalAbbreviation":"J Diabetes Complications","language":"eng","note":"PMID: 32061519","page":"107551","title":"Amputation-free survival in patients with diabetic foot ulcer and peripheral arterial disease: Endovascular versus open surgery in a propensity score adjusted analysis.","author":[{"family":"Butt","given":"Talha"},{"family":"Lilja","given":"Erika"},{"family":"Elgzyri","given":"Targ"},{"family":"Apelqvist","given":"Jan"},{"family":"Gottsater","given":"Anders"},{"family":"Engstrom","given":"Gunnar"},{"family":"Acosta","given":"Stefan"}],"issued":{"date-parts":[["2020",2,6]]}}},{"id":12740,"uris":["http://zotero.org/users/5328021/items/256GQ42D"],"uri":["http://zotero.org/users/5328021/items/256GQ42D"],"itemData":{"id":12740,"type":"article-journal","abstract":"Background Extensive defects of the lower limb as a result of diabetes and peripheral vascular disease require multidisciplinary treatment. Numerous studies with regards combining vascular bypass surgery and free tissue reconstruction of the lower limb had been published. However the trend has evolved toward a combination of endovascular revascularization and free flap reconstruction. The aim of this study was to compare the safety and efficacy of this combination of treatment to the traditional combination of bypass surgery and free tissue reconstruction. Methods All patients who had undergone vascular bypass surgery and free tissue reconstruction of the lower limb as well as those who had undergone endovascular angioplasty with free tissue transfer for lower limb preservation, over a 10-year period was included in this study. Results A total of 46 patients that underwent limb preservation were included in this study, 22 patients underwent open bypass revascularization and free flap transfer and 24 patients underwent endovascular revascularization and free tissue transfer. There were no differences between the two methods with regards to age, sex, defect size, TransAtlantic InterSociety Consensus level, Wagner classification, length of hospitalization, limb preservation rate, total flap necrosis rate, and partial flap necrosis rate. More importantly, there was no significant difference in the limb preservation rate (P = 0.14). Conclusion In this study we found that the safety and the success rate of lower limb preservation using a combination of endovascular revascularization and free tissue reconstruction is comparable to using a combination of bypass surgery and free tissue transfer.","archive":"Embase","container-title":"Microsurgery","issue":"7","journalAbbreviation":"Microsurgery","language":"English","note":"PMID: 26361236","page":"518-527","title":"A comparison between combined open bypass revascularization and free tissue transfer versus endovascular revascularization and free tissue transfer for lower limb preservation","volume":"35","author":[{"literal":"Hsu H."},{"literal":"Chang C.-H."},{"literal":"Lee C.-Y."},{"literal":"Huang C.-C."},{"literal":"Mark Chiu C.-H."},{"literal":"Lin C.-M."},{"literal":"Lee J.-T."},{"literal":"Chien S.-H."}],"issued":{"date-parts":[["2015",10]]}}}],"schema":"https://github.com/citation-style-language/schema/raw/master/csl-citation.json"} </w:instrText>
            </w:r>
            <w:r>
              <w:rPr>
                <w:rFonts w:cs="Arial"/>
                <w:lang w:val="en-US"/>
              </w:rPr>
              <w:fldChar w:fldCharType="separate"/>
            </w:r>
            <w:r w:rsidRPr="00A91C12">
              <w:rPr>
                <w:rFonts w:cs="Arial"/>
                <w:szCs w:val="24"/>
              </w:rPr>
              <w:t>(271–273)</w:t>
            </w:r>
            <w:r>
              <w:rPr>
                <w:rFonts w:cs="Arial"/>
                <w:lang w:val="en-US"/>
              </w:rPr>
              <w:fldChar w:fldCharType="end"/>
            </w:r>
          </w:p>
        </w:tc>
      </w:tr>
      <w:tr w:rsidR="00F377E2" w14:paraId="5CDB4E32" w14:textId="77777777" w:rsidTr="00F377E2">
        <w:tc>
          <w:tcPr>
            <w:tcW w:w="9060" w:type="dxa"/>
            <w:gridSpan w:val="4"/>
            <w:vAlign w:val="center"/>
          </w:tcPr>
          <w:p w14:paraId="0A759B81" w14:textId="7F0440D1" w:rsidR="00F377E2" w:rsidRDefault="00F377E2" w:rsidP="00F377E2">
            <w:pPr>
              <w:jc w:val="left"/>
              <w:rPr>
                <w:lang w:val="en-US"/>
              </w:rPr>
            </w:pPr>
            <w:r w:rsidRPr="00C71608">
              <w:rPr>
                <w:b/>
                <w:sz w:val="18"/>
                <w:szCs w:val="18"/>
                <w:lang w:val="en-US"/>
              </w:rPr>
              <w:t>Amputation events</w:t>
            </w:r>
          </w:p>
        </w:tc>
      </w:tr>
      <w:tr w:rsidR="00F377E2" w14:paraId="41E89D51" w14:textId="77777777" w:rsidTr="00F377E2">
        <w:tc>
          <w:tcPr>
            <w:tcW w:w="2830" w:type="dxa"/>
            <w:vAlign w:val="center"/>
          </w:tcPr>
          <w:p w14:paraId="3351DA5B" w14:textId="230D216D" w:rsidR="00F377E2" w:rsidRDefault="00F377E2" w:rsidP="00F377E2">
            <w:pPr>
              <w:jc w:val="center"/>
              <w:rPr>
                <w:lang w:val="en-US"/>
              </w:rPr>
            </w:pPr>
            <w:r w:rsidRPr="0062654A">
              <w:rPr>
                <w:lang w:val="en-US"/>
              </w:rPr>
              <w:t>1 study (III)</w:t>
            </w:r>
          </w:p>
        </w:tc>
        <w:tc>
          <w:tcPr>
            <w:tcW w:w="1700" w:type="dxa"/>
            <w:vAlign w:val="center"/>
          </w:tcPr>
          <w:p w14:paraId="663299EA" w14:textId="49C8265E" w:rsidR="00F377E2" w:rsidRDefault="00F377E2" w:rsidP="00F377E2">
            <w:pPr>
              <w:jc w:val="center"/>
              <w:rPr>
                <w:lang w:val="en-US"/>
              </w:rPr>
            </w:pPr>
            <w:r>
              <w:rPr>
                <w:lang w:val="en-US"/>
              </w:rPr>
              <w:t>5</w:t>
            </w:r>
          </w:p>
        </w:tc>
        <w:tc>
          <w:tcPr>
            <w:tcW w:w="2265" w:type="dxa"/>
            <w:vMerge w:val="restart"/>
            <w:vAlign w:val="center"/>
          </w:tcPr>
          <w:p w14:paraId="3E47A370" w14:textId="1E74C0D6" w:rsidR="00F377E2" w:rsidRDefault="00F377E2" w:rsidP="00F377E2">
            <w:pPr>
              <w:jc w:val="center"/>
              <w:rPr>
                <w:lang w:val="en-US"/>
              </w:rPr>
            </w:pPr>
            <w:r>
              <w:rPr>
                <w:lang w:val="en-US"/>
              </w:rPr>
              <w:t>Low</w:t>
            </w:r>
          </w:p>
        </w:tc>
        <w:tc>
          <w:tcPr>
            <w:tcW w:w="2265" w:type="dxa"/>
            <w:vAlign w:val="center"/>
          </w:tcPr>
          <w:p w14:paraId="5D55DC13" w14:textId="00169FAC"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wrNkPFMf","properties":{"formattedCitation":"(277)","plainCitation":"(277)","noteIndex":0},"citationItems":[{"id":45748,"uris":["http://zotero.org/users/5328021/items/9LCHBHPT"],"uri":["http://zotero.org/users/5328021/items/9LCHBHPT"],"itemData":{"id":45748,"type":"article-journal","abstract":"OBJECTIVE: There are conflicting reports about outcomes after infrainguinal bypass for chronic limb-threatening ischemia (CLTI) in patients with diabetes. We compared perioperative outcomes between patients with and patients without diabetes in the current era.\nMETHODS: The National Surgical Quality Improvement Program vascular module, 2011 to 2014, was used to identify patients undergoing infrainguinal revascularization for CLTI. Patients with and without diabetes were compared in terms of presentation, comorbidities, operative approach, and 30-day outcomes. Major adverse limb events (MALEs) included 30-day major reintervention or amputation, and major adverse cardiovascular events (MACEs) included 30-day myocardial infarction, cardiac arrest, stroke, or death. Multivariable logistic regression was used to adjust for baseline differences.\nRESULTS: We identified 8887 patients undergoing open (5744; 50% diabetic) or endovascular (3143; 62% diabetic) treatment for CLTI. Patients with diabetes were younger and more often nonwhite, nonsmokers, and obese. Patients with diabetes presented more often with tissue loss (71% vs 47%; P &lt; .001) and were more likely to be treated with endovascular intervention (41% vs 29%; P &lt; .001). The 30-day mortality was similar before (open, 3.1% vs 2.8% [P = .53]; endovascular, 2.6% vs 2.1% [P = .37]) and after adjustment for baseline differences (open: odds ratio [OR], 1.1 [95% confidence interval (CI), 0.7-1.5]; endovascular: OR, 1.2 [95% CI, 0.7-2.0]). Patients with diabetes had longer lengths of stay (open, 8 vs 6 days [P &lt; .001]; endovascular, 3 vs 2 days [P &lt; .001]) and higher 30-day readmission rates (open, 21% vs 18% [P &lt; .01]; endovascular, 20% vs 15% [P &lt; .01]); however, these differences were no longer significant after adjustment for baseline differences. Patients with diabetes had a higher rate of MACEs (7.0% vs 5.1%; P &lt; .01) and lower rate of MALEs (8.1% vs 10%; P &lt; .01) after bypass. After adjustment, patients with diabetes still had a lower rate of MALEs (OR, 0.7; 95% CI, 0.6-0.9) but no longer had a higher rate of MACEs (OR, 1.2; 95% CI, 0.9-1.6).\nCONCLUSIONS: CLTI patients with diabetes undergoing revascularization have similar 30-day outcomes compared with those without diabetes, although they appear to be at lower risk for MALEs after bypass. Prolonged length of stay and readmission in patients with diabetes is not due to underlying diabetic disease but likely secondary to other baseline comorbidities, such as higher rates of tissue loss. Concern for worse perioperative outcomes in patients with diabetes after lower extremity bypass is unsubstantiated and should not discourage a physician from performing an open bypass.","container-title":"Journal of Vascular Surgery","issue":"2","journalAbbreviation":"J. Vasc. Surg.","language":"eng","note":"PMID: 29576404\nPMCID: PMC6057811","page":"487-494","title":"Treatment outcomes in diabetic patients with chronic limb-threatening ischemia","volume":"68","author":[{"family":"Liang","given":"Patric"},{"family":"Soden","given":"Peter A."},{"family":"Zettervall","given":"Sara L."},{"family":"Shean","given":"Katie E."},{"family":"Deery","given":"Sarah E."},{"family":"Guzman","given":"Raul J."},{"family":"Hamdan","given":"Allen D."},{"family":"Schermerhorn","given":"Marc L."}],"issued":{"date-parts":[["2018"]]}}}],"schema":"https://github.com/citation-style-language/schema/raw/master/csl-citation.json"} </w:instrText>
            </w:r>
            <w:r>
              <w:rPr>
                <w:rFonts w:cs="Arial"/>
                <w:lang w:val="en-US"/>
              </w:rPr>
              <w:fldChar w:fldCharType="separate"/>
            </w:r>
            <w:r w:rsidRPr="00C23FB9">
              <w:rPr>
                <w:rFonts w:cs="Arial"/>
              </w:rPr>
              <w:t>(277)</w:t>
            </w:r>
            <w:r>
              <w:rPr>
                <w:rFonts w:cs="Arial"/>
                <w:lang w:val="en-US"/>
              </w:rPr>
              <w:fldChar w:fldCharType="end"/>
            </w:r>
          </w:p>
        </w:tc>
      </w:tr>
      <w:tr w:rsidR="00F377E2" w14:paraId="73AA2FFC" w14:textId="77777777" w:rsidTr="00F377E2">
        <w:tc>
          <w:tcPr>
            <w:tcW w:w="2830" w:type="dxa"/>
            <w:vAlign w:val="center"/>
          </w:tcPr>
          <w:p w14:paraId="69921F4D" w14:textId="7EF8395C" w:rsidR="00F377E2" w:rsidRDefault="00F377E2" w:rsidP="00F377E2">
            <w:pPr>
              <w:jc w:val="center"/>
              <w:rPr>
                <w:lang w:val="en-US"/>
              </w:rPr>
            </w:pPr>
            <w:r w:rsidRPr="007929EE">
              <w:rPr>
                <w:color w:val="9A9B9D" w:themeColor="text1" w:themeTint="99"/>
                <w:lang w:val="en-US"/>
              </w:rPr>
              <w:t>1 study (II) - 1 study (III)</w:t>
            </w:r>
          </w:p>
        </w:tc>
        <w:tc>
          <w:tcPr>
            <w:tcW w:w="1700" w:type="dxa"/>
            <w:vAlign w:val="center"/>
          </w:tcPr>
          <w:p w14:paraId="25C7AD8F" w14:textId="13BD8140" w:rsidR="00F377E2" w:rsidRDefault="00F377E2" w:rsidP="00F377E2">
            <w:pPr>
              <w:jc w:val="center"/>
              <w:rPr>
                <w:lang w:val="en-US"/>
              </w:rPr>
            </w:pPr>
            <w:r w:rsidRPr="0091169A">
              <w:rPr>
                <w:color w:val="9A9B9D" w:themeColor="text1" w:themeTint="99"/>
                <w:lang w:val="en-US"/>
              </w:rPr>
              <w:t>5,5</w:t>
            </w:r>
          </w:p>
        </w:tc>
        <w:tc>
          <w:tcPr>
            <w:tcW w:w="2265" w:type="dxa"/>
            <w:vMerge/>
            <w:vAlign w:val="center"/>
          </w:tcPr>
          <w:p w14:paraId="7859FF98" w14:textId="77777777" w:rsidR="00F377E2" w:rsidRDefault="00F377E2" w:rsidP="00F377E2">
            <w:pPr>
              <w:jc w:val="center"/>
              <w:rPr>
                <w:lang w:val="en-US"/>
              </w:rPr>
            </w:pPr>
          </w:p>
        </w:tc>
        <w:tc>
          <w:tcPr>
            <w:tcW w:w="2265" w:type="dxa"/>
            <w:vAlign w:val="center"/>
          </w:tcPr>
          <w:p w14:paraId="2FAF5059" w14:textId="68143B0E"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1h4IuQ2y","properties":{"formattedCitation":"(272,275)","plainCitation":"(272,275)","noteIndex":0},"citationItems":[{"id":73302,"uris":["http://zotero.org/users/5328021/items/EGBQPI78"],"uri":["http://zotero.org/users/5328021/items/EGBQPI78"],"itemData":{"id":73302,"type":"article-journal","abstract":"AIMS: The aim of the present study was to compare outcomes of endovascular surgery versus open vascular surgery in patients with diabetic foot ulcer (DFU) and peripheral arterial disease (PAD). METHODS: Between 1984 and 2006, 1151 patients with DFU were admitted to the diabetic foot care team. Three hundred seventy-six patients with 408 limbs were consecutively included at a multidisciplinary foot center, 289 limbs were treated with endovascular surgery and 119 limbs with open vascular surgery first strategy. A propensity score adjusted analysis was performed to compare outcomes for type of revascularization. RESULTS: Major amputation rates at 3years were 17.0% and 16.8% (p=0.97) and mortality at 3years were 43.1% and 46.5% (p=0.55) after endovascular surgery and open vascular surgery, respectively. In the propensity score adjusted analysis, patients undergoing endovascular surgery first had similar outcomes in  terms of major amputation, mortality, combined major amputation/mortality compared to those undergoing open vascular surgery. Longer time to intervention (p=0.003) was associated with increased major amputation rate in the multivariable Cox regression analysis. CONCLUSION: The endovascular surgery first and open vascular surgery first strategies were associated with similar long-term results in a large cohort of patients with DFU and PAD undergoing revascularization. Rapid revascularization reduces the risk of amputation.","container-title":"Journal of diabetes and its complications","journalAbbreviation":"J Diabetes Complications","language":"eng","note":"PMID: 32061519","page":"107551","title":"Amputation-free survival in patients with diabetic foot ulcer and peripheral arterial disease: Endovascular versus open surgery in a propensity score adjusted analysis.","author":[{"family":"Butt","given":"Talha"},{"family":"Lilja","given":"Erika"},{"family":"Elgzyri","given":"Targ"},{"family":"Apelqvist","given":"Jan"},{"family":"Gottsater","given":"Anders"},{"family":"Engstrom","given":"Gunnar"},{"family":"Acosta","given":"Stefan"}],"issued":{"date-parts":[["2020",2,6]]}}},{"id":9196,"uris":["http://zotero.org/users/5328021/items/4FE6WPS2"],"uri":["http://zotero.org/users/5328021/items/4FE6WPS2"],"itemData":{"id":9196,"type":"article-journal","abstract":"Both open surgery and endovascular peripheral interventions have been shown to effectively improve outcomes in patients with peripheral artery disease, but minimal data exist comparing outcomes performed at and below the knee. The purpose of this study was to compare outcomes following infrageniculate lower extremity open bypass (LEB) versus peripheral vascular intervention (PVI) in patients with critical limb ischemia. Using data from the 2008-2014 Vascular Quality Initiative, 1-year primary patency, major amputation, and mortality were compared among all patients undergoing LEB versus PVI at or below the knee for rest pain or tissue loss. Overall, 2566 patients were included (LEB=500, PVI=2066). One-year primary patency was significantly worse following LEB (73% vs 81%; p&lt;0.001). One-year major amputation (14% vs 12%; p=0.18) and mortality (4% vs 6%; p=0.15) were similar regardless of revascularization approach. Multivariable analysis adjusting for baseline differences between groups confirmed inferior primary patency following LEB versus PVI (HR 0.74; 95% CI, 0.60-0.90; p=0.004), but no significant differences in 1-year major amputation (HR 1.06; 95% CI, 0.80-1.40; p=0.67) or mortality (HR 0.71; 95% CI, 0.44-1.14; p=0.16). Based on these data, we conclude that endovascular revascularization is a viable treatment approach for critical limb ischemia resulting from infrageniculate arterial occlusive disease.","archive":"Embase","container-title":"Vascular Medicine (United Kingdom)","issue":"1","journalAbbreviation":"Vasc. Med.","language":"English","page":"28-34","title":"Below-knee endovascular interventions have better outcomes compared to open bypass for patients with critical limb ischemia","volume":"22","author":[{"family":"Hicks C.W.","given":""},{"literal":"Najafian A."},{"literal":"Farber A."},{"literal":"Menard M.T."},{"literal":"Malas M.B."},{"literal":"Black J.H."},{"literal":"Abularrage C.J."}],"issued":{"date-parts":[["2017"]]}}}],"schema":"https://github.com/citation-style-language/schema/raw/master/csl-citation.json"} </w:instrText>
            </w:r>
            <w:r>
              <w:rPr>
                <w:rFonts w:cs="Arial"/>
                <w:lang w:val="en-US"/>
              </w:rPr>
              <w:fldChar w:fldCharType="separate"/>
            </w:r>
            <w:r w:rsidRPr="00C23FB9">
              <w:rPr>
                <w:rFonts w:cs="Arial"/>
              </w:rPr>
              <w:t>(272,275)</w:t>
            </w:r>
            <w:r>
              <w:rPr>
                <w:rFonts w:cs="Arial"/>
                <w:lang w:val="en-US"/>
              </w:rPr>
              <w:fldChar w:fldCharType="end"/>
            </w:r>
          </w:p>
        </w:tc>
      </w:tr>
      <w:tr w:rsidR="00F377E2" w14:paraId="05872BFB" w14:textId="77777777" w:rsidTr="00F377E2">
        <w:tc>
          <w:tcPr>
            <w:tcW w:w="9060" w:type="dxa"/>
            <w:gridSpan w:val="4"/>
            <w:vAlign w:val="center"/>
          </w:tcPr>
          <w:p w14:paraId="5F6D7750" w14:textId="38E3E0FB" w:rsidR="00F377E2" w:rsidRDefault="00F377E2" w:rsidP="00F377E2">
            <w:pPr>
              <w:jc w:val="left"/>
              <w:rPr>
                <w:lang w:val="en-US"/>
              </w:rPr>
            </w:pPr>
            <w:r w:rsidRPr="00C71608">
              <w:rPr>
                <w:b/>
                <w:sz w:val="18"/>
                <w:szCs w:val="18"/>
                <w:lang w:val="en-US"/>
              </w:rPr>
              <w:t>Ulcer healing</w:t>
            </w:r>
          </w:p>
        </w:tc>
      </w:tr>
      <w:tr w:rsidR="00F377E2" w:rsidRPr="00166EC2" w14:paraId="0ACD6820" w14:textId="77777777" w:rsidTr="00F377E2">
        <w:tc>
          <w:tcPr>
            <w:tcW w:w="2830" w:type="dxa"/>
            <w:vAlign w:val="center"/>
          </w:tcPr>
          <w:p w14:paraId="3582F8D0" w14:textId="57B8C7B4" w:rsidR="00F377E2" w:rsidRDefault="00F377E2" w:rsidP="00F377E2">
            <w:pPr>
              <w:jc w:val="center"/>
              <w:rPr>
                <w:lang w:val="en-US"/>
              </w:rPr>
            </w:pPr>
            <w:r w:rsidRPr="0062654A">
              <w:rPr>
                <w:lang w:val="en-US"/>
              </w:rPr>
              <w:t>1 study (III)</w:t>
            </w:r>
          </w:p>
        </w:tc>
        <w:tc>
          <w:tcPr>
            <w:tcW w:w="1700" w:type="dxa"/>
            <w:vAlign w:val="center"/>
          </w:tcPr>
          <w:p w14:paraId="7C9023EB" w14:textId="66D2269F" w:rsidR="00F377E2" w:rsidRDefault="00F377E2" w:rsidP="00F377E2">
            <w:pPr>
              <w:jc w:val="center"/>
              <w:rPr>
                <w:lang w:val="en-US"/>
              </w:rPr>
            </w:pPr>
            <w:r>
              <w:rPr>
                <w:lang w:val="en-US"/>
              </w:rPr>
              <w:t>5</w:t>
            </w:r>
          </w:p>
        </w:tc>
        <w:tc>
          <w:tcPr>
            <w:tcW w:w="2265" w:type="dxa"/>
            <w:vAlign w:val="center"/>
          </w:tcPr>
          <w:p w14:paraId="40BEDED7" w14:textId="2720809F" w:rsidR="00F377E2" w:rsidRDefault="00F377E2" w:rsidP="00F377E2">
            <w:pPr>
              <w:jc w:val="center"/>
              <w:rPr>
                <w:lang w:val="en-US"/>
              </w:rPr>
            </w:pPr>
            <w:r>
              <w:rPr>
                <w:lang w:val="en-US"/>
              </w:rPr>
              <w:t>Low</w:t>
            </w:r>
          </w:p>
        </w:tc>
        <w:tc>
          <w:tcPr>
            <w:tcW w:w="2265" w:type="dxa"/>
            <w:vAlign w:val="center"/>
          </w:tcPr>
          <w:p w14:paraId="7577AA4E" w14:textId="24F32BF4"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L7irgSNL","properties":{"formattedCitation":"(280)","plainCitation":"(280)","noteIndex":0},"citationItems":[{"id":47652,"uris":["http://zotero.org/users/5328021/items/EFZAFQDV"],"uri":["http://zotero.org/users/5328021/items/EFZAFQDV"],"itemData":{"id":47652,"type":"article-journal","abstract":"INTRODUCTION: This study aimed to evaluate the impact of angiosome targeted (direct) revascularisation according to revascularisation method in patients with diabetes.\nMATERIALS AND METHODS: This retrospective study cohort comprised 545 diabetic patients with critical limb ischaemia and tissue loss (Rutherford 5, 6). All patients underwent infrapopliteal endovascular (PTA) or open surgical revascularisation between January 2008 and December 2013. Differences in the outcome after direct revascularisation, bypass surgery, and PTA were investigated by means of Cox proportional hazards analysis. The endpoints were wound healing, leg salvage, and amputation free survival.\nRESULTS: Overall, 60.3% of the ischaemic wounds healed during 1 year of follow-up. The highest wound healing rate was achieved after direct bypass (77%) and the worst after indirect PTA (52%). The Cox proportional hazards analysis showed that the number of affected angiosomes &lt;3 (HR 1.37, 95% CI 1.01-1.84) was associated with improved wound healing, whereas wound healing was poorest after indirect PTA (p = .001). When Cox proportional hazard analysis was adjusted for the number of affected angiosomes, direct bypass gave the best wound healing (p = 0.003). The overall amputation rate was 25.1% at 1 year of follow-up, and the Cox proportional hazards analysis indicated that haemodialysis compared with patients with no haemodialysis (HR 2.55, 95% CI 1.49-4.38), C-reactive protein ≥10 mg/dL (HR 2.05, 95% CI 1.45-2.90), atrial fibrillation (HR 1.54, 95% CI 1.05-2.26), and number of affected angiosomes &gt;3 (HR 1.75, 95% CI 1.24-2.46) were significantly associated with poor leg salvage. Direct PTA was associated with a lower rate of major amputation compared with indirect PTA (HR 0.57 95% CI 0.37-0.89).\nCONCLUSION: In diabetics, indirect endovascular revascularisation leads to significantly worse wound healing and leg salvage rates compared with direct revascularisation. Therefore, endovascular procedures should be targeted according to the angiosome concept. In bypass surgery, however, the concept is of less value and the artery with the best runoff should be selected as the outflow artery.","container-title":"European Journal of Vascular and Endovascular Surgery: The Official Journal of the European Society for Vascular Surgery","issue":"4","journalAbbreviation":"Eur J Vasc Endovasc Surg","language":"eng","note":"PMID: 28215512","page":"567-575","title":"Angiosome Targeted PTA is More Important in Endovascular Revascularisation than in Surgical Revascularisation: Analysis of 545 Patients with Ischaemic Tissue Lesions","volume":"53","author":[{"family":"Špillerová","given":"K."},{"family":"Settembre","given":"N."},{"family":"Biancari","given":"F."},{"family":"Albäck","given":"A."},{"family":"Venermo","given":"M."}],"issued":{"date-parts":[["2017",4]]}}}],"schema":"https://github.com/citation-style-language/schema/raw/master/csl-citation.json"} </w:instrText>
            </w:r>
            <w:r>
              <w:rPr>
                <w:rFonts w:cs="Arial"/>
                <w:lang w:val="en-US"/>
              </w:rPr>
              <w:fldChar w:fldCharType="separate"/>
            </w:r>
            <w:r w:rsidRPr="00A91C12">
              <w:rPr>
                <w:rFonts w:cs="Arial"/>
                <w:lang w:val="en-US"/>
              </w:rPr>
              <w:t>(280)</w:t>
            </w:r>
            <w:r>
              <w:rPr>
                <w:rFonts w:cs="Arial"/>
                <w:lang w:val="en-US"/>
              </w:rPr>
              <w:fldChar w:fldCharType="end"/>
            </w:r>
          </w:p>
        </w:tc>
      </w:tr>
      <w:tr w:rsidR="00F377E2" w:rsidRPr="00166EC2" w14:paraId="346B9C1D" w14:textId="77777777" w:rsidTr="00F377E2">
        <w:tc>
          <w:tcPr>
            <w:tcW w:w="9060" w:type="dxa"/>
            <w:gridSpan w:val="4"/>
            <w:shd w:val="clear" w:color="auto" w:fill="D4F1D3" w:themeFill="accent1" w:themeFillTint="33"/>
            <w:vAlign w:val="center"/>
          </w:tcPr>
          <w:p w14:paraId="761C3D61" w14:textId="7747A95D" w:rsidR="00F377E2" w:rsidRDefault="00F377E2" w:rsidP="00F377E2">
            <w:pPr>
              <w:jc w:val="center"/>
              <w:rPr>
                <w:lang w:val="en-US"/>
              </w:rPr>
            </w:pPr>
            <w:r w:rsidRPr="00C71608">
              <w:rPr>
                <w:b/>
                <w:lang w:val="en-US"/>
              </w:rPr>
              <w:t xml:space="preserve">Revascularization </w:t>
            </w:r>
            <w:r>
              <w:rPr>
                <w:b/>
                <w:lang w:val="en-US"/>
              </w:rPr>
              <w:t xml:space="preserve">based on the </w:t>
            </w:r>
            <w:proofErr w:type="spellStart"/>
            <w:r>
              <w:rPr>
                <w:b/>
                <w:lang w:val="en-US"/>
              </w:rPr>
              <w:t>angiosome</w:t>
            </w:r>
            <w:proofErr w:type="spellEnd"/>
            <w:r>
              <w:rPr>
                <w:b/>
                <w:lang w:val="en-US"/>
              </w:rPr>
              <w:t xml:space="preserve"> concept</w:t>
            </w:r>
          </w:p>
        </w:tc>
      </w:tr>
      <w:tr w:rsidR="00F377E2" w:rsidRPr="00166EC2" w14:paraId="5325DFA9" w14:textId="77777777" w:rsidTr="00F377E2">
        <w:tc>
          <w:tcPr>
            <w:tcW w:w="9060" w:type="dxa"/>
            <w:gridSpan w:val="4"/>
            <w:shd w:val="clear" w:color="auto" w:fill="auto"/>
            <w:vAlign w:val="center"/>
          </w:tcPr>
          <w:p w14:paraId="4369F697" w14:textId="68B64468" w:rsidR="00F377E2" w:rsidRDefault="00F377E2" w:rsidP="00F377E2">
            <w:pPr>
              <w:jc w:val="left"/>
              <w:rPr>
                <w:lang w:val="en-US"/>
              </w:rPr>
            </w:pPr>
            <w:r w:rsidRPr="00C71608">
              <w:rPr>
                <w:b/>
                <w:sz w:val="18"/>
                <w:szCs w:val="18"/>
                <w:lang w:val="en-US"/>
              </w:rPr>
              <w:t>Limb salvage/amputation-free survival</w:t>
            </w:r>
          </w:p>
        </w:tc>
      </w:tr>
      <w:tr w:rsidR="00F377E2" w14:paraId="4BE5C75B" w14:textId="77777777" w:rsidTr="00F377E2">
        <w:tc>
          <w:tcPr>
            <w:tcW w:w="2830" w:type="dxa"/>
            <w:vAlign w:val="center"/>
          </w:tcPr>
          <w:p w14:paraId="522FE603" w14:textId="466E0B91" w:rsidR="00F377E2" w:rsidRDefault="00F377E2" w:rsidP="00F377E2">
            <w:pPr>
              <w:jc w:val="center"/>
              <w:rPr>
                <w:lang w:val="en-US"/>
              </w:rPr>
            </w:pPr>
            <w:r>
              <w:rPr>
                <w:lang w:val="en-US"/>
              </w:rPr>
              <w:t>1 study (I</w:t>
            </w:r>
            <w:r w:rsidRPr="0062654A">
              <w:rPr>
                <w:lang w:val="en-US"/>
              </w:rPr>
              <w:t>)</w:t>
            </w:r>
            <w:r>
              <w:rPr>
                <w:lang w:val="en-US"/>
              </w:rPr>
              <w:t xml:space="preserve"> - </w:t>
            </w:r>
            <w:r w:rsidRPr="006E4B1C">
              <w:rPr>
                <w:lang w:val="en-US"/>
              </w:rPr>
              <w:t>3 studies (III)</w:t>
            </w:r>
          </w:p>
        </w:tc>
        <w:tc>
          <w:tcPr>
            <w:tcW w:w="1700" w:type="dxa"/>
            <w:vAlign w:val="center"/>
          </w:tcPr>
          <w:p w14:paraId="1297E8A5" w14:textId="06BE9757" w:rsidR="00F377E2" w:rsidRDefault="00F377E2" w:rsidP="00F377E2">
            <w:pPr>
              <w:jc w:val="center"/>
              <w:rPr>
                <w:lang w:val="en-US"/>
              </w:rPr>
            </w:pPr>
            <w:r>
              <w:rPr>
                <w:lang w:val="en-US"/>
              </w:rPr>
              <w:t>5,7</w:t>
            </w:r>
          </w:p>
        </w:tc>
        <w:tc>
          <w:tcPr>
            <w:tcW w:w="2265" w:type="dxa"/>
            <w:vMerge w:val="restart"/>
            <w:vAlign w:val="center"/>
          </w:tcPr>
          <w:p w14:paraId="68C4B677" w14:textId="58C09A07" w:rsidR="00F377E2" w:rsidRDefault="00F377E2" w:rsidP="00F377E2">
            <w:pPr>
              <w:jc w:val="center"/>
              <w:rPr>
                <w:lang w:val="en-US"/>
              </w:rPr>
            </w:pPr>
            <w:r>
              <w:rPr>
                <w:lang w:val="en-US"/>
              </w:rPr>
              <w:t>Low</w:t>
            </w:r>
          </w:p>
        </w:tc>
        <w:tc>
          <w:tcPr>
            <w:tcW w:w="2265" w:type="dxa"/>
            <w:vAlign w:val="center"/>
          </w:tcPr>
          <w:p w14:paraId="5D98D9BB" w14:textId="6FE1EBF0"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2j6wagyd","properties":{"formattedCitation":"(281\\uc0\\u8211{}284)","plainCitation":"(281–284)","noteIndex":0},"citationItems":[{"id":73697,"uris":["http://zotero.org/users/5328021/items/59CRR2XB"],"uri":["http://zotero.org/users/5328021/items/59CRR2XB"],"itemData":{"id":73697,"type":"article-journal","abstract":"Purpose: To assess the clinical efficacy of endovascular angiosome-oriented wound-targeted revascularization (WTR) vs indirect (wound-indifferent) revascularization (IR) in diabetic patients with neuroischemic foot ulcers. Materials and Methods: Between April 2009 and July 2017, 167 diabetic patients (mean age 72.8 years; 137 men) with chronic limb-threatening ischemia (Rutherford category 5) and foot wounds (Wagner 2-4) in 194 limbs were prospectively registered and scheduled for primary infragenicular endovascular treatment. Specific angiosome source artery reperfusion sustained by patent foot arches or arterial-arterial connections was attempted initially. If this approach failed, topographic revascularization via available collaterals (WTRc) and IR were sequentially attempted. Results: Reperfusion was successful in 176 (91%) of 194 limbs (113 with WTR, 28 with WTRc, and 35 with IR); the global angiosome-oriented technical success (WTR and WTRc) was 73% (141/194). The mean follow-up was 10.9+/-0.7 months (range 3-12.5). Over 1 year, 102 (58%) of the 176 successfully  treated limbs experienced wound healing [79/113 (70%) in the WTR group, 15/28 (54%) in the WTRc group, and 7/35 (20%) in the IR group; p=0.011]. The mean time  to healing was 6.8+/-0.4 months in the WTR group, 7.9+/-0.6 months in the WTRc group, and 9.8+/-0.7 months in the IR group (p=0.001). Relapses were noted in 18  (16%) WTR limbs, 5 (18%) WTRc limbs, and 6 (17%) IR limbs. Comparison between WTR and IR and WTRc vs IR showed improved cicatrization in the angiosome-oriented groups (p&lt;0.05). Major adverse limb events (MALE) and limb salvage were different between WTR and WTRc and between WTR and IR groups (p&lt;0.05), while WTRc vs IR was not. Amputation-free survival was not influenced by the revascularization strategy (p=0.093). Conclusion: Wound healing in diabetic patients with chronic limb-threatening ischemia appeared to be improved by intentional wound-targeted revascularization, but no uniform benefit concerning MALE or limb preservation was observed. IR still represents an alternative for limb salvage in cases in which angiosome-guided revascularization fails.","container-title":"Journal of endovascular therapy : an official journal of the International Society of Endovascular Specialists","issue":"1","journalAbbreviation":"J Endovasc Ther","language":"eng","note":"PMID: 31709886","page":"20-30","title":"Healing of Diabetic Neuroischemic Foot Wounds With vs Without Wound-Targeted Revascularization: Preliminary Observations From an 8-Year Prospective Dual-Center Registry.","volume":"27","author":[{"family":"Alexandrescu","given":"Vlad-Adrian"},{"family":"Brochier","given":"Sophie"},{"family":"Limgba","given":"Augustin"},{"family":"Balthazar","given":"Severine"},{"family":"Khelifa","given":"Hafid"},{"family":"De Vreese","given":"Pierrick"},{"family":"Azdad","given":"Khalid"},{"family":"Nodit","given":"Mihaela"},{"family":"Pottier","given":"Morgane"},{"family":"Van Espen","given":"Didier"},{"family":"Sinatra","given":"Tommy"}],"issued":{"date-parts":[["2020",2]]}}},{"id":47657,"uris":["http://zotero.org/users/5328021/items/DVFJZDNP"],"uri":["http://zotero.org/users/5328021/items/DVFJZDNP"],"itemData":{"id":47657,"type":"article-journal","abstract":"INTRODUCTION: Infra-popliteal angioplasty continues to be widely performed with minimal evidence to guide practice. Endovascular device selection is contentious and there is even uncertainty over which artery to treat for optimum reperfusion. Direct reperfusion (DR) targets the artery supplying the ischaemic tissue. Indirect reperfusion (IR) targets an artery supplying collaterals to the ischaemic area. Our unit practice for the last eight years has been to attempt to open all tibial arteries at the time of angioplasty. When successful, this results in both direct and indirect; or combined reperfusion (CR). The aim was to review the outcomes of CR and compare them with DR or IR alone.\nMETHODS: An eight year retrospective review from a single unit of all infra-popliteal angioplasties was undertaken. Wound healing, limb salvage, amputation-free and overall survival data as well as re-intervention rates were captured for all patients. Subgroup analysis for diabetics was undertaken. Kaplan Meier curves are presented for survival outcomes. All odds and hazard ratios (HR) and p values were corrected for bias from confounders using multivariate analysis.\nRESULTS: 250 procedures were performed: 22 (9%) were CR; 115 (46%) DR and 113 (45%) IR. Amputation-free survival (HR 0.504, p = 0.039) and re-intervention and amputation-free survival (HR 0.414, p = 0.005) were significantly improved in patients undergoing CR compared to IR. Wound healing was similarly affected by reperfusion strategy (OR = 0.35, p = 0.047). Effects of CR over IR were similar when only diabetic patients were considered.\nCONCLUSIONS: Combined revascularisation can only be achieved in approximately 10% of patients. However, when successful, it results in significant improvements in wound healing and amputation-free survival over simple indirect reperfusion techniques.","container-title":"PloS One","issue":"2","journalAbbreviation":"PLoS ONE","language":"eng","note":"PMID: 28199363\nPMCID: PMC5310906","page":"e0172023","title":"Infrapopliteal angioplasty using a combined angiosomal reperfusion strategy","volume":"12","author":[{"family":"Ambler","given":"G. K."},{"family":"Stimpson","given":"A. L."},{"family":"Wardle","given":"B. G."},{"family":"Bosanquet","given":"D. C."},{"family":"Hanif","given":"U. K."},{"family":"Germain","given":"S."},{"family":"Chick","given":"C."},{"family":"Goyal","given":"N."},{"family":"Twine","given":"C. P."}],"issued":{"date-parts":[["2017"]]}}},{"id":49079,"uris":["http://zotero.org/users/5328021/items/BLFG6KKA"],"uri":["http://zotero.org/users/5328021/items/BLFG6KKA"],"itemData":{"id":49079,"type":"article-journal","abstract":"PURPOSE: Given that the efficacy of employing angiosome-targeted angioplasty in the treatment of diabetic foot remains controversial, this study was conducted to examine its efficacy.\nMETHODS: We performed a systematic literature review and meta-analysis using core databases, extracting the treatment modality of angiosome-targeted angioplasty as the predictor variable, and limb salvage, wound healing, and revision rate as the outcome variables. We used the Newcastle-Ottawa Scale to assess the study quality, along with the Cochrane Risk of Bias Tool. We evaluated publication bias using a funnel plot.\nRESULTS: The search strategy identified 518 publications. After screening these, we selected four articles for review. The meta-analysis revealed that overall limb salvage and wound healing rates were significantly higher (Odds ratio = 2.209, 3.290, p = 0.001, p&lt;0.001) in patients who received angiosome-targeted angioplasty than in those who received nonangiosome-targeted angioplasty. The revision rate between the angiosome and nonangiosome groups was not significantly different (Odds ratio = 0.747, p = 0.314).\nCONCLUSION: Although a further randomized controlled trial is required for confirmation, angiosome-targeted angioplasty in diabetic foot was more effective than nonangiosome-targeted angioplasty with respect to wound healing and limb salvage.","container-title":"PloS One","issue":"7","journalAbbreviation":"PLoS ONE","language":"eng","note":"PMID: 27441570\nPMCID: PMC4956043","page":"e0159523","title":"Is Angiosome-Targeted Angioplasty Effective for Limb Salvage and Wound Healing in Diabetic Foot? : A Meta-Analysis","volume":"11","author":[{"family":"Chae","given":"Kum Ju"},{"family":"Shin","given":"Jin Yong"}],"issued":{"date-parts":[["2016"]]}}},{"id":26670,"uris":["http://zotero.org/users/5328021/items/9B2TR49I"],"uri":["http://zotero.org/users/5328021/items/9B2TR49I"],"itemData":{"id":26670,"type":"article-journal","abstract":"Purpose: To evaluate the clinical benefit in wound healing and limb preservation after primary below-the-knee angioplasty guided by an angiosome model of perfusion in diabetic patients with neuroischemic foot ulcers. Methods: From September 2001 to April 2010, 232 limb-threatening neuroischemic wounds in 208 diabetic patients (147 men; mean age 74.3 years, range 42-97) were treated by below-the-knee endoluminal and/or subintimal angioplasty. There were 19 (8%) TASC II type B, 80 (34%) type C, and 133 (57%) type D infrapopliteal lesions. Patients treated prior to 2005 when the angiosome-targeted revascularization protocol was introduced (89 limbs, group 1) were compared to 134 limbs treated subsequently according to the angiosome model (group 2). The angiosome-oriented group 2 included 25% procedures focusing on the anterior tibial and dorsalis pedis arteries, 68% on the posterior tibial and plantar vessels, and 7% on the peroneal arteries. Results: The global technical success was 80% (187/232): 82% in group 1 and 79% in group 2. The cumulative patient survival rates were 90%, 78%, and 65% in group 1 and 93%, 82%, and 71% in group 2 at 12, 24, and 36 months, respectively (p=0.545). At the same time points, the freedom from amputation rates were 84%, 79%, and 79% in group 1 versus 90%, 89%, and 89% in group 2 (p=0.035). Clinical success rates were 76%, 68%, 68% in the group 1 and 85%, 79%, and 79% in group 2 (p=0.025). Primary and secondary patency rates did not differ between groups (p=0.813 and p=0.511). Patients in group 2 treated with angiosome-targeted revascularization had significantly better wound healing (p&lt;0.018) and limb preservation (p&lt;0.030). Conclusion: Below-the-knee first-line angioplasty guided by an angiosome model may prove beneficial in terms of better wound healing of diabetic foot ulcers and subsequent limb salvage. Further technical improvements and large comparative studies are necessary to support these observations. © 2011 by the International Society of Endovascular Specialists.","archive":"Embase","container-title":"Journal of Endovascular Therapy","issue":"3","journalAbbreviation":"J. Endovasc. Ther.","language":"English","page":"376-387","title":"A reliable approach to diabetic neuroischemic foot wounds: Below-the-knee angiosome-oriented angioplasty","volume":"18","author":[{"literal":"Alexandrescu V."},{"literal":"Vincent G."},{"literal":"Azdad K."},{"literal":"Hubermont G."},{"literal":"Ledent G."},{"literal":"Ngongang C."},{"literal":"Filimon A.-M."}],"issued":{"date-parts":[["2011"]]}}}],"schema":"https://github.com/citation-style-language/schema/raw/master/csl-citation.json"} </w:instrText>
            </w:r>
            <w:r>
              <w:rPr>
                <w:rFonts w:cs="Arial"/>
                <w:lang w:val="en-US"/>
              </w:rPr>
              <w:fldChar w:fldCharType="separate"/>
            </w:r>
            <w:r w:rsidRPr="00A91C12">
              <w:rPr>
                <w:rFonts w:cs="Arial"/>
                <w:szCs w:val="24"/>
              </w:rPr>
              <w:t>(281–284)</w:t>
            </w:r>
            <w:r>
              <w:rPr>
                <w:rFonts w:cs="Arial"/>
                <w:lang w:val="en-US"/>
              </w:rPr>
              <w:fldChar w:fldCharType="end"/>
            </w:r>
          </w:p>
        </w:tc>
      </w:tr>
      <w:tr w:rsidR="00F377E2" w:rsidRPr="00166EC2" w14:paraId="37495D72" w14:textId="77777777" w:rsidTr="00F377E2">
        <w:tc>
          <w:tcPr>
            <w:tcW w:w="2830" w:type="dxa"/>
            <w:vAlign w:val="center"/>
          </w:tcPr>
          <w:p w14:paraId="2DC319C1" w14:textId="49253785" w:rsidR="00F377E2" w:rsidRDefault="00F377E2" w:rsidP="00F377E2">
            <w:pPr>
              <w:jc w:val="center"/>
              <w:rPr>
                <w:lang w:val="en-US"/>
              </w:rPr>
            </w:pPr>
            <w:r w:rsidRPr="005716F2">
              <w:rPr>
                <w:color w:val="9A9B9D" w:themeColor="text1" w:themeTint="99"/>
                <w:lang w:val="en-US"/>
              </w:rPr>
              <w:t>4 studies (III)</w:t>
            </w:r>
          </w:p>
        </w:tc>
        <w:tc>
          <w:tcPr>
            <w:tcW w:w="1700" w:type="dxa"/>
            <w:vAlign w:val="center"/>
          </w:tcPr>
          <w:p w14:paraId="30BFC766" w14:textId="33CFC15C" w:rsidR="00F377E2" w:rsidRDefault="00F377E2" w:rsidP="00F377E2">
            <w:pPr>
              <w:jc w:val="center"/>
              <w:rPr>
                <w:lang w:val="en-US"/>
              </w:rPr>
            </w:pPr>
            <w:r>
              <w:rPr>
                <w:color w:val="9A9B9D" w:themeColor="text1" w:themeTint="99"/>
                <w:lang w:val="en-US"/>
              </w:rPr>
              <w:t>3,7</w:t>
            </w:r>
          </w:p>
        </w:tc>
        <w:tc>
          <w:tcPr>
            <w:tcW w:w="2265" w:type="dxa"/>
            <w:vMerge/>
            <w:vAlign w:val="center"/>
          </w:tcPr>
          <w:p w14:paraId="48515611" w14:textId="77777777" w:rsidR="00F377E2" w:rsidRDefault="00F377E2" w:rsidP="00F377E2">
            <w:pPr>
              <w:jc w:val="center"/>
              <w:rPr>
                <w:lang w:val="en-US"/>
              </w:rPr>
            </w:pPr>
          </w:p>
        </w:tc>
        <w:tc>
          <w:tcPr>
            <w:tcW w:w="2265" w:type="dxa"/>
            <w:vAlign w:val="center"/>
          </w:tcPr>
          <w:p w14:paraId="735FA4FC" w14:textId="4439AA4F"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pMxJhy4K","properties":{"formattedCitation":"(282,285\\uc0\\u8211{}287)","plainCitation":"(282,285–287)","noteIndex":0},"citationItems":[{"id":47657,"uris":["http://zotero.org/users/5328021/items/DVFJZDNP"],"uri":["http://zotero.org/users/5328021/items/DVFJZDNP"],"itemData":{"id":47657,"type":"article-journal","abstract":"INTRODUCTION: Infra-popliteal angioplasty continues to be widely performed with minimal evidence to guide practice. Endovascular device selection is contentious and there is even uncertainty over which artery to treat for optimum reperfusion. Direct reperfusion (DR) targets the artery supplying the ischaemic tissue. Indirect reperfusion (IR) targets an artery supplying collaterals to the ischaemic area. Our unit practice for the last eight years has been to attempt to open all tibial arteries at the time of angioplasty. When successful, this results in both direct and indirect; or combined reperfusion (CR). The aim was to review the outcomes of CR and compare them with DR or IR alone.\nMETHODS: An eight year retrospective review from a single unit of all infra-popliteal angioplasties was undertaken. Wound healing, limb salvage, amputation-free and overall survival data as well as re-intervention rates were captured for all patients. Subgroup analysis for diabetics was undertaken. Kaplan Meier curves are presented for survival outcomes. All odds and hazard ratios (HR) and p values were corrected for bias from confounders using multivariate analysis.\nRESULTS: 250 procedures were performed: 22 (9%) were CR; 115 (46%) DR and 113 (45%) IR. Amputation-free survival (HR 0.504, p = 0.039) and re-intervention and amputation-free survival (HR 0.414, p = 0.005) were significantly improved in patients undergoing CR compared to IR. Wound healing was similarly affected by reperfusion strategy (OR = 0.35, p = 0.047). Effects of CR over IR were similar when only diabetic patients were considered.\nCONCLUSIONS: Combined revascularisation can only be achieved in approximately 10% of patients. However, when successful, it results in significant improvements in wound healing and amputation-free survival over simple indirect reperfusion techniques.","container-title":"PloS One","issue":"2","journalAbbreviation":"PLoS ONE","language":"eng","note":"PMID: 28199363\nPMCID: PMC5310906","page":"e0172023","title":"Infrapopliteal angioplasty using a combined angiosomal reperfusion strategy","volume":"12","author":[{"family":"Ambler","given":"G. K."},{"family":"Stimpson","given":"A. L."},{"family":"Wardle","given":"B. G."},{"family":"Bosanquet","given":"D. C."},{"family":"Hanif","given":"U. K."},{"family":"Germain","given":"S."},{"family":"Chick","given":"C."},{"family":"Goyal","given":"N."},{"family":"Twine","given":"C. P."}],"issued":{"date-parts":[["2017"]]}}},{"id":12231,"uris":["http://zotero.org/users/5328021/items/6TX3HSQY"],"uri":["http://zotero.org/users/5328021/items/6TX3HSQY"],"itemData":{"id":12231,"type":"article-journal","abstract":"Purpose: To evaluate the rates of wound healing and limb preservation obtained following angiosome-targeted infrapopliteal endovascular revascularization performed in treatment of diabetic limb ischemia. Methods: We performed a retrospective analysis of data gathered from 102 infrapopliteal angioplasty cases (60 males and 42 females; mean age, 72±11 years) with Fontaine IV ischemia (ankle-brachial index, ABI: 0.16±0.06). Forty-seven angioplasties were performed based on the angiosome concept (direct revascularization, DR), while 55 did not incorporate the angiosome concept (indirect revascularization, IR). The curative effects of angioplasty were assessed by postoperative determinations of ABI performed every 3 months during clinical follow-up visits conducted to assess healing of the ischemic wound. Events of amputation and death were recorded. Results: All 102 patients were successfully revascularized without complications, and during a mean followup period of 18±11 months, the mean postoperative ABI improved to 0.84±0.10. The postoperative 6 and 12 month healing rates in the DR group were 85.1% and 93.5%, respectively, while the limb-salvage rates were 100% and 93.5%, respectively. The postoperative 6 and 12 month healing rates in the IR group were 60% and 76.4%, respectively, while the limb-salvage rates were 90.1%, and 85.5%, respectively. Conclusion: Infrapopliteal angioplasty based on the angiosome concept was associated with better wound healing and higher rates of limb salvage in cases of diabetic critical foot ischemia. Revascularization should not be denied to patients who have undergone indirect perfusion of the ischemic angiosome, as acceptable rates of limb salvage are obtained.","archive":"Embase","container-title":"Vascular","issue":"1","journalAbbreviation":"Vascular","language":"English","page":"60","title":"Evaluation of angiosome-targeted infrapopliteal angioplasty in diabetic critical limb ischemia","volume":"24","author":[{"literal":"Ji D."}],"issued":{"date-parts":[["2016"]]}}},{"id":53407,"uris":["http://zotero.org/users/5328021/items/WU2IBTEG"],"uri":["http://zotero.org/users/5328021/items/WU2IBTEG"],"itemData":{"id":53407,"type":"article-journal","abstract":"PURPOSE: To evaluate the efficacy of percutaneous transluminal angioplasty (PTA) in a selected population of diabetic patients with below-the-knee (BTK) disease and to analyze the reliability of the angiosome model.\nMETHODS: We made a retrospective analysis of the results of PTA performed in 201 diabetic patients with BTK-only disease treated at our institute from January 2005 to December 2011. We evaluated the postoperative technical success, and at 1, 6, and 12 months' follow-up, we assessed the rates and values of partial and complete ulcer healing, restenosis, major and minor amputation, limb salvage, and percutaneous oximetry (TcPO2) (Student's t test). We used the angiosome model to compare different clinicolaboratory outcomes in patients treated by direct revascularization (DR) from patients treated with indirect revascularization (IR) technique by Student's t test and the χ(2) test.\nRESULTS: At a mean ± standard deviation follow-up of 17.5 ± 12 months, we observed a mortality rate of 3.5 %, a major amputation rate of 9.4 %, and a limb salvage rate of 87 % with a statistically significant increase of TcPO2 values at follow-up compared to baseline (p &lt; 0.05). In 34 patients, treatment was performed with the IR technique and in 167 by DR; in both groups, there was a statistically significant increase of TcPO2 values at follow-up compared to baseline (p &lt; 0.05), without statistically significant differences in therapeutic efficacy.\nCONCLUSION: PTA of the BTK-only disease is a safe and effective option. The DR technique is the first treatment option; we believe, however, that IR is similarly effective, with good results over time.","container-title":"Cardiovascular and Interventional Radiology","issue":"3","journalAbbreviation":"Cardiovasc Intervent Radiol","language":"eng","note":"PMID: 23358605","page":"637-644","title":"Endovascular treatment of diabetic foot in a selected population of patients with below-the-knee disease: is the angiosome model effective?","volume":"36","author":[{"family":"Fossaceca","given":"Rita"},{"family":"Guzzardi","given":"Giuseppe"},{"family":"Cerini","given":"Paolo"},{"family":"Cusaro","given":"Claudio"},{"family":"Stecco","given":"Alessandro"},{"family":"Parziale","given":"Giuseppe"},{"family":"Perchinunno","given":"Marco"},{"family":"De Bonis","given":"Marco"},{"family":"Carriero","given":"Alessandro"}],"issued":{"date-parts":[["2013",6]]}}},{"id":53500,"uris":["http://zotero.org/users/5328021/items/DPDWKQKL"],"uri":["http://zotero.org/users/5328021/items/DPDWKQKL"],"itemData":{"id":53500,"type":"article-journal","abstract":"OBJECTIVE: Because of the prolonged healing time of diabetic foot ulcers, methods for identifying ways to expedite the ulcer healing process are needed. The angiosome concept delineates the body into three-dimensional blocks of tissue fed by specific source arteries. The aim of this study was to evaluate the benefit of infrapopliteal endovascular revascularization guided by an angiosome model of perfusion in the healing process of diabetic foot ulcers.\nMETHODS: A total of 250 consecutive legs with diabetic foot ulcers in 226 patients who had undergone infrapopliteal endovascular revascularization in a single center were evaluated. Patient records and periprocedural leg angiograms were reviewed. The legs were divided into two groups depending on whether direct arterial flow to the site of the foot ulcer based on the angiosome concept was achieved (direct group) or not achieved (indirect group). Ulcer healing time was compared between the two groups. A propensity score was used for adjustment of differences in pretreatment covariables in multivariate analysis and for 1:1 matching.\nRESULTS: Direct flow to the angiosome feeding the ulcer area was achieved in 121 legs (48%) compared with indirect revascularization in 129 legs. Foot ulcers treated with angiosome-targeted infrapopliteal percutaneous transluminal angioplasty healed better. The ulcer healing rate was mean (standard deviation) 72% (5%) at 12 months for the direct group compared with 45% (6%) for the indirect group (P &lt; .001). When adjusted for propensity score, the direct group still had a significantly better ulcer healing rate than the indirect group (hazard ratio, 1.97; 95% confidence interval, 1.34-2.90; P = .001).\nCONCLUSIONS: Attaining a direct arterial flow based on the angiosome model of perfusion to the foot ulcer appears to be important for ulcer healing in diabetic patients.","container-title":"Journal of Vascular Surgery","issue":"2","journalAbbreviation":"J. Vasc. Surg.","language":"eng","note":"PMID: 23219512","page":"427-435","title":"Angiosome-targeted infrapopliteal endovascular revascularization for treatment of diabetic foot ulcers","volume":"57","author":[{"family":"Söderström","given":"Maria"},{"family":"Albäck","given":"Anders"},{"family":"Biancari","given":"Fausto"},{"family":"Lappalainen","given":"Kimmo"},{"family":"Lepäntalo","given":"Mauri"},{"family":"Venermo","given":"Maarit"}],"issued":{"date-parts":[["2013",2]]}}}],"schema":"https://github.com/citation-style-language/schema/raw/master/csl-citation.json"} </w:instrText>
            </w:r>
            <w:r>
              <w:rPr>
                <w:rFonts w:cs="Arial"/>
                <w:lang w:val="en-US"/>
              </w:rPr>
              <w:fldChar w:fldCharType="separate"/>
            </w:r>
            <w:r w:rsidRPr="00A91C12">
              <w:rPr>
                <w:rFonts w:cs="Arial"/>
                <w:szCs w:val="24"/>
                <w:lang w:val="en-US"/>
              </w:rPr>
              <w:t>(282,285–287)</w:t>
            </w:r>
            <w:r>
              <w:rPr>
                <w:rFonts w:cs="Arial"/>
                <w:lang w:val="en-US"/>
              </w:rPr>
              <w:fldChar w:fldCharType="end"/>
            </w:r>
          </w:p>
        </w:tc>
      </w:tr>
      <w:tr w:rsidR="00F377E2" w:rsidRPr="00166EC2" w14:paraId="66DCDAC0" w14:textId="77777777" w:rsidTr="00F377E2">
        <w:tc>
          <w:tcPr>
            <w:tcW w:w="9060" w:type="dxa"/>
            <w:gridSpan w:val="4"/>
            <w:vAlign w:val="center"/>
          </w:tcPr>
          <w:p w14:paraId="49413D63" w14:textId="77F84557" w:rsidR="00F377E2" w:rsidRDefault="00F377E2" w:rsidP="00F377E2">
            <w:pPr>
              <w:jc w:val="left"/>
              <w:rPr>
                <w:lang w:val="en-US"/>
              </w:rPr>
            </w:pPr>
            <w:r>
              <w:rPr>
                <w:b/>
                <w:sz w:val="18"/>
                <w:szCs w:val="18"/>
                <w:lang w:val="en-US"/>
              </w:rPr>
              <w:t>Post-operative wound healing</w:t>
            </w:r>
          </w:p>
        </w:tc>
      </w:tr>
      <w:tr w:rsidR="00F377E2" w14:paraId="41167ED7" w14:textId="77777777" w:rsidTr="00F377E2">
        <w:tc>
          <w:tcPr>
            <w:tcW w:w="2830" w:type="dxa"/>
            <w:vAlign w:val="center"/>
          </w:tcPr>
          <w:p w14:paraId="50F446C3" w14:textId="5482F975" w:rsidR="00F377E2" w:rsidRDefault="00F377E2" w:rsidP="00F377E2">
            <w:pPr>
              <w:jc w:val="center"/>
              <w:rPr>
                <w:lang w:val="en-US"/>
              </w:rPr>
            </w:pPr>
            <w:r>
              <w:rPr>
                <w:lang w:val="en-US"/>
              </w:rPr>
              <w:t>1 study (I</w:t>
            </w:r>
            <w:r w:rsidRPr="0062654A">
              <w:rPr>
                <w:lang w:val="en-US"/>
              </w:rPr>
              <w:t>)</w:t>
            </w:r>
            <w:r>
              <w:rPr>
                <w:lang w:val="en-US"/>
              </w:rPr>
              <w:t xml:space="preserve"> -1 study (</w:t>
            </w:r>
            <w:r w:rsidRPr="0062654A">
              <w:rPr>
                <w:lang w:val="en-US"/>
              </w:rPr>
              <w:t>II)</w:t>
            </w:r>
            <w:r w:rsidR="005E2FBE">
              <w:rPr>
                <w:lang w:val="en-US"/>
              </w:rPr>
              <w:t xml:space="preserve"> -</w:t>
            </w:r>
          </w:p>
          <w:p w14:paraId="391EB74C" w14:textId="732E4404" w:rsidR="00F377E2" w:rsidRDefault="00F377E2" w:rsidP="00F377E2">
            <w:pPr>
              <w:jc w:val="center"/>
              <w:rPr>
                <w:lang w:val="en-US"/>
              </w:rPr>
            </w:pPr>
            <w:r>
              <w:rPr>
                <w:lang w:val="en-US"/>
              </w:rPr>
              <w:t>5</w:t>
            </w:r>
            <w:r w:rsidRPr="006E4B1C">
              <w:rPr>
                <w:lang w:val="en-US"/>
              </w:rPr>
              <w:t xml:space="preserve"> studies (III)</w:t>
            </w:r>
          </w:p>
        </w:tc>
        <w:tc>
          <w:tcPr>
            <w:tcW w:w="1700" w:type="dxa"/>
            <w:vAlign w:val="center"/>
          </w:tcPr>
          <w:p w14:paraId="6A6AB2E7" w14:textId="1E638980" w:rsidR="00F377E2" w:rsidRDefault="00F377E2" w:rsidP="00F377E2">
            <w:pPr>
              <w:jc w:val="center"/>
              <w:rPr>
                <w:lang w:val="en-US"/>
              </w:rPr>
            </w:pPr>
            <w:r>
              <w:rPr>
                <w:lang w:val="en-US"/>
              </w:rPr>
              <w:t>4,7</w:t>
            </w:r>
          </w:p>
        </w:tc>
        <w:tc>
          <w:tcPr>
            <w:tcW w:w="2265" w:type="dxa"/>
            <w:vMerge w:val="restart"/>
            <w:vAlign w:val="center"/>
          </w:tcPr>
          <w:p w14:paraId="1A5E2F06" w14:textId="6B9EBB47" w:rsidR="00F377E2" w:rsidRDefault="00F377E2" w:rsidP="00F377E2">
            <w:pPr>
              <w:jc w:val="center"/>
              <w:rPr>
                <w:lang w:val="en-US"/>
              </w:rPr>
            </w:pPr>
            <w:r>
              <w:rPr>
                <w:lang w:val="en-US"/>
              </w:rPr>
              <w:t>Low</w:t>
            </w:r>
          </w:p>
        </w:tc>
        <w:tc>
          <w:tcPr>
            <w:tcW w:w="2265" w:type="dxa"/>
            <w:vAlign w:val="center"/>
          </w:tcPr>
          <w:p w14:paraId="2A3EAA42" w14:textId="43839372"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da97HPAW","properties":{"formattedCitation":"(281,283\\uc0\\u8211{}285,287\\uc0\\u8211{}289)","plainCitation":"(281,283–285,287–289)","noteIndex":0},"citationItems":[{"id":73697,"uris":["http://zotero.org/users/5328021/items/59CRR2XB"],"uri":["http://zotero.org/users/5328021/items/59CRR2XB"],"itemData":{"id":73697,"type":"article-journal","abstract":"Purpose: To assess the clinical efficacy of endovascular angiosome-oriented wound-targeted revascularization (WTR) vs indirect (wound-indifferent) revascularization (IR) in diabetic patients with neuroischemic foot ulcers. Materials and Methods: Between April 2009 and July 2017, 167 diabetic patients (mean age 72.8 years; 137 men) with chronic limb-threatening ischemia (Rutherford category 5) and foot wounds (Wagner 2-4) in 194 limbs were prospectively registered and scheduled for primary infragenicular endovascular treatment. Specific angiosome source artery reperfusion sustained by patent foot arches or arterial-arterial connections was attempted initially. If this approach failed, topographic revascularization via available collaterals (WTRc) and IR were sequentially attempted. Results: Reperfusion was successful in 176 (91%) of 194 limbs (113 with WTR, 28 with WTRc, and 35 with IR); the global angiosome-oriented technical success (WTR and WTRc) was 73% (141/194). The mean follow-up was 10.9+/-0.7 months (range 3-12.5). Over 1 year, 102 (58%) of the 176 successfully  treated limbs experienced wound healing [79/113 (70%) in the WTR group, 15/28 (54%) in the WTRc group, and 7/35 (20%) in the IR group; p=0.011]. The mean time  to healing was 6.8+/-0.4 months in the WTR group, 7.9+/-0.6 months in the WTRc group, and 9.8+/-0.7 months in the IR group (p=0.001). Relapses were noted in 18  (16%) WTR limbs, 5 (18%) WTRc limbs, and 6 (17%) IR limbs. Comparison between WTR and IR and WTRc vs IR showed improved cicatrization in the angiosome-oriented groups (p&lt;0.05). Major adverse limb events (MALE) and limb salvage were different between WTR and WTRc and between WTR and IR groups (p&lt;0.05), while WTRc vs IR was not. Amputation-free survival was not influenced by the revascularization strategy (p=0.093). Conclusion: Wound healing in diabetic patients with chronic limb-threatening ischemia appeared to be improved by intentional wound-targeted revascularization, but no uniform benefit concerning MALE or limb preservation was observed. IR still represents an alternative for limb salvage in cases in which angiosome-guided revascularization fails.","container-title":"Journal of endovascular therapy : an official journal of the International Society of Endovascular Specialists","issue":"1","journalAbbreviation":"J Endovasc Ther","language":"eng","note":"PMID: 31709886","page":"20-30","title":"Healing of Diabetic Neuroischemic Foot Wounds With vs Without Wound-Targeted Revascularization: Preliminary Observations From an 8-Year Prospective Dual-Center Registry.","volume":"27","author":[{"family":"Alexandrescu","given":"Vlad-Adrian"},{"family":"Brochier","given":"Sophie"},{"family":"Limgba","given":"Augustin"},{"family":"Balthazar","given":"Severine"},{"family":"Khelifa","given":"Hafid"},{"family":"De Vreese","given":"Pierrick"},{"family":"Azdad","given":"Khalid"},{"family":"Nodit","given":"Mihaela"},{"family":"Pottier","given":"Morgane"},{"family":"Van Espen","given":"Didier"},{"family":"Sinatra","given":"Tommy"}],"issued":{"date-parts":[["2020",2]]}}},{"id":49079,"uris":["http://zotero.org/users/5328021/items/BLFG6KKA"],"uri":["http://zotero.org/users/5328021/items/BLFG6KKA"],"itemData":{"id":49079,"type":"article-journal","abstract":"PURPOSE: Given that the efficacy of employing angiosome-targeted angioplasty in the treatment of diabetic foot remains controversial, this study was conducted to examine its efficacy.\nMETHODS: We performed a systematic literature review and meta-analysis using core databases, extracting the treatment modality of angiosome-targeted angioplasty as the predictor variable, and limb salvage, wound healing, and revision rate as the outcome variables. We used the Newcastle-Ottawa Scale to assess the study quality, along with the Cochrane Risk of Bias Tool. We evaluated publication bias using a funnel plot.\nRESULTS: The search strategy identified 518 publications. After screening these, we selected four articles for review. The meta-analysis revealed that overall limb salvage and wound healing rates were significantly higher (Odds ratio = 2.209, 3.290, p = 0.001, p&lt;0.001) in patients who received angiosome-targeted angioplasty than in those who received nonangiosome-targeted angioplasty. The revision rate between the angiosome and nonangiosome groups was not significantly different (Odds ratio = 0.747, p = 0.314).\nCONCLUSION: Although a further randomized controlled trial is required for confirmation, angiosome-targeted angioplasty in diabetic foot was more effective than nonangiosome-targeted angioplasty with respect to wound healing and limb salvage.","container-title":"PloS One","issue":"7","journalAbbreviation":"PLoS ONE","language":"eng","note":"PMID: 27441570\nPMCID: PMC4956043","page":"e0159523","title":"Is Angiosome-Targeted Angioplasty Effective for Limb Salvage and Wound Healing in Diabetic Foot? : A Meta-Analysis","volume":"11","author":[{"family":"Chae","given":"Kum Ju"},{"family":"Shin","given":"Jin Yong"}],"issued":{"date-parts":[["2016"]]}}},{"id":26670,"uris":["http://zotero.org/users/5328021/items/9B2TR49I"],"uri":["http://zotero.org/users/5328021/items/9B2TR49I"],"itemData":{"id":26670,"type":"article-journal","abstract":"Purpose: To evaluate the clinical benefit in wound healing and limb preservation after primary below-the-knee angioplasty guided by an angiosome model of perfusion in diabetic patients with neuroischemic foot ulcers. Methods: From September 2001 to April 2010, 232 limb-threatening neuroischemic wounds in 208 diabetic patients (147 men; mean age 74.3 years, range 42-97) were treated by below-the-knee endoluminal and/or subintimal angioplasty. There were 19 (8%) TASC II type B, 80 (34%) type C, and 133 (57%) type D infrapopliteal lesions. Patients treated prior to 2005 when the angiosome-targeted revascularization protocol was introduced (89 limbs, group 1) were compared to 134 limbs treated subsequently according to the angiosome model (group 2). The angiosome-oriented group 2 included 25% procedures focusing on the anterior tibial and dorsalis pedis arteries, 68% on the posterior tibial and plantar vessels, and 7% on the peroneal arteries. Results: The global technical success was 80% (187/232): 82% in group 1 and 79% in group 2. The cumulative patient survival rates were 90%, 78%, and 65% in group 1 and 93%, 82%, and 71% in group 2 at 12, 24, and 36 months, respectively (p=0.545). At the same time points, the freedom from amputation rates were 84%, 79%, and 79% in group 1 versus 90%, 89%, and 89% in group 2 (p=0.035). Clinical success rates were 76%, 68%, 68% in the group 1 and 85%, 79%, and 79% in group 2 (p=0.025). Primary and secondary patency rates did not differ between groups (p=0.813 and p=0.511). Patients in group 2 treated with angiosome-targeted revascularization had significantly better wound healing (p&lt;0.018) and limb preservation (p&lt;0.030). Conclusion: Below-the-knee first-line angioplasty guided by an angiosome model may prove beneficial in terms of better wound healing of diabetic foot ulcers and subsequent limb salvage. Further technical improvements and large comparative studies are necessary to support these observations. © 2011 by the International Society of Endovascular Specialists.","archive":"Embase","container-title":"Journal of Endovascular Therapy","issue":"3","journalAbbreviation":"J. Endovasc. Ther.","language":"English","page":"376-387","title":"A reliable approach to diabetic neuroischemic foot wounds: Below-the-knee angiosome-oriented angioplasty","volume":"18","author":[{"literal":"Alexandrescu V."},{"literal":"Vincent G."},{"literal":"Azdad K."},{"literal":"Hubermont G."},{"literal":"Ledent G."},{"literal":"Ngongang C."},{"literal":"Filimon A.-M."}],"issued":{"date-parts":[["2011"]]}}},{"id":12231,"uris":["http://zotero.org/users/5328021/items/6TX3HSQY"],"uri":["http://zotero.org/users/5328021/items/6TX3HSQY"],"itemData":{"id":12231,"type":"article-journal","abstract":"Purpose: To evaluate the rates of wound healing and limb preservation obtained following angiosome-targeted infrapopliteal endovascular revascularization performed in treatment of diabetic limb ischemia. Methods: We performed a retrospective analysis of data gathered from 102 infrapopliteal angioplasty cases (60 males and 42 females; mean age, 72±11 years) with Fontaine IV ischemia (ankle-brachial index, ABI: 0.16±0.06). Forty-seven angioplasties were performed based on the angiosome concept (direct revascularization, DR), while 55 did not incorporate the angiosome concept (indirect revascularization, IR). The curative effects of angioplasty were assessed by postoperative determinations of ABI performed every 3 months during clinical follow-up visits conducted to assess healing of the ischemic wound. Events of amputation and death were recorded. Results: All 102 patients were successfully revascularized without complications, and during a mean followup period of 18±11 months, the mean postoperative ABI improved to 0.84±0.10. The postoperative 6 and 12 month healing rates in the DR group were 85.1% and 93.5%, respectively, while the limb-salvage rates were 100% and 93.5%, respectively. The postoperative 6 and 12 month healing rates in the IR group were 60% and 76.4%, respectively, while the limb-salvage rates were 90.1%, and 85.5%, respectively. Conclusion: Infrapopliteal angioplasty based on the angiosome concept was associated with better wound healing and higher rates of limb salvage in cases of diabetic critical foot ischemia. Revascularization should not be denied to patients who have undergone indirect perfusion of the ischemic angiosome, as acceptable rates of limb salvage are obtained.","archive":"Embase","container-title":"Vascular","issue":"1","journalAbbreviation":"Vascular","language":"English","page":"60","title":"Evaluation of angiosome-targeted infrapopliteal angioplasty in diabetic critical limb ischemia","volume":"24","author":[{"literal":"Ji D."}],"issued":{"date-parts":[["2016"]]}}},{"id":53500,"uris":["http://zotero.org/users/5328021/items/DPDWKQKL"],"uri":["http://zotero.org/users/5328021/items/DPDWKQKL"],"itemData":{"id":53500,"type":"article-journal","abstract":"OBJECTIVE: Because of the prolonged healing time of diabetic foot ulcers, methods for identifying ways to expedite the ulcer healing process are needed. The angiosome concept delineates the body into three-dimensional blocks of tissue fed by specific source arteries. The aim of this study was to evaluate the benefit of infrapopliteal endovascular revascularization guided by an angiosome model of perfusion in the healing process of diabetic foot ulcers.\nMETHODS: A total of 250 consecutive legs with diabetic foot ulcers in 226 patients who had undergone infrapopliteal endovascular revascularization in a single center were evaluated. Patient records and periprocedural leg angiograms were reviewed. The legs were divided into two groups depending on whether direct arterial flow to the site of the foot ulcer based on the angiosome concept was achieved (direct group) or not achieved (indirect group). Ulcer healing time was compared between the two groups. A propensity score was used for adjustment of differences in pretreatment covariables in multivariate analysis and for 1:1 matching.\nRESULTS: Direct flow to the angiosome feeding the ulcer area was achieved in 121 legs (48%) compared with indirect revascularization in 129 legs. Foot ulcers treated with angiosome-targeted infrapopliteal percutaneous transluminal angioplasty healed better. The ulcer healing rate was mean (standard deviation) 72% (5%) at 12 months for the direct group compared with 45% (6%) for the indirect group (P &lt; .001). When adjusted for propensity score, the direct group still had a significantly better ulcer healing rate than the indirect group (hazard ratio, 1.97; 95% confidence interval, 1.34-2.90; P = .001).\nCONCLUSIONS: Attaining a direct arterial flow based on the angiosome model of perfusion to the foot ulcer appears to be important for ulcer healing in diabetic patients.","container-title":"Journal of Vascular Surgery","issue":"2","journalAbbreviation":"J. Vasc. Surg.","language":"eng","note":"PMID: 23219512","page":"427-435","title":"Angiosome-targeted infrapopliteal endovascular revascularization for treatment of diabetic foot ulcers","volume":"57","author":[{"family":"Söderström","given":"Maria"},{"family":"Albäck","given":"Anders"},{"family":"Biancari","given":"Fausto"},{"family":"Lappalainen","given":"Kimmo"},{"family":"Lepäntalo","given":"Mauri"},{"family":"Venermo","given":"Maarit"}],"issued":{"date-parts":[["2013",2]]}}},{"id":47356,"uris":["http://zotero.org/users/5328021/items/T9IFB99V"],"uri":["http://zotero.org/users/5328021/items/T9IFB99V"],"itemData":{"id":47356,"type":"article-journal","abstract":"BACKGROUND: Ischaemic ulcerations have been reported to persist and/or deteriorate despite technically successful revascularisations; a higher incidence of which affects patients with diabetes and critical limb ischaemia. In the context of wound healing, it is unclear if applications of the angiosome concept in 'direct revascularisation' (DR) would be able to aid the healing of chronic foot ulcerations better than the current 'best vessel' or 'indirect revascularisation' (IR) strategy in patients with co-morbid diabetes and critical limb ischaemia.\nMETHODS: A literature search was conducted in eight electronic databases, namely AMED, CINAHL, The Cochrane Library, ProQuest Health &amp; Medicine Complete, ProQuest Nursing &amp; Allied Health Source, PubMed, ScienceDirect and TRIP database. Articles were initially screened against a pre-established inclusion and exclusion criteria to determine eligibility and subsequently appraised using the Newcastle-Ottawa Scale.\nRESULTS: Five retrospective studies of varying methodological quality were eligible for inclusion in this review. Critical analysis of an aggregated population (n = 280) from methodologically stronger studies indicates better wound healing outcomes in subjects who had undergone DR as compared to IR (p &lt; 0.001; p = 0.04). DR also appears to result in a nearly twofold increase in probability of wound healing within 12 months (hazard ratio, 1.97; 95% CI, 1.34-2.90). This suggests that achieving direct arterial perfusion to the site of ulceration may be important for the healing of chronic diabetic foot ulcerations.\nCONCLUSION: Incorporating an angiosome-directed approach in the lower limb revascularisation strategy could be a very useful adjunct to a solely indirect approach, which could increase the likelihood of wound healing. With the limited data currently available, findings appear promising and merit from further investigation. Additional research to form a solid evidence base for this revised strategy in patients with co-morbid diabetes and critical limb ischaemia is warranted.","container-title":"Journal of Foot and Ankle Research","journalAbbreviation":"J Foot Ankle Res","language":"eng","note":"PMID: 28670345\nPMCID: PMC5490238","page":"26","title":"The comparative efficacy of angiosome-directed and indirect revascularisation strategies to aid healing of chronic foot wounds in patients with co-morbid diabetes mellitus and critical limb ischaemia: a literature review","volume":"10","author":[{"family":"Khor","given":"Benedictine Y. C."},{"family":"Price","given":"Pamela"}],"issued":{"date-parts":[["2017"]]}}},{"id":49551,"uris":["http://zotero.org/users/5328021/items/FVY58BY2"],"uri":["http://zotero.org/users/5328021/items/FVY58BY2"],"itemData":{"id":49551,"type":"article-journal","abstract":"PURPOSE: We aimed to evaluate the clinical usefulness and outcome of angiosome-oriented percutaneous transluminal angioplasty (IP-PTA) and its clinical outcome for isolated infrapopliteal lesions in diabetic critical limb ischemia.\nMETHODS: We retrospectively reviewed 70 patients (82 limbs) with diabetic critical limb ischemia who had localized disease at the level of the infrapopliteal artery. Patients underwent IP-PTA between January 2011 and December 2013 and were followed up for a mean of 13 months. The primary target arterial lesions were chosen according to the angiosome concept. We evaluated clinical findings, technical success, and patients' clinical outcome. The angiographic outcome of IP-PTA was assessed using the angiosome score. We analyzed the relationship between the angiosome score and the amputation rate.\nRESULTS: There were 69 anterior tibial artery (ATA) lesions, 70 posterior tibial artery (PTA) lesions, and 58 peroneal artery (PA) lesions. The primary target arteries were the ATA (n=43), PTA (n=26), PA (n=2), and ATA + PTA (n=11). We divided the treated limbs into target (n=63) and nontarget (n=19) groups. The overall initial technical success rate was 91.4%. Successful wound healing rates were 87.3% (55/63) and 47.3% (9/19) in the target and nontarget groups, respectively (P &lt; 0.05).\nCONCLUSION: Angiosome-oriented primary targeted IP-PTA shows a highly effective treatment outcome in diabetic critical limb ischemia. In cases with inadequate angioplastic results of the target artery, IP-PTA of the nontarget artery should be recommended to improve the limb salvage rates.","container-title":"Diagnostic and Interventional Radiology (Ankara, Turkey)","issue":"1","journalAbbreviation":"Diagn Interv Radiol","language":"eng","note":"PMID: 26573976\nPMCID: PMC4712899","page":"52-58","title":"Clinical outcome of angiosome-oriented infrapopliteal percutaneous transluminal angioplasty for isolated infrapopliteal lesions in patients with critical limb ischemia","volume":"22","author":[{"family":"Jeon","given":"Eui-Yong"},{"family":"Cho","given":"Young Kwon"},{"family":"Yoon","given":"Dae Young"},{"family":"Kim","given":"Dae Jung"},{"family":"Woo","given":"Jeong Joo"}],"issued":{"date-parts":[["2016",2]]}}}],"schema":"https://github.com/citation-style-language/schema/raw/master/csl-citation.json"} </w:instrText>
            </w:r>
            <w:r>
              <w:rPr>
                <w:rFonts w:cs="Arial"/>
                <w:lang w:val="en-US"/>
              </w:rPr>
              <w:fldChar w:fldCharType="separate"/>
            </w:r>
            <w:r w:rsidRPr="00A91C12">
              <w:rPr>
                <w:rFonts w:cs="Arial"/>
                <w:szCs w:val="24"/>
              </w:rPr>
              <w:t>(281,283–285,287–289)</w:t>
            </w:r>
            <w:r>
              <w:rPr>
                <w:rFonts w:cs="Arial"/>
                <w:lang w:val="en-US"/>
              </w:rPr>
              <w:fldChar w:fldCharType="end"/>
            </w:r>
          </w:p>
        </w:tc>
      </w:tr>
      <w:tr w:rsidR="00F377E2" w14:paraId="5B84C7E9" w14:textId="77777777" w:rsidTr="00F377E2">
        <w:tc>
          <w:tcPr>
            <w:tcW w:w="2830" w:type="dxa"/>
            <w:vAlign w:val="center"/>
          </w:tcPr>
          <w:p w14:paraId="1C60CD28" w14:textId="29BC519C" w:rsidR="00F377E2" w:rsidRDefault="00F377E2" w:rsidP="00F377E2">
            <w:pPr>
              <w:jc w:val="center"/>
              <w:rPr>
                <w:lang w:val="en-US"/>
              </w:rPr>
            </w:pPr>
            <w:r w:rsidRPr="005716F2">
              <w:rPr>
                <w:color w:val="9A9B9D" w:themeColor="text1" w:themeTint="99"/>
                <w:lang w:val="en-US"/>
              </w:rPr>
              <w:t>1 study (III)</w:t>
            </w:r>
          </w:p>
        </w:tc>
        <w:tc>
          <w:tcPr>
            <w:tcW w:w="1700" w:type="dxa"/>
            <w:vAlign w:val="center"/>
          </w:tcPr>
          <w:p w14:paraId="48AB2CF4" w14:textId="3893954E" w:rsidR="00F377E2" w:rsidRDefault="00F377E2" w:rsidP="00F377E2">
            <w:pPr>
              <w:jc w:val="center"/>
              <w:rPr>
                <w:lang w:val="en-US"/>
              </w:rPr>
            </w:pPr>
            <w:r w:rsidRPr="0091169A">
              <w:rPr>
                <w:color w:val="9A9B9D" w:themeColor="text1" w:themeTint="99"/>
                <w:lang w:val="en-US"/>
              </w:rPr>
              <w:t>5</w:t>
            </w:r>
          </w:p>
        </w:tc>
        <w:tc>
          <w:tcPr>
            <w:tcW w:w="2265" w:type="dxa"/>
            <w:vMerge/>
            <w:vAlign w:val="center"/>
          </w:tcPr>
          <w:p w14:paraId="69E87A09" w14:textId="77777777" w:rsidR="00F377E2" w:rsidRDefault="00F377E2" w:rsidP="00F377E2">
            <w:pPr>
              <w:jc w:val="center"/>
              <w:rPr>
                <w:lang w:val="en-US"/>
              </w:rPr>
            </w:pPr>
          </w:p>
        </w:tc>
        <w:tc>
          <w:tcPr>
            <w:tcW w:w="2265" w:type="dxa"/>
            <w:vAlign w:val="center"/>
          </w:tcPr>
          <w:p w14:paraId="169E8C9B" w14:textId="10D39DB1"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P93jQ68h","properties":{"formattedCitation":"(282)","plainCitation":"(282)","noteIndex":0},"citationItems":[{"id":47657,"uris":["http://zotero.org/users/5328021/items/DVFJZDNP"],"uri":["http://zotero.org/users/5328021/items/DVFJZDNP"],"itemData":{"id":47657,"type":"article-journal","abstract":"INTRODUCTION: Infra-popliteal angioplasty continues to be widely performed with minimal evidence to guide practice. Endovascular device selection is contentious and there is even uncertainty over which artery to treat for optimum reperfusion. Direct reperfusion (DR) targets the artery supplying the ischaemic tissue. Indirect reperfusion (IR) targets an artery supplying collaterals to the ischaemic area. Our unit practice for the last eight years has been to attempt to open all tibial arteries at the time of angioplasty. When successful, this results in both direct and indirect; or combined reperfusion (CR). The aim was to review the outcomes of CR and compare them with DR or IR alone.\nMETHODS: An eight year retrospective review from a single unit of all infra-popliteal angioplasties was undertaken. Wound healing, limb salvage, amputation-free and overall survival data as well as re-intervention rates were captured for all patients. Subgroup analysis for diabetics was undertaken. Kaplan Meier curves are presented for survival outcomes. All odds and hazard ratios (HR) and p values were corrected for bias from confounders using multivariate analysis.\nRESULTS: 250 procedures were performed: 22 (9%) were CR; 115 (46%) DR and 113 (45%) IR. Amputation-free survival (HR 0.504, p = 0.039) and re-intervention and amputation-free survival (HR 0.414, p = 0.005) were significantly improved in patients undergoing CR compared to IR. Wound healing was similarly affected by reperfusion strategy (OR = 0.35, p = 0.047). Effects of CR over IR were similar when only diabetic patients were considered.\nCONCLUSIONS: Combined revascularisation can only be achieved in approximately 10% of patients. However, when successful, it results in significant improvements in wound healing and amputation-free survival over simple indirect reperfusion techniques.","container-title":"PloS One","issue":"2","journalAbbreviation":"PLoS ONE","language":"eng","note":"PMID: 28199363\nPMCID: PMC5310906","page":"e0172023","title":"Infrapopliteal angioplasty using a combined angiosomal reperfusion strategy","volume":"12","author":[{"family":"Ambler","given":"G. K."},{"family":"Stimpson","given":"A. L."},{"family":"Wardle","given":"B. G."},{"family":"Bosanquet","given":"D. C."},{"family":"Hanif","given":"U. K."},{"family":"Germain","given":"S."},{"family":"Chick","given":"C."},{"family":"Goyal","given":"N."},{"family":"Twine","given":"C. P."}],"issued":{"date-parts":[["2017"]]}}}],"schema":"https://github.com/citation-style-language/schema/raw/master/csl-citation.json"} </w:instrText>
            </w:r>
            <w:r>
              <w:rPr>
                <w:rFonts w:cs="Arial"/>
                <w:lang w:val="en-US"/>
              </w:rPr>
              <w:fldChar w:fldCharType="separate"/>
            </w:r>
            <w:r w:rsidRPr="00C23FB9">
              <w:rPr>
                <w:rFonts w:cs="Arial"/>
              </w:rPr>
              <w:t>(282)</w:t>
            </w:r>
            <w:r>
              <w:rPr>
                <w:rFonts w:cs="Arial"/>
                <w:lang w:val="en-US"/>
              </w:rPr>
              <w:fldChar w:fldCharType="end"/>
            </w:r>
          </w:p>
        </w:tc>
      </w:tr>
      <w:tr w:rsidR="00F377E2" w14:paraId="17400FE0" w14:textId="77777777" w:rsidTr="00F377E2">
        <w:tc>
          <w:tcPr>
            <w:tcW w:w="9060" w:type="dxa"/>
            <w:gridSpan w:val="4"/>
            <w:vAlign w:val="center"/>
          </w:tcPr>
          <w:p w14:paraId="5CD5F5B5" w14:textId="008F6CE8" w:rsidR="00F377E2" w:rsidRDefault="00F377E2" w:rsidP="00F377E2">
            <w:pPr>
              <w:jc w:val="left"/>
              <w:rPr>
                <w:lang w:val="en-US"/>
              </w:rPr>
            </w:pPr>
            <w:r>
              <w:rPr>
                <w:b/>
                <w:sz w:val="18"/>
                <w:szCs w:val="18"/>
                <w:lang w:val="en-US"/>
              </w:rPr>
              <w:t>Time to healing</w:t>
            </w:r>
          </w:p>
        </w:tc>
      </w:tr>
      <w:tr w:rsidR="00F377E2" w:rsidRPr="00166EC2" w14:paraId="5934E1F8" w14:textId="77777777" w:rsidTr="00F377E2">
        <w:tc>
          <w:tcPr>
            <w:tcW w:w="2830" w:type="dxa"/>
            <w:vAlign w:val="center"/>
          </w:tcPr>
          <w:p w14:paraId="33AD17AA" w14:textId="5F76B7E3" w:rsidR="00F377E2" w:rsidRDefault="00F377E2" w:rsidP="00F377E2">
            <w:pPr>
              <w:jc w:val="center"/>
              <w:rPr>
                <w:lang w:val="en-US"/>
              </w:rPr>
            </w:pPr>
            <w:r w:rsidRPr="0062654A">
              <w:rPr>
                <w:lang w:val="en-US"/>
              </w:rPr>
              <w:t>1 study (III)</w:t>
            </w:r>
          </w:p>
        </w:tc>
        <w:tc>
          <w:tcPr>
            <w:tcW w:w="1700" w:type="dxa"/>
            <w:vAlign w:val="center"/>
          </w:tcPr>
          <w:p w14:paraId="12719307" w14:textId="687956FB" w:rsidR="00F377E2" w:rsidRDefault="00F377E2" w:rsidP="00F377E2">
            <w:pPr>
              <w:jc w:val="center"/>
              <w:rPr>
                <w:lang w:val="en-US"/>
              </w:rPr>
            </w:pPr>
            <w:r>
              <w:rPr>
                <w:lang w:val="en-US"/>
              </w:rPr>
              <w:t>4</w:t>
            </w:r>
          </w:p>
        </w:tc>
        <w:tc>
          <w:tcPr>
            <w:tcW w:w="2265" w:type="dxa"/>
            <w:vAlign w:val="center"/>
          </w:tcPr>
          <w:p w14:paraId="2A2224D9" w14:textId="120ABB05" w:rsidR="00F377E2" w:rsidRDefault="00F377E2" w:rsidP="00F377E2">
            <w:pPr>
              <w:jc w:val="center"/>
              <w:rPr>
                <w:lang w:val="en-US"/>
              </w:rPr>
            </w:pPr>
            <w:r>
              <w:rPr>
                <w:lang w:val="en-US"/>
              </w:rPr>
              <w:t>Low</w:t>
            </w:r>
          </w:p>
        </w:tc>
        <w:tc>
          <w:tcPr>
            <w:tcW w:w="2265" w:type="dxa"/>
            <w:vAlign w:val="center"/>
          </w:tcPr>
          <w:p w14:paraId="7AEC603C" w14:textId="40B56E81" w:rsidR="00F377E2" w:rsidRDefault="00F377E2" w:rsidP="00F377E2">
            <w:pPr>
              <w:jc w:val="center"/>
              <w:rPr>
                <w:lang w:val="en-US"/>
              </w:rPr>
            </w:pPr>
            <w:r>
              <w:rPr>
                <w:rFonts w:cs="Arial"/>
                <w:lang w:val="en-US"/>
              </w:rPr>
              <w:fldChar w:fldCharType="begin"/>
            </w:r>
            <w:r>
              <w:rPr>
                <w:rFonts w:cs="Arial"/>
                <w:lang w:val="en-US"/>
              </w:rPr>
              <w:instrText xml:space="preserve"> ADDIN ZOTERO_ITEM CSL_CITATION {"citationID":"AmaJKa2E","properties":{"formattedCitation":"(281)","plainCitation":"(281)","noteIndex":0},"citationItems":[{"id":73697,"uris":["http://zotero.org/users/5328021/items/59CRR2XB"],"uri":["http://zotero.org/users/5328021/items/59CRR2XB"],"itemData":{"id":73697,"type":"article-journal","abstract":"Purpose: To assess the clinical efficacy of endovascular angiosome-oriented wound-targeted revascularization (WTR) vs indirect (wound-indifferent) revascularization (IR) in diabetic patients with neuroischemic foot ulcers. Materials and Methods: Between April 2009 and July 2017, 167 diabetic patients (mean age 72.8 years; 137 men) with chronic limb-threatening ischemia (Rutherford category 5) and foot wounds (Wagner 2-4) in 194 limbs were prospectively registered and scheduled for primary infragenicular endovascular treatment. Specific angiosome source artery reperfusion sustained by patent foot arches or arterial-arterial connections was attempted initially. If this approach failed, topographic revascularization via available collaterals (WTRc) and IR were sequentially attempted. Results: Reperfusion was successful in 176 (91%) of 194 limbs (113 with WTR, 28 with WTRc, and 35 with IR); the global angiosome-oriented technical success (WTR and WTRc) was 73% (141/194). The mean follow-up was 10.9+/-0.7 months (range 3-12.5). Over 1 year, 102 (58%) of the 176 successfully  treated limbs experienced wound healing [79/113 (70%) in the WTR group, 15/28 (54%) in the WTRc group, and 7/35 (20%) in the IR group; p=0.011]. The mean time  to healing was 6.8+/-0.4 months in the WTR group, 7.9+/-0.6 months in the WTRc group, and 9.8+/-0.7 months in the IR group (p=0.001). Relapses were noted in 18  (16%) WTR limbs, 5 (18%) WTRc limbs, and 6 (17%) IR limbs. Comparison between WTR and IR and WTRc vs IR showed improved cicatrization in the angiosome-oriented groups (p&lt;0.05). Major adverse limb events (MALE) and limb salvage were different between WTR and WTRc and between WTR and IR groups (p&lt;0.05), while WTRc vs IR was not. Amputation-free survival was not influenced by the revascularization strategy (p=0.093). Conclusion: Wound healing in diabetic patients with chronic limb-threatening ischemia appeared to be improved by intentional wound-targeted revascularization, but no uniform benefit concerning MALE or limb preservation was observed. IR still represents an alternative for limb salvage in cases in which angiosome-guided revascularization fails.","container-title":"Journal of endovascular therapy : an official journal of the International Society of Endovascular Specialists","issue":"1","journalAbbreviation":"J Endovasc Ther","language":"eng","note":"PMID: 31709886","page":"20-30","title":"Healing of Diabetic Neuroischemic Foot Wounds With vs Without Wound-Targeted Revascularization: Preliminary Observations From an 8-Year Prospective Dual-Center Registry.","volume":"27","author":[{"family":"Alexandrescu","given":"Vlad-Adrian"},{"family":"Brochier","given":"Sophie"},{"family":"Limgba","given":"Augustin"},{"family":"Balthazar","given":"Severine"},{"family":"Khelifa","given":"Hafid"},{"family":"De Vreese","given":"Pierrick"},{"family":"Azdad","given":"Khalid"},{"family":"Nodit","given":"Mihaela"},{"family":"Pottier","given":"Morgane"},{"family":"Van Espen","given":"Didier"},{"family":"Sinatra","given":"Tommy"}],"issued":{"date-parts":[["2020",2]]}}}],"schema":"https://github.com/citation-style-language/schema/raw/master/csl-citation.json"} </w:instrText>
            </w:r>
            <w:r>
              <w:rPr>
                <w:rFonts w:cs="Arial"/>
                <w:lang w:val="en-US"/>
              </w:rPr>
              <w:fldChar w:fldCharType="separate"/>
            </w:r>
            <w:r w:rsidRPr="00A91C12">
              <w:rPr>
                <w:rFonts w:cs="Arial"/>
                <w:lang w:val="en-US"/>
              </w:rPr>
              <w:t>(281)</w:t>
            </w:r>
            <w:r>
              <w:rPr>
                <w:rFonts w:cs="Arial"/>
                <w:lang w:val="en-US"/>
              </w:rPr>
              <w:fldChar w:fldCharType="end"/>
            </w:r>
          </w:p>
        </w:tc>
      </w:tr>
    </w:tbl>
    <w:p w14:paraId="119A84F1" w14:textId="77777777" w:rsidR="00F377E2" w:rsidRDefault="00F377E2">
      <w:pPr>
        <w:rPr>
          <w:lang w:val="en-US"/>
        </w:rPr>
      </w:pPr>
    </w:p>
    <w:p w14:paraId="1E3EDC14" w14:textId="77777777" w:rsidR="00F377E2" w:rsidRDefault="00F377E2">
      <w:pPr>
        <w:rPr>
          <w:lang w:val="en-US"/>
        </w:rPr>
      </w:pPr>
      <w:r>
        <w:rPr>
          <w:lang w:val="en-US"/>
        </w:rPr>
        <w:br w:type="page"/>
      </w:r>
    </w:p>
    <w:p w14:paraId="6837947E" w14:textId="73A25CC8" w:rsidR="00F377E2" w:rsidRPr="00F377E2" w:rsidRDefault="00F377E2" w:rsidP="00F377E2">
      <w:pPr>
        <w:pStyle w:val="Caption"/>
        <w:keepNext/>
        <w:rPr>
          <w:bCs w:val="0"/>
          <w:color w:val="58595B" w:themeColor="text1"/>
          <w:szCs w:val="20"/>
          <w:lang w:val="en-US"/>
        </w:rPr>
      </w:pPr>
      <w:r>
        <w:rPr>
          <w:bCs w:val="0"/>
          <w:color w:val="58595B" w:themeColor="text1"/>
          <w:szCs w:val="20"/>
          <w:lang w:val="en-US"/>
        </w:rPr>
        <w:t>Additional table 5 (continued)</w:t>
      </w:r>
    </w:p>
    <w:tbl>
      <w:tblPr>
        <w:tblStyle w:val="TableGridLight"/>
        <w:tblW w:w="0" w:type="auto"/>
        <w:tblLook w:val="04A0" w:firstRow="1" w:lastRow="0" w:firstColumn="1" w:lastColumn="0" w:noHBand="0" w:noVBand="1"/>
      </w:tblPr>
      <w:tblGrid>
        <w:gridCol w:w="2830"/>
        <w:gridCol w:w="1700"/>
        <w:gridCol w:w="2265"/>
        <w:gridCol w:w="2265"/>
      </w:tblGrid>
      <w:tr w:rsidR="00F377E2" w:rsidRPr="00166EC2" w14:paraId="056F3E3B" w14:textId="77777777" w:rsidTr="005553D6">
        <w:tc>
          <w:tcPr>
            <w:tcW w:w="9060" w:type="dxa"/>
            <w:gridSpan w:val="4"/>
            <w:shd w:val="clear" w:color="auto" w:fill="92D050"/>
          </w:tcPr>
          <w:p w14:paraId="285CA694" w14:textId="25FF605B" w:rsidR="00F377E2" w:rsidRDefault="00F377E2" w:rsidP="005553D6">
            <w:pPr>
              <w:jc w:val="center"/>
              <w:rPr>
                <w:lang w:val="en-US"/>
              </w:rPr>
            </w:pPr>
            <w:r>
              <w:rPr>
                <w:b/>
                <w:lang w:val="en-US"/>
              </w:rPr>
              <w:t>OFFLOADING</w:t>
            </w:r>
            <w:r w:rsidR="00266256">
              <w:rPr>
                <w:b/>
                <w:lang w:val="en-US"/>
              </w:rPr>
              <w:t xml:space="preserve"> DOMAIN</w:t>
            </w:r>
          </w:p>
        </w:tc>
      </w:tr>
      <w:tr w:rsidR="00F377E2" w:rsidRPr="00166EC2" w14:paraId="76047EB0" w14:textId="77777777" w:rsidTr="005553D6">
        <w:tc>
          <w:tcPr>
            <w:tcW w:w="9060" w:type="dxa"/>
            <w:gridSpan w:val="4"/>
            <w:shd w:val="clear" w:color="auto" w:fill="D4F1D3" w:themeFill="background2" w:themeFillTint="33"/>
            <w:vAlign w:val="center"/>
          </w:tcPr>
          <w:p w14:paraId="5084141D" w14:textId="2E9CBA69" w:rsidR="00F377E2" w:rsidRDefault="00F377E2" w:rsidP="00BC2633">
            <w:pPr>
              <w:jc w:val="center"/>
              <w:rPr>
                <w:lang w:val="en-US"/>
              </w:rPr>
            </w:pPr>
            <w:r w:rsidRPr="00D0402C">
              <w:rPr>
                <w:b/>
                <w:lang w:val="en-US"/>
              </w:rPr>
              <w:t>Offloading with non-removable knee-high</w:t>
            </w:r>
            <w:r>
              <w:rPr>
                <w:b/>
                <w:lang w:val="en-US"/>
              </w:rPr>
              <w:t xml:space="preserve"> offloading</w:t>
            </w:r>
            <w:r w:rsidRPr="00D0402C">
              <w:rPr>
                <w:b/>
                <w:lang w:val="en-US"/>
              </w:rPr>
              <w:t xml:space="preserve"> devices</w:t>
            </w:r>
          </w:p>
        </w:tc>
      </w:tr>
      <w:tr w:rsidR="005553D6" w:rsidRPr="00166EC2" w14:paraId="234F5EB3" w14:textId="77777777" w:rsidTr="005553D6">
        <w:tc>
          <w:tcPr>
            <w:tcW w:w="9060" w:type="dxa"/>
            <w:gridSpan w:val="4"/>
            <w:vAlign w:val="center"/>
          </w:tcPr>
          <w:p w14:paraId="0F9D5EED" w14:textId="217DFD61" w:rsidR="005553D6" w:rsidRDefault="005553D6" w:rsidP="005553D6">
            <w:pPr>
              <w:jc w:val="left"/>
              <w:rPr>
                <w:lang w:val="en-US"/>
              </w:rPr>
            </w:pPr>
            <w:r w:rsidRPr="00C71608">
              <w:rPr>
                <w:b/>
                <w:sz w:val="18"/>
                <w:szCs w:val="18"/>
                <w:lang w:val="en-US"/>
              </w:rPr>
              <w:t>Ulcer healing</w:t>
            </w:r>
          </w:p>
        </w:tc>
      </w:tr>
      <w:tr w:rsidR="005553D6" w14:paraId="017575B2" w14:textId="77777777" w:rsidTr="00BC2633">
        <w:tc>
          <w:tcPr>
            <w:tcW w:w="2830" w:type="dxa"/>
            <w:vAlign w:val="center"/>
          </w:tcPr>
          <w:p w14:paraId="36F0C023" w14:textId="1373285F" w:rsidR="005553D6" w:rsidRDefault="005553D6" w:rsidP="00BC2633">
            <w:pPr>
              <w:jc w:val="center"/>
              <w:rPr>
                <w:lang w:val="en-US"/>
              </w:rPr>
            </w:pPr>
            <w:r>
              <w:rPr>
                <w:lang w:val="en-US"/>
              </w:rPr>
              <w:t>3 studies (I</w:t>
            </w:r>
            <w:r w:rsidRPr="0062654A">
              <w:rPr>
                <w:lang w:val="en-US"/>
              </w:rPr>
              <w:t>)</w:t>
            </w:r>
            <w:r>
              <w:rPr>
                <w:lang w:val="en-US"/>
              </w:rPr>
              <w:t xml:space="preserve"> - 3 studies (II</w:t>
            </w:r>
            <w:r w:rsidRPr="006E4B1C">
              <w:rPr>
                <w:lang w:val="en-US"/>
              </w:rPr>
              <w:t>)</w:t>
            </w:r>
          </w:p>
        </w:tc>
        <w:tc>
          <w:tcPr>
            <w:tcW w:w="1700" w:type="dxa"/>
          </w:tcPr>
          <w:p w14:paraId="4D07C0A7" w14:textId="101B9BED" w:rsidR="005553D6" w:rsidRDefault="005553D6" w:rsidP="00BC2633">
            <w:pPr>
              <w:jc w:val="center"/>
              <w:rPr>
                <w:lang w:val="en-US"/>
              </w:rPr>
            </w:pPr>
            <w:r>
              <w:rPr>
                <w:lang w:val="en-US"/>
              </w:rPr>
              <w:t>7,</w:t>
            </w:r>
            <w:r w:rsidR="00525B32">
              <w:rPr>
                <w:lang w:val="en-US"/>
              </w:rPr>
              <w:t>1</w:t>
            </w:r>
          </w:p>
        </w:tc>
        <w:tc>
          <w:tcPr>
            <w:tcW w:w="2265" w:type="dxa"/>
            <w:vMerge w:val="restart"/>
            <w:vAlign w:val="center"/>
          </w:tcPr>
          <w:p w14:paraId="3D769A83" w14:textId="4DA82882" w:rsidR="005553D6" w:rsidRDefault="005553D6" w:rsidP="00BC2633">
            <w:pPr>
              <w:jc w:val="center"/>
              <w:rPr>
                <w:lang w:val="en-US"/>
              </w:rPr>
            </w:pPr>
            <w:r>
              <w:rPr>
                <w:lang w:val="en-US"/>
              </w:rPr>
              <w:t>Moderate</w:t>
            </w:r>
          </w:p>
        </w:tc>
        <w:tc>
          <w:tcPr>
            <w:tcW w:w="2265" w:type="dxa"/>
          </w:tcPr>
          <w:p w14:paraId="0A127740" w14:textId="7010EF9B"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12xIoi1L","properties":{"formattedCitation":"(290\\uc0\\u8211{}295)","plainCitation":"(290–295)","noteIndex":0},"citationItems":[{"id":45774,"uris":["http://zotero.org/users/5328021/items/CIU3B6IM"],"uri":["http://zotero.org/users/5328021/items/CIU3B6IM"],"itemData":{"id":45774,"type":"article-journal","abstract":"BACKGROUND: Assistive products are items which allow older people and people with disabilities to be able to live a healthy, productive and dignified life. It has been estimated that approximately 1.5% of the world's population need a prosthesis or orthosis.\nOBJECTIVE: The objective of this study was to systematically identify and review the evidence from randomized controlled trials assessing effectiveness and cost-effectiveness of prosthetic and orthotic interventions.\nMETHODS: Literature searches, completed in September 2015, were carried out in fourteen databases between years 1995 and 2015. The search results were independently screened by two reviewers. For the purpose of this manuscript, only randomized controlled trials which examined interventions using orthotic or prosthetic devices were selected for data extraction and synthesis.\nRESULTS: A total of 342 randomised controlled trials were identified (319 English language and 23 non-English language). Only 4 of these randomised controlled trials examined prosthetic interventions and the rest examined orthotic interventions. These orthotic interventions were categorised based on the medical conditions/injuries of the participants. From these studies, this review focused on the medical condition/injuries with the highest number of randomised controlled trials (osteoarthritis, fracture, stroke, carpal tunnel syndrome, plantar fasciitis, anterior cruciate ligament, diabetic foot, rheumatoid and juvenile idiopathic arthritis, ankle sprain, cerebral palsy, lateral epicondylitis and low back pain). The included articles were assessed for risk of bias using the Cochrane Risk of Bias tool. Details of the clinical population examined, the type of orthotic/prosthetic intervention, the comparator/s and the outcome measures were extracted. Effect sizes and odds ratios were calculated for all outcome measures, where possible.\nCONCLUSIONS: At present, for prosthetic and orthotic interventions, the scientific literature does not provide sufficient high quality research to allow strong conclusions on their effectiveness and cost-effectiveness.","container-title":"PloS One","issue":"3","journalAbbreviation":"PLoS ONE","language":"eng","note":"PMID: 29538382\nPMCID: PMC5851539","page":"e0192094","title":"A systematic review of randomised controlled trials assessing effectiveness of prosthetic and orthotic interventions","volume":"13","author":[{"family":"Healy","given":"Aoife"},{"family":"Farmer","given":"Sybil"},{"family":"Pandyan","given":"Anand"},{"family":"Chockalingam","given":"Nachiappan"}],"issued":{"date-parts":[["2018"]]}}},{"id":47145,"uris":["http://zotero.org/users/5328021/items/V8NWCDXU"],"uri":["http://zotero.org/users/5328021/items/V8NWCDXU"],"itemData":{"id":47145,"type":"article-journal","abstract":"BACKGROUND: Diabetic neuropathic foot ulcers are a risk factor for lower leg amputation. Many experts recommend offloading with fibreglass total contact casting, removable cast walkers, and irremovable cast walkers as a way to treat these ulcers.\nMETHODS: We completed a health technology assessment, which included an evaluation of clinical benefits and harms, value for money, and patient preferences for offloading devices. We performed a systematic literature search on August 17, 2016, to identify randomized controlled trials that compared fibreglass total contact casting, removable cast walkers, and irremovable cast walkers with other treatments (offloading or non-offloading) in patients with diabetic neuropathic foot ulcers. We developed a decision-analytic model to assess the cost-effectiveness of fibreglass total contact casting, removable cast walkers, and irremovable cast walkers, and we conducted a 5-year budget impact analysis. Finally, we interviewed people with diabetes who had lived experience with foot ulcers, asking them about the different offloading devices and the factors that influenced their treatment choices.\nRESULTS: We identified 13 randomized controlled trials. The evidence suggests that total contact casting, removable cast walkers, and irremovable cast walkers are beneficial in the treatment of neuropathic, noninfected foot ulcers in patients with diabetes but without severe peripheral arterial disease. Compared to removable cast walkers, ulcer healing was improved with total contact casting (moderate quality evidence; risk difference 0.17 [95% confidence interval 0.00-0.33]) and irremovable cast walkers (low quality evidence; risk difference 0.21 [95% confidence interval 0.01-0.40]). We found no difference in ulcer healing between total contact casting and irremovable cast walkers (low quality evidence; risk difference 0.02 [95% confidence interval -0.11-0.14]). The economic analysis showed that total contact casting and irremovable cast walkers were less expensive and led to more health outcome gains (e.g., ulcers healed and quality-adjusted life-years) than removable cast walkers. Irremovable cast walkers were as effective as total contact casting and were associated with lower costs. The 5-year budget impact of funding total contact casting, removable cast walkers, and irremovable cast walkers (device costs only at 100% access) would be $17 to $20 million per year. The patients we interviewed felt that wound healing was improved with total contact casting than with removable cast walkers, but that removable cast walkers were more convenient and came with a lower cost burden. They reported no experience or familiarity with irremovable cast walkers.\nCONCLUSIONS: Ulcer healing improved with total contact casting, irremovable cast walkers, and removable cast walkers, but total contact casting and irremovable cast walkers had higher rates of ulcer healing than removable cast walkers. Increased access to offloading devices could result in cost savings for the health system because of fewer amputations. Patients with diabetic foot ulcers reported a preference for total contact casting over removable cast walkers, largely because they perceived wound healing to be improved with total contact casting. However, cost, comfort, and convenience are concerns for patients.","container-title":"Ontario Health Technology Assessment Series","issue":"12","journalAbbreviation":"Ont Health Technol Assess Ser","language":"eng","note":"PMID: 28989556\nPMCID: PMC5628703","page":"1-124","title":"Fibreglass Total Contact Casting, Removable Cast Walkers, and Irremovable Cast Walkers to Treat Diabetic Neuropathic Foot Ulcers: A Health Technology Assessment","volume":"17","author":[{"literal":"Health Quality Ontario"}],"issued":{"date-parts":[["2017"]]}}},{"id":49029,"uris":["http://zotero.org/users/5328021/items/75G5PJX8"],"uri":["http://zotero.org/users/5328021/items/75G5PJX8"],"itemData":{"id":49029,"type":"article-journal","abstract":"OBJECTIVE: The objective was to report patterns of physical activity and their relationship to wound healing success in patients with diabetic foot ulcers protected with removable or irremovable offloading devices.\nMETHODS: Forty-nine people with diabetic foot ulcers were randomized to wear either a removable cast walker (RCW) or an irremovable instant total contact cast (iTCC). Primary outcome measures included change in wound size, physical activities including position (ie, sitting, standing, lying) and locomotion (speed, steps, etc). Outcomes parameters were assessed on weekly basis until wound healing or until 12 weeks.\nRESULTS: A higher proportion of patients healed at 12 weeks in the iTCC group ( P = .038). Significant differences in activity were observed between groups starting at week 4. RCW patients became more active than the iTCC group (75% higher duration of standing, 100% longer duration of walking, and 126% longer unbroken walking bout, P &lt; .05). Overall, there was an inverse association between rate of weekly wound healing and number of steps taken per day ( r &lt; -.33, P &lt; .05) for both groups. RCW patients had a significant inverse correlation between duration of daily standing and weekly rate of healing ( r = -.67, P &lt; .05). Standing duration was the only significant predictor of healing at 12 weeks.\nCONCLUSION: The results from this study suggest significant differences in activity patterns between removable and irremovable offloading devices. These patterns appear to start diverging at week 4, which may indicate a decline in adherence to offloading. Results suggest that while walking may delay wound healing, unprotected standing might be an even more unrealized and sinister culprit.","container-title":"Journal of Diabetes Science and Technology","issue":"4","journalAbbreviation":"J Diabetes Sci Technol","language":"eng","note":"PMID: 27510440\nPMCID: PMC5588814","page":"657-667","title":"Can't Stand the Pressure: The Association Between Unprotected Standing, Walking, and Wound Healing in People With Diabetes","volume":"11","author":[{"family":"Najafi","given":"Bijan"},{"family":"Grewal","given":"Gurtej S."},{"family":"Bharara","given":"Manish"},{"family":"Menzies","given":"Robert"},{"family":"Talal","given":"Talal K."},{"family":"Armstrong","given":"David G."}],"issued":{"date-parts":[["2017"]]}}},{"id":51698,"uris":["http://zotero.org/users/5328021/items/C8IJPD2C"],"uri":["http://zotero.org/users/5328021/items/C8IJPD2C"],"itemData":{"id":51698,"type":"article-journal","abstract":"The objective of this study was to evaluate the efficacy of three off-loading techniques to heal diabetic foot wounds: total contact casts (TCCs), healing sandals (HSs) and a removable boot with a shear-reducing foot bed (SRB). This was a 12-week, single-blinded randomised clinical trial with three parallel treatment groups of adults with diabetes and a foot ulcer (n = 73). Ulcer healing was defined as full reepithelialisation with no drainage. Diabetic patients with grade UT1A or UT2A forefoot ulcers on the sole of the foot were enrolled. Patients with malignancy, immune-compromising diseases, severe peripheral vascular disease (ankle-brachial index &lt; 0·60 or transcutaneous oxygen &lt; 25 mm/Hg), alcohol or substance abuse within 6 months, untreated osteomyelitis or Charcot arthropathy with residual deformity that would not fit the HS or boot were excluded. In the intent-to-treat analysis, significantly higher proportion of patients were healed in the TCC group (69·6%) compared to those treated with the SRB (22·2%, P &lt; 0·05). There was no difference in the rate of healed ulcers in the HS (44·5%) and TCC groups. Ulcers in the TCC group healed faster than those in the HS group (5·4 ± 2·9 versus 8·9 ± 3·5 weeks, P &lt; 0·02). However, there was no difference in the time to healing in the TCC and SRB groups (6·7 ± 4·3 weeks, P = 0·28). Patients who used HS were significantly more active (4022 ± 4652 steps per day, P &lt; 0·05) than those treated with TCCs (1447 ± 1310) or SRB (1404 ± 1234). It is concluded that patients treated with TCCs had the highest proportion of healed wounds and fastest healing time. The novel shear-reducing walker had the lowest healing and highest rate of attrition during the study.","container-title":"International Wound Journal","issue":"6","journalAbbreviation":"Int Wound J","language":"eng","note":"PMID: 24618113","page":"710-715","title":"Randomised clinical trial to compare total contact casts, healing sandals and a shear-reducing removable boot to heal diabetic foot ulcers","volume":"12","author":[{"family":"Lavery","given":"Lawrence A."},{"family":"Higgins","given":"Kevin R."},{"family":"La Fontaine","given":"Javier"},{"family":"Zamorano","given":"Ruben G."},{"family":"Constantinides","given":"George P."},{"family":"Kim","given":"Paul J."}],"issued":{"date-parts":[["2015",12]]}}},{"id":53351,"uris":["http://zotero.org/users/5328021/items/WFSWHCJW"],"uri":["http://zotero.org/users/5328021/items/WFSWHCJW"],"itemData":{"id":53351,"type":"article-journal","abstract":"BACKGROUND: Diabetes-related foot ulceration is a major contributor to morbidity in diabetes. Diabetic foot ulcers are partly a consequence of abnormal foot pressures and pressure relief is a widely used treatment for healing diabetes-related plantar foot ulcers, but the most effective method for healing is unclear.\nOBJECTIVES: To determine the effects of pressure-relieving interventions on the healing of foot ulcers in people with diabetes.\nSEARCH METHODS: For this update we searched the Cochrane Wounds Group Specialised Register (searched 2 November 2012); The Cochrane Central Register of Controlled Trials (CENTRAL) (The Cochrane Library 2012, Issue 10); Ovid MEDLINE (1950 to October Week 4 2012); Ovid MEDLINE (In-Process &amp; Other Non-Indexed Citations, October 31, 2012); Ovid EMBASE (1980 to 2012 Week 43); and EBSCO CINAHL (1982 to 1 November 2012). There were no restrictions based on language or publication status.\nSELECTION CRITERIA: Randomised controlled trials evaluating the effects of pressure-relieving interventions on the healing of foot ulcers in people with diabetes.\nDATA COLLECTION AND ANALYSIS: Data from eligible trials were extracted, and summarised using a data extraction sheet, by two review authors independently.\nMAIN RESULTS: Fourteen trials (709 participants) met the inclusion criteria for the review. One study compared two different types of non-removable casts with no discernable difference between the groups. Seven studies (366 participants) compared non-removable casts with removable pressure-relieving devices. In five of those studies non-removable casts were associated with a statistically significant increase in the number of ulcers healed compared with the removable device (RR 1.17 95% CI 1.01 to 1.36: P value = 0.04).Two studies (98 participants) found that significantly more ulcers healed with non-removable casts than with dressings alone. Achilles tendon lengthening combined with a non-removable cast in one study resulted in significantly more healed ulcers at 7 months than non-removable cast alone (RR 2.23; 95% CI 1.32 to 3.76). More ulcers remained healed at two years in this group (RR 3.41; 95% CI 1.42 to 8.18).Other comparisons included surgical debridement of ulcers; felt fitted to the foot; felted foam dressings and none of these showed a statistically significant treatment effect in favour of the intervention.\nAUTHORS' CONCLUSIONS: Non-removable, pressure-relieving casts are more effective in healing diabetes related plantar foot ulcers than removable casts, or dressings alone. Non-removable devices, when combined with Achilles tendon lengthening were more successful in one forefoot ulcer study than the use of a non-removable cast alone.","container-title":"The Cochrane Database of Systematic Reviews","issue":"1","journalAbbreviation":"Cochrane Database Syst Rev","language":"eng","note":"PMID: 23440787","page":"CD002302","title":"Pressure-relieving interventions for treating diabetic foot ulcers","author":[{"family":"Lewis","given":"Jane"},{"family":"Lipp","given":"Allyson"}],"issued":{"date-parts":[["2013",1,31]]}}},{"id":53445,"uris":["http://zotero.org/users/5328021/items/DFPWMDG8"],"uri":["http://zotero.org/users/5328021/items/DFPWMDG8"],"itemData":{"id":53445,"type":"article-journal","abstract":"Effective off-loading is considered to be an important part of the successful clinical management of diabetic foot ulcers. The aim of this systematic review is to investigate the safety and effectiveness of different off-loading devices for the treatment of diabetic foot ulcers. The medical literature was extensively searched from January 1966 to May 2012. Systematic reviews and controlled studies that compared the use of different off-loading devices formed the evidence base. Studies were critically appraised to determine their risk of methodological bias, and data were extracted. Results were pooled using random effects meta-analysis and tested for heterogeneity. When compared with removable devices, non-removable off-loading devices were found, on average, to be more effective at promoting the healing of diabetic foot ulcers (RRp  = 1.43; 95% CI 1.11, 1.84; I(2)  = 66.9%; p = 0.001; k = 10). Analysis, stratified by type of removable device, did not detect a statistically significant difference between non-removable off-loading devices and removable cast walkers; however, on average non-removable off-loading devices performed better than therapeutic shoes at promoting the healing of diabetic foot ulcers (RRp  = 1.68; 95% CI 1.09, 2.58; I(2)  = 71.5%; p = 0.004; k = 6). The two types of non-removable off-loading devices i.e. total contact casts and instant total contact casts (removable cast walker rendered irremovable by securing with bandage or lace), were found to be equally effective (RRp  = 1.06; 95% CI 0.88, 1.27; I(2)  = 3.3%; p = 0.31; k = 2). In conclusion, non-removable off-loading devices regardless of type, are more likely to result in ulcer healing than removable off-loading devices, presumably because patient compliance with off-loading is facilitated.","container-title":"Diabetes/Metabolism Research and Reviews","issue":"3","journalAbbreviation":"Diabetes Metab. Res. Rev.","language":"eng","note":"PMID: 23303652","page":"183-193","title":"Comparison of the clinical effectiveness of different off-loading devices for the treatment of neuropathic foot ulcers in patients with diabetes: a systematic review and meta-analysis","volume":"29","author":[{"family":"Morona","given":"Judy K."},{"family":"Buckley","given":"Elizabeth S."},{"family":"Jones","given":"Sara"},{"family":"Reddin","given":"Edith A."},{"family":"Merlin","given":"Tracy L."}],"issued":{"date-parts":[["2013",3]]}}}],"schema":"https://github.com/citation-style-language/schema/raw/master/csl-citation.json"} </w:instrText>
            </w:r>
            <w:r>
              <w:rPr>
                <w:rFonts w:cs="Arial"/>
                <w:lang w:val="en-US"/>
              </w:rPr>
              <w:fldChar w:fldCharType="separate"/>
            </w:r>
            <w:r w:rsidRPr="00A91C12">
              <w:rPr>
                <w:rFonts w:cs="Arial"/>
                <w:szCs w:val="24"/>
              </w:rPr>
              <w:t>(290–295)</w:t>
            </w:r>
            <w:r>
              <w:rPr>
                <w:rFonts w:cs="Arial"/>
                <w:lang w:val="en-US"/>
              </w:rPr>
              <w:fldChar w:fldCharType="end"/>
            </w:r>
          </w:p>
        </w:tc>
      </w:tr>
      <w:tr w:rsidR="005553D6" w14:paraId="3D875A60" w14:textId="77777777" w:rsidTr="00BC2633">
        <w:tc>
          <w:tcPr>
            <w:tcW w:w="2830" w:type="dxa"/>
            <w:vAlign w:val="center"/>
          </w:tcPr>
          <w:p w14:paraId="1230DDEC" w14:textId="54C50C89" w:rsidR="005553D6" w:rsidRDefault="005553D6" w:rsidP="00BC2633">
            <w:pPr>
              <w:jc w:val="center"/>
              <w:rPr>
                <w:lang w:val="en-US"/>
              </w:rPr>
            </w:pPr>
            <w:r>
              <w:rPr>
                <w:color w:val="9A9B9D" w:themeColor="text1" w:themeTint="99"/>
                <w:lang w:val="en-US"/>
              </w:rPr>
              <w:t>3</w:t>
            </w:r>
            <w:r w:rsidRPr="00D87E7B">
              <w:rPr>
                <w:color w:val="9A9B9D" w:themeColor="text1" w:themeTint="99"/>
                <w:lang w:val="en-US"/>
              </w:rPr>
              <w:t xml:space="preserve"> studies (I) - 2 studies (II)</w:t>
            </w:r>
          </w:p>
        </w:tc>
        <w:tc>
          <w:tcPr>
            <w:tcW w:w="1700" w:type="dxa"/>
          </w:tcPr>
          <w:p w14:paraId="77BE594F" w14:textId="267ECE18" w:rsidR="005553D6" w:rsidRDefault="005553D6" w:rsidP="00BC2633">
            <w:pPr>
              <w:jc w:val="center"/>
              <w:rPr>
                <w:lang w:val="en-US"/>
              </w:rPr>
            </w:pPr>
            <w:r>
              <w:rPr>
                <w:color w:val="9A9B9D" w:themeColor="text1" w:themeTint="99"/>
                <w:lang w:val="en-US"/>
              </w:rPr>
              <w:t>7,6</w:t>
            </w:r>
          </w:p>
        </w:tc>
        <w:tc>
          <w:tcPr>
            <w:tcW w:w="2265" w:type="dxa"/>
            <w:vMerge/>
            <w:vAlign w:val="center"/>
          </w:tcPr>
          <w:p w14:paraId="5C752857" w14:textId="77777777" w:rsidR="005553D6" w:rsidRDefault="005553D6" w:rsidP="00BC2633">
            <w:pPr>
              <w:jc w:val="center"/>
              <w:rPr>
                <w:lang w:val="en-US"/>
              </w:rPr>
            </w:pPr>
          </w:p>
        </w:tc>
        <w:tc>
          <w:tcPr>
            <w:tcW w:w="2265" w:type="dxa"/>
          </w:tcPr>
          <w:p w14:paraId="159984C6" w14:textId="69B53EE4"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AvGzzYiy","properties":{"formattedCitation":"(291,295\\uc0\\u8211{}298)","plainCitation":"(291,295–298)","noteIndex":0},"citationItems":[{"id":47145,"uris":["http://zotero.org/users/5328021/items/V8NWCDXU"],"uri":["http://zotero.org/users/5328021/items/V8NWCDXU"],"itemData":{"id":47145,"type":"article-journal","abstract":"BACKGROUND: Diabetic neuropathic foot ulcers are a risk factor for lower leg amputation. Many experts recommend offloading with fibreglass total contact casting, removable cast walkers, and irremovable cast walkers as a way to treat these ulcers.\nMETHODS: We completed a health technology assessment, which included an evaluation of clinical benefits and harms, value for money, and patient preferences for offloading devices. We performed a systematic literature search on August 17, 2016, to identify randomized controlled trials that compared fibreglass total contact casting, removable cast walkers, and irremovable cast walkers with other treatments (offloading or non-offloading) in patients with diabetic neuropathic foot ulcers. We developed a decision-analytic model to assess the cost-effectiveness of fibreglass total contact casting, removable cast walkers, and irremovable cast walkers, and we conducted a 5-year budget impact analysis. Finally, we interviewed people with diabetes who had lived experience with foot ulcers, asking them about the different offloading devices and the factors that influenced their treatment choices.\nRESULTS: We identified 13 randomized controlled trials. The evidence suggests that total contact casting, removable cast walkers, and irremovable cast walkers are beneficial in the treatment of neuropathic, noninfected foot ulcers in patients with diabetes but without severe peripheral arterial disease. Compared to removable cast walkers, ulcer healing was improved with total contact casting (moderate quality evidence; risk difference 0.17 [95% confidence interval 0.00-0.33]) and irremovable cast walkers (low quality evidence; risk difference 0.21 [95% confidence interval 0.01-0.40]). We found no difference in ulcer healing between total contact casting and irremovable cast walkers (low quality evidence; risk difference 0.02 [95% confidence interval -0.11-0.14]). The economic analysis showed that total contact casting and irremovable cast walkers were less expensive and led to more health outcome gains (e.g., ulcers healed and quality-adjusted life-years) than removable cast walkers. Irremovable cast walkers were as effective as total contact casting and were associated with lower costs. The 5-year budget impact of funding total contact casting, removable cast walkers, and irremovable cast walkers (device costs only at 100% access) would be $17 to $20 million per year. The patients we interviewed felt that wound healing was improved with total contact casting than with removable cast walkers, but that removable cast walkers were more convenient and came with a lower cost burden. They reported no experience or familiarity with irremovable cast walkers.\nCONCLUSIONS: Ulcer healing improved with total contact casting, irremovable cast walkers, and removable cast walkers, but total contact casting and irremovable cast walkers had higher rates of ulcer healing than removable cast walkers. Increased access to offloading devices could result in cost savings for the health system because of fewer amputations. Patients with diabetic foot ulcers reported a preference for total contact casting over removable cast walkers, largely because they perceived wound healing to be improved with total contact casting. However, cost, comfort, and convenience are concerns for patients.","container-title":"Ontario Health Technology Assessment Series","issue":"12","journalAbbreviation":"Ont Health Technol Assess Ser","language":"eng","note":"PMID: 28989556\nPMCID: PMC5628703","page":"1-124","title":"Fibreglass Total Contact Casting, Removable Cast Walkers, and Irremovable Cast Walkers to Treat Diabetic Neuropathic Foot Ulcers: A Health Technology Assessment","volume":"17","author":[{"literal":"Health Quality Ontario"}],"issued":{"date-parts":[["2017"]]}}},{"id":53445,"uris":["http://zotero.org/users/5328021/items/DFPWMDG8"],"uri":["http://zotero.org/users/5328021/items/DFPWMDG8"],"itemData":{"id":53445,"type":"article-journal","abstract":"Effective off-loading is considered to be an important part of the successful clinical management of diabetic foot ulcers. The aim of this systematic review is to investigate the safety and effectiveness of different off-loading devices for the treatment of diabetic foot ulcers. The medical literature was extensively searched from January 1966 to May 2012. Systematic reviews and controlled studies that compared the use of different off-loading devices formed the evidence base. Studies were critically appraised to determine their risk of methodological bias, and data were extracted. Results were pooled using random effects meta-analysis and tested for heterogeneity. When compared with removable devices, non-removable off-loading devices were found, on average, to be more effective at promoting the healing of diabetic foot ulcers (RRp  = 1.43; 95% CI 1.11, 1.84; I(2)  = 66.9%; p = 0.001; k = 10). Analysis, stratified by type of removable device, did not detect a statistically significant difference between non-removable off-loading devices and removable cast walkers; however, on average non-removable off-loading devices performed better than therapeutic shoes at promoting the healing of diabetic foot ulcers (RRp  = 1.68; 95% CI 1.09, 2.58; I(2)  = 71.5%; p = 0.004; k = 6). The two types of non-removable off-loading devices i.e. total contact casts and instant total contact casts (removable cast walker rendered irremovable by securing with bandage or lace), were found to be equally effective (RRp  = 1.06; 95% CI 0.88, 1.27; I(2)  = 3.3%; p = 0.31; k = 2). In conclusion, non-removable off-loading devices regardless of type, are more likely to result in ulcer healing than removable off-loading devices, presumably because patient compliance with off-loading is facilitated.","container-title":"Diabetes/Metabolism Research and Reviews","issue":"3","journalAbbreviation":"Diabetes Metab. Res. Rev.","language":"eng","note":"PMID: 23303652","page":"183-193","title":"Comparison of the clinical effectiveness of different off-loading devices for the treatment of neuropathic foot ulcers in patients with diabetes: a systematic review and meta-analysis","volume":"29","author":[{"family":"Morona","given":"Judy K."},{"family":"Buckley","given":"Elizabeth S."},{"family":"Jones","given":"Sara"},{"family":"Reddin","given":"Edith A."},{"family":"Merlin","given":"Tracy L."}],"issued":{"date-parts":[["2013",3]]}}},{"id":49430,"uris":["http://zotero.org/users/5328021/items/IQHFFLCV"],"uri":["http://zotero.org/users/5328021/items/IQHFFLCV"],"itemData":{"id":49430,"type":"article-journal","abstract":"BACKGROUND: Increased plantar foot pressure is one of several key factors that lead to diabetic foot ulcers. Multiple methods have been proposed to relieve this pressure and thus enhance wound healing and potentially prevent relapse. We aimed in this systematic review to find the best available evidence for off-loading methods.\nMETHODS: We searched MEDLINE, Embase, Cochrane CENTRAL, Web of Science, and Scopus through October 2011. Pairs of independent reviewers selected studies and extracted data. Predefined outcomes of interest included complete wound healing, time to complete wound healing, amputation, infection, and relapse rates.\nRESULTS: We identified 19 interventional studies, of which 13 were randomized controlled trials, including data from 1605 patients with diabetic foot ulcers using an off-loading method. The risk of bias in the included studies was moderate. This analysis demonstrated improved wound healing with total contact casting over removable cast walker, therapeutic shoes, and conventional therapy. There was no advantage of irremovable cast walkers over total contact casting. There was improved healing with half-shoe compared with conventional wound care. Therapeutic shoes and insoles reduced relapse rate in comparison with regular footwear. Data were sparse regarding other off-loading methods.\nCONCLUSIONS: Although based on low-quality evidence (ie, evidence warranting lower certainty), benefits are demonstrated for use of total contact casting and irremovable cast walkers in the treatment of diabetic foot ulcers. Reduced relapse rate is demonstrated with various therapeutic shoes and insoles in comparison with regular footwear.","container-title":"Journal of Vascular Surgery","issue":"2 Suppl","journalAbbreviation":"J. Vasc. Surg.","language":"eng","note":"PMID: 26804369","page":"59S-68S.e1-2","title":"A systematic review and meta-analysis of off-loading methods for diabetic foot ulcers","volume":"63","author":[{"family":"Elraiyah","given":"Tarig"},{"family":"Prutsky","given":"Gabriela"},{"family":"Domecq","given":"Juan Pablo"},{"family":"Tsapas","given":"Apostolos"},{"family":"Nabhan","given":"Mohammed"},{"family":"Frykberg","given":"Robert G."},{"family":"Firwana","given":"Belal"},{"family":"Hasan","given":"Rim"},{"family":"Prokop","given":"Larry J."},{"family":"Murad","given":"Mohammad Hassan"}],"issued":{"date-parts":[["2016",2]]}}},{"id":49267,"uris":["http://zotero.org/users/5328021/items/HYXUERL7"],"uri":["http://zotero.org/users/5328021/items/HYXUERL7"],"itemData":{"id":49267,"type":"article-journal","abstract":"BACKGROUND: Despite its efficacy in healing neuropathic diabetic foot ulcers (DFUs), total contact cast (TCC) is often underused because of technical limitations and poor patient acceptance. We compared TCC to irremovable and removable commercially available walking boots for DFU offloading.\nMETHODS: We prospectively studied 60 patients with DFUs, randomly assigned to 3 different offloading modalities: TCC (group A), walking boot rendered irremovable (i-RWD; group B), and removable walking boot (RWD; group C). Patients were followed up weekly for 90 days or up to complete re-epithelization; ulcer survival, healing time, and ulcer size reduction (USR) were considered for efficacy, whereas number of adverse events was considered for safety. Patients' acceptance and costs were also evaluated.\nRESULTS: Mean healing time in the 3 groups did not differ (P = .5579), and survival analysis showed no difference between the groups (logrank test P = .8270). USR from baseline to the end of follow-up was significant (P &lt; .01) in all groups without differences between the groups. Seven patients in group A (35%), 2 in group B (10%), and 1 in group C (5%) (Fisher exact test P = .0436 group A vs group C) reported nonsevere adverse events. Patients' acceptance and costs were significantly better in group C (P &lt; .05).\nCONCLUSIONS: Our results suggest that a walking boot was as effective and safe as TCC in offloading the neuropathic DFUs, irrespective of removability. The better acceptability and lesser costs of a removable device may actually extend the possibilities of providing adequate offloading.\nLEVEL OF EVIDENCE: Level II, prospective comparative study.","container-title":"Foot &amp; Ankle International","issue":"8","journalAbbreviation":"Foot Ankle Int","language":"eng","note":"PMID: 27083507","page":"855-861","title":"Comparison of Removable and Irremovable Walking Boot to Total Contact Casting in Offloading the Neuropathic Diabetic Foot Ulceration","volume":"37","author":[{"family":"Piaggesi","given":"Alberto"},{"family":"Goretti","given":"Chiara"},{"family":"Iacopi","given":"Elisabetta"},{"family":"Clerici","given":"Giacomo"},{"family":"Romagnoli","given":"Fabio"},{"family":"Toscanella","given":"Fabrizia"},{"family":"Vermigli","given":"Cristiana"}],"issued":{"date-parts":[["2016",8]]}}},{"id":55388,"uris":["http://zotero.org/users/5328021/items/RFJ3PW8E"],"uri":["http://zotero.org/users/5328021/items/RFJ3PW8E"],"itemData":{"id":55388,"type":"article-journal","abstract":"BACKGROUND: Elevated plantar loading has been implicated in the etiology of plantar ulceration in individuals with diabetes mellitus and peripheral neuropathy. Total contact casts and cast walker boots are common off-loading strategies to facilitate ulcer healing and prevent re-ulceration. The purpose of this study was to compare off-loading capabilities of these strategies with respect to plantar loading during barefoot walking.\nMETHODS: Twenty-three individuals with diabetes, peripheral neuropathy, and plantar ulceration were randomly assigned to total contact cast (n=11) or removable cast walker boot (n=12). Each subject underwent plantar loading assessment walking barefoot and wearing the off-loading device. Analysis of covariance was used to compare loading patterns in the off-loading devices for the whole foot, hindfoot, midfoot, and forefoot while accounting for walking speed and barefoot loading.\nFINDINGS: For the foot as a whole, there were no differences in off-loading between the two techniques. Subjects wearing cast walker boots had greater reductions in forefoot peak pressure, pressure-time integral, maximum force, and force-time integral with respect to barefoot walking. Healing times were similar between groups, but a greater proportion of ulcers healed in total contact casting compared to cast walker boots.\nINTERPRETATION: In subjects with diabetes, peripheral neuropathy, and plantar ulceration, cast walker boots provided greater load reduction in the forefoot, the most frequent site of diabetic ulceration, though a greater proportion of subjects wearing total contact casts experienced ulcer healing. Taken together, the less effective ulcer healing in cast walker boots despite superior forefoot off-loading suggests an important role for patient compliance in ulcer healing.","container-title":"Clinical Biomechanics (Bristol, Avon)","issue":"6","journalAbbreviation":"Clin Biomech (Bristol, Avon)","language":"eng","note":"PMID: 21496977\nPMCID: PMC3119372","page":"649-654","title":"Removable cast walker boots yield greater forefoot off-loading than total contact casts","volume":"26","author":[{"family":"Gutekunst","given":"David J."},{"family":"Hastings","given":"Mary K."},{"family":"Bohnert","given":"Kathryn L."},{"family":"Strube","given":"Michael J."},{"family":"Sinacore","given":"David R."}],"issued":{"date-parts":[["2011",7]]}}}],"schema":"https://github.com/citation-style-language/schema/raw/master/csl-citation.json"} </w:instrText>
            </w:r>
            <w:r>
              <w:rPr>
                <w:rFonts w:cs="Arial"/>
                <w:lang w:val="en-US"/>
              </w:rPr>
              <w:fldChar w:fldCharType="separate"/>
            </w:r>
            <w:r w:rsidRPr="00A91C12">
              <w:rPr>
                <w:rFonts w:cs="Arial"/>
                <w:szCs w:val="24"/>
              </w:rPr>
              <w:t>(291,295–298)</w:t>
            </w:r>
            <w:r>
              <w:rPr>
                <w:rFonts w:cs="Arial"/>
                <w:lang w:val="en-US"/>
              </w:rPr>
              <w:fldChar w:fldCharType="end"/>
            </w:r>
          </w:p>
        </w:tc>
      </w:tr>
      <w:tr w:rsidR="005553D6" w14:paraId="1ABADA96" w14:textId="77777777" w:rsidTr="005553D6">
        <w:tc>
          <w:tcPr>
            <w:tcW w:w="9060" w:type="dxa"/>
            <w:gridSpan w:val="4"/>
            <w:vAlign w:val="center"/>
          </w:tcPr>
          <w:p w14:paraId="17CC7BEC" w14:textId="00840DAC" w:rsidR="005553D6" w:rsidRDefault="005553D6" w:rsidP="005553D6">
            <w:pPr>
              <w:jc w:val="left"/>
              <w:rPr>
                <w:lang w:val="en-US"/>
              </w:rPr>
            </w:pPr>
            <w:r>
              <w:rPr>
                <w:b/>
                <w:sz w:val="18"/>
                <w:szCs w:val="18"/>
                <w:lang w:val="en-US"/>
              </w:rPr>
              <w:t>Ulcer area reduction</w:t>
            </w:r>
          </w:p>
        </w:tc>
      </w:tr>
      <w:tr w:rsidR="005553D6" w14:paraId="28B78E11" w14:textId="77777777" w:rsidTr="00BC2633">
        <w:tc>
          <w:tcPr>
            <w:tcW w:w="2830" w:type="dxa"/>
            <w:vAlign w:val="center"/>
          </w:tcPr>
          <w:p w14:paraId="0D607BC5" w14:textId="07F1BC42" w:rsidR="005553D6" w:rsidRDefault="005553D6" w:rsidP="00BC2633">
            <w:pPr>
              <w:jc w:val="center"/>
              <w:rPr>
                <w:lang w:val="en-US"/>
              </w:rPr>
            </w:pPr>
            <w:r>
              <w:rPr>
                <w:lang w:val="en-US"/>
              </w:rPr>
              <w:t>1 study (II</w:t>
            </w:r>
            <w:r w:rsidRPr="0062654A">
              <w:rPr>
                <w:lang w:val="en-US"/>
              </w:rPr>
              <w:t>)</w:t>
            </w:r>
          </w:p>
        </w:tc>
        <w:tc>
          <w:tcPr>
            <w:tcW w:w="1700" w:type="dxa"/>
          </w:tcPr>
          <w:p w14:paraId="4978EEC9" w14:textId="5FCFF43C" w:rsidR="005553D6" w:rsidRDefault="005553D6" w:rsidP="00BC2633">
            <w:pPr>
              <w:jc w:val="center"/>
              <w:rPr>
                <w:lang w:val="en-US"/>
              </w:rPr>
            </w:pPr>
            <w:r>
              <w:rPr>
                <w:lang w:val="en-US"/>
              </w:rPr>
              <w:t>4</w:t>
            </w:r>
          </w:p>
        </w:tc>
        <w:tc>
          <w:tcPr>
            <w:tcW w:w="2265" w:type="dxa"/>
            <w:vMerge w:val="restart"/>
            <w:vAlign w:val="center"/>
          </w:tcPr>
          <w:p w14:paraId="3F6D7407" w14:textId="47D98DD8" w:rsidR="005553D6" w:rsidRDefault="005553D6" w:rsidP="00BC2633">
            <w:pPr>
              <w:jc w:val="center"/>
              <w:rPr>
                <w:lang w:val="en-US"/>
              </w:rPr>
            </w:pPr>
            <w:r>
              <w:rPr>
                <w:lang w:val="en-US"/>
              </w:rPr>
              <w:t>Low</w:t>
            </w:r>
          </w:p>
        </w:tc>
        <w:tc>
          <w:tcPr>
            <w:tcW w:w="2265" w:type="dxa"/>
          </w:tcPr>
          <w:p w14:paraId="650916AB" w14:textId="00236E77"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LA8JasEy","properties":{"formattedCitation":"(292)","plainCitation":"(292)","noteIndex":0},"citationItems":[{"id":49029,"uris":["http://zotero.org/users/5328021/items/75G5PJX8"],"uri":["http://zotero.org/users/5328021/items/75G5PJX8"],"itemData":{"id":49029,"type":"article-journal","abstract":"OBJECTIVE: The objective was to report patterns of physical activity and their relationship to wound healing success in patients with diabetic foot ulcers protected with removable or irremovable offloading devices.\nMETHODS: Forty-nine people with diabetic foot ulcers were randomized to wear either a removable cast walker (RCW) or an irremovable instant total contact cast (iTCC). Primary outcome measures included change in wound size, physical activities including position (ie, sitting, standing, lying) and locomotion (speed, steps, etc). Outcomes parameters were assessed on weekly basis until wound healing or until 12 weeks.\nRESULTS: A higher proportion of patients healed at 12 weeks in the iTCC group ( P = .038). Significant differences in activity were observed between groups starting at week 4. RCW patients became more active than the iTCC group (75% higher duration of standing, 100% longer duration of walking, and 126% longer unbroken walking bout, P &lt; .05). Overall, there was an inverse association between rate of weekly wound healing and number of steps taken per day ( r &lt; -.33, P &lt; .05) for both groups. RCW patients had a significant inverse correlation between duration of daily standing and weekly rate of healing ( r = -.67, P &lt; .05). Standing duration was the only significant predictor of healing at 12 weeks.\nCONCLUSION: The results from this study suggest significant differences in activity patterns between removable and irremovable offloading devices. These patterns appear to start diverging at week 4, which may indicate a decline in adherence to offloading. Results suggest that while walking may delay wound healing, unprotected standing might be an even more unrealized and sinister culprit.","container-title":"Journal of Diabetes Science and Technology","issue":"4","journalAbbreviation":"J Diabetes Sci Technol","language":"eng","note":"PMID: 27510440\nPMCID: PMC5588814","page":"657-667","title":"Can't Stand the Pressure: The Association Between Unprotected Standing, Walking, and Wound Healing in People With Diabetes","volume":"11","author":[{"family":"Najafi","given":"Bijan"},{"family":"Grewal","given":"Gurtej S."},{"family":"Bharara","given":"Manish"},{"family":"Menzies","given":"Robert"},{"family":"Talal","given":"Talal K."},{"family":"Armstrong","given":"David G."}],"issued":{"date-parts":[["2017"]]}}}],"schema":"https://github.com/citation-style-language/schema/raw/master/csl-citation.json"} </w:instrText>
            </w:r>
            <w:r>
              <w:rPr>
                <w:rFonts w:cs="Arial"/>
                <w:lang w:val="en-US"/>
              </w:rPr>
              <w:fldChar w:fldCharType="separate"/>
            </w:r>
            <w:r w:rsidRPr="008B0686">
              <w:rPr>
                <w:rFonts w:cs="Arial"/>
              </w:rPr>
              <w:t>(292)</w:t>
            </w:r>
            <w:r>
              <w:rPr>
                <w:rFonts w:cs="Arial"/>
                <w:lang w:val="en-US"/>
              </w:rPr>
              <w:fldChar w:fldCharType="end"/>
            </w:r>
          </w:p>
        </w:tc>
      </w:tr>
      <w:tr w:rsidR="005553D6" w14:paraId="3859C526" w14:textId="77777777" w:rsidTr="00BC2633">
        <w:tc>
          <w:tcPr>
            <w:tcW w:w="2830" w:type="dxa"/>
            <w:vAlign w:val="center"/>
          </w:tcPr>
          <w:p w14:paraId="24D1E3E4" w14:textId="6A517A48" w:rsidR="005553D6" w:rsidRDefault="005553D6" w:rsidP="00BC2633">
            <w:pPr>
              <w:jc w:val="center"/>
              <w:rPr>
                <w:lang w:val="en-US"/>
              </w:rPr>
            </w:pPr>
            <w:r w:rsidRPr="00D87E7B">
              <w:rPr>
                <w:color w:val="9A9B9D" w:themeColor="text1" w:themeTint="99"/>
                <w:lang w:val="en-US"/>
              </w:rPr>
              <w:t>1 study (II)</w:t>
            </w:r>
          </w:p>
        </w:tc>
        <w:tc>
          <w:tcPr>
            <w:tcW w:w="1700" w:type="dxa"/>
          </w:tcPr>
          <w:p w14:paraId="232060C5" w14:textId="52CD1F0E" w:rsidR="005553D6" w:rsidRDefault="005553D6" w:rsidP="00BC2633">
            <w:pPr>
              <w:jc w:val="center"/>
              <w:rPr>
                <w:lang w:val="en-US"/>
              </w:rPr>
            </w:pPr>
            <w:r w:rsidRPr="00F022EB">
              <w:rPr>
                <w:color w:val="9A9B9D" w:themeColor="text1" w:themeTint="99"/>
                <w:lang w:val="en-US"/>
              </w:rPr>
              <w:t>6</w:t>
            </w:r>
          </w:p>
        </w:tc>
        <w:tc>
          <w:tcPr>
            <w:tcW w:w="2265" w:type="dxa"/>
            <w:vMerge/>
            <w:vAlign w:val="center"/>
          </w:tcPr>
          <w:p w14:paraId="2C2D2F39" w14:textId="77777777" w:rsidR="005553D6" w:rsidRDefault="005553D6" w:rsidP="00BC2633">
            <w:pPr>
              <w:jc w:val="center"/>
              <w:rPr>
                <w:lang w:val="en-US"/>
              </w:rPr>
            </w:pPr>
          </w:p>
        </w:tc>
        <w:tc>
          <w:tcPr>
            <w:tcW w:w="2265" w:type="dxa"/>
          </w:tcPr>
          <w:p w14:paraId="5C796663" w14:textId="222D50D4"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16IOX6H6","properties":{"formattedCitation":"(297)","plainCitation":"(297)","noteIndex":0},"citationItems":[{"id":49267,"uris":["http://zotero.org/users/5328021/items/HYXUERL7"],"uri":["http://zotero.org/users/5328021/items/HYXUERL7"],"itemData":{"id":49267,"type":"article-journal","abstract":"BACKGROUND: Despite its efficacy in healing neuropathic diabetic foot ulcers (DFUs), total contact cast (TCC) is often underused because of technical limitations and poor patient acceptance. We compared TCC to irremovable and removable commercially available walking boots for DFU offloading.\nMETHODS: We prospectively studied 60 patients with DFUs, randomly assigned to 3 different offloading modalities: TCC (group A), walking boot rendered irremovable (i-RWD; group B), and removable walking boot (RWD; group C). Patients were followed up weekly for 90 days or up to complete re-epithelization; ulcer survival, healing time, and ulcer size reduction (USR) were considered for efficacy, whereas number of adverse events was considered for safety. Patients' acceptance and costs were also evaluated.\nRESULTS: Mean healing time in the 3 groups did not differ (P = .5579), and survival analysis showed no difference between the groups (logrank test P = .8270). USR from baseline to the end of follow-up was significant (P &lt; .01) in all groups without differences between the groups. Seven patients in group A (35%), 2 in group B (10%), and 1 in group C (5%) (Fisher exact test P = .0436 group A vs group C) reported nonsevere adverse events. Patients' acceptance and costs were significantly better in group C (P &lt; .05).\nCONCLUSIONS: Our results suggest that a walking boot was as effective and safe as TCC in offloading the neuropathic DFUs, irrespective of removability. The better acceptability and lesser costs of a removable device may actually extend the possibilities of providing adequate offloading.\nLEVEL OF EVIDENCE: Level II, prospective comparative study.","container-title":"Foot &amp; Ankle International","issue":"8","journalAbbreviation":"Foot Ankle Int","language":"eng","note":"PMID: 27083507","page":"855-861","title":"Comparison of Removable and Irremovable Walking Boot to Total Contact Casting in Offloading the Neuropathic Diabetic Foot Ulceration","volume":"37","author":[{"family":"Piaggesi","given":"Alberto"},{"family":"Goretti","given":"Chiara"},{"family":"Iacopi","given":"Elisabetta"},{"family":"Clerici","given":"Giacomo"},{"family":"Romagnoli","given":"Fabio"},{"family":"Toscanella","given":"Fabrizia"},{"family":"Vermigli","given":"Cristiana"}],"issued":{"date-parts":[["2016",8]]}}}],"schema":"https://github.com/citation-style-language/schema/raw/master/csl-citation.json"} </w:instrText>
            </w:r>
            <w:r>
              <w:rPr>
                <w:rFonts w:cs="Arial"/>
                <w:lang w:val="en-US"/>
              </w:rPr>
              <w:fldChar w:fldCharType="separate"/>
            </w:r>
            <w:r w:rsidRPr="008B0686">
              <w:rPr>
                <w:rFonts w:cs="Arial"/>
              </w:rPr>
              <w:t>(297)</w:t>
            </w:r>
            <w:r>
              <w:rPr>
                <w:rFonts w:cs="Arial"/>
                <w:lang w:val="en-US"/>
              </w:rPr>
              <w:fldChar w:fldCharType="end"/>
            </w:r>
          </w:p>
        </w:tc>
      </w:tr>
      <w:tr w:rsidR="005553D6" w14:paraId="7AE4CF0F" w14:textId="77777777" w:rsidTr="005553D6">
        <w:tc>
          <w:tcPr>
            <w:tcW w:w="9060" w:type="dxa"/>
            <w:gridSpan w:val="4"/>
            <w:vAlign w:val="center"/>
          </w:tcPr>
          <w:p w14:paraId="2D5D99DF" w14:textId="36636C24" w:rsidR="005553D6" w:rsidRDefault="005553D6" w:rsidP="005553D6">
            <w:pPr>
              <w:jc w:val="left"/>
              <w:rPr>
                <w:lang w:val="en-US"/>
              </w:rPr>
            </w:pPr>
            <w:r>
              <w:rPr>
                <w:b/>
                <w:sz w:val="18"/>
                <w:szCs w:val="18"/>
                <w:lang w:val="en-US"/>
              </w:rPr>
              <w:t>Time to healing</w:t>
            </w:r>
          </w:p>
        </w:tc>
      </w:tr>
      <w:tr w:rsidR="005553D6" w14:paraId="45B7965F" w14:textId="77777777" w:rsidTr="00BC2633">
        <w:tc>
          <w:tcPr>
            <w:tcW w:w="2830" w:type="dxa"/>
            <w:vAlign w:val="center"/>
          </w:tcPr>
          <w:p w14:paraId="31E4ED66" w14:textId="0DB55BB5" w:rsidR="005553D6" w:rsidRDefault="005553D6" w:rsidP="00BC2633">
            <w:pPr>
              <w:jc w:val="center"/>
              <w:rPr>
                <w:lang w:val="en-US"/>
              </w:rPr>
            </w:pPr>
            <w:r>
              <w:rPr>
                <w:lang w:val="en-US"/>
              </w:rPr>
              <w:t>1 study (I</w:t>
            </w:r>
            <w:r w:rsidRPr="0062654A">
              <w:rPr>
                <w:lang w:val="en-US"/>
              </w:rPr>
              <w:t>)</w:t>
            </w:r>
          </w:p>
        </w:tc>
        <w:tc>
          <w:tcPr>
            <w:tcW w:w="1700" w:type="dxa"/>
          </w:tcPr>
          <w:p w14:paraId="36743E98" w14:textId="018BEA07" w:rsidR="005553D6" w:rsidRDefault="005553D6" w:rsidP="00BC2633">
            <w:pPr>
              <w:jc w:val="center"/>
              <w:rPr>
                <w:lang w:val="en-US"/>
              </w:rPr>
            </w:pPr>
            <w:r>
              <w:rPr>
                <w:lang w:val="en-US"/>
              </w:rPr>
              <w:t>10</w:t>
            </w:r>
          </w:p>
        </w:tc>
        <w:tc>
          <w:tcPr>
            <w:tcW w:w="2265" w:type="dxa"/>
            <w:vMerge w:val="restart"/>
            <w:vAlign w:val="center"/>
          </w:tcPr>
          <w:p w14:paraId="24920D36" w14:textId="6F9DB5A7" w:rsidR="005553D6" w:rsidRDefault="005553D6" w:rsidP="00BC2633">
            <w:pPr>
              <w:jc w:val="center"/>
              <w:rPr>
                <w:lang w:val="en-US"/>
              </w:rPr>
            </w:pPr>
            <w:r>
              <w:rPr>
                <w:lang w:val="en-US"/>
              </w:rPr>
              <w:t>Very high</w:t>
            </w:r>
          </w:p>
        </w:tc>
        <w:tc>
          <w:tcPr>
            <w:tcW w:w="2265" w:type="dxa"/>
          </w:tcPr>
          <w:p w14:paraId="121188BE" w14:textId="104EC0D5"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Uzc1tERP","properties":{"formattedCitation":"(296)","plainCitation":"(296)","noteIndex":0},"citationItems":[{"id":49430,"uris":["http://zotero.org/users/5328021/items/IQHFFLCV"],"uri":["http://zotero.org/users/5328021/items/IQHFFLCV"],"itemData":{"id":49430,"type":"article-journal","abstract":"BACKGROUND: Increased plantar foot pressure is one of several key factors that lead to diabetic foot ulcers. Multiple methods have been proposed to relieve this pressure and thus enhance wound healing and potentially prevent relapse. We aimed in this systematic review to find the best available evidence for off-loading methods.\nMETHODS: We searched MEDLINE, Embase, Cochrane CENTRAL, Web of Science, and Scopus through October 2011. Pairs of independent reviewers selected studies and extracted data. Predefined outcomes of interest included complete wound healing, time to complete wound healing, amputation, infection, and relapse rates.\nRESULTS: We identified 19 interventional studies, of which 13 were randomized controlled trials, including data from 1605 patients with diabetic foot ulcers using an off-loading method. The risk of bias in the included studies was moderate. This analysis demonstrated improved wound healing with total contact casting over removable cast walker, therapeutic shoes, and conventional therapy. There was no advantage of irremovable cast walkers over total contact casting. There was improved healing with half-shoe compared with conventional wound care. Therapeutic shoes and insoles reduced relapse rate in comparison with regular footwear. Data were sparse regarding other off-loading methods.\nCONCLUSIONS: Although based on low-quality evidence (ie, evidence warranting lower certainty), benefits are demonstrated for use of total contact casting and irremovable cast walkers in the treatment of diabetic foot ulcers. Reduced relapse rate is demonstrated with various therapeutic shoes and insoles in comparison with regular footwear.","container-title":"Journal of Vascular Surgery","issue":"2 Suppl","journalAbbreviation":"J. Vasc. Surg.","language":"eng","note":"PMID: 26804369","page":"59S-68S.e1-2","title":"A systematic review and meta-analysis of off-loading methods for diabetic foot ulcers","volume":"63","author":[{"family":"Elraiyah","given":"Tarig"},{"family":"Prutsky","given":"Gabriela"},{"family":"Domecq","given":"Juan Pablo"},{"family":"Tsapas","given":"Apostolos"},{"family":"Nabhan","given":"Mohammed"},{"family":"Frykberg","given":"Robert G."},{"family":"Firwana","given":"Belal"},{"family":"Hasan","given":"Rim"},{"family":"Prokop","given":"Larry J."},{"family":"Murad","given":"Mohammad Hassan"}],"issued":{"date-parts":[["2016",2]]}}}],"schema":"https://github.com/citation-style-language/schema/raw/master/csl-citation.json"} </w:instrText>
            </w:r>
            <w:r>
              <w:rPr>
                <w:rFonts w:cs="Arial"/>
                <w:lang w:val="en-US"/>
              </w:rPr>
              <w:fldChar w:fldCharType="separate"/>
            </w:r>
            <w:r w:rsidRPr="008B0686">
              <w:rPr>
                <w:rFonts w:cs="Arial"/>
              </w:rPr>
              <w:t>(296)</w:t>
            </w:r>
            <w:r>
              <w:rPr>
                <w:rFonts w:cs="Arial"/>
                <w:lang w:val="en-US"/>
              </w:rPr>
              <w:fldChar w:fldCharType="end"/>
            </w:r>
          </w:p>
        </w:tc>
      </w:tr>
      <w:tr w:rsidR="005553D6" w:rsidRPr="00166EC2" w14:paraId="6CC1913E" w14:textId="77777777" w:rsidTr="00BC2633">
        <w:tc>
          <w:tcPr>
            <w:tcW w:w="2830" w:type="dxa"/>
            <w:vAlign w:val="center"/>
          </w:tcPr>
          <w:p w14:paraId="73D1B89A" w14:textId="38485F74" w:rsidR="005553D6" w:rsidRDefault="005553D6" w:rsidP="00BC2633">
            <w:pPr>
              <w:jc w:val="center"/>
              <w:rPr>
                <w:lang w:val="en-US"/>
              </w:rPr>
            </w:pPr>
            <w:r>
              <w:rPr>
                <w:color w:val="9A9B9D" w:themeColor="text1" w:themeTint="99"/>
                <w:lang w:val="en-US"/>
              </w:rPr>
              <w:t>1 study (</w:t>
            </w:r>
            <w:r w:rsidRPr="00D87E7B">
              <w:rPr>
                <w:color w:val="9A9B9D" w:themeColor="text1" w:themeTint="99"/>
                <w:lang w:val="en-US"/>
              </w:rPr>
              <w:t>I)</w:t>
            </w:r>
            <w:r>
              <w:rPr>
                <w:color w:val="9A9B9D" w:themeColor="text1" w:themeTint="99"/>
                <w:lang w:val="en-US"/>
              </w:rPr>
              <w:t xml:space="preserve"> - 3</w:t>
            </w:r>
            <w:r w:rsidRPr="00D87E7B">
              <w:rPr>
                <w:color w:val="9A9B9D" w:themeColor="text1" w:themeTint="99"/>
                <w:lang w:val="en-US"/>
              </w:rPr>
              <w:t xml:space="preserve"> studies (II)</w:t>
            </w:r>
          </w:p>
        </w:tc>
        <w:tc>
          <w:tcPr>
            <w:tcW w:w="1700" w:type="dxa"/>
            <w:vAlign w:val="center"/>
          </w:tcPr>
          <w:p w14:paraId="4FA3E986" w14:textId="4B82C832" w:rsidR="005553D6" w:rsidRDefault="005553D6" w:rsidP="00BC2633">
            <w:pPr>
              <w:jc w:val="center"/>
              <w:rPr>
                <w:lang w:val="en-US"/>
              </w:rPr>
            </w:pPr>
            <w:r>
              <w:rPr>
                <w:color w:val="9A9B9D" w:themeColor="text1" w:themeTint="99"/>
                <w:lang w:val="en-US"/>
              </w:rPr>
              <w:t>6,25</w:t>
            </w:r>
          </w:p>
        </w:tc>
        <w:tc>
          <w:tcPr>
            <w:tcW w:w="2265" w:type="dxa"/>
            <w:vMerge/>
          </w:tcPr>
          <w:p w14:paraId="5E42A400" w14:textId="77777777" w:rsidR="005553D6" w:rsidRDefault="005553D6" w:rsidP="00BC2633">
            <w:pPr>
              <w:jc w:val="center"/>
              <w:rPr>
                <w:lang w:val="en-US"/>
              </w:rPr>
            </w:pPr>
          </w:p>
        </w:tc>
        <w:tc>
          <w:tcPr>
            <w:tcW w:w="2265" w:type="dxa"/>
          </w:tcPr>
          <w:p w14:paraId="3D9A8A89" w14:textId="734704F2"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O2XL0jcZ","properties":{"formattedCitation":"(291,293,297,298)","plainCitation":"(291,293,297,298)","noteIndex":0},"citationItems":[{"id":47145,"uris":["http://zotero.org/users/5328021/items/V8NWCDXU"],"uri":["http://zotero.org/users/5328021/items/V8NWCDXU"],"itemData":{"id":47145,"type":"article-journal","abstract":"BACKGROUND: Diabetic neuropathic foot ulcers are a risk factor for lower leg amputation. Many experts recommend offloading with fibreglass total contact casting, removable cast walkers, and irremovable cast walkers as a way to treat these ulcers.\nMETHODS: We completed a health technology assessment, which included an evaluation of clinical benefits and harms, value for money, and patient preferences for offloading devices. We performed a systematic literature search on August 17, 2016, to identify randomized controlled trials that compared fibreglass total contact casting, removable cast walkers, and irremovable cast walkers with other treatments (offloading or non-offloading) in patients with diabetic neuropathic foot ulcers. We developed a decision-analytic model to assess the cost-effectiveness of fibreglass total contact casting, removable cast walkers, and irremovable cast walkers, and we conducted a 5-year budget impact analysis. Finally, we interviewed people with diabetes who had lived experience with foot ulcers, asking them about the different offloading devices and the factors that influenced their treatment choices.\nRESULTS: We identified 13 randomized controlled trials. The evidence suggests that total contact casting, removable cast walkers, and irremovable cast walkers are beneficial in the treatment of neuropathic, noninfected foot ulcers in patients with diabetes but without severe peripheral arterial disease. Compared to removable cast walkers, ulcer healing was improved with total contact casting (moderate quality evidence; risk difference 0.17 [95% confidence interval 0.00-0.33]) and irremovable cast walkers (low quality evidence; risk difference 0.21 [95% confidence interval 0.01-0.40]). We found no difference in ulcer healing between total contact casting and irremovable cast walkers (low quality evidence; risk difference 0.02 [95% confidence interval -0.11-0.14]). The economic analysis showed that total contact casting and irremovable cast walkers were less expensive and led to more health outcome gains (e.g., ulcers healed and quality-adjusted life-years) than removable cast walkers. Irremovable cast walkers were as effective as total contact casting and were associated with lower costs. The 5-year budget impact of funding total contact casting, removable cast walkers, and irremovable cast walkers (device costs only at 100% access) would be $17 to $20 million per year. The patients we interviewed felt that wound healing was improved with total contact casting than with removable cast walkers, but that removable cast walkers were more convenient and came with a lower cost burden. They reported no experience or familiarity with irremovable cast walkers.\nCONCLUSIONS: Ulcer healing improved with total contact casting, irremovable cast walkers, and removable cast walkers, but total contact casting and irremovable cast walkers had higher rates of ulcer healing than removable cast walkers. Increased access to offloading devices could result in cost savings for the health system because of fewer amputations. Patients with diabetic foot ulcers reported a preference for total contact casting over removable cast walkers, largely because they perceived wound healing to be improved with total contact casting. However, cost, comfort, and convenience are concerns for patients.","container-title":"Ontario Health Technology Assessment Series","issue":"12","journalAbbreviation":"Ont Health Technol Assess Ser","language":"eng","note":"PMID: 28989556\nPMCID: PMC5628703","page":"1-124","title":"Fibreglass Total Contact Casting, Removable Cast Walkers, and Irremovable Cast Walkers to Treat Diabetic Neuropathic Foot Ulcers: A Health Technology Assessment","volume":"17","author":[{"literal":"Health Quality Ontario"}],"issued":{"date-parts":[["2017"]]}}},{"id":51698,"uris":["http://zotero.org/users/5328021/items/C8IJPD2C"],"uri":["http://zotero.org/users/5328021/items/C8IJPD2C"],"itemData":{"id":51698,"type":"article-journal","abstract":"The objective of this study was to evaluate the efficacy of three off-loading techniques to heal diabetic foot wounds: total contact casts (TCCs), healing sandals (HSs) and a removable boot with a shear-reducing foot bed (SRB). This was a 12-week, single-blinded randomised clinical trial with three parallel treatment groups of adults with diabetes and a foot ulcer (n = 73). Ulcer healing was defined as full reepithelialisation with no drainage. Diabetic patients with grade UT1A or UT2A forefoot ulcers on the sole of the foot were enrolled. Patients with malignancy, immune-compromising diseases, severe peripheral vascular disease (ankle-brachial index &lt; 0·60 or transcutaneous oxygen &lt; 25 mm/Hg), alcohol or substance abuse within 6 months, untreated osteomyelitis or Charcot arthropathy with residual deformity that would not fit the HS or boot were excluded. In the intent-to-treat analysis, significantly higher proportion of patients were healed in the TCC group (69·6%) compared to those treated with the SRB (22·2%, P &lt; 0·05). There was no difference in the rate of healed ulcers in the HS (44·5%) and TCC groups. Ulcers in the TCC group healed faster than those in the HS group (5·4 ± 2·9 versus 8·9 ± 3·5 weeks, P &lt; 0·02). However, there was no difference in the time to healing in the TCC and SRB groups (6·7 ± 4·3 weeks, P = 0·28). Patients who used HS were significantly more active (4022 ± 4652 steps per day, P &lt; 0·05) than those treated with TCCs (1447 ± 1310) or SRB (1404 ± 1234). It is concluded that patients treated with TCCs had the highest proportion of healed wounds and fastest healing time. The novel shear-reducing walker had the lowest healing and highest rate of attrition during the study.","container-title":"International Wound Journal","issue":"6","journalAbbreviation":"Int Wound J","language":"eng","note":"PMID: 24618113","page":"710-715","title":"Randomised clinical trial to compare total contact casts, healing sandals and a shear-reducing removable boot to heal diabetic foot ulcers","volume":"12","author":[{"family":"Lavery","given":"Lawrence A."},{"family":"Higgins","given":"Kevin R."},{"family":"La Fontaine","given":"Javier"},{"family":"Zamorano","given":"Ruben G."},{"family":"Constantinides","given":"George P."},{"family":"Kim","given":"Paul J."}],"issued":{"date-parts":[["2015",12]]}}},{"id":49267,"uris":["http://zotero.org/users/5328021/items/HYXUERL7"],"uri":["http://zotero.org/users/5328021/items/HYXUERL7"],"itemData":{"id":49267,"type":"article-journal","abstract":"BACKGROUND: Despite its efficacy in healing neuropathic diabetic foot ulcers (DFUs), total contact cast (TCC) is often underused because of technical limitations and poor patient acceptance. We compared TCC to irremovable and removable commercially available walking boots for DFU offloading.\nMETHODS: We prospectively studied 60 patients with DFUs, randomly assigned to 3 different offloading modalities: TCC (group A), walking boot rendered irremovable (i-RWD; group B), and removable walking boot (RWD; group C). Patients were followed up weekly for 90 days or up to complete re-epithelization; ulcer survival, healing time, and ulcer size reduction (USR) were considered for efficacy, whereas number of adverse events was considered for safety. Patients' acceptance and costs were also evaluated.\nRESULTS: Mean healing time in the 3 groups did not differ (P = .5579), and survival analysis showed no difference between the groups (logrank test P = .8270). USR from baseline to the end of follow-up was significant (P &lt; .01) in all groups without differences between the groups. Seven patients in group A (35%), 2 in group B (10%), and 1 in group C (5%) (Fisher exact test P = .0436 group A vs group C) reported nonsevere adverse events. Patients' acceptance and costs were significantly better in group C (P &lt; .05).\nCONCLUSIONS: Our results suggest that a walking boot was as effective and safe as TCC in offloading the neuropathic DFUs, irrespective of removability. The better acceptability and lesser costs of a removable device may actually extend the possibilities of providing adequate offloading.\nLEVEL OF EVIDENCE: Level II, prospective comparative study.","container-title":"Foot &amp; Ankle International","issue":"8","journalAbbreviation":"Foot Ankle Int","language":"eng","note":"PMID: 27083507","page":"855-861","title":"Comparison of Removable and Irremovable Walking Boot to Total Contact Casting in Offloading the Neuropathic Diabetic Foot Ulceration","volume":"37","author":[{"family":"Piaggesi","given":"Alberto"},{"family":"Goretti","given":"Chiara"},{"family":"Iacopi","given":"Elisabetta"},{"family":"Clerici","given":"Giacomo"},{"family":"Romagnoli","given":"Fabio"},{"family":"Toscanella","given":"Fabrizia"},{"family":"Vermigli","given":"Cristiana"}],"issued":{"date-parts":[["2016",8]]}}},{"id":55388,"uris":["http://zotero.org/users/5328021/items/RFJ3PW8E"],"uri":["http://zotero.org/users/5328021/items/RFJ3PW8E"],"itemData":{"id":55388,"type":"article-journal","abstract":"BACKGROUND: Elevated plantar loading has been implicated in the etiology of plantar ulceration in individuals with diabetes mellitus and peripheral neuropathy. Total contact casts and cast walker boots are common off-loading strategies to facilitate ulcer healing and prevent re-ulceration. The purpose of this study was to compare off-loading capabilities of these strategies with respect to plantar loading during barefoot walking.\nMETHODS: Twenty-three individuals with diabetes, peripheral neuropathy, and plantar ulceration were randomly assigned to total contact cast (n=11) or removable cast walker boot (n=12). Each subject underwent plantar loading assessment walking barefoot and wearing the off-loading device. Analysis of covariance was used to compare loading patterns in the off-loading devices for the whole foot, hindfoot, midfoot, and forefoot while accounting for walking speed and barefoot loading.\nFINDINGS: For the foot as a whole, there were no differences in off-loading between the two techniques. Subjects wearing cast walker boots had greater reductions in forefoot peak pressure, pressure-time integral, maximum force, and force-time integral with respect to barefoot walking. Healing times were similar between groups, but a greater proportion of ulcers healed in total contact casting compared to cast walker boots.\nINTERPRETATION: In subjects with diabetes, peripheral neuropathy, and plantar ulceration, cast walker boots provided greater load reduction in the forefoot, the most frequent site of diabetic ulceration, though a greater proportion of subjects wearing total contact casts experienced ulcer healing. Taken together, the less effective ulcer healing in cast walker boots despite superior forefoot off-loading suggests an important role for patient compliance in ulcer healing.","container-title":"Clinical Biomechanics (Bristol, Avon)","issue":"6","journalAbbreviation":"Clin Biomech (Bristol, Avon)","language":"eng","note":"PMID: 21496977\nPMCID: PMC3119372","page":"649-654","title":"Removable cast walker boots yield greater forefoot off-loading than total contact casts","volume":"26","author":[{"family":"Gutekunst","given":"David J."},{"family":"Hastings","given":"Mary K."},{"family":"Bohnert","given":"Kathryn L."},{"family":"Strube","given":"Michael J."},{"family":"Sinacore","given":"David R."}],"issued":{"date-parts":[["2011",7]]}}}],"schema":"https://github.com/citation-style-language/schema/raw/master/csl-citation.json"} </w:instrText>
            </w:r>
            <w:r>
              <w:rPr>
                <w:rFonts w:cs="Arial"/>
                <w:lang w:val="en-US"/>
              </w:rPr>
              <w:fldChar w:fldCharType="separate"/>
            </w:r>
            <w:r w:rsidRPr="00A91C12">
              <w:rPr>
                <w:rFonts w:cs="Arial"/>
                <w:lang w:val="en-US"/>
              </w:rPr>
              <w:t>(291,293,297,298)</w:t>
            </w:r>
            <w:r>
              <w:rPr>
                <w:rFonts w:cs="Arial"/>
                <w:lang w:val="en-US"/>
              </w:rPr>
              <w:fldChar w:fldCharType="end"/>
            </w:r>
          </w:p>
        </w:tc>
      </w:tr>
      <w:tr w:rsidR="00BC2633" w:rsidRPr="00166EC2" w14:paraId="33DA8E08" w14:textId="77777777" w:rsidTr="005553D6">
        <w:tc>
          <w:tcPr>
            <w:tcW w:w="9060" w:type="dxa"/>
            <w:gridSpan w:val="4"/>
            <w:shd w:val="clear" w:color="auto" w:fill="D4F1D3" w:themeFill="background2" w:themeFillTint="33"/>
            <w:vAlign w:val="center"/>
          </w:tcPr>
          <w:p w14:paraId="5DE1A096" w14:textId="12E32204" w:rsidR="00BC2633" w:rsidRDefault="00BC2633" w:rsidP="00BC2633">
            <w:pPr>
              <w:jc w:val="center"/>
              <w:rPr>
                <w:lang w:val="en-US"/>
              </w:rPr>
            </w:pPr>
            <w:r>
              <w:rPr>
                <w:b/>
                <w:lang w:val="en-US"/>
              </w:rPr>
              <w:t>Offloading with a knee-high offloading devices</w:t>
            </w:r>
          </w:p>
        </w:tc>
      </w:tr>
      <w:tr w:rsidR="005553D6" w:rsidRPr="00166EC2" w14:paraId="2BB2891D" w14:textId="77777777" w:rsidTr="005553D6">
        <w:tc>
          <w:tcPr>
            <w:tcW w:w="9060" w:type="dxa"/>
            <w:gridSpan w:val="4"/>
            <w:vAlign w:val="center"/>
          </w:tcPr>
          <w:p w14:paraId="70CAB5EF" w14:textId="34882948" w:rsidR="005553D6" w:rsidRDefault="005553D6" w:rsidP="005553D6">
            <w:pPr>
              <w:jc w:val="left"/>
              <w:rPr>
                <w:lang w:val="en-US"/>
              </w:rPr>
            </w:pPr>
            <w:r w:rsidRPr="00C71608">
              <w:rPr>
                <w:b/>
                <w:sz w:val="18"/>
                <w:szCs w:val="18"/>
                <w:lang w:val="en-US"/>
              </w:rPr>
              <w:t>Ulcer healing</w:t>
            </w:r>
          </w:p>
        </w:tc>
      </w:tr>
      <w:tr w:rsidR="005553D6" w14:paraId="0E89BF1A" w14:textId="77777777" w:rsidTr="00BC2633">
        <w:tc>
          <w:tcPr>
            <w:tcW w:w="2830" w:type="dxa"/>
            <w:vAlign w:val="center"/>
          </w:tcPr>
          <w:p w14:paraId="66E1BEE5" w14:textId="79F7987E" w:rsidR="005553D6" w:rsidRDefault="005553D6" w:rsidP="00BC2633">
            <w:pPr>
              <w:jc w:val="center"/>
              <w:rPr>
                <w:lang w:val="en-US"/>
              </w:rPr>
            </w:pPr>
            <w:r>
              <w:rPr>
                <w:lang w:val="en-US"/>
              </w:rPr>
              <w:t>2 studies (I</w:t>
            </w:r>
            <w:r w:rsidRPr="0062654A">
              <w:rPr>
                <w:lang w:val="en-US"/>
              </w:rPr>
              <w:t>)</w:t>
            </w:r>
            <w:r>
              <w:rPr>
                <w:lang w:val="en-US"/>
              </w:rPr>
              <w:t xml:space="preserve"> - 1 study (II</w:t>
            </w:r>
            <w:r w:rsidRPr="006E4B1C">
              <w:rPr>
                <w:lang w:val="en-US"/>
              </w:rPr>
              <w:t>)</w:t>
            </w:r>
          </w:p>
        </w:tc>
        <w:tc>
          <w:tcPr>
            <w:tcW w:w="1700" w:type="dxa"/>
          </w:tcPr>
          <w:p w14:paraId="7D65366C" w14:textId="2AA21F5F" w:rsidR="005553D6" w:rsidRDefault="005553D6" w:rsidP="00BC2633">
            <w:pPr>
              <w:jc w:val="center"/>
              <w:rPr>
                <w:lang w:val="en-US"/>
              </w:rPr>
            </w:pPr>
            <w:r>
              <w:rPr>
                <w:lang w:val="en-US"/>
              </w:rPr>
              <w:t>7,6</w:t>
            </w:r>
          </w:p>
        </w:tc>
        <w:tc>
          <w:tcPr>
            <w:tcW w:w="2265" w:type="dxa"/>
            <w:vMerge w:val="restart"/>
            <w:vAlign w:val="center"/>
          </w:tcPr>
          <w:p w14:paraId="2EE5C845" w14:textId="289A5442" w:rsidR="005553D6" w:rsidRDefault="005553D6" w:rsidP="00BC2633">
            <w:pPr>
              <w:jc w:val="center"/>
              <w:rPr>
                <w:lang w:val="en-US"/>
              </w:rPr>
            </w:pPr>
            <w:r>
              <w:rPr>
                <w:lang w:val="en-US"/>
              </w:rPr>
              <w:t>Good</w:t>
            </w:r>
          </w:p>
        </w:tc>
        <w:tc>
          <w:tcPr>
            <w:tcW w:w="2265" w:type="dxa"/>
          </w:tcPr>
          <w:p w14:paraId="4040BC6F" w14:textId="439F2C29"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fwMkQLMJ","properties":{"formattedCitation":"(290,291,295)","plainCitation":"(290,291,295)","noteIndex":0},"citationItems":[{"id":45774,"uris":["http://zotero.org/users/5328021/items/CIU3B6IM"],"uri":["http://zotero.org/users/5328021/items/CIU3B6IM"],"itemData":{"id":45774,"type":"article-journal","abstract":"BACKGROUND: Assistive products are items which allow older people and people with disabilities to be able to live a healthy, productive and dignified life. It has been estimated that approximately 1.5% of the world's population need a prosthesis or orthosis.\nOBJECTIVE: The objective of this study was to systematically identify and review the evidence from randomized controlled trials assessing effectiveness and cost-effectiveness of prosthetic and orthotic interventions.\nMETHODS: Literature searches, completed in September 2015, were carried out in fourteen databases between years 1995 and 2015. The search results were independently screened by two reviewers. For the purpose of this manuscript, only randomized controlled trials which examined interventions using orthotic or prosthetic devices were selected for data extraction and synthesis.\nRESULTS: A total of 342 randomised controlled trials were identified (319 English language and 23 non-English language). Only 4 of these randomised controlled trials examined prosthetic interventions and the rest examined orthotic interventions. These orthotic interventions were categorised based on the medical conditions/injuries of the participants. From these studies, this review focused on the medical condition/injuries with the highest number of randomised controlled trials (osteoarthritis, fracture, stroke, carpal tunnel syndrome, plantar fasciitis, anterior cruciate ligament, diabetic foot, rheumatoid and juvenile idiopathic arthritis, ankle sprain, cerebral palsy, lateral epicondylitis and low back pain). The included articles were assessed for risk of bias using the Cochrane Risk of Bias tool. Details of the clinical population examined, the type of orthotic/prosthetic intervention, the comparator/s and the outcome measures were extracted. Effect sizes and odds ratios were calculated for all outcome measures, where possible.\nCONCLUSIONS: At present, for prosthetic and orthotic interventions, the scientific literature does not provide sufficient high quality research to allow strong conclusions on their effectiveness and cost-effectiveness.","container-title":"PloS One","issue":"3","journalAbbreviation":"PLoS ONE","language":"eng","note":"PMID: 29538382\nPMCID: PMC5851539","page":"e0192094","title":"A systematic review of randomised controlled trials assessing effectiveness of prosthetic and orthotic interventions","volume":"13","author":[{"family":"Healy","given":"Aoife"},{"family":"Farmer","given":"Sybil"},{"family":"Pandyan","given":"Anand"},{"family":"Chockalingam","given":"Nachiappan"}],"issued":{"date-parts":[["2018"]]}}},{"id":47145,"uris":["http://zotero.org/users/5328021/items/V8NWCDXU"],"uri":["http://zotero.org/users/5328021/items/V8NWCDXU"],"itemData":{"id":47145,"type":"article-journal","abstract":"BACKGROUND: Diabetic neuropathic foot ulcers are a risk factor for lower leg amputation. Many experts recommend offloading with fibreglass total contact casting, removable cast walkers, and irremovable cast walkers as a way to treat these ulcers.\nMETHODS: We completed a health technology assessment, which included an evaluation of clinical benefits and harms, value for money, and patient preferences for offloading devices. We performed a systematic literature search on August 17, 2016, to identify randomized controlled trials that compared fibreglass total contact casting, removable cast walkers, and irremovable cast walkers with other treatments (offloading or non-offloading) in patients with diabetic neuropathic foot ulcers. We developed a decision-analytic model to assess the cost-effectiveness of fibreglass total contact casting, removable cast walkers, and irremovable cast walkers, and we conducted a 5-year budget impact analysis. Finally, we interviewed people with diabetes who had lived experience with foot ulcers, asking them about the different offloading devices and the factors that influenced their treatment choices.\nRESULTS: We identified 13 randomized controlled trials. The evidence suggests that total contact casting, removable cast walkers, and irremovable cast walkers are beneficial in the treatment of neuropathic, noninfected foot ulcers in patients with diabetes but without severe peripheral arterial disease. Compared to removable cast walkers, ulcer healing was improved with total contact casting (moderate quality evidence; risk difference 0.17 [95% confidence interval 0.00-0.33]) and irremovable cast walkers (low quality evidence; risk difference 0.21 [95% confidence interval 0.01-0.40]). We found no difference in ulcer healing between total contact casting and irremovable cast walkers (low quality evidence; risk difference 0.02 [95% confidence interval -0.11-0.14]). The economic analysis showed that total contact casting and irremovable cast walkers were less expensive and led to more health outcome gains (e.g., ulcers healed and quality-adjusted life-years) than removable cast walkers. Irremovable cast walkers were as effective as total contact casting and were associated with lower costs. The 5-year budget impact of funding total contact casting, removable cast walkers, and irremovable cast walkers (device costs only at 100% access) would be $17 to $20 million per year. The patients we interviewed felt that wound healing was improved with total contact casting than with removable cast walkers, but that removable cast walkers were more convenient and came with a lower cost burden. They reported no experience or familiarity with irremovable cast walkers.\nCONCLUSIONS: Ulcer healing improved with total contact casting, irremovable cast walkers, and removable cast walkers, but total contact casting and irremovable cast walkers had higher rates of ulcer healing than removable cast walkers. Increased access to offloading devices could result in cost savings for the health system because of fewer amputations. Patients with diabetic foot ulcers reported a preference for total contact casting over removable cast walkers, largely because they perceived wound healing to be improved with total contact casting. However, cost, comfort, and convenience are concerns for patients.","container-title":"Ontario Health Technology Assessment Series","issue":"12","journalAbbreviation":"Ont Health Technol Assess Ser","language":"eng","note":"PMID: 28989556\nPMCID: PMC5628703","page":"1-124","title":"Fibreglass Total Contact Casting, Removable Cast Walkers, and Irremovable Cast Walkers to Treat Diabetic Neuropathic Foot Ulcers: A Health Technology Assessment","volume":"17","author":[{"literal":"Health Quality Ontario"}],"issued":{"date-parts":[["2017"]]}}},{"id":53445,"uris":["http://zotero.org/users/5328021/items/DFPWMDG8"],"uri":["http://zotero.org/users/5328021/items/DFPWMDG8"],"itemData":{"id":53445,"type":"article-journal","abstract":"Effective off-loading is considered to be an important part of the successful clinical management of diabetic foot ulcers. The aim of this systematic review is to investigate the safety and effectiveness of different off-loading devices for the treatment of diabetic foot ulcers. The medical literature was extensively searched from January 1966 to May 2012. Systematic reviews and controlled studies that compared the use of different off-loading devices formed the evidence base. Studies were critically appraised to determine their risk of methodological bias, and data were extracted. Results were pooled using random effects meta-analysis and tested for heterogeneity. When compared with removable devices, non-removable off-loading devices were found, on average, to be more effective at promoting the healing of diabetic foot ulcers (RRp  = 1.43; 95% CI 1.11, 1.84; I(2)  = 66.9%; p = 0.001; k = 10). Analysis, stratified by type of removable device, did not detect a statistically significant difference between non-removable off-loading devices and removable cast walkers; however, on average non-removable off-loading devices performed better than therapeutic shoes at promoting the healing of diabetic foot ulcers (RRp  = 1.68; 95% CI 1.09, 2.58; I(2)  = 71.5%; p = 0.004; k = 6). The two types of non-removable off-loading devices i.e. total contact casts and instant total contact casts (removable cast walker rendered irremovable by securing with bandage or lace), were found to be equally effective (RRp  = 1.06; 95% CI 0.88, 1.27; I(2)  = 3.3%; p = 0.31; k = 2). In conclusion, non-removable off-loading devices regardless of type, are more likely to result in ulcer healing than removable off-loading devices, presumably because patient compliance with off-loading is facilitated.","container-title":"Diabetes/Metabolism Research and Reviews","issue":"3","journalAbbreviation":"Diabetes Metab. Res. Rev.","language":"eng","note":"PMID: 23303652","page":"183-193","title":"Comparison of the clinical effectiveness of different off-loading devices for the treatment of neuropathic foot ulcers in patients with diabetes: a systematic review and meta-analysis","volume":"29","author":[{"family":"Morona","given":"Judy K."},{"family":"Buckley","given":"Elizabeth S."},{"family":"Jones","given":"Sara"},{"family":"Reddin","given":"Edith A."},{"family":"Merlin","given":"Tracy L."}],"issued":{"date-parts":[["2013",3]]}}}],"schema":"https://github.com/citation-style-language/schema/raw/master/csl-citation.json"} </w:instrText>
            </w:r>
            <w:r>
              <w:rPr>
                <w:rFonts w:cs="Arial"/>
                <w:lang w:val="en-US"/>
              </w:rPr>
              <w:fldChar w:fldCharType="separate"/>
            </w:r>
            <w:r w:rsidRPr="008B0686">
              <w:rPr>
                <w:rFonts w:cs="Arial"/>
              </w:rPr>
              <w:t>(290,291,295)</w:t>
            </w:r>
            <w:r>
              <w:rPr>
                <w:rFonts w:cs="Arial"/>
                <w:lang w:val="en-US"/>
              </w:rPr>
              <w:fldChar w:fldCharType="end"/>
            </w:r>
          </w:p>
        </w:tc>
      </w:tr>
      <w:tr w:rsidR="005553D6" w14:paraId="7B2E100B" w14:textId="77777777" w:rsidTr="00BC2633">
        <w:tc>
          <w:tcPr>
            <w:tcW w:w="2830" w:type="dxa"/>
            <w:vAlign w:val="center"/>
          </w:tcPr>
          <w:p w14:paraId="31415594" w14:textId="4C6E05F9" w:rsidR="005553D6" w:rsidRDefault="005553D6" w:rsidP="00BC2633">
            <w:pPr>
              <w:jc w:val="center"/>
              <w:rPr>
                <w:lang w:val="en-US"/>
              </w:rPr>
            </w:pPr>
            <w:r w:rsidRPr="00361FA8">
              <w:rPr>
                <w:color w:val="9A9B9D" w:themeColor="text1" w:themeTint="99"/>
                <w:lang w:val="en-US"/>
              </w:rPr>
              <w:t>2 studies (I)</w:t>
            </w:r>
            <w:r>
              <w:rPr>
                <w:color w:val="9A9B9D" w:themeColor="text1" w:themeTint="99"/>
                <w:lang w:val="en-US"/>
              </w:rPr>
              <w:t xml:space="preserve"> - 3</w:t>
            </w:r>
            <w:r w:rsidRPr="00D87E7B">
              <w:rPr>
                <w:color w:val="9A9B9D" w:themeColor="text1" w:themeTint="99"/>
                <w:lang w:val="en-US"/>
              </w:rPr>
              <w:t xml:space="preserve"> studies (II)</w:t>
            </w:r>
          </w:p>
        </w:tc>
        <w:tc>
          <w:tcPr>
            <w:tcW w:w="1700" w:type="dxa"/>
            <w:vAlign w:val="center"/>
          </w:tcPr>
          <w:p w14:paraId="327CE921" w14:textId="33E7FC92" w:rsidR="005553D6" w:rsidRDefault="005553D6" w:rsidP="00BC2633">
            <w:pPr>
              <w:jc w:val="center"/>
              <w:rPr>
                <w:lang w:val="en-US"/>
              </w:rPr>
            </w:pPr>
            <w:r w:rsidRPr="00F022EB">
              <w:rPr>
                <w:color w:val="9A9B9D" w:themeColor="text1" w:themeTint="99"/>
                <w:lang w:val="en-US"/>
              </w:rPr>
              <w:t>6,8</w:t>
            </w:r>
          </w:p>
        </w:tc>
        <w:tc>
          <w:tcPr>
            <w:tcW w:w="2265" w:type="dxa"/>
            <w:vMerge/>
            <w:vAlign w:val="center"/>
          </w:tcPr>
          <w:p w14:paraId="7D087312" w14:textId="77777777" w:rsidR="005553D6" w:rsidRDefault="005553D6" w:rsidP="00BC2633">
            <w:pPr>
              <w:jc w:val="center"/>
              <w:rPr>
                <w:lang w:val="en-US"/>
              </w:rPr>
            </w:pPr>
          </w:p>
        </w:tc>
        <w:tc>
          <w:tcPr>
            <w:tcW w:w="2265" w:type="dxa"/>
          </w:tcPr>
          <w:p w14:paraId="483382CF" w14:textId="65D14215"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jfnVqg6S","properties":{"formattedCitation":"(290,291,293,299,300)","plainCitation":"(290,291,293,299,300)","noteIndex":0},"citationItems":[{"id":45774,"uris":["http://zotero.org/users/5328021/items/CIU3B6IM"],"uri":["http://zotero.org/users/5328021/items/CIU3B6IM"],"itemData":{"id":45774,"type":"article-journal","abstract":"BACKGROUND: Assistive products are items which allow older people and people with disabilities to be able to live a healthy, productive and dignified life. It has been estimated that approximately 1.5% of the world's population need a prosthesis or orthosis.\nOBJECTIVE: The objective of this study was to systematically identify and review the evidence from randomized controlled trials assessing effectiveness and cost-effectiveness of prosthetic and orthotic interventions.\nMETHODS: Literature searches, completed in September 2015, were carried out in fourteen databases between years 1995 and 2015. The search results were independently screened by two reviewers. For the purpose of this manuscript, only randomized controlled trials which examined interventions using orthotic or prosthetic devices were selected for data extraction and synthesis.\nRESULTS: A total of 342 randomised controlled trials were identified (319 English language and 23 non-English language). Only 4 of these randomised controlled trials examined prosthetic interventions and the rest examined orthotic interventions. These orthotic interventions were categorised based on the medical conditions/injuries of the participants. From these studies, this review focused on the medical condition/injuries with the highest number of randomised controlled trials (osteoarthritis, fracture, stroke, carpal tunnel syndrome, plantar fasciitis, anterior cruciate ligament, diabetic foot, rheumatoid and juvenile idiopathic arthritis, ankle sprain, cerebral palsy, lateral epicondylitis and low back pain). The included articles were assessed for risk of bias using the Cochrane Risk of Bias tool. Details of the clinical population examined, the type of orthotic/prosthetic intervention, the comparator/s and the outcome measures were extracted. Effect sizes and odds ratios were calculated for all outcome measures, where possible.\nCONCLUSIONS: At present, for prosthetic and orthotic interventions, the scientific literature does not provide sufficient high quality research to allow strong conclusions on their effectiveness and cost-effectiveness.","container-title":"PloS One","issue":"3","journalAbbreviation":"PLoS ONE","language":"eng","note":"PMID: 29538382\nPMCID: PMC5851539","page":"e0192094","title":"A systematic review of randomised controlled trials assessing effectiveness of prosthetic and orthotic interventions","volume":"13","author":[{"family":"Healy","given":"Aoife"},{"family":"Farmer","given":"Sybil"},{"family":"Pandyan","given":"Anand"},{"family":"Chockalingam","given":"Nachiappan"}],"issued":{"date-parts":[["2018"]]}}},{"id":47145,"uris":["http://zotero.org/users/5328021/items/V8NWCDXU"],"uri":["http://zotero.org/users/5328021/items/V8NWCDXU"],"itemData":{"id":47145,"type":"article-journal","abstract":"BACKGROUND: Diabetic neuropathic foot ulcers are a risk factor for lower leg amputation. Many experts recommend offloading with fibreglass total contact casting, removable cast walkers, and irremovable cast walkers as a way to treat these ulcers.\nMETHODS: We completed a health technology assessment, which included an evaluation of clinical benefits and harms, value for money, and patient preferences for offloading devices. We performed a systematic literature search on August 17, 2016, to identify randomized controlled trials that compared fibreglass total contact casting, removable cast walkers, and irremovable cast walkers with other treatments (offloading or non-offloading) in patients with diabetic neuropathic foot ulcers. We developed a decision-analytic model to assess the cost-effectiveness of fibreglass total contact casting, removable cast walkers, and irremovable cast walkers, and we conducted a 5-year budget impact analysis. Finally, we interviewed people with diabetes who had lived experience with foot ulcers, asking them about the different offloading devices and the factors that influenced their treatment choices.\nRESULTS: We identified 13 randomized controlled trials. The evidence suggests that total contact casting, removable cast walkers, and irremovable cast walkers are beneficial in the treatment of neuropathic, noninfected foot ulcers in patients with diabetes but without severe peripheral arterial disease. Compared to removable cast walkers, ulcer healing was improved with total contact casting (moderate quality evidence; risk difference 0.17 [95% confidence interval 0.00-0.33]) and irremovable cast walkers (low quality evidence; risk difference 0.21 [95% confidence interval 0.01-0.40]). We found no difference in ulcer healing between total contact casting and irremovable cast walkers (low quality evidence; risk difference 0.02 [95% confidence interval -0.11-0.14]). The economic analysis showed that total contact casting and irremovable cast walkers were less expensive and led to more health outcome gains (e.g., ulcers healed and quality-adjusted life-years) than removable cast walkers. Irremovable cast walkers were as effective as total contact casting and were associated with lower costs. The 5-year budget impact of funding total contact casting, removable cast walkers, and irremovable cast walkers (device costs only at 100% access) would be $17 to $20 million per year. The patients we interviewed felt that wound healing was improved with total contact casting than with removable cast walkers, but that removable cast walkers were more convenient and came with a lower cost burden. They reported no experience or familiarity with irremovable cast walkers.\nCONCLUSIONS: Ulcer healing improved with total contact casting, irremovable cast walkers, and removable cast walkers, but total contact casting and irremovable cast walkers had higher rates of ulcer healing than removable cast walkers. Increased access to offloading devices could result in cost savings for the health system because of fewer amputations. Patients with diabetic foot ulcers reported a preference for total contact casting over removable cast walkers, largely because they perceived wound healing to be improved with total contact casting. However, cost, comfort, and convenience are concerns for patients.","container-title":"Ontario Health Technology Assessment Series","issue":"12","journalAbbreviation":"Ont Health Technol Assess Ser","language":"eng","note":"PMID: 28989556\nPMCID: PMC5628703","page":"1-124","title":"Fibreglass Total Contact Casting, Removable Cast Walkers, and Irremovable Cast Walkers to Treat Diabetic Neuropathic Foot Ulcers: A Health Technology Assessment","volume":"17","author":[{"literal":"Health Quality Ontario"}],"issued":{"date-parts":[["2017"]]}}},{"id":51698,"uris":["http://zotero.org/users/5328021/items/C8IJPD2C"],"uri":["http://zotero.org/users/5328021/items/C8IJPD2C"],"itemData":{"id":51698,"type":"article-journal","abstract":"The objective of this study was to evaluate the efficacy of three off-loading techniques to heal diabetic foot wounds: total contact casts (TCCs), healing sandals (HSs) and a removable boot with a shear-reducing foot bed (SRB). This was a 12-week, single-blinded randomised clinical trial with three parallel treatment groups of adults with diabetes and a foot ulcer (n = 73). Ulcer healing was defined as full reepithelialisation with no drainage. Diabetic patients with grade UT1A or UT2A forefoot ulcers on the sole of the foot were enrolled. Patients with malignancy, immune-compromising diseases, severe peripheral vascular disease (ankle-brachial index &lt; 0·60 or transcutaneous oxygen &lt; 25 mm/Hg), alcohol or substance abuse within 6 months, untreated osteomyelitis or Charcot arthropathy with residual deformity that would not fit the HS or boot were excluded. In the intent-to-treat analysis, significantly higher proportion of patients were healed in the TCC group (69·6%) compared to those treated with the SRB (22·2%, P &lt; 0·05). There was no difference in the rate of healed ulcers in the HS (44·5%) and TCC groups. Ulcers in the TCC group healed faster than those in the HS group (5·4 ± 2·9 versus 8·9 ± 3·5 weeks, P &lt; 0·02). However, there was no difference in the time to healing in the TCC and SRB groups (6·7 ± 4·3 weeks, P = 0·28). Patients who used HS were significantly more active (4022 ± 4652 steps per day, P &lt; 0·05) than those treated with TCCs (1447 ± 1310) or SRB (1404 ± 1234). It is concluded that patients treated with TCCs had the highest proportion of healed wounds and fastest healing time. The novel shear-reducing walker had the lowest healing and highest rate of attrition during the study.","container-title":"International Wound Journal","issue":"6","journalAbbreviation":"Int Wound J","language":"eng","note":"PMID: 24618113","page":"710-715","title":"Randomised clinical trial to compare total contact casts, healing sandals and a shear-reducing removable boot to heal diabetic foot ulcers","volume":"12","author":[{"family":"Lavery","given":"Lawrence A."},{"family":"Higgins","given":"Kevin R."},{"family":"La Fontaine","given":"Javier"},{"family":"Zamorano","given":"Ruben G."},{"family":"Constantinides","given":"George P."},{"family":"Kim","given":"Paul J."}],"issued":{"date-parts":[["2015",12]]}}},{"id":47115,"uris":["http://zotero.org/users/5328021/items/R7ZXE3TY"],"uri":["http://zotero.org/users/5328021/items/R7ZXE3TY"],"itemData":{"id":47115,"type":"article-journal","abstract":"Non-removable offloading is the 'gold standard' treatment for neuropathic diabetic plantar forefoot ulcers. However, removable offloading is the common 'standard of care'. We compared three removable offloading devices for ulcer healing efficacy. In this multicentre, randomised controlled trial, 60 persons with neuropathic diabetic plantar forefoot ulcers were randomly assigned to wear a custom-made knee-high cast [BTCC (bivalved TCC)], custom-made ankle-high cast shoe or a prefabricated ankle-high forefoot-offloading shoe (FOS). Primary outcome was healing at 12 weeks. Dynamic plantar pressures, daily stride count and treatment adherence were assessed on a randomly selected subset (n = 35). According to intention-to-treat analysis, 58% of patients healed with BTCC [OR 0·77 (95% CI 0·41-1·45) versus FOS], 60% with cast shoe [OR 0·81 (95% CI 0·44-1·49) versus FOS] and 70% with FOS (P = 0·70). Mean ± SD peak pressure in kPa at the ulcer site was 81 ± 55 for BTCC, 176 ± 80 for cast shoe and 107 ± 52 for FOS (P = 0·005); stride count was 4150 ± 1626, 3514 ± 1380 and 4447 ± 3190, respectively (P = 0·71); percentage of 2-week intervals that patients wore the device &lt;50% of time was 17·3%, 5·2% and 4·9%, respectively. Non-significant differences in healing efficacy between the three devices suggest that, when non-removable offloading is contraindicated or not available, each can be used for plantar forefoot ulcer offloading. Efficacy is lower than previously found for non-removable offloading maybe because suboptimal adherence and high stride count expose the patient to high repetitive stresses. These factors should be carefully considered in decision making regarding ulcer treatment.","container-title":"International Wound Journal","issue":"1","journalAbbreviation":"Int Wound J","language":"eng","note":"PMID: 29057609","page":"65-74","title":"The efficacy of removable devices to offload and heal neuropathic plantar forefoot ulcers in people with diabetes: a single-blinded multicentre randomised controlled trial","volume":"15","author":[{"family":"Bus","given":"Sicco A."},{"family":"Netten","given":"Jaap J.","non-dropping-particle":"van"},{"family":"Kottink","given":"Anke Ir"},{"family":"Manning","given":"Erik A."},{"family":"Spraul","given":"Maximilian"},{"family":"Woittiez","given":"Arend-Jan"},{"family":"Baal","given":"Jeff G.","non-dropping-particle":"van"}],"issued":{"date-parts":[["2018",2]]}}},{"id":82365,"uris":["http://zotero.org/users/5328021/items/CWA9E95U"],"uri":["http://zotero.org/users/5328021/items/CWA9E95U"],"itemData":{"id":82365,"type":"article-journal","abstract":"1. Secondary objectives 1. Proportion of patients whose principal ulcer will heal completely at 1, 2 and 6 months 2. Proportion of patients in whom all initial plantar ulcers will heal completely at 1, 2, 3 and 6 months 3. Percentage of area decrease of the plantar ulcers at 1, 2, 3 and 6 months 4. Time to healing of the principal ulcer 5. Appearance of new ulcers 6. Requirement for amputation 7. Incidence of the infectious complications 8. Adherence of wearing 9. Patient's satisfaction with the prescribed device 2. Population 1. 13 centers/116 patients monitored for a period of 6 months maximum 2. Experimental Group: \"Orthèse Diabète\" a plantar off</w:instrText>
            </w:r>
            <w:r>
              <w:rPr>
                <w:rFonts w:ascii="Cambria Math" w:hAnsi="Cambria Math" w:cs="Cambria Math"/>
                <w:lang w:val="en-US"/>
              </w:rPr>
              <w:instrText>‐</w:instrText>
            </w:r>
            <w:r>
              <w:rPr>
                <w:rFonts w:cs="Arial"/>
                <w:lang w:val="en-US"/>
              </w:rPr>
              <w:instrText>loading custom</w:instrText>
            </w:r>
            <w:r>
              <w:rPr>
                <w:rFonts w:ascii="Cambria Math" w:hAnsi="Cambria Math" w:cs="Cambria Math"/>
                <w:lang w:val="en-US"/>
              </w:rPr>
              <w:instrText>‐</w:instrText>
            </w:r>
            <w:r>
              <w:rPr>
                <w:rFonts w:cs="Arial"/>
                <w:lang w:val="en-US"/>
              </w:rPr>
              <w:instrText>made removable device 3. Control group: \"Conventional\" removable off</w:instrText>
            </w:r>
            <w:r>
              <w:rPr>
                <w:rFonts w:ascii="Cambria Math" w:hAnsi="Cambria Math" w:cs="Cambria Math"/>
                <w:lang w:val="en-US"/>
              </w:rPr>
              <w:instrText>‐</w:instrText>
            </w:r>
            <w:r>
              <w:rPr>
                <w:rFonts w:cs="Arial"/>
                <w:lang w:val="en-US"/>
              </w:rPr>
              <w:instrText xml:space="preserve">loading systems among the devices available in France.","archive_location":"CN-02036608","container-title":"https://clinicaltrials.gov/show/NCT01956162","DOI":"doi:10.1136/bmjdrc-2019-000954","journalAbbreviation":"BMJ Open Diab Res Care","title":"Comparison of a new versus standard removable offloading device in patients with neuropathic diabetic foot ulcers: a French national, multicentre, open-label randomized, controlled trial - NCT01956162","URL":"https://www.cochranelibrary.com/central/doi/10.1002/central/CN-02036608/full","author":[{"family":"Potier","given":"Louis"},{"family":"François","given":"Maud"},{"family":"Dardari","given":"Dured"}],"issued":{"date-parts":[["2020"]]}}}],"schema":"https://github.com/citation-style-language/schema/raw/master/csl-citation.json"} </w:instrText>
            </w:r>
            <w:r>
              <w:rPr>
                <w:rFonts w:cs="Arial"/>
                <w:lang w:val="en-US"/>
              </w:rPr>
              <w:fldChar w:fldCharType="separate"/>
            </w:r>
            <w:r w:rsidRPr="008B0686">
              <w:rPr>
                <w:rFonts w:cs="Arial"/>
              </w:rPr>
              <w:t>(290,291,293,299,300)</w:t>
            </w:r>
            <w:r>
              <w:rPr>
                <w:rFonts w:cs="Arial"/>
                <w:lang w:val="en-US"/>
              </w:rPr>
              <w:fldChar w:fldCharType="end"/>
            </w:r>
          </w:p>
        </w:tc>
      </w:tr>
      <w:tr w:rsidR="005553D6" w14:paraId="29A66462" w14:textId="77777777" w:rsidTr="005553D6">
        <w:tc>
          <w:tcPr>
            <w:tcW w:w="9060" w:type="dxa"/>
            <w:gridSpan w:val="4"/>
            <w:vAlign w:val="center"/>
          </w:tcPr>
          <w:p w14:paraId="6A430F14" w14:textId="7A492730" w:rsidR="005553D6" w:rsidRDefault="005553D6" w:rsidP="005553D6">
            <w:pPr>
              <w:jc w:val="left"/>
              <w:rPr>
                <w:lang w:val="en-US"/>
              </w:rPr>
            </w:pPr>
            <w:r>
              <w:rPr>
                <w:b/>
                <w:sz w:val="18"/>
                <w:szCs w:val="18"/>
                <w:lang w:val="en-US"/>
              </w:rPr>
              <w:t>Time to healing</w:t>
            </w:r>
          </w:p>
        </w:tc>
      </w:tr>
      <w:tr w:rsidR="005553D6" w14:paraId="3CB68CDB" w14:textId="77777777" w:rsidTr="00BC2633">
        <w:tc>
          <w:tcPr>
            <w:tcW w:w="2830" w:type="dxa"/>
            <w:vAlign w:val="center"/>
          </w:tcPr>
          <w:p w14:paraId="44CB368A" w14:textId="53731E77" w:rsidR="005553D6" w:rsidRDefault="005553D6" w:rsidP="004E4612">
            <w:pPr>
              <w:jc w:val="center"/>
              <w:rPr>
                <w:lang w:val="en-US"/>
              </w:rPr>
            </w:pPr>
            <w:r>
              <w:rPr>
                <w:lang w:val="en-US"/>
              </w:rPr>
              <w:t>2 studies (II</w:t>
            </w:r>
            <w:r w:rsidRPr="006E4B1C">
              <w:rPr>
                <w:lang w:val="en-US"/>
              </w:rPr>
              <w:t>)</w:t>
            </w:r>
            <w:r>
              <w:rPr>
                <w:lang w:val="en-US"/>
              </w:rPr>
              <w:t xml:space="preserve"> </w:t>
            </w:r>
          </w:p>
        </w:tc>
        <w:tc>
          <w:tcPr>
            <w:tcW w:w="1700" w:type="dxa"/>
          </w:tcPr>
          <w:p w14:paraId="42F83602" w14:textId="77025904" w:rsidR="005553D6" w:rsidRDefault="005553D6" w:rsidP="00BC2633">
            <w:pPr>
              <w:jc w:val="center"/>
              <w:rPr>
                <w:lang w:val="en-US"/>
              </w:rPr>
            </w:pPr>
            <w:r>
              <w:rPr>
                <w:lang w:val="en-US"/>
              </w:rPr>
              <w:t>6,5</w:t>
            </w:r>
          </w:p>
        </w:tc>
        <w:tc>
          <w:tcPr>
            <w:tcW w:w="2265" w:type="dxa"/>
            <w:vMerge w:val="restart"/>
            <w:vAlign w:val="center"/>
          </w:tcPr>
          <w:p w14:paraId="473CB774" w14:textId="301DDBC6" w:rsidR="005553D6" w:rsidRDefault="005553D6" w:rsidP="00BC2633">
            <w:pPr>
              <w:jc w:val="center"/>
              <w:rPr>
                <w:lang w:val="en-US"/>
              </w:rPr>
            </w:pPr>
            <w:r>
              <w:rPr>
                <w:lang w:val="en-US"/>
              </w:rPr>
              <w:t>Moderate</w:t>
            </w:r>
          </w:p>
        </w:tc>
        <w:tc>
          <w:tcPr>
            <w:tcW w:w="2265" w:type="dxa"/>
          </w:tcPr>
          <w:p w14:paraId="7F56B6FA" w14:textId="0485155F"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4S3l4itl","properties":{"formattedCitation":"(293,295)","plainCitation":"(293,295)","noteIndex":0},"citationItems":[{"id":51698,"uris":["http://zotero.org/users/5328021/items/C8IJPD2C"],"uri":["http://zotero.org/users/5328021/items/C8IJPD2C"],"itemData":{"id":51698,"type":"article-journal","abstract":"The objective of this study was to evaluate the efficacy of three off-loading techniques to heal diabetic foot wounds: total contact casts (TCCs), healing sandals (HSs) and a removable boot with a shear-reducing foot bed (SRB). This was a 12-week, single-blinded randomised clinical trial with three parallel treatment groups of adults with diabetes and a foot ulcer (n = 73). Ulcer healing was defined as full reepithelialisation with no drainage. Diabetic patients with grade UT1A or UT2A forefoot ulcers on the sole of the foot were enrolled. Patients with malignancy, immune-compromising diseases, severe peripheral vascular disease (ankle-brachial index &lt; 0·60 or transcutaneous oxygen &lt; 25 mm/Hg), alcohol or substance abuse within 6 months, untreated osteomyelitis or Charcot arthropathy with residual deformity that would not fit the HS or boot were excluded. In the intent-to-treat analysis, significantly higher proportion of patients were healed in the TCC group (69·6%) compared to those treated with the SRB (22·2%, P &lt; 0·05). There was no difference in the rate of healed ulcers in the HS (44·5%) and TCC groups. Ulcers in the TCC group healed faster than those in the HS group (5·4 ± 2·9 versus 8·9 ± 3·5 weeks, P &lt; 0·02). However, there was no difference in the time to healing in the TCC and SRB groups (6·7 ± 4·3 weeks, P = 0·28). Patients who used HS were significantly more active (4022 ± 4652 steps per day, P &lt; 0·05) than those treated with TCCs (1447 ± 1310) or SRB (1404 ± 1234). It is concluded that patients treated with TCCs had the highest proportion of healed wounds and fastest healing time. The novel shear-reducing walker had the lowest healing and highest rate of attrition during the study.","container-title":"International Wound Journal","issue":"6","journalAbbreviation":"Int Wound J","language":"eng","note":"PMID: 24618113","page":"710-715","title":"Randomised clinical trial to compare total contact casts, healing sandals and a shear-reducing removable boot to heal diabetic foot ulcers","volume":"12","author":[{"family":"Lavery","given":"Lawrence A."},{"family":"Higgins","given":"Kevin R."},{"family":"La Fontaine","given":"Javier"},{"family":"Zamorano","given":"Ruben G."},{"family":"Constantinides","given":"George P."},{"family":"Kim","given":"Paul J."}],"issued":{"date-parts":[["2015",12]]}}},{"id":53445,"uris":["http://zotero.org/users/5328021/items/DFPWMDG8"],"uri":["http://zotero.org/users/5328021/items/DFPWMDG8"],"itemData":{"id":53445,"type":"article-journal","abstract":"Effective off-loading is considered to be an important part of the successful clinical management of diabetic foot ulcers. The aim of this systematic review is to investigate the safety and effectiveness of different off-loading devices for the treatment of diabetic foot ulcers. The medical literature was extensively searched from January 1966 to May 2012. Systematic reviews and controlled studies that compared the use of different off-loading devices formed the evidence base. Studies were critically appraised to determine their risk of methodological bias, and data were extracted. Results were pooled using random effects meta-analysis and tested for heterogeneity. When compared with removable devices, non-removable off-loading devices were found, on average, to be more effective at promoting the healing of diabetic foot ulcers (RRp  = 1.43; 95% CI 1.11, 1.84; I(2)  = 66.9%; p = 0.001; k = 10). Analysis, stratified by type of removable device, did not detect a statistically significant difference between non-removable off-loading devices and removable cast walkers; however, on average non-removable off-loading devices performed better than therapeutic shoes at promoting the healing of diabetic foot ulcers (RRp  = 1.68; 95% CI 1.09, 2.58; I(2)  = 71.5%; p = 0.004; k = 6). The two types of non-removable off-loading devices i.e. total contact casts and instant total contact casts (removable cast walker rendered irremovable by securing with bandage or lace), were found to be equally effective (RRp  = 1.06; 95% CI 0.88, 1.27; I(2)  = 3.3%; p = 0.31; k = 2). In conclusion, non-removable off-loading devices regardless of type, are more likely to result in ulcer healing than removable off-loading devices, presumably because patient compliance with off-loading is facilitated.","container-title":"Diabetes/Metabolism Research and Reviews","issue":"3","journalAbbreviation":"Diabetes Metab. Res. Rev.","language":"eng","note":"PMID: 23303652","page":"183-193","title":"Comparison of the clinical effectiveness of different off-loading devices for the treatment of neuropathic foot ulcers in patients with diabetes: a systematic review and meta-analysis","volume":"29","author":[{"family":"Morona","given":"Judy K."},{"family":"Buckley","given":"Elizabeth S."},{"family":"Jones","given":"Sara"},{"family":"Reddin","given":"Edith A."},{"family":"Merlin","given":"Tracy L."}],"issued":{"date-parts":[["2013",3]]}}}],"schema":"https://github.com/citation-style-language/schema/raw/master/csl-citation.json"} </w:instrText>
            </w:r>
            <w:r>
              <w:rPr>
                <w:rFonts w:cs="Arial"/>
                <w:lang w:val="en-US"/>
              </w:rPr>
              <w:fldChar w:fldCharType="separate"/>
            </w:r>
            <w:r w:rsidRPr="008B0686">
              <w:rPr>
                <w:rFonts w:cs="Arial"/>
              </w:rPr>
              <w:t>(293,295)</w:t>
            </w:r>
            <w:r>
              <w:rPr>
                <w:rFonts w:cs="Arial"/>
                <w:lang w:val="en-US"/>
              </w:rPr>
              <w:fldChar w:fldCharType="end"/>
            </w:r>
          </w:p>
        </w:tc>
      </w:tr>
      <w:tr w:rsidR="005553D6" w14:paraId="3E98A2AF" w14:textId="77777777" w:rsidTr="00BC2633">
        <w:tc>
          <w:tcPr>
            <w:tcW w:w="2830" w:type="dxa"/>
            <w:vAlign w:val="center"/>
          </w:tcPr>
          <w:p w14:paraId="3FDC833B" w14:textId="00919A35" w:rsidR="005553D6" w:rsidRDefault="005553D6" w:rsidP="00BC2633">
            <w:pPr>
              <w:jc w:val="center"/>
              <w:rPr>
                <w:lang w:val="en-US"/>
              </w:rPr>
            </w:pPr>
            <w:r>
              <w:rPr>
                <w:color w:val="9A9B9D" w:themeColor="text1" w:themeTint="99"/>
                <w:lang w:val="en-US"/>
              </w:rPr>
              <w:t>1 study</w:t>
            </w:r>
            <w:r w:rsidRPr="00D87E7B">
              <w:rPr>
                <w:color w:val="9A9B9D" w:themeColor="text1" w:themeTint="99"/>
                <w:lang w:val="en-US"/>
              </w:rPr>
              <w:t xml:space="preserve"> (II)</w:t>
            </w:r>
          </w:p>
        </w:tc>
        <w:tc>
          <w:tcPr>
            <w:tcW w:w="1700" w:type="dxa"/>
          </w:tcPr>
          <w:p w14:paraId="09A335B2" w14:textId="6CD59BAC" w:rsidR="005553D6" w:rsidRDefault="005553D6" w:rsidP="00BC2633">
            <w:pPr>
              <w:jc w:val="center"/>
              <w:rPr>
                <w:lang w:val="en-US"/>
              </w:rPr>
            </w:pPr>
            <w:r w:rsidRPr="00F022EB">
              <w:rPr>
                <w:color w:val="9A9B9D" w:themeColor="text1" w:themeTint="99"/>
                <w:lang w:val="en-US"/>
              </w:rPr>
              <w:t>6</w:t>
            </w:r>
          </w:p>
        </w:tc>
        <w:tc>
          <w:tcPr>
            <w:tcW w:w="2265" w:type="dxa"/>
            <w:vMerge/>
            <w:vAlign w:val="center"/>
          </w:tcPr>
          <w:p w14:paraId="554F972C" w14:textId="77777777" w:rsidR="005553D6" w:rsidRDefault="005553D6" w:rsidP="00BC2633">
            <w:pPr>
              <w:jc w:val="center"/>
              <w:rPr>
                <w:lang w:val="en-US"/>
              </w:rPr>
            </w:pPr>
          </w:p>
        </w:tc>
        <w:tc>
          <w:tcPr>
            <w:tcW w:w="2265" w:type="dxa"/>
          </w:tcPr>
          <w:p w14:paraId="696764F3" w14:textId="59C20D12"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QxBL2tG7","properties":{"formattedCitation":"(300)","plainCitation":"(300)","noteIndex":0},"citationItems":[{"id":82365,"uris":["http://zotero.org/users/5328021/items/CWA9E95U"],"uri":["http://zotero.org/users/5328021/items/CWA9E95U"],"itemData":{"id":82365,"type":"article-journal","abstract":"1. Secondary objectives 1. Proportion of patients whose principal ulcer will heal completely at 1, 2 and 6 months 2. Proportion of patients in whom all initial plantar ulcers will heal completely at 1, 2, 3 and 6 months 3. Percentage of area decrease of the plantar ulcers at 1, 2, 3 and 6 months 4. Time to healing of the principal ulcer 5. Appearance of new ulcers 6. Requirement for amputation 7. Incidence of the infectious complications 8. Adherence of wearing 9. Patient's satisfaction with the prescribed device 2. Population 1. 13 centers/116 patients monitored for a period of 6 months maximum 2. Experimental Group: \"Orthèse Diabète\" a plantar off</w:instrText>
            </w:r>
            <w:r>
              <w:rPr>
                <w:rFonts w:ascii="Cambria Math" w:hAnsi="Cambria Math" w:cs="Cambria Math"/>
                <w:lang w:val="en-US"/>
              </w:rPr>
              <w:instrText>‐</w:instrText>
            </w:r>
            <w:r>
              <w:rPr>
                <w:rFonts w:cs="Arial"/>
                <w:lang w:val="en-US"/>
              </w:rPr>
              <w:instrText>loading custom</w:instrText>
            </w:r>
            <w:r>
              <w:rPr>
                <w:rFonts w:ascii="Cambria Math" w:hAnsi="Cambria Math" w:cs="Cambria Math"/>
                <w:lang w:val="en-US"/>
              </w:rPr>
              <w:instrText>‐</w:instrText>
            </w:r>
            <w:r>
              <w:rPr>
                <w:rFonts w:cs="Arial"/>
                <w:lang w:val="en-US"/>
              </w:rPr>
              <w:instrText>made removable device 3. Control group: \"Conventional\" removable off</w:instrText>
            </w:r>
            <w:r>
              <w:rPr>
                <w:rFonts w:ascii="Cambria Math" w:hAnsi="Cambria Math" w:cs="Cambria Math"/>
                <w:lang w:val="en-US"/>
              </w:rPr>
              <w:instrText>‐</w:instrText>
            </w:r>
            <w:r>
              <w:rPr>
                <w:rFonts w:cs="Arial"/>
                <w:lang w:val="en-US"/>
              </w:rPr>
              <w:instrText xml:space="preserve">loading systems among the devices available in France.","archive_location":"CN-02036608","container-title":"https://clinicaltrials.gov/show/NCT01956162","DOI":"doi:10.1136/bmjdrc-2019-000954","journalAbbreviation":"BMJ Open Diab Res Care","title":"Comparison of a new versus standard removable offloading device in patients with neuropathic diabetic foot ulcers: a French national, multicentre, open-label randomized, controlled trial - NCT01956162","URL":"https://www.cochranelibrary.com/central/doi/10.1002/central/CN-02036608/full","author":[{"family":"Potier","given":"Louis"},{"family":"François","given":"Maud"},{"family":"Dardari","given":"Dured"}],"issued":{"date-parts":[["2020"]]}}}],"schema":"https://github.com/citation-style-language/schema/raw/master/csl-citation.json"} </w:instrText>
            </w:r>
            <w:r>
              <w:rPr>
                <w:rFonts w:cs="Arial"/>
                <w:lang w:val="en-US"/>
              </w:rPr>
              <w:fldChar w:fldCharType="separate"/>
            </w:r>
            <w:r w:rsidRPr="008B0686">
              <w:rPr>
                <w:rFonts w:cs="Arial"/>
              </w:rPr>
              <w:t>(300)</w:t>
            </w:r>
            <w:r>
              <w:rPr>
                <w:rFonts w:cs="Arial"/>
                <w:lang w:val="en-US"/>
              </w:rPr>
              <w:fldChar w:fldCharType="end"/>
            </w:r>
          </w:p>
        </w:tc>
      </w:tr>
      <w:tr w:rsidR="005553D6" w14:paraId="15AC724A" w14:textId="77777777" w:rsidTr="005553D6">
        <w:tc>
          <w:tcPr>
            <w:tcW w:w="9060" w:type="dxa"/>
            <w:gridSpan w:val="4"/>
            <w:vAlign w:val="center"/>
          </w:tcPr>
          <w:p w14:paraId="0C7C3FE9" w14:textId="015514FC" w:rsidR="005553D6" w:rsidRDefault="005553D6" w:rsidP="005553D6">
            <w:pPr>
              <w:jc w:val="left"/>
              <w:rPr>
                <w:lang w:val="en-US"/>
              </w:rPr>
            </w:pPr>
            <w:r w:rsidRPr="00D0402C">
              <w:rPr>
                <w:b/>
                <w:sz w:val="18"/>
                <w:szCs w:val="18"/>
                <w:lang w:val="en-US"/>
              </w:rPr>
              <w:t>Ulcer area reduction</w:t>
            </w:r>
          </w:p>
        </w:tc>
      </w:tr>
      <w:tr w:rsidR="00F377E2" w14:paraId="658B38D0" w14:textId="77777777" w:rsidTr="00BC2633">
        <w:tc>
          <w:tcPr>
            <w:tcW w:w="2830" w:type="dxa"/>
            <w:vAlign w:val="center"/>
          </w:tcPr>
          <w:p w14:paraId="54A5B69D" w14:textId="2FA39EB8" w:rsidR="00F377E2" w:rsidRDefault="00F377E2" w:rsidP="00BC2633">
            <w:pPr>
              <w:jc w:val="center"/>
              <w:rPr>
                <w:lang w:val="en-US"/>
              </w:rPr>
            </w:pPr>
            <w:r>
              <w:rPr>
                <w:lang w:val="en-US"/>
              </w:rPr>
              <w:t>1 study (II</w:t>
            </w:r>
            <w:r w:rsidRPr="006E4B1C">
              <w:rPr>
                <w:lang w:val="en-US"/>
              </w:rPr>
              <w:t>)</w:t>
            </w:r>
          </w:p>
        </w:tc>
        <w:tc>
          <w:tcPr>
            <w:tcW w:w="1700" w:type="dxa"/>
          </w:tcPr>
          <w:p w14:paraId="745B91AE" w14:textId="330CD3E2" w:rsidR="00F377E2" w:rsidRDefault="00F377E2" w:rsidP="00BC2633">
            <w:pPr>
              <w:jc w:val="center"/>
              <w:rPr>
                <w:lang w:val="en-US"/>
              </w:rPr>
            </w:pPr>
            <w:r>
              <w:rPr>
                <w:lang w:val="en-US"/>
              </w:rPr>
              <w:t>4</w:t>
            </w:r>
          </w:p>
        </w:tc>
        <w:tc>
          <w:tcPr>
            <w:tcW w:w="2265" w:type="dxa"/>
            <w:vAlign w:val="center"/>
          </w:tcPr>
          <w:p w14:paraId="77F0A895" w14:textId="0E29532E" w:rsidR="00F377E2" w:rsidRDefault="00F377E2" w:rsidP="00BC2633">
            <w:pPr>
              <w:jc w:val="center"/>
              <w:rPr>
                <w:lang w:val="en-US"/>
              </w:rPr>
            </w:pPr>
            <w:r>
              <w:rPr>
                <w:lang w:val="en-US"/>
              </w:rPr>
              <w:t>Low</w:t>
            </w:r>
          </w:p>
        </w:tc>
        <w:tc>
          <w:tcPr>
            <w:tcW w:w="2265" w:type="dxa"/>
          </w:tcPr>
          <w:p w14:paraId="66805D61" w14:textId="6268C986" w:rsidR="00F377E2" w:rsidRDefault="00F377E2" w:rsidP="00BC2633">
            <w:pPr>
              <w:jc w:val="center"/>
              <w:rPr>
                <w:lang w:val="en-US"/>
              </w:rPr>
            </w:pPr>
            <w:r>
              <w:rPr>
                <w:rFonts w:cs="Arial"/>
                <w:lang w:val="en-US"/>
              </w:rPr>
              <w:fldChar w:fldCharType="begin"/>
            </w:r>
            <w:r>
              <w:rPr>
                <w:rFonts w:cs="Arial"/>
                <w:lang w:val="en-US"/>
              </w:rPr>
              <w:instrText xml:space="preserve"> ADDIN ZOTERO_ITEM CSL_CITATION {"citationID":"1xBWJa9X","properties":{"formattedCitation":"(301)","plainCitation":"(301)","noteIndex":0},"citationItems":[{"id":19155,"uris":["http://zotero.org/users/5328021/items/FHKCNGGW"],"uri":["http://zotero.org/users/5328021/items/FHKCNGGW"],"itemData":{"id":19155,"type":"article-journal","abstract":"Off-loading of the ulcer area is extremely important for the healing of plantar ulcers. Off-loading with total contact cast (TCC) may be superior to other off-loading strategies studied so far, but practical limitations can dissuade clinicians from using this modality. This study was conducted to evaluate the efficacy of TCC compared with that of a pressure-relieving ankle foot orthosis (PRAFO) in healing of diabetic neuropathic foot ulcers and their effect on gait parameters. Thirty adult diabetic patients attending the foot clinic with neuropathic plantar ulcers irrespective of sex, age, duration and type of diabetes were randomly assigned to 1 of 2 off-loading modalities (TCC and PRAFO). Main outcome measures were ulcer healing after 4 weeks of randomization and effect of each of the modalities on various gait parameters. The percentage reduction of the ulcer surface area at 4 weeks from baseline was 75.75 ± 9.25 with TCC and 34.72 ± 13.07 with PRAFO, which was significantly different (P &lt; .001). The results of this study however, showed that most of the gait parameters were better with PRAFO than with TCC. This study comprehensively evaluated the well known advantages and disadvantages of a removable (PRAFO) and a nonremovable device (TCC) in the treatment of diabetic neuropathic foot ulcer. Further studies are needed involving larger subjects and using 3D gait analysis to collect more accurate data on gait parameters and wound healing with different off-loading devices.","archive":"Embase","container-title":"Journal of Diabetes Science and Technology","issue":"2","journalAbbreviation":"J. Diabetes Sci. Technol.","language":"English","note":"PMID: 25452635\nPMCID: PMC4604578","page":"302-308","title":"A comparative study between total contact cast and pressure-relieving ankle foot orthosis in diabetic neuropathic foot ulcers","volume":"9","author":[{"literal":"Chakraborty P.P."},{"literal":"Ray S."},{"literal":"Biswas D."},{"literal":"Baidya A."},{"literal":"Bhattacharjee R."},{"literal":"Mukhopadhyay P."},{"literal":"Ghosh S."},{"literal":"Mukhopadhyay S."},{"literal":"Chowdhury S."}],"issued":{"date-parts":[["2015",3]]}}}],"schema":"https://github.com/citation-style-language/schema/raw/master/csl-citation.json"} </w:instrText>
            </w:r>
            <w:r>
              <w:rPr>
                <w:rFonts w:cs="Arial"/>
                <w:lang w:val="en-US"/>
              </w:rPr>
              <w:fldChar w:fldCharType="separate"/>
            </w:r>
            <w:r w:rsidRPr="00A91C12">
              <w:rPr>
                <w:rFonts w:cs="Arial"/>
                <w:lang w:val="en-US"/>
              </w:rPr>
              <w:t>(301)</w:t>
            </w:r>
            <w:r>
              <w:rPr>
                <w:rFonts w:cs="Arial"/>
                <w:lang w:val="en-US"/>
              </w:rPr>
              <w:fldChar w:fldCharType="end"/>
            </w:r>
          </w:p>
        </w:tc>
      </w:tr>
      <w:tr w:rsidR="005553D6" w14:paraId="4E01BFA9" w14:textId="77777777" w:rsidTr="005553D6">
        <w:tc>
          <w:tcPr>
            <w:tcW w:w="9060" w:type="dxa"/>
            <w:gridSpan w:val="4"/>
            <w:shd w:val="clear" w:color="auto" w:fill="92D050"/>
            <w:vAlign w:val="center"/>
          </w:tcPr>
          <w:p w14:paraId="36C566B3" w14:textId="2C6AEE98" w:rsidR="005553D6" w:rsidRDefault="00266256" w:rsidP="00BC2633">
            <w:pPr>
              <w:jc w:val="center"/>
              <w:rPr>
                <w:lang w:val="en-US"/>
              </w:rPr>
            </w:pPr>
            <w:r>
              <w:rPr>
                <w:b/>
                <w:lang w:val="en-US"/>
              </w:rPr>
              <w:t xml:space="preserve">SECONDARY </w:t>
            </w:r>
            <w:r w:rsidR="005553D6" w:rsidRPr="00390BC4">
              <w:rPr>
                <w:b/>
                <w:lang w:val="en-US"/>
              </w:rPr>
              <w:t>PREVENTION</w:t>
            </w:r>
            <w:r>
              <w:rPr>
                <w:b/>
                <w:lang w:val="en-US"/>
              </w:rPr>
              <w:t xml:space="preserve"> DOMAIN</w:t>
            </w:r>
          </w:p>
        </w:tc>
      </w:tr>
      <w:tr w:rsidR="005553D6" w14:paraId="3A7EC353" w14:textId="77777777" w:rsidTr="005553D6">
        <w:tc>
          <w:tcPr>
            <w:tcW w:w="9060" w:type="dxa"/>
            <w:gridSpan w:val="4"/>
            <w:shd w:val="clear" w:color="auto" w:fill="D4F1D3" w:themeFill="background2" w:themeFillTint="33"/>
            <w:vAlign w:val="center"/>
          </w:tcPr>
          <w:p w14:paraId="7FFA2588" w14:textId="58801815" w:rsidR="005553D6" w:rsidRDefault="005553D6" w:rsidP="00BC2633">
            <w:pPr>
              <w:jc w:val="center"/>
              <w:rPr>
                <w:lang w:val="en-US"/>
              </w:rPr>
            </w:pPr>
            <w:r>
              <w:rPr>
                <w:b/>
                <w:lang w:val="en-US"/>
              </w:rPr>
              <w:t>Patient education</w:t>
            </w:r>
          </w:p>
        </w:tc>
      </w:tr>
      <w:tr w:rsidR="005553D6" w14:paraId="0E7C676F" w14:textId="77777777" w:rsidTr="005553D6">
        <w:tc>
          <w:tcPr>
            <w:tcW w:w="9060" w:type="dxa"/>
            <w:gridSpan w:val="4"/>
            <w:tcBorders>
              <w:right w:val="nil"/>
            </w:tcBorders>
            <w:vAlign w:val="center"/>
          </w:tcPr>
          <w:p w14:paraId="3E564406" w14:textId="38D96A0B" w:rsidR="005553D6" w:rsidRDefault="005553D6" w:rsidP="005553D6">
            <w:pPr>
              <w:jc w:val="left"/>
              <w:rPr>
                <w:lang w:val="en-US"/>
              </w:rPr>
            </w:pPr>
            <w:r>
              <w:rPr>
                <w:b/>
                <w:lang w:val="en-US"/>
              </w:rPr>
              <w:t>Ulcer incidence</w:t>
            </w:r>
          </w:p>
        </w:tc>
      </w:tr>
      <w:tr w:rsidR="005553D6" w14:paraId="7B105972" w14:textId="77777777" w:rsidTr="005553D6">
        <w:tc>
          <w:tcPr>
            <w:tcW w:w="2830" w:type="dxa"/>
            <w:vAlign w:val="center"/>
          </w:tcPr>
          <w:p w14:paraId="46C85EF3" w14:textId="355E3FB6" w:rsidR="005553D6" w:rsidRDefault="005553D6" w:rsidP="00BC2633">
            <w:pPr>
              <w:jc w:val="center"/>
              <w:rPr>
                <w:lang w:val="en-US"/>
              </w:rPr>
            </w:pPr>
            <w:r>
              <w:rPr>
                <w:lang w:val="en-US"/>
              </w:rPr>
              <w:t>2 studies (I</w:t>
            </w:r>
            <w:r w:rsidRPr="0062654A">
              <w:rPr>
                <w:lang w:val="en-US"/>
              </w:rPr>
              <w:t>)</w:t>
            </w:r>
            <w:r>
              <w:rPr>
                <w:lang w:val="en-US"/>
              </w:rPr>
              <w:t xml:space="preserve"> - 1 study (II</w:t>
            </w:r>
            <w:r w:rsidRPr="0062654A">
              <w:rPr>
                <w:lang w:val="en-US"/>
              </w:rPr>
              <w:t>)</w:t>
            </w:r>
            <w:r>
              <w:rPr>
                <w:lang w:val="en-US"/>
              </w:rPr>
              <w:t xml:space="preserve"> - </w:t>
            </w:r>
          </w:p>
          <w:p w14:paraId="77071083" w14:textId="73C424E5" w:rsidR="005553D6" w:rsidRDefault="005553D6" w:rsidP="00BC2633">
            <w:pPr>
              <w:jc w:val="center"/>
              <w:rPr>
                <w:lang w:val="en-US"/>
              </w:rPr>
            </w:pPr>
            <w:r>
              <w:rPr>
                <w:lang w:val="en-US"/>
              </w:rPr>
              <w:t>2</w:t>
            </w:r>
            <w:r w:rsidRPr="006E4B1C">
              <w:rPr>
                <w:lang w:val="en-US"/>
              </w:rPr>
              <w:t xml:space="preserve"> studies (III)</w:t>
            </w:r>
          </w:p>
        </w:tc>
        <w:tc>
          <w:tcPr>
            <w:tcW w:w="1700" w:type="dxa"/>
            <w:vAlign w:val="center"/>
          </w:tcPr>
          <w:p w14:paraId="651158FD" w14:textId="1B0CD245" w:rsidR="005553D6" w:rsidRDefault="005553D6" w:rsidP="005553D6">
            <w:pPr>
              <w:jc w:val="center"/>
              <w:rPr>
                <w:lang w:val="en-US"/>
              </w:rPr>
            </w:pPr>
            <w:r>
              <w:rPr>
                <w:lang w:val="en-US"/>
              </w:rPr>
              <w:t>5,8</w:t>
            </w:r>
          </w:p>
        </w:tc>
        <w:tc>
          <w:tcPr>
            <w:tcW w:w="2265" w:type="dxa"/>
            <w:vMerge w:val="restart"/>
            <w:vAlign w:val="center"/>
          </w:tcPr>
          <w:p w14:paraId="658FD539" w14:textId="55EB6BD8" w:rsidR="005553D6" w:rsidRDefault="005553D6" w:rsidP="00BC2633">
            <w:pPr>
              <w:jc w:val="center"/>
              <w:rPr>
                <w:lang w:val="en-US"/>
              </w:rPr>
            </w:pPr>
            <w:r>
              <w:rPr>
                <w:lang w:val="en-US"/>
              </w:rPr>
              <w:t>Low</w:t>
            </w:r>
          </w:p>
        </w:tc>
        <w:tc>
          <w:tcPr>
            <w:tcW w:w="2265" w:type="dxa"/>
            <w:tcBorders>
              <w:right w:val="nil"/>
            </w:tcBorders>
            <w:vAlign w:val="center"/>
          </w:tcPr>
          <w:p w14:paraId="59F3DA73" w14:textId="439521F3" w:rsidR="005553D6" w:rsidRDefault="005553D6" w:rsidP="005553D6">
            <w:pPr>
              <w:jc w:val="center"/>
              <w:rPr>
                <w:lang w:val="en-US"/>
              </w:rPr>
            </w:pPr>
            <w:r>
              <w:rPr>
                <w:rFonts w:cs="Arial"/>
                <w:lang w:val="en-US"/>
              </w:rPr>
              <w:fldChar w:fldCharType="begin"/>
            </w:r>
            <w:r>
              <w:rPr>
                <w:rFonts w:cs="Arial"/>
                <w:lang w:val="en-US"/>
              </w:rPr>
              <w:instrText xml:space="preserve"> ADDIN ZOTERO_ITEM CSL_CITATION {"citationID":"CQsqtHV0","properties":{"formattedCitation":"(302\\uc0\\u8211{}306)","plainCitation":"(302–306)","noteIndex":0},"citationItems":[{"id":74008,"uris":["http://zotero.org/users/5328021/items/BHE8RDB4"],"uri":["http://zotero.org/users/5328021/items/BHE8RDB4"],"itemData":{"id":74008,"type":"article-journal","abstract":"AIMS/HYPOTHESIS: Foot ulceration is a serious complication for people with diabetes that results in high levels of morbidity for individuals and significant costs for health and social care systems. Nineteen systematic reviews of preventative interventions have been published, but none provides a reliable numerical summary of treatment effects. The aim of this study was to systematically review the evidence from RCTs and, where possible, conduct meta-analyses to make the best possible use of the currently available data. METHODS: We conducted a systematic review and meta-analysis of RCTs of preventative interventions for foot ulceration. OVID MEDLINE and EMBASE were searched to February 2019 and the Cochrane Central Register of Controlled Trials  to October 2018. RCTs of interventions to prevent foot ulcers in people with diabetes who were free from foot ulceration at trial entry were included. Two independent reviewers read the full-text articles and extracted data. The quality of trial reporting was assessed using the Cochrane Risk of Bias tool. The primary outcome of foot ulceration was summarised using pooled relative risks in meta-analyses. RESULTS: Twenty-two RCTs of eight interventions were eligible for  analysis. One trial of digital silicone devices (RR 0.07 [95% CI 0.01, 0.55]) and meta-analyses of dermal infrared thermometry (RR 0.41 [95% CI 0.19, 0.86]), complex interventions (RR 0.59 [95% CI 0.38, 0.90], and custom-made footwear and  offloading insoles (RR 0.53 [95% CI 0.33, 0.85]) showed beneficial effects for these interventions. CONCLUSIONS/INTERPRETATION: Four interventions were identified as being effective in preventing foot ulcers in people with diabetes,  but uncertainty remains about what works and who is most likely to benefit.","container-title":"Diabetologia","issue":"1","journalAbbreviation":"Diabetologia","language":"eng","note":"PMID: 31773194 \nPMCID: PMC6890632","page":"49-64","title":"Preventing foot ulceration in diabetes: systematic review and meta-analyses of RCT data.","volume":"63","author":[{"family":"Crawford","given":"Fay"},{"family":"Nicolson","given":"Donald J."},{"family":"Amanna","given":"Aparna E."},{"family":"Martin","given":"Angela"},{"family":"Gupta","given":"Saket"},{"family":"Leese","given":"Graham P."},{"family":"Heggie","given":"Robert"},{"family":"Chappell","given":"Francesca M."},{"family":"McIntosh","given":"Heather H."}],"issued":{"date-parts":[["2020",1]]}}},{"id":45566,"uris":["http://zotero.org/users/5328021/items/RCDJIYG4"],"uri":["http://zotero.org/users/5328021/items/RCDJIYG4"],"itemData":{"id":45566,"type":"article-journal","abstract":"Background: The World Health Organization (WHO) states that diabetic foot ulcers (DFU) are associated with disability, death among patients with diabetes and substantial costs, if not prevented or managed effectively. The aim here is to examine the effectiveness of patient education in preventing and reducing the incidence or recurrence of adult DFU and amputation.\nMethods: A systematic review and meta-analysis of randomised clinical trials (RCTs) in adults aged 18+ who have diabetes mellitus (type 1 or type 2) or DFU. CINAHL, EMBASE, MEDLINE, PSYCINFO, Cochrane Library and Evidence-Based Nursing, National Library for Health, Medica and Google Scholar were searched. Only English language studies were considered. Databases were searched from their inception to September 2017.\nFindings: Six RCTs met the inclusion criteria. Only five RCTs reported on the incidence of DFU whilst only two reported on amputation rates. There was no advantage of combining different educational approaches in preventing/reducing DFU, relative risk (RR) of 0.50 (95%CI 0.21, 1.17) (P = 0.11). Two RCTs based on foot care education alone were compared with usual care; the result showed a non-significant effect (P = 0.57) with high heterogeneity of 77%.Analysis based on intensive versus brief educational approach showed a statistically reduced risk of incidence of DFU in the intervention group when compared to the control group; (RR, 0.37, 95%CI 0.14, 1.01) (P = 0.05) with high heterogeneity of 91%.\nInterpretation: The intensive educational intervention was associated with reduced incidence of DFU.","container-title":"Heliyon","issue":"5","journalAbbreviation":"Heliyon","language":"eng","note":"PMID: 29872752\nPMCID: PMC5986308","page":"e00614","title":"A systematic review and meta-analysis of patient education in preventing and reducing the incidence or recurrence of adult diabetes foot ulcers (DFU)","volume":"4","author":[{"family":"Adiewere","given":"P."},{"family":"Gillis","given":"R. B."},{"family":"Imran Jiwani","given":"S."},{"family":"Meal","given":"A."},{"family":"Shaw","given":"I."},{"family":"Adams","given":"G. G."}],"issued":{"date-parts":[["2018",5]]}}},{"id":45533,"uris":["http://zotero.org/users/5328021/items/SSLITNZL"],"uri":["http://zotero.org/users/5328021/items/SSLITNZL"],"itemData":{"id":45533,"type":"article-journal","abstract":"BACKGROUND AND OBJECTIVE: The aim of this study was to assess the risk factors associated to recurrent diabetic foot ulcers after implementing a new preventive comprehensive foot care (CFC) program carried out by a podiatrist and an endocrinologist at a multidisciplinary diabetic foot unit (MDFU) and its potential impact in decreasing recurrent ulcers.\nMATERIAL AND METHODS: A retrospective cohort study including consecutive patients who attended the MDFU for the first time from 2008 to 2014 complaining of a diabetic foot ulcer that finally healed. Patients were monitored until ulcer recurred or up to June 30, 2016. Maximum follow-up time was 8.1 years. Cumulative incidence of recurrent ulcers was analyzed during two periods: 2008-2010 (before CFC was implemented) and 2011-2014 (after implementation of CFC).\nRESULTS: A total of 280 subjects with a median age of 69.5 years (Q25:60,2-Q75:78) were included. Of these, 64.6% were males and 92.1% had type 2 diabetes mellitus. One hundred and twenty-six (45%) suffered recurrent ulcers. Median time to recurrent ulceration was 0.97 (Q25:0.44-Q75:1.74) years. Multivariate analysis showed sensory neuropathy (HR [95% CI] 1.58 [0.99-2.54], P=.050); minor amputation (HR [95% CI] 1.66 [0.12-2, 46], P=.011); and 2011-2014 period versus 2008-10 period (HR [95% CI] 0.60 [0.42-0.87], P=.007) to be factors independently associated to recurrent ulcers.\nCONCLUSIONS: Sensory neuropathy, minor amputation, and implementation of the CFC program were predictors of reulceration. Implementation of the CFC program was associated to a 40% reduction in reulceration. Prevention of recurrent ulcers is feasible and should be a priority in a MDFU.","container-title":"Endocrinologia, Diabetes Y Nutricion","issue":"8","journalAbbreviation":"Endocrinol Diabetes Nutr","language":"eng, spa","note":"PMID: 29914816","page":"438.e1-438.e10","title":"Analysis of recurrent ulcerations at a multidisciplinary diabetic Foot unit after implementation of a comprehensive Foot care program","volume":"65","author":[{"family":"Jiménez","given":"Sara"},{"family":"Rubio","given":"José Antonio"},{"family":"Álvarez","given":"Julia"},{"family":"Lázaro-Martínez","given":"José Luis"}],"issued":{"date-parts":[["2018",10]]}}},{"id":49630,"uris":["http://zotero.org/users/5328021/items/LLDB5DWA"],"uri":["http://zotero.org/users/5328021/items/LLDB5DWA"],"itemData":{"id":49630,"type":"article-journal","abstract":"Background. Patient education is capable of reducing the risk for diabetic foot ulcers. However, specific education on foot ulcer prevention was either included in broader programs addressing different parts of diabetes care or provided with time- and resource-consuming curricula. The aim of the study is to assess the feasibility and efficacy of a brief educational program for the prevention of diabetic foot ulcers in high-risk patients. Methods. The study was performed on type 2 diabetic patients, randomized in a 1 : 1 ratio either to intervention or to control group. The principal endpoint was the incidence of foot ulcers. The intervention was a two-hour program provided to groups of 5-7 patients, including a 30-minute face-to-face lesson on risk factors for foot ulcers, and a 90-minute interactive session with practical exercises on behaviors for reducing risk. Results. The study was prematurely terminated due to a highly significant difference in outcome between the two treatment groups. The final sample was therefore composed of 121 patients. Six patients, all in the control group, developed ulcers during the 6-month follow-up (10% versus 0%, p = 0.012). Conclusions. A brief, 2-hour, focused educational program is effective in preventing diabetic foot ulcers in high-risk patients.","container-title":"International Journal of Endocrinology","journalAbbreviation":"Int J Endocrinol","language":"eng","note":"PMID: 26448748\nPMCID: PMC4581554","page":"615680","title":"Effects of a Short Educational Program for the Prevention of Foot Ulcers in High-Risk Patients: A Randomized Controlled Trial","volume":"2015","author":[{"family":"Monami","given":"Matteo"},{"family":"Zannoni","given":"Stefania"},{"family":"Gaias","given":"Marianna"},{"family":"Nreu","given":"Besmir"},{"family":"Marchionni","given":"Niccolò"},{"family":"Mannucci","given":"Edoardo"}],"issued":{"date-parts":[["2015"]]}}},{"id":51485,"uris":["http://zotero.org/users/5328021/items/BPGJUTKC"],"uri":["http://zotero.org/users/5328021/items/BPGJUTKC"],"itemData":{"id":51485,"type":"article-journal","abstract":"The aim of the study was to discuss the effect of intensive nursing education on the prevention of diabetic foot ulceration among patients at high risk for diabetic foot. One hundred eighty-five diabetes patients at high risk for foot diseases were enrolled in this study and provided with intensive nursing education, including individualized education about diabetes mellitus and diabetic foot diseases, instruction in podiatric care (the right way of washing the foot, the care of foot skin, appropriate choice of shoes and socks, intense examinations and records of feet by patients themselves every day, and the assistant management of calluses). Study subjects were followed up for 2 years. Once the foot ulceration developed, the inducing factors of foot ulceration were inquired about, the ulcers were evaluated, and the incidence of foot ulceration was analyzed before and after the intensive nursing education according to self-paired data. Results showed there were highly statistically significant improvements in the intensive treatment group compared with the control group in plasma glucose, blood pressure, and high-density lipoprotein cholesterol levels. More important is that intensive nursing education helps to prevent diabetic foot ulceration and to decrease the rate of amputation among patients at high risk for diabetic foot.","container-title":"Diabetes Technology &amp; Therapeutics","issue":"9","journalAbbreviation":"Diabetes Technol. Ther.","language":"eng","note":"PMID: 25004241\nPMCID: PMC4135324","page":"576-581","title":"Effect of intensive nursing education on the prevention of diabetic foot ulceration among patients with high-risk diabetic foot: a follow-up analysis","volume":"16","author":[{"family":"Ren","given":"Meng"},{"family":"Yang","given":"Chuan"},{"family":"Lin","given":"Diao Zhu"},{"family":"Xiao","given":"Hui Sheng"},{"family":"Mai","given":"Li Fang"},{"family":"Guo","given":"Yi Chen"},{"family":"Yan","given":"Li"}],"issued":{"date-parts":[["2014",9]]}}}],"schema":"https://github.com/citation-style-language/schema/raw/master/csl-citation.json"} </w:instrText>
            </w:r>
            <w:r>
              <w:rPr>
                <w:rFonts w:cs="Arial"/>
                <w:lang w:val="en-US"/>
              </w:rPr>
              <w:fldChar w:fldCharType="separate"/>
            </w:r>
            <w:r w:rsidRPr="00A91C12">
              <w:rPr>
                <w:rFonts w:cs="Arial"/>
                <w:szCs w:val="24"/>
              </w:rPr>
              <w:t>(302–306)</w:t>
            </w:r>
            <w:r>
              <w:rPr>
                <w:rFonts w:cs="Arial"/>
                <w:lang w:val="en-US"/>
              </w:rPr>
              <w:fldChar w:fldCharType="end"/>
            </w:r>
          </w:p>
        </w:tc>
      </w:tr>
      <w:tr w:rsidR="005553D6" w14:paraId="172E0CF1" w14:textId="77777777" w:rsidTr="00BC2633">
        <w:tc>
          <w:tcPr>
            <w:tcW w:w="2830" w:type="dxa"/>
            <w:vAlign w:val="center"/>
          </w:tcPr>
          <w:p w14:paraId="01C6167F" w14:textId="4B443102" w:rsidR="005553D6" w:rsidRDefault="005553D6" w:rsidP="00BC2633">
            <w:pPr>
              <w:jc w:val="center"/>
              <w:rPr>
                <w:lang w:val="en-US"/>
              </w:rPr>
            </w:pPr>
            <w:r w:rsidRPr="00361FA8">
              <w:rPr>
                <w:color w:val="9A9B9D" w:themeColor="text1" w:themeTint="99"/>
                <w:lang w:val="en-US"/>
              </w:rPr>
              <w:t>2 studies (I) - 1 study (II)</w:t>
            </w:r>
          </w:p>
        </w:tc>
        <w:tc>
          <w:tcPr>
            <w:tcW w:w="1700" w:type="dxa"/>
          </w:tcPr>
          <w:p w14:paraId="2759AE26" w14:textId="1218E961" w:rsidR="005553D6" w:rsidRDefault="005553D6" w:rsidP="00BC2633">
            <w:pPr>
              <w:jc w:val="center"/>
              <w:rPr>
                <w:lang w:val="en-US"/>
              </w:rPr>
            </w:pPr>
            <w:r>
              <w:rPr>
                <w:lang w:val="en-US"/>
              </w:rPr>
              <w:t>8</w:t>
            </w:r>
          </w:p>
        </w:tc>
        <w:tc>
          <w:tcPr>
            <w:tcW w:w="2265" w:type="dxa"/>
            <w:vMerge/>
          </w:tcPr>
          <w:p w14:paraId="367AC17F" w14:textId="77777777" w:rsidR="005553D6" w:rsidRDefault="005553D6" w:rsidP="00BC2633">
            <w:pPr>
              <w:jc w:val="center"/>
              <w:rPr>
                <w:lang w:val="en-US"/>
              </w:rPr>
            </w:pPr>
          </w:p>
        </w:tc>
        <w:tc>
          <w:tcPr>
            <w:tcW w:w="2265" w:type="dxa"/>
          </w:tcPr>
          <w:p w14:paraId="1E5DFFE1" w14:textId="60BDE4EF"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x2XWUnal","properties":{"formattedCitation":"(302,303,307)","plainCitation":"(302,303,307)","noteIndex":0},"citationItems":[{"id":74008,"uris":["http://zotero.org/users/5328021/items/BHE8RDB4"],"uri":["http://zotero.org/users/5328021/items/BHE8RDB4"],"itemData":{"id":74008,"type":"article-journal","abstract":"AIMS/HYPOTHESIS: Foot ulceration is a serious complication for people with diabetes that results in high levels of morbidity for individuals and significant costs for health and social care systems. Nineteen systematic reviews of preventative interventions have been published, but none provides a reliable numerical summary of treatment effects. The aim of this study was to systematically review the evidence from RCTs and, where possible, conduct meta-analyses to make the best possible use of the currently available data. METHODS: We conducted a systematic review and meta-analysis of RCTs of preventative interventions for foot ulceration. OVID MEDLINE and EMBASE were searched to February 2019 and the Cochrane Central Register of Controlled Trials  to October 2018. RCTs of interventions to prevent foot ulcers in people with diabetes who were free from foot ulceration at trial entry were included. Two independent reviewers read the full-text articles and extracted data. The quality of trial reporting was assessed using the Cochrane Risk of Bias tool. The primary outcome of foot ulceration was summarised using pooled relative risks in meta-analyses. RESULTS: Twenty-two RCTs of eight interventions were eligible for  analysis. One trial of digital silicone devices (RR 0.07 [95% CI 0.01, 0.55]) and meta-analyses of dermal infrared thermometry (RR 0.41 [95% CI 0.19, 0.86]), complex interventions (RR 0.59 [95% CI 0.38, 0.90], and custom-made footwear and  offloading insoles (RR 0.53 [95% CI 0.33, 0.85]) showed beneficial effects for these interventions. CONCLUSIONS/INTERPRETATION: Four interventions were identified as being effective in preventing foot ulcers in people with diabetes,  but uncertainty remains about what works and who is most likely to benefit.","container-title":"Diabetologia","issue":"1","journalAbbreviation":"Diabetologia","language":"eng","note":"PMID: 31773194 \nPMCID: PMC6890632","page":"49-64","title":"Preventing foot ulceration in diabetes: systematic review and meta-analyses of RCT data.","volume":"63","author":[{"family":"Crawford","given":"Fay"},{"family":"Nicolson","given":"Donald J."},{"family":"Amanna","given":"Aparna E."},{"family":"Martin","given":"Angela"},{"family":"Gupta","given":"Saket"},{"family":"Leese","given":"Graham P."},{"family":"Heggie","given":"Robert"},{"family":"Chappell","given":"Francesca M."},{"family":"McIntosh","given":"Heather H."}],"issued":{"date-parts":[["2020",1]]}}},{"id":45566,"uris":["http://zotero.org/users/5328021/items/RCDJIYG4"],"uri":["http://zotero.org/users/5328021/items/RCDJIYG4"],"itemData":{"id":45566,"type":"article-journal","abstract":"Background: The World Health Organization (WHO) states that diabetic foot ulcers (DFU) are associated with disability, death among patients with diabetes and substantial costs, if not prevented or managed effectively. The aim here is to examine the effectiveness of patient education in preventing and reducing the incidence or recurrence of adult DFU and amputation.\nMethods: A systematic review and meta-analysis of randomised clinical trials (RCTs) in adults aged 18+ who have diabetes mellitus (type 1 or type 2) or DFU. CINAHL, EMBASE, MEDLINE, PSYCINFO, Cochrane Library and Evidence-Based Nursing, National Library for Health, Medica and Google Scholar were searched. Only English language studies were considered. Databases were searched from their inception to September 2017.\nFindings: Six RCTs met the inclusion criteria. Only five RCTs reported on the incidence of DFU whilst only two reported on amputation rates. There was no advantage of combining different educational approaches in preventing/reducing DFU, relative risk (RR) of 0.50 (95%CI 0.21, 1.17) (P = 0.11). Two RCTs based on foot care education alone were compared with usual care; the result showed a non-significant effect (P = 0.57) with high heterogeneity of 77%.Analysis based on intensive versus brief educational approach showed a statistically reduced risk of incidence of DFU in the intervention group when compared to the control group; (RR, 0.37, 95%CI 0.14, 1.01) (P = 0.05) with high heterogeneity of 91%.\nInterpretation: The intensive educational intervention was associated with reduced incidence of DFU.","container-title":"Heliyon","issue":"5","journalAbbreviation":"Heliyon","language":"eng","note":"PMID: 29872752\nPMCID: PMC5986308","page":"e00614","title":"A systematic review and meta-analysis of patient education in preventing and reducing the incidence or recurrence of adult diabetes foot ulcers (DFU)","volume":"4","author":[{"family":"Adiewere","given":"P."},{"family":"Gillis","given":"R. B."},{"family":"Imran Jiwani","given":"S."},{"family":"Meal","given":"A."},{"family":"Shaw","given":"I."},{"family":"Adams","given":"G. G."}],"issued":{"date-parts":[["2018",5]]}}},{"id":80287,"uris":["http://zotero.org/users/5328021/items/MD8JPVIA"],"uri":["http://zotero.org/users/5328021/items/MD8JPVIA"],"itemData":{"id":80287,"type":"article-journal","abstract":"This study was designed to explore whether participant-driven patient education in group sessions, compared to provision of standard information, will contribute to a statistically significant reduction in new ulceration during 24 months in patients with diabetes and high risk of ulceration. This is an interim analysis after six months. A randomised controlled study was designed in accordance with CONSORT criteria. Inclusion criteria were: age 35-79 years old, diabetes mellitus, sensory neuropathy, and healed foot ulcer below the ankle; 657 patients (both male and female) were consecutively screened. A total of 131 patients (35 women) were included in the study. Interim analysis of 98 patients after six months was done due to concerns about the patients' ability to fulfil the study per protocol. After a six-month follow up, 42% had developed a new foot ulcer and there was no statistical difference between the two groups. The number of patients was too small to draw any statistical conclusion regarding the effect of the intervention. At six months, five patients had died, and 21 had declined further participation or were lost to follow up. The main reasons for ulcer development were plantar stress ulcer and external trauma. It was concluded that patients with diabetes and a healed foot ulcer develop foot ulcers in spite of participant-driven group education as this high risk patient group has external risk factors that are beyond this form of education. The educational method should be evaluated in patients with lower risk of ulceration. Copyright © 2011 FEND. Published by John Wiley &amp; Sons, Ltd.","archive":"cin20","container-title":"European Diabetes Nursing","issue":"3","journalAbbreviation":"European Diabetes Nursing","page":"102-107b","source":"EBSCOhost","title":"Patient education for the prevention of diabetic foot ulcers...Interim analysis of a randomised controlled trial due to morbidity and mortality of participants","volume":"8","author":[{"family":"Gershater","given":"M Annersten"},{"family":"Pilhammar","given":"E"},{"family":"Apelqvist","given":"J"},{"family":"Alm-Roijer","given":"C"}],"issued":{"date-parts":[["2011",9]]}}}],"schema":"https://github.com/citation-style-language/schema/raw/master/csl-citation.json"} </w:instrText>
            </w:r>
            <w:r>
              <w:rPr>
                <w:rFonts w:cs="Arial"/>
                <w:lang w:val="en-US"/>
              </w:rPr>
              <w:fldChar w:fldCharType="separate"/>
            </w:r>
            <w:r w:rsidRPr="008B0686">
              <w:rPr>
                <w:rFonts w:cs="Arial"/>
              </w:rPr>
              <w:t>(302,303,307)</w:t>
            </w:r>
            <w:r>
              <w:rPr>
                <w:rFonts w:cs="Arial"/>
                <w:lang w:val="en-US"/>
              </w:rPr>
              <w:fldChar w:fldCharType="end"/>
            </w:r>
          </w:p>
        </w:tc>
      </w:tr>
      <w:tr w:rsidR="005553D6" w14:paraId="4821F2E2" w14:textId="77777777" w:rsidTr="005553D6">
        <w:tc>
          <w:tcPr>
            <w:tcW w:w="9060" w:type="dxa"/>
            <w:gridSpan w:val="4"/>
            <w:vAlign w:val="center"/>
          </w:tcPr>
          <w:p w14:paraId="628CA1A4" w14:textId="455BA80A" w:rsidR="005553D6" w:rsidRDefault="005553D6" w:rsidP="005553D6">
            <w:pPr>
              <w:jc w:val="left"/>
              <w:rPr>
                <w:lang w:val="en-US"/>
              </w:rPr>
            </w:pPr>
            <w:r>
              <w:rPr>
                <w:b/>
                <w:lang w:val="en-US"/>
              </w:rPr>
              <w:t>Ulcer area reduction</w:t>
            </w:r>
          </w:p>
        </w:tc>
      </w:tr>
      <w:tr w:rsidR="00F377E2" w14:paraId="680177BA" w14:textId="77777777" w:rsidTr="00BC2633">
        <w:tc>
          <w:tcPr>
            <w:tcW w:w="2830" w:type="dxa"/>
            <w:vAlign w:val="center"/>
          </w:tcPr>
          <w:p w14:paraId="77C519D4" w14:textId="7AEBA9DA" w:rsidR="00F377E2" w:rsidRDefault="00F377E2" w:rsidP="00BC2633">
            <w:pPr>
              <w:jc w:val="center"/>
              <w:rPr>
                <w:lang w:val="en-US"/>
              </w:rPr>
            </w:pPr>
            <w:r>
              <w:rPr>
                <w:lang w:val="en-US"/>
              </w:rPr>
              <w:t>2</w:t>
            </w:r>
            <w:r w:rsidRPr="006E4B1C">
              <w:rPr>
                <w:lang w:val="en-US"/>
              </w:rPr>
              <w:t xml:space="preserve"> studies (III)</w:t>
            </w:r>
          </w:p>
        </w:tc>
        <w:tc>
          <w:tcPr>
            <w:tcW w:w="1700" w:type="dxa"/>
          </w:tcPr>
          <w:p w14:paraId="5F7CD63F" w14:textId="3DE014E5" w:rsidR="00F377E2" w:rsidRDefault="00F377E2" w:rsidP="00BC2633">
            <w:pPr>
              <w:jc w:val="center"/>
              <w:rPr>
                <w:lang w:val="en-US"/>
              </w:rPr>
            </w:pPr>
            <w:r>
              <w:rPr>
                <w:lang w:val="en-US"/>
              </w:rPr>
              <w:t>1</w:t>
            </w:r>
          </w:p>
        </w:tc>
        <w:tc>
          <w:tcPr>
            <w:tcW w:w="2265" w:type="dxa"/>
          </w:tcPr>
          <w:p w14:paraId="53340F05" w14:textId="588E630A" w:rsidR="00F377E2" w:rsidRDefault="00F377E2" w:rsidP="00BC2633">
            <w:pPr>
              <w:jc w:val="center"/>
              <w:rPr>
                <w:lang w:val="en-US"/>
              </w:rPr>
            </w:pPr>
            <w:r>
              <w:rPr>
                <w:lang w:val="en-US"/>
              </w:rPr>
              <w:t>Low</w:t>
            </w:r>
          </w:p>
        </w:tc>
        <w:tc>
          <w:tcPr>
            <w:tcW w:w="2265" w:type="dxa"/>
          </w:tcPr>
          <w:p w14:paraId="0F310E62" w14:textId="43F970EF" w:rsidR="00F377E2" w:rsidRDefault="00F377E2" w:rsidP="00BC2633">
            <w:pPr>
              <w:jc w:val="center"/>
              <w:rPr>
                <w:lang w:val="en-US"/>
              </w:rPr>
            </w:pPr>
            <w:r>
              <w:rPr>
                <w:rFonts w:cs="Arial"/>
                <w:lang w:val="en-US"/>
              </w:rPr>
              <w:fldChar w:fldCharType="begin"/>
            </w:r>
            <w:r w:rsidR="00A57D03">
              <w:rPr>
                <w:rFonts w:cs="Arial"/>
                <w:lang w:val="en-US"/>
              </w:rPr>
              <w:instrText xml:space="preserve"> ADDIN ZOTERO_ITEM CSL_CITATION {"citationID":"k9vHBSZi","properties":{"formattedCitation":"(308,309)","plainCitation":"(308,309)","noteIndex":0},"citationItems":[{"id":53842,"uris":["http://zotero.org/users/5328021/items/AA8Y4K5L"],"uri":["http://zotero.org/users/5328021/items/AA8Y4K5L"],"itemData":{"id":53842,"type":"article-journal","abstract":"INTRODUCTION: Some studies have reported that diabetic patients do not adhere well to the foot care recommendations. Reasons for non-adherence are less evident and the methods used in education programs may have an effect. Therefore, the aim of the present study was to compare the effects of lecture method and combined method of education on foot care of patients and healing rates of diabetic foot ulcers.\nMETHODS: A matched controlled trial study was conducted on a sample of 45 diabetic patients with foot ulcers. The two intervention groups were taught with similar content but different methods. Patients' foot care and healing rates of diabetic foot ulcers were assessed at the beginning of study and after 3 months in the two training groups as well as the control group.\nRESULTS: Ulcer surface was decreased by 46%, 61% and 81.6% in the control, lecture group and com-bined group, respectively. The ulcer depth was also decreased by 66.7%, 97.5% and 69.1% in the three groups respectively. A significant relationship was observed between the group adherence of the self-care program and the amount of decrease in the ulcer surface area (r = 0.36, p = 0.04).\nCONCLUSION: The foot care education could significantly affect the healing of diabetic foot ulcer, especially in terms of the ulcers' surface area. Therefore, a self-care education program should be integrated in the health system to empower those living with diabetes to manage their own foot appropriately.","container-title":"Journal of Caring Sciences","issue":"1","journalAbbreviation":"J Caring Sci","language":"eng","note":"PMID: 25276671\nPMCID: PMC4166688","page":"17-24","title":"Comparing the effects of two teaching methods on healing of diabetic foot ulcer","volume":"1","author":[{"family":"Adib-Hajbaghery","given":"Mohsen"},{"family":"Alinaqipoor","given":"Tahereh"}],"issued":{"date-parts":[["2012",5]]}}},{"id":5829,"uris":["http://zotero.org/users/5328021/items/NUNXKGTZ"],"uri":["http://zotero.org/users/5328021/items/NUNXKGTZ"],"itemData":{"id":5829,"type":"article-journal","abstract":"One of the most common complications of diabetes mellitus is a diabetic foot ulcer. Thus, managing and preventing this complication is a main priority for health professionals, especially for nurses. This study was designed to investigate the application of Orem’s self-care deficit theory on prevention and management of diabetic foot ulcer. This quasi-experimental study was conducted in Urmia, Iran. Purposive sampling was used to select 60 patients and they were allocated into two groups. Two patients in the intervention group were excluded due to amputation and four patients from each group left the study because of unwillingness to complete the study. The intervention group received two self-care training sessions and home visits for 12 weeks, but the control group received the routine care. Data were collected using a questionnaire which consisted of four parts (demographic data, self- care status, need assessments based on Orem model, and Saint Elian Wound Score System). Data were analyzed by SPSS software (ver. 16). A significant difference was found between two groups regarding self-care mean scores, number of affected zones, ischemia, infection, and wound healing phase (p &lt; 0.05). Application of Orem’s self-care model could be helpful for the management of diabetic foot ulcers and could change patients’ lives by lowering the risk of amputation and medical costs.","archive":"Embase","container-title":"International Journal of Diabetes in Developing Countries","issue":"2","journalAbbreviation":"Int. J. Diabetes Dev. Countries","language":"English","page":"165-172","title":"Preventing and managing diabetic foot ulcers: application of Orem’s self-care model","volume":"38","author":[{"literal":"Hemmati Maslakpak M."},{"literal":"Shahbaz A."},{"literal":"Parizad N."},{"literal":"Ghafourifard M."}],"issued":{"date-parts":[["2018"]]}}}],"schema":"https://github.com/citation-style-language/schema/raw/master/csl-citation.json"} </w:instrText>
            </w:r>
            <w:r>
              <w:rPr>
                <w:rFonts w:cs="Arial"/>
                <w:lang w:val="en-US"/>
              </w:rPr>
              <w:fldChar w:fldCharType="separate"/>
            </w:r>
            <w:r w:rsidR="00A57D03" w:rsidRPr="00A57D03">
              <w:rPr>
                <w:rFonts w:cs="Arial"/>
              </w:rPr>
              <w:t>(308,309)</w:t>
            </w:r>
            <w:r>
              <w:rPr>
                <w:rFonts w:cs="Arial"/>
                <w:lang w:val="en-US"/>
              </w:rPr>
              <w:fldChar w:fldCharType="end"/>
            </w:r>
          </w:p>
        </w:tc>
      </w:tr>
      <w:tr w:rsidR="005553D6" w14:paraId="531B89E2" w14:textId="77777777" w:rsidTr="005553D6">
        <w:tc>
          <w:tcPr>
            <w:tcW w:w="9060" w:type="dxa"/>
            <w:gridSpan w:val="4"/>
            <w:vAlign w:val="center"/>
          </w:tcPr>
          <w:p w14:paraId="52C4631F" w14:textId="69A516B0" w:rsidR="005553D6" w:rsidRDefault="005553D6" w:rsidP="005553D6">
            <w:pPr>
              <w:jc w:val="left"/>
              <w:rPr>
                <w:lang w:val="en-US"/>
              </w:rPr>
            </w:pPr>
            <w:r>
              <w:rPr>
                <w:b/>
                <w:lang w:val="en-US"/>
              </w:rPr>
              <w:t>Quality of life</w:t>
            </w:r>
          </w:p>
        </w:tc>
      </w:tr>
      <w:tr w:rsidR="00F377E2" w14:paraId="2E9EE8B1" w14:textId="77777777" w:rsidTr="00BC2633">
        <w:tc>
          <w:tcPr>
            <w:tcW w:w="2830" w:type="dxa"/>
            <w:vAlign w:val="center"/>
          </w:tcPr>
          <w:p w14:paraId="6FE9CD9C" w14:textId="2B998651" w:rsidR="00F377E2" w:rsidRDefault="00F377E2" w:rsidP="00BC2633">
            <w:pPr>
              <w:jc w:val="center"/>
              <w:rPr>
                <w:lang w:val="en-US"/>
              </w:rPr>
            </w:pPr>
            <w:r>
              <w:rPr>
                <w:lang w:val="en-US"/>
              </w:rPr>
              <w:t>1 study (II</w:t>
            </w:r>
            <w:r w:rsidRPr="0062654A">
              <w:rPr>
                <w:lang w:val="en-US"/>
              </w:rPr>
              <w:t>)</w:t>
            </w:r>
            <w:r>
              <w:rPr>
                <w:lang w:val="en-US"/>
              </w:rPr>
              <w:t xml:space="preserve"> - 1 study</w:t>
            </w:r>
            <w:r w:rsidRPr="006E4B1C">
              <w:rPr>
                <w:lang w:val="en-US"/>
              </w:rPr>
              <w:t xml:space="preserve"> (III)</w:t>
            </w:r>
          </w:p>
        </w:tc>
        <w:tc>
          <w:tcPr>
            <w:tcW w:w="1700" w:type="dxa"/>
          </w:tcPr>
          <w:p w14:paraId="7781C2F1" w14:textId="3BC29131" w:rsidR="00F377E2" w:rsidRDefault="00F377E2" w:rsidP="00BC2633">
            <w:pPr>
              <w:jc w:val="center"/>
              <w:rPr>
                <w:lang w:val="en-US"/>
              </w:rPr>
            </w:pPr>
            <w:r>
              <w:rPr>
                <w:lang w:val="en-US"/>
              </w:rPr>
              <w:t>4,5</w:t>
            </w:r>
          </w:p>
        </w:tc>
        <w:tc>
          <w:tcPr>
            <w:tcW w:w="2265" w:type="dxa"/>
          </w:tcPr>
          <w:p w14:paraId="48209FB2" w14:textId="3248CE62" w:rsidR="00F377E2" w:rsidRDefault="00F377E2" w:rsidP="00BC2633">
            <w:pPr>
              <w:jc w:val="center"/>
              <w:rPr>
                <w:lang w:val="en-US"/>
              </w:rPr>
            </w:pPr>
            <w:r>
              <w:rPr>
                <w:lang w:val="en-US"/>
              </w:rPr>
              <w:t>Low</w:t>
            </w:r>
          </w:p>
        </w:tc>
        <w:tc>
          <w:tcPr>
            <w:tcW w:w="2265" w:type="dxa"/>
          </w:tcPr>
          <w:p w14:paraId="269B4B27" w14:textId="2E224751" w:rsidR="00F377E2" w:rsidRDefault="00F377E2" w:rsidP="00BC2633">
            <w:pPr>
              <w:jc w:val="center"/>
              <w:rPr>
                <w:lang w:val="en-US"/>
              </w:rPr>
            </w:pPr>
            <w:r>
              <w:rPr>
                <w:rFonts w:cs="Arial"/>
                <w:lang w:val="en-US"/>
              </w:rPr>
              <w:fldChar w:fldCharType="begin"/>
            </w:r>
            <w:r>
              <w:rPr>
                <w:rFonts w:cs="Arial"/>
                <w:lang w:val="en-US"/>
              </w:rPr>
              <w:instrText xml:space="preserve"> ADDIN ZOTERO_ITEM CSL_CITATION {"citationID":"VBwUdqn2","properties":{"formattedCitation":"(310,311)","plainCitation":"(310,311)","noteIndex":0},"citationItems":[{"id":345,"uris":["http://zotero.org/users/5328021/items/CLU9X8SK"],"uri":["http://zotero.org/users/5328021/items/CLU9X8SK"],"itemData":{"id":345,"type":"article-journal","abstract":"Objective: This study was designed to assess the effect of motivational interviewing and phased intervention on the self-nursing ability and quality of life (QOL) of patients with a diabetic foot. Methods: They were divided into the control group for routine health education and the observation group for motivational interviewing and phased intervention according to nursing mode, and compared for changes in Blood Sugar Level (BSL), the Summary of Diabetes Self Care Activities (SDSCA) score and QOL score before and after intervention. Results: (1) Intervention resulted in PBG2h and FBG of (8.52±4.12) mmol/L and (7.15±1.08) mmol/L, respectively, in the observation group, which were lower than the control group (P&lt;0.05); (2) the observation group also excelled the control group in terms of foot nursing, blood sugar monitoring, smoking state, reasonable movement and alimentary control with scores of (6.23±0.58), (6.38±0.52), (6.29±0.42), (6.33±0.35) and (6.52±0.18) (P&lt;0.0), respectively; (3) compared with the control group, the observation group attained higher QOL scores in physiology, societal functioning, psychology and treatment, which were (52.36±2.86), (18.88±2.88), (29.99±3.85), (13.69±1.58) and (112.25±6.32), respectively (P&lt;0.05). Conclusion: Patients with a diabetic foot benefited from the motivational interviewing and phased intervention in terms of effective control of BSL, and improved self-management ability and QOL.","archive":"Embase","container-title":"International Journal of Clinical and Experimental Medicine","issue":"1","journalAbbreviation":"Int. J. Clin. Exp. Med.","language":"English","page":"96-103","title":"Effect of motivational interviewing and phased intervention on the self-nursing ability and QOL of patients with a diabetic foot","volume":"13","author":[{"literal":"Mao X."},{"literal":"Mao Q."}],"issued":{"date-parts":[["2020"]]}}},{"id":1373,"uris":["http://zotero.org/users/5328021/items/YZ5BDZH4"],"uri":["http://zotero.org/users/5328021/items/YZ5BDZH4"],"itemData":{"id":1373,"type":"article-journal","abstract":"Background: Diabetic foot is the most serious and disabling long term complication of diabetes, adversely affecting the health related quality of life (HRQoL). Objectives: To evaluates the impact of patient-education (PE) on HRQoL of diabetic foot ulcer (DFU) patients. Methods: This randomized controlled study on the effect of PE on improvement of HRQoL, conducted in Kasturba Hospital, Manipal, India consisted of 135 DFU patients with 65 subjects in the control group (CG) and 70 subjects in the intervention group (IG). RAND-36 questionnaire was employed for evaluating HRQoL scores of DFU patients in both groups at baseline and after six months of PE. Results: Subjects in the both IG and CG reported poor HRQoL scores, on all the eight subscales at baseline. After six months of PE, HRQoL improved substantially in IG with respect to CG and IG at baseline (p &lt; 0.05). Likewise, in both CG and IG, the physical component summary scale (PCS) scores (24.1 ± 6.6 vs 25.6 ± 7.3) and the mental component summary scale (MCS) scores (27.3 ± 5.4 vs 28.8 ± 7.1) were similar and poor before PE. However, six months post PE, in IG, the Both PCS and MCS scores increased dramatically from 25.6 ± 7.3 to 42.9 ± 9.7 and 28.8 ± 7.1 to 48.8 ± 8.4 (p &lt; 0.05) respectively. Conclusion: The remarkable improvement in the HRQoL in IG at six months follow-up suggests that PE significantly improves HRQoL in DFU patients. Overworked physicians and paucity of trained doctors in resource-poor settings obligate task-sharing with non-physician healthcare providers.","archive":"Embase","container-title":"Clinical Epidemiology and Global Health","issue":"3","journalAbbreviation":"Clin. Epidemiol. Global Health","language":"English","page":"382-388","title":"Impact of patient-education on health related quality of life of diabetic foot ulcer patients: A randomized study","volume":"7","author":[{"literal":"Sonal Sekhar M."},{"literal":"Unnikrishnan M.K."},{"literal":"Vijayanarayana K."},{"literal":"Rodrigues G.S."}],"issued":{"date-parts":[["2019"]]}}}],"schema":"https://github.com/citation-style-language/schema/raw/master/csl-citation.json"} </w:instrText>
            </w:r>
            <w:r>
              <w:rPr>
                <w:rFonts w:cs="Arial"/>
                <w:lang w:val="en-US"/>
              </w:rPr>
              <w:fldChar w:fldCharType="separate"/>
            </w:r>
            <w:r w:rsidRPr="008B0686">
              <w:rPr>
                <w:rFonts w:cs="Arial"/>
              </w:rPr>
              <w:t>(310,311)</w:t>
            </w:r>
            <w:r>
              <w:rPr>
                <w:rFonts w:cs="Arial"/>
                <w:lang w:val="en-US"/>
              </w:rPr>
              <w:fldChar w:fldCharType="end"/>
            </w:r>
          </w:p>
        </w:tc>
      </w:tr>
      <w:tr w:rsidR="005553D6" w14:paraId="5CCC5AD9" w14:textId="77777777" w:rsidTr="005553D6">
        <w:tc>
          <w:tcPr>
            <w:tcW w:w="9060" w:type="dxa"/>
            <w:gridSpan w:val="4"/>
            <w:vAlign w:val="center"/>
          </w:tcPr>
          <w:p w14:paraId="5F445DB9" w14:textId="4B6CDF74" w:rsidR="005553D6" w:rsidRDefault="005553D6" w:rsidP="005553D6">
            <w:pPr>
              <w:jc w:val="left"/>
              <w:rPr>
                <w:lang w:val="en-US"/>
              </w:rPr>
            </w:pPr>
            <w:r>
              <w:rPr>
                <w:b/>
                <w:lang w:val="en-US"/>
              </w:rPr>
              <w:t>Pain</w:t>
            </w:r>
          </w:p>
        </w:tc>
      </w:tr>
      <w:tr w:rsidR="00F377E2" w14:paraId="42C41F5B" w14:textId="77777777" w:rsidTr="00BC2633">
        <w:tc>
          <w:tcPr>
            <w:tcW w:w="2830" w:type="dxa"/>
            <w:vAlign w:val="center"/>
          </w:tcPr>
          <w:p w14:paraId="2B3E2B7A" w14:textId="2505B8CE" w:rsidR="00F377E2" w:rsidRDefault="00F377E2" w:rsidP="00BC2633">
            <w:pPr>
              <w:jc w:val="center"/>
              <w:rPr>
                <w:lang w:val="en-US"/>
              </w:rPr>
            </w:pPr>
            <w:r>
              <w:rPr>
                <w:lang w:val="en-US"/>
              </w:rPr>
              <w:t>1 study (II</w:t>
            </w:r>
            <w:r w:rsidRPr="0062654A">
              <w:rPr>
                <w:lang w:val="en-US"/>
              </w:rPr>
              <w:t>)</w:t>
            </w:r>
          </w:p>
        </w:tc>
        <w:tc>
          <w:tcPr>
            <w:tcW w:w="1700" w:type="dxa"/>
          </w:tcPr>
          <w:p w14:paraId="0B16ABA9" w14:textId="678F7F97" w:rsidR="00F377E2" w:rsidRDefault="00F377E2" w:rsidP="00BC2633">
            <w:pPr>
              <w:jc w:val="center"/>
              <w:rPr>
                <w:lang w:val="en-US"/>
              </w:rPr>
            </w:pPr>
            <w:r>
              <w:rPr>
                <w:lang w:val="en-US"/>
              </w:rPr>
              <w:t>4</w:t>
            </w:r>
          </w:p>
        </w:tc>
        <w:tc>
          <w:tcPr>
            <w:tcW w:w="2265" w:type="dxa"/>
          </w:tcPr>
          <w:p w14:paraId="7FC418AE" w14:textId="071EAC02" w:rsidR="00F377E2" w:rsidRDefault="00F377E2" w:rsidP="00BC2633">
            <w:pPr>
              <w:jc w:val="center"/>
              <w:rPr>
                <w:lang w:val="en-US"/>
              </w:rPr>
            </w:pPr>
            <w:r>
              <w:rPr>
                <w:lang w:val="en-US"/>
              </w:rPr>
              <w:t>Low</w:t>
            </w:r>
          </w:p>
        </w:tc>
        <w:tc>
          <w:tcPr>
            <w:tcW w:w="2265" w:type="dxa"/>
          </w:tcPr>
          <w:p w14:paraId="20F3C472" w14:textId="3EB98EA3" w:rsidR="00F377E2" w:rsidRDefault="00F377E2" w:rsidP="00BC2633">
            <w:pPr>
              <w:jc w:val="center"/>
              <w:rPr>
                <w:lang w:val="en-US"/>
              </w:rPr>
            </w:pPr>
            <w:r>
              <w:rPr>
                <w:rFonts w:cs="Arial"/>
                <w:lang w:val="en-US"/>
              </w:rPr>
              <w:fldChar w:fldCharType="begin"/>
            </w:r>
            <w:r>
              <w:rPr>
                <w:rFonts w:cs="Arial"/>
                <w:lang w:val="en-US"/>
              </w:rPr>
              <w:instrText xml:space="preserve"> ADDIN ZOTERO_ITEM CSL_CITATION {"citationID":"vUr88xM3","properties":{"formattedCitation":"(312)","plainCitation":"(312)","noteIndex":0},"citationItems":[{"id":73576,"uris":["http://zotero.org/users/5328021/items/PUAMEFTF"],"uri":["http://zotero.org/users/5328021/items/PUAMEFTF"],"itemData":{"id":73576,"type":"article-journal","abstract":"PURPOSE: Medical staff shortages remain a serious challenge, particularly to medical administrators. We aimed to analyze the effectiveness of a collaborative  nursing care model in treatment of diabetic foot. DESIGN: A quasi-experimental pilot study. METHODS: Twenty-eight patients with diabetic foot treated by transverse tibial bone transport between January 2017 and March 2018 were randomized. The observational group received collaborative nursing care, while the control group received usual nursing care. Postoperative dorsal foot skin temperature, visual analog scale, self-rating anxiety scale (SAS) score, and other endpoints were assessed. FINDINGS: Postoperative dorsal foot skin temperature was significantly higher in the observation group than in the control group. Visual analog scale and SAS scores were significantly lower in the observational group than in the control group. CONCLUSIONS: The collaborative nursing care model enhanced collaboration between patient and health care providers, shortened hospital stay, and relieved postoperative pain and anxiety.","container-title":"Journal of perianesthesia nursing : official journal of the American Society of PeriAnesthesia Nurses","issue":"1","journalAbbreviation":"J Perianesth Nurs","language":"eng","note":"PMID: 31522954","page":"60-66","title":"Effectiveness of a Collaborative Nursing Care Model for the Treatment of Patients with Diabetic Foot Disease by Transverse Tibial Bone Transport Technique: A Pilot Study.","volume":"35","author":[{"family":"Jiang","given":"Liping"},{"family":"Mendame Ehya","given":"Regis Ernest"}],"issued":{"date-parts":[["2020",2]]}}}],"schema":"https://github.com/citation-style-language/schema/raw/master/csl-citation.json"} </w:instrText>
            </w:r>
            <w:r>
              <w:rPr>
                <w:rFonts w:cs="Arial"/>
                <w:lang w:val="en-US"/>
              </w:rPr>
              <w:fldChar w:fldCharType="separate"/>
            </w:r>
            <w:r w:rsidRPr="008B0686">
              <w:rPr>
                <w:rFonts w:cs="Arial"/>
              </w:rPr>
              <w:t>(312)</w:t>
            </w:r>
            <w:r>
              <w:rPr>
                <w:rFonts w:cs="Arial"/>
                <w:lang w:val="en-US"/>
              </w:rPr>
              <w:fldChar w:fldCharType="end"/>
            </w:r>
          </w:p>
        </w:tc>
      </w:tr>
      <w:tr w:rsidR="005553D6" w14:paraId="1EBE1FB4" w14:textId="77777777" w:rsidTr="005553D6">
        <w:tc>
          <w:tcPr>
            <w:tcW w:w="9060" w:type="dxa"/>
            <w:gridSpan w:val="4"/>
            <w:vAlign w:val="center"/>
          </w:tcPr>
          <w:p w14:paraId="21BE5B37" w14:textId="51DD3AFE" w:rsidR="005553D6" w:rsidRDefault="005553D6" w:rsidP="005553D6">
            <w:pPr>
              <w:jc w:val="left"/>
              <w:rPr>
                <w:lang w:val="en-US"/>
              </w:rPr>
            </w:pPr>
            <w:r w:rsidRPr="007508B6">
              <w:rPr>
                <w:b/>
                <w:lang w:val="en-US"/>
              </w:rPr>
              <w:t>Length of stay</w:t>
            </w:r>
          </w:p>
        </w:tc>
      </w:tr>
      <w:tr w:rsidR="00F377E2" w14:paraId="3CB6A4CE" w14:textId="77777777" w:rsidTr="00BC2633">
        <w:tc>
          <w:tcPr>
            <w:tcW w:w="2830" w:type="dxa"/>
            <w:vAlign w:val="center"/>
          </w:tcPr>
          <w:p w14:paraId="3ADC978B" w14:textId="2C9F36CE" w:rsidR="00F377E2" w:rsidRDefault="00F377E2" w:rsidP="00BC2633">
            <w:pPr>
              <w:jc w:val="center"/>
              <w:rPr>
                <w:lang w:val="en-US"/>
              </w:rPr>
            </w:pPr>
            <w:r>
              <w:rPr>
                <w:lang w:val="en-US"/>
              </w:rPr>
              <w:t>1 study (II</w:t>
            </w:r>
            <w:r w:rsidRPr="0062654A">
              <w:rPr>
                <w:lang w:val="en-US"/>
              </w:rPr>
              <w:t>)</w:t>
            </w:r>
          </w:p>
        </w:tc>
        <w:tc>
          <w:tcPr>
            <w:tcW w:w="1700" w:type="dxa"/>
          </w:tcPr>
          <w:p w14:paraId="3BAE8750" w14:textId="73065A92" w:rsidR="00F377E2" w:rsidRDefault="00F377E2" w:rsidP="00BC2633">
            <w:pPr>
              <w:jc w:val="center"/>
              <w:rPr>
                <w:lang w:val="en-US"/>
              </w:rPr>
            </w:pPr>
            <w:r>
              <w:rPr>
                <w:lang w:val="en-US"/>
              </w:rPr>
              <w:t>4</w:t>
            </w:r>
          </w:p>
        </w:tc>
        <w:tc>
          <w:tcPr>
            <w:tcW w:w="2265" w:type="dxa"/>
            <w:vAlign w:val="center"/>
          </w:tcPr>
          <w:p w14:paraId="3189DD68" w14:textId="55CD75CB" w:rsidR="00F377E2" w:rsidRDefault="00F377E2" w:rsidP="00BC2633">
            <w:pPr>
              <w:jc w:val="center"/>
              <w:rPr>
                <w:lang w:val="en-US"/>
              </w:rPr>
            </w:pPr>
            <w:r>
              <w:rPr>
                <w:lang w:val="en-US"/>
              </w:rPr>
              <w:t>Low</w:t>
            </w:r>
          </w:p>
        </w:tc>
        <w:tc>
          <w:tcPr>
            <w:tcW w:w="2265" w:type="dxa"/>
          </w:tcPr>
          <w:p w14:paraId="10FFB45A" w14:textId="462CD62C" w:rsidR="00F377E2" w:rsidRDefault="00F377E2" w:rsidP="00BC2633">
            <w:pPr>
              <w:jc w:val="center"/>
              <w:rPr>
                <w:lang w:val="en-US"/>
              </w:rPr>
            </w:pPr>
            <w:r>
              <w:rPr>
                <w:rFonts w:cs="Arial"/>
                <w:lang w:val="en-US"/>
              </w:rPr>
              <w:fldChar w:fldCharType="begin"/>
            </w:r>
            <w:r>
              <w:rPr>
                <w:rFonts w:cs="Arial"/>
                <w:lang w:val="en-US"/>
              </w:rPr>
              <w:instrText xml:space="preserve"> ADDIN ZOTERO_ITEM CSL_CITATION {"citationID":"4qgW0Wcw","properties":{"formattedCitation":"(312)","plainCitation":"(312)","noteIndex":0},"citationItems":[{"id":73576,"uris":["http://zotero.org/users/5328021/items/PUAMEFTF"],"uri":["http://zotero.org/users/5328021/items/PUAMEFTF"],"itemData":{"id":73576,"type":"article-journal","abstract":"PURPOSE: Medical staff shortages remain a serious challenge, particularly to medical administrators. We aimed to analyze the effectiveness of a collaborative  nursing care model in treatment of diabetic foot. DESIGN: A quasi-experimental pilot study. METHODS: Twenty-eight patients with diabetic foot treated by transverse tibial bone transport between January 2017 and March 2018 were randomized. The observational group received collaborative nursing care, while the control group received usual nursing care. Postoperative dorsal foot skin temperature, visual analog scale, self-rating anxiety scale (SAS) score, and other endpoints were assessed. FINDINGS: Postoperative dorsal foot skin temperature was significantly higher in the observation group than in the control group. Visual analog scale and SAS scores were significantly lower in the observational group than in the control group. CONCLUSIONS: The collaborative nursing care model enhanced collaboration between patient and health care providers, shortened hospital stay, and relieved postoperative pain and anxiety.","container-title":"Journal of perianesthesia nursing : official journal of the American Society of PeriAnesthesia Nurses","issue":"1","journalAbbreviation":"J Perianesth Nurs","language":"eng","note":"PMID: 31522954","page":"60-66","title":"Effectiveness of a Collaborative Nursing Care Model for the Treatment of Patients with Diabetic Foot Disease by Transverse Tibial Bone Transport Technique: A Pilot Study.","volume":"35","author":[{"family":"Jiang","given":"Liping"},{"family":"Mendame Ehya","given":"Regis Ernest"}],"issued":{"date-parts":[["2020",2]]}}}],"schema":"https://github.com/citation-style-language/schema/raw/master/csl-citation.json"} </w:instrText>
            </w:r>
            <w:r>
              <w:rPr>
                <w:rFonts w:cs="Arial"/>
                <w:lang w:val="en-US"/>
              </w:rPr>
              <w:fldChar w:fldCharType="separate"/>
            </w:r>
            <w:r w:rsidRPr="00A91C12">
              <w:rPr>
                <w:rFonts w:cs="Arial"/>
                <w:lang w:val="en-US"/>
              </w:rPr>
              <w:t>(312)</w:t>
            </w:r>
            <w:r>
              <w:rPr>
                <w:rFonts w:cs="Arial"/>
                <w:lang w:val="en-US"/>
              </w:rPr>
              <w:fldChar w:fldCharType="end"/>
            </w:r>
          </w:p>
        </w:tc>
      </w:tr>
      <w:tr w:rsidR="00BC2633" w:rsidRPr="00166EC2" w14:paraId="4A954EBC" w14:textId="77777777" w:rsidTr="005553D6">
        <w:tc>
          <w:tcPr>
            <w:tcW w:w="9060" w:type="dxa"/>
            <w:gridSpan w:val="4"/>
            <w:shd w:val="clear" w:color="auto" w:fill="D4F1D3" w:themeFill="background2" w:themeFillTint="33"/>
            <w:vAlign w:val="center"/>
          </w:tcPr>
          <w:p w14:paraId="65C82737" w14:textId="5141D3EB" w:rsidR="00BC2633" w:rsidRDefault="00BC2633" w:rsidP="00BC2633">
            <w:pPr>
              <w:jc w:val="center"/>
              <w:rPr>
                <w:lang w:val="en-US"/>
              </w:rPr>
            </w:pPr>
            <w:r>
              <w:rPr>
                <w:b/>
                <w:lang w:val="en-US"/>
              </w:rPr>
              <w:t>Providing therapeutic f</w:t>
            </w:r>
            <w:r w:rsidRPr="007508B6">
              <w:rPr>
                <w:b/>
                <w:lang w:val="en-US"/>
              </w:rPr>
              <w:t xml:space="preserve">ootwear and/or </w:t>
            </w:r>
            <w:r>
              <w:rPr>
                <w:b/>
                <w:lang w:val="en-US"/>
              </w:rPr>
              <w:t xml:space="preserve">custom-made </w:t>
            </w:r>
            <w:r w:rsidRPr="007508B6">
              <w:rPr>
                <w:b/>
                <w:lang w:val="en-US"/>
              </w:rPr>
              <w:t>insoles</w:t>
            </w:r>
            <w:r>
              <w:rPr>
                <w:b/>
                <w:lang w:val="en-US"/>
              </w:rPr>
              <w:t>, or custom-made shoes</w:t>
            </w:r>
          </w:p>
        </w:tc>
      </w:tr>
      <w:tr w:rsidR="00BC2633" w:rsidRPr="00166EC2" w14:paraId="468E7B90" w14:textId="77777777" w:rsidTr="005553D6">
        <w:tc>
          <w:tcPr>
            <w:tcW w:w="9060" w:type="dxa"/>
            <w:gridSpan w:val="4"/>
            <w:vAlign w:val="center"/>
          </w:tcPr>
          <w:p w14:paraId="7A8B216E" w14:textId="78B9710C" w:rsidR="00BC2633" w:rsidRDefault="00BC2633" w:rsidP="005553D6">
            <w:pPr>
              <w:jc w:val="left"/>
              <w:rPr>
                <w:lang w:val="en-US"/>
              </w:rPr>
            </w:pPr>
            <w:r w:rsidRPr="007508B6">
              <w:rPr>
                <w:b/>
                <w:lang w:val="en-US"/>
              </w:rPr>
              <w:t>Plantar ulcer reduction and/or recurrence</w:t>
            </w:r>
          </w:p>
        </w:tc>
      </w:tr>
      <w:tr w:rsidR="005553D6" w14:paraId="7D3452DE" w14:textId="77777777" w:rsidTr="005553D6">
        <w:tc>
          <w:tcPr>
            <w:tcW w:w="2830" w:type="dxa"/>
            <w:vAlign w:val="center"/>
          </w:tcPr>
          <w:p w14:paraId="6A8DC66A" w14:textId="7EA8F542" w:rsidR="005553D6" w:rsidRDefault="005553D6" w:rsidP="00BC2633">
            <w:pPr>
              <w:jc w:val="center"/>
              <w:rPr>
                <w:lang w:val="en-US"/>
              </w:rPr>
            </w:pPr>
            <w:r w:rsidRPr="007508B6">
              <w:rPr>
                <w:lang w:val="en-US"/>
              </w:rPr>
              <w:t>2 studies (I)</w:t>
            </w:r>
            <w:r>
              <w:rPr>
                <w:lang w:val="en-US"/>
              </w:rPr>
              <w:t xml:space="preserve"> - 1 study (II</w:t>
            </w:r>
            <w:r w:rsidRPr="0062654A">
              <w:rPr>
                <w:lang w:val="en-US"/>
              </w:rPr>
              <w:t>)</w:t>
            </w:r>
            <w:r>
              <w:rPr>
                <w:lang w:val="en-US"/>
              </w:rPr>
              <w:t xml:space="preserve"> - </w:t>
            </w:r>
          </w:p>
          <w:p w14:paraId="4062C8B8" w14:textId="7BBF0773" w:rsidR="005553D6" w:rsidRDefault="005553D6" w:rsidP="00BC2633">
            <w:pPr>
              <w:jc w:val="center"/>
              <w:rPr>
                <w:lang w:val="en-US"/>
              </w:rPr>
            </w:pPr>
            <w:r>
              <w:rPr>
                <w:lang w:val="en-US"/>
              </w:rPr>
              <w:t>1 study</w:t>
            </w:r>
            <w:r w:rsidRPr="006E4B1C">
              <w:rPr>
                <w:lang w:val="en-US"/>
              </w:rPr>
              <w:t xml:space="preserve"> (III)</w:t>
            </w:r>
          </w:p>
        </w:tc>
        <w:tc>
          <w:tcPr>
            <w:tcW w:w="1700" w:type="dxa"/>
            <w:vAlign w:val="center"/>
          </w:tcPr>
          <w:p w14:paraId="28BB05D9" w14:textId="2E08A63A" w:rsidR="005553D6" w:rsidRDefault="005553D6" w:rsidP="005553D6">
            <w:pPr>
              <w:jc w:val="center"/>
              <w:rPr>
                <w:lang w:val="en-US"/>
              </w:rPr>
            </w:pPr>
            <w:r>
              <w:rPr>
                <w:lang w:val="en-US"/>
              </w:rPr>
              <w:t>6,5</w:t>
            </w:r>
          </w:p>
        </w:tc>
        <w:tc>
          <w:tcPr>
            <w:tcW w:w="2265" w:type="dxa"/>
            <w:vMerge w:val="restart"/>
            <w:vAlign w:val="center"/>
          </w:tcPr>
          <w:p w14:paraId="29DC28DB" w14:textId="1CDDCCA0" w:rsidR="005553D6" w:rsidRDefault="005553D6" w:rsidP="00BC2633">
            <w:pPr>
              <w:jc w:val="center"/>
              <w:rPr>
                <w:lang w:val="en-US"/>
              </w:rPr>
            </w:pPr>
            <w:r w:rsidRPr="008F5383">
              <w:rPr>
                <w:lang w:val="en-US"/>
              </w:rPr>
              <w:t>Low</w:t>
            </w:r>
          </w:p>
        </w:tc>
        <w:tc>
          <w:tcPr>
            <w:tcW w:w="2265" w:type="dxa"/>
            <w:vAlign w:val="center"/>
          </w:tcPr>
          <w:p w14:paraId="7E1816EC" w14:textId="03FFC988" w:rsidR="005553D6" w:rsidRDefault="005553D6" w:rsidP="005553D6">
            <w:pPr>
              <w:jc w:val="center"/>
              <w:rPr>
                <w:lang w:val="en-US"/>
              </w:rPr>
            </w:pPr>
            <w:r>
              <w:rPr>
                <w:rFonts w:cs="Arial"/>
                <w:lang w:val="en-US"/>
              </w:rPr>
              <w:fldChar w:fldCharType="begin"/>
            </w:r>
            <w:r>
              <w:rPr>
                <w:rFonts w:cs="Arial"/>
                <w:lang w:val="en-US"/>
              </w:rPr>
              <w:instrText xml:space="preserve"> ADDIN ZOTERO_ITEM CSL_CITATION {"citationID":"0zpMohqq","properties":{"formattedCitation":"(290,302,313,314)","plainCitation":"(290,302,313,314)","noteIndex":0},"citationItems":[{"id":45774,"uris":["http://zotero.org/users/5328021/items/CIU3B6IM"],"uri":["http://zotero.org/users/5328021/items/CIU3B6IM"],"itemData":{"id":45774,"type":"article-journal","abstract":"BACKGROUND: Assistive products are items which allow older people and people with disabilities to be able to live a healthy, productive and dignified life. It has been estimated that approximately 1.5% of the world's population need a prosthesis or orthosis.\nOBJECTIVE: The objective of this study was to systematically identify and review the evidence from randomized controlled trials assessing effectiveness and cost-effectiveness of prosthetic and orthotic interventions.\nMETHODS: Literature searches, completed in September 2015, were carried out in fourteen databases between years 1995 and 2015. The search results were independently screened by two reviewers. For the purpose of this manuscript, only randomized controlled trials which examined interventions using orthotic or prosthetic devices were selected for data extraction and synthesis.\nRESULTS: A total of 342 randomised controlled trials were identified (319 English language and 23 non-English language). Only 4 of these randomised controlled trials examined prosthetic interventions and the rest examined orthotic interventions. These orthotic interventions were categorised based on the medical conditions/injuries of the participants. From these studies, this review focused on the medical condition/injuries with the highest number of randomised controlled trials (osteoarthritis, fracture, stroke, carpal tunnel syndrome, plantar fasciitis, anterior cruciate ligament, diabetic foot, rheumatoid and juvenile idiopathic arthritis, ankle sprain, cerebral palsy, lateral epicondylitis and low back pain). The included articles were assessed for risk of bias using the Cochrane Risk of Bias tool. Details of the clinical population examined, the type of orthotic/prosthetic intervention, the comparator/s and the outcome measures were extracted. Effect sizes and odds ratios were calculated for all outcome measures, where possible.\nCONCLUSIONS: At present, for prosthetic and orthotic interventions, the scientific literature does not provide sufficient high quality research to allow strong conclusions on their effectiveness and cost-effectiveness.","container-title":"PloS One","issue":"3","journalAbbreviation":"PLoS ONE","language":"eng","note":"PMID: 29538382\nPMCID: PMC5851539","page":"e0192094","title":"A systematic review of randomised controlled trials assessing effectiveness of prosthetic and orthotic interventions","volume":"13","author":[{"family":"Healy","given":"Aoife"},{"family":"Farmer","given":"Sybil"},{"family":"Pandyan","given":"Anand"},{"family":"Chockalingam","given":"Nachiappan"}],"issued":{"date-parts":[["2018"]]}}},{"id":74008,"uris":["http://zotero.org/users/5328021/items/BHE8RDB4"],"uri":["http://zotero.org/users/5328021/items/BHE8RDB4"],"itemData":{"id":74008,"type":"article-journal","abstract":"AIMS/HYPOTHESIS: Foot ulceration is a serious complication for people with diabetes that results in high levels of morbidity for individuals and significant costs for health and social care systems. Nineteen systematic reviews of preventative interventions have been published, but none provides a reliable numerical summary of treatment effects. The aim of this study was to systematically review the evidence from RCTs and, where possible, conduct meta-analyses to make the best possible use of the currently available data. METHODS: We conducted a systematic review and meta-analysis of RCTs of preventative interventions for foot ulceration. OVID MEDLINE and EMBASE were searched to February 2019 and the Cochrane Central Register of Controlled Trials  to October 2018. RCTs of interventions to prevent foot ulcers in people with diabetes who were free from foot ulceration at trial entry were included. Two independent reviewers read the full-text articles and extracted data. The quality of trial reporting was assessed using the Cochrane Risk of Bias tool. The primary outcome of foot ulceration was summarised using pooled relative risks in meta-analyses. RESULTS: Twenty-two RCTs of eight interventions were eligible for  analysis. One trial of digital silicone devices (RR 0.07 [95% CI 0.01, 0.55]) and meta-analyses of dermal infrared thermometry (RR 0.41 [95% CI 0.19, 0.86]), complex interventions (RR 0.59 [95% CI 0.38, 0.90], and custom-made footwear and  offloading insoles (RR 0.53 [95% CI 0.33, 0.85]) showed beneficial effects for these interventions. CONCLUSIONS/INTERPRETATION: Four interventions were identified as being effective in preventing foot ulcers in people with diabetes,  but uncertainty remains about what works and who is most likely to benefit.","container-title":"Diabetologia","issue":"1","journalAbbreviation":"Diabetologia","language":"eng","note":"PMID: 31773194 \nPMCID: PMC6890632","page":"49-64","title":"Preventing foot ulceration in diabetes: systematic review and meta-analyses of RCT data.","volume":"63","author":[{"family":"Crawford","given":"Fay"},{"family":"Nicolson","given":"Donald J."},{"family":"Amanna","given":"Aparna E."},{"family":"Martin","given":"Angela"},{"family":"Gupta","given":"Saket"},{"family":"Leese","given":"Graham P."},{"family":"Heggie","given":"Robert"},{"family":"Chappell","given":"Francesca M."},{"family":"McIntosh","given":"Heather H."}],"issued":{"date-parts":[["2020",1]]}}},{"id":53123,"uris":["http://zotero.org/users/5328021/items/KYTXW6IK"],"uri":["http://zotero.org/users/5328021/items/KYTXW6IK"],"itemData":{"id":53123,"type":"article-journal","abstract":"BACKGROUND: We assessed the efficacy of customized foot orthotic therapy by comparing reulceration rates, minor amputation rates, and work and daily living activities before and after therapy. Peak plantar pressures and peak plantar impulses were compared with the patients not wearing and wearing their prescribed footwear.\nMETHODS: One hundred seventeen patients with diabetes were prescribed therapeutic insoles and footwear based on the results of a detailed biomechanical study and were followed for 2 years. All of the patients had a history of foot ulcers, but none had undergone previous orthotic therapy.\nRESULTS: Before treatment, the reulceration rate was 79% and the amputation rate was 54%. Two years after the start of orthotic therapy, the reulceration rate was 15% and the amputation rate was 6%. Orthotic therapy reduced peak plantar pressures in patients with reulcerations and in those without (P &lt; .05), although a significant decrease in peak plantar impulses was achieved only in patients not experiencing reulceration. Sick leave was reduced from 100% to 26%.\nCONCLUSIONS: Personalized orthotic therapy targeted at reducing plantar pressures by off-loading protects high-risk patients against reulceration. Treatment reduced the reulceration rate and peak plantar pressures, leading to patients' return to work or other activities.","container-title":"Journal of the American Podiatric Medical Association","issue":"4","journalAbbreviation":"J Am Podiatr Med Assoc","language":"eng","note":"PMID: 23878380","page":"281-290","title":"How effective is orthotic treatment in patients with recurrent diabetic foot ulcers?","volume":"103","author":[{"family":"Fernandez","given":"Maria Luz Gonzalez"},{"family":"Lozano","given":"Rosario Morales"},{"family":"Diaz","given":"Maria Ignacia Gonzalez-Quijano"},{"family":"Jurado","given":"Maximo Antonio Gonzalez"},{"family":"Hernandez","given":"David Martinez"},{"family":"Montesinos","given":"Juan Vicente Beneit"}],"issued":{"date-parts":[["2013",8]]}}},{"id":54958,"uris":["http://zotero.org/users/5328021/items/CVFQPZKM"],"uri":["http://zotero.org/users/5328021/items/CVFQPZKM"],"itemData":{"id":54958,"type":"article-journal","abstract":"OBJECTIVE: The objective of this study was to assess the impact of a structured follow-up program on the incidence of diabetic foot ulceration (DFU) in high-risk diabetic patients.\nRESEARCH DESIGN AND METHODS: A total of 1874 diabetic patients referred to the Diabetic Foot Unit of the University of Pisa were ranked based on the ulcerative risk score proposed by the International Consensus on Diabetic Foot. Out of 334 patients (17.8%) with a score ≥2, 298 accepted to participate in this prospective trial and were randomized into 2 groups: group A, which received standard treatment, and group B, in which the patients received, as a part of a structured prevention program, custom-made orthesis and shoes. Incidence of new DFUs was observed for no less than 1 year and in a subset of patients after 3 and 5 years, respectively. Incidence of new DFUs and recurrences were considered as primary endpoints to establish the effectiveness of the program; costs were also compared.\nRESULTS: Among the patients enrolled in this follow-up analysis, 46% had neuropathy and deformities, 20% had previous ulceration, 25% had previous minor amputation, and 9% had neuro-osteoarthropathy. During the first 12-month follow-up, 11.5% of patients in group B developed a DFU compared with 38.6% in group A (P &lt; .0001). In the extended follow-up, the cumulative incidence of ulcer in group B compared with group A was 17.6% versus 61% (P &lt; .0001) after 3 years and 23.5% versus 72% (P &lt; .0001) after 5 years, respectively. The net balance at the end of the follow-up was highly in favor of the prevention program, with a saving of more than €100 000 per year.\nCONCLUSIONS: The implementation of a structured follow-up with the use of orthesis and shoes can reduce the incidence of DFU in diabetic patients who are at high ulcerative risk and its related costs.","container-title":"The International Journal of Lower Extremity Wounds","issue":"1","journalAbbreviation":"Int J Low Extrem Wounds","language":"eng","note":"PMID: 22336901","page":"59-64","title":"Custom-made orthesis and shoes in a structured follow-up program reduces the incidence of neuropathic ulcers in high-risk diabetic foot patients","volume":"11","author":[{"family":"Rizzo","given":"Loredana"},{"family":"Tedeschi","given":"Anna"},{"family":"Fallani","given":"Eliana"},{"family":"Coppelli","given":"Alberto"},{"family":"Vallini","given":"Valerio"},{"family":"Iacopi","given":"Elisabetta"},{"family":"Piaggesi","given":"Alberto"}],"issued":{"date-parts":[["2012",3]]}}}],"schema":"https://github.com/citation-style-language/schema/raw/master/csl-citation.json"} </w:instrText>
            </w:r>
            <w:r>
              <w:rPr>
                <w:rFonts w:cs="Arial"/>
                <w:lang w:val="en-US"/>
              </w:rPr>
              <w:fldChar w:fldCharType="separate"/>
            </w:r>
            <w:r w:rsidRPr="008B0686">
              <w:rPr>
                <w:rFonts w:cs="Arial"/>
              </w:rPr>
              <w:t>(290,302,313,314)</w:t>
            </w:r>
            <w:r>
              <w:rPr>
                <w:rFonts w:cs="Arial"/>
                <w:lang w:val="en-US"/>
              </w:rPr>
              <w:fldChar w:fldCharType="end"/>
            </w:r>
          </w:p>
        </w:tc>
      </w:tr>
      <w:tr w:rsidR="005553D6" w:rsidRPr="00166EC2" w14:paraId="2F45E831" w14:textId="77777777" w:rsidTr="00BC2633">
        <w:tc>
          <w:tcPr>
            <w:tcW w:w="2830" w:type="dxa"/>
            <w:vAlign w:val="center"/>
          </w:tcPr>
          <w:p w14:paraId="43D3BE54" w14:textId="06E30AC0" w:rsidR="005553D6" w:rsidRDefault="005553D6" w:rsidP="00BC2633">
            <w:pPr>
              <w:jc w:val="center"/>
              <w:rPr>
                <w:lang w:val="en-US"/>
              </w:rPr>
            </w:pPr>
            <w:r w:rsidRPr="00E56A79">
              <w:rPr>
                <w:color w:val="9A9B9D" w:themeColor="text1" w:themeTint="99"/>
                <w:lang w:val="en-US"/>
              </w:rPr>
              <w:t>2 studies (II)</w:t>
            </w:r>
          </w:p>
        </w:tc>
        <w:tc>
          <w:tcPr>
            <w:tcW w:w="1700" w:type="dxa"/>
          </w:tcPr>
          <w:p w14:paraId="2D396665" w14:textId="4F201EE6" w:rsidR="005553D6" w:rsidRDefault="005553D6" w:rsidP="00BC2633">
            <w:pPr>
              <w:jc w:val="center"/>
              <w:rPr>
                <w:lang w:val="en-US"/>
              </w:rPr>
            </w:pPr>
            <w:r>
              <w:rPr>
                <w:lang w:val="en-US"/>
              </w:rPr>
              <w:t>6,5</w:t>
            </w:r>
          </w:p>
        </w:tc>
        <w:tc>
          <w:tcPr>
            <w:tcW w:w="2265" w:type="dxa"/>
            <w:vMerge/>
          </w:tcPr>
          <w:p w14:paraId="0E1A0E48" w14:textId="77777777" w:rsidR="005553D6" w:rsidRDefault="005553D6" w:rsidP="00BC2633">
            <w:pPr>
              <w:jc w:val="center"/>
              <w:rPr>
                <w:lang w:val="en-US"/>
              </w:rPr>
            </w:pPr>
          </w:p>
        </w:tc>
        <w:tc>
          <w:tcPr>
            <w:tcW w:w="2265" w:type="dxa"/>
          </w:tcPr>
          <w:p w14:paraId="18A28E9D" w14:textId="1E4E2B68" w:rsidR="005553D6" w:rsidRDefault="005553D6" w:rsidP="00BC2633">
            <w:pPr>
              <w:jc w:val="center"/>
              <w:rPr>
                <w:lang w:val="en-US"/>
              </w:rPr>
            </w:pPr>
            <w:r>
              <w:rPr>
                <w:rFonts w:cs="Arial"/>
                <w:lang w:val="en-US"/>
              </w:rPr>
              <w:fldChar w:fldCharType="begin"/>
            </w:r>
            <w:r>
              <w:rPr>
                <w:rFonts w:cs="Arial"/>
                <w:lang w:val="en-US"/>
              </w:rPr>
              <w:instrText xml:space="preserve"> ADDIN ZOTERO_ITEM CSL_CITATION {"citationID":"TCBCiq6D","properties":{"formattedCitation":"(315,316)","plainCitation":"(315,316)","noteIndex":0},"citationItems":[{"id":53575,"uris":["http://zotero.org/users/5328021/items/2B6INC77"],"uri":["http://zotero.org/users/5328021/items/2B6INC77"],"itemData":{"id":53575,"type":"article-journal","abstract":"PURPOSE: To enhance the learner's competence with knowledge of the effectiveness of shear-reducing insoles for prevention of foot ulceration in patients with high-risk diabetes.\nTARGET AUDIENCE: This continuing education activity is intended for physicians and nurses with an interest in skin and wound care.\nOBJECTIVES: After participating in this educational activity, the participant should be better able to:1. Demonstrate knowledge of foot ulceration risk, risk factors, incidence, and prevention.2. Apply knowledge gained from reviewing this study and a literature review about the use of shear-reducing insoles to patient scenarios.\nOBJECTIVE: The objective of this study was to evaluate the effectiveness of a shear-reducing insole compared with a standard insole design to prevent foot ulceration in high-risk patients with diabetes.\nRESEARCH DESIGN AND METHODS: A total of 299 patients with diabetic neuropathy and loss of protective sensation, foot deformity, or history of foot ulceration were randomized into a standard therapy group (n = 150) or a shear-reducing insole group (n = 149). Patients were evaluated for 18 months. Standard therapy group consisted of therapeutic footwear, diabetic foot education, and regular foot evaluation by a podiatrist. The shear-reducing insole group included a novel insole designed to reduce both pressure and shear on the sole of the foot. Insoles were replaced every 4 months in both groups. The primary clinical outcome was foot ulceration. The authors used Cox proportional hazards regression to evaluate time to ulceration.\nRESULTS: There were 2 significant factors from the Cox regression model: insole treatment and history of a foot complication. The standard therapy group was about 3.5 times more likely to develop an ulcer compared with shear-reducing insole group (hazard ratio, 3.47; 95% confidence interval, 0.96-12.67).\nCONCLUSIONS: These results suggest that a shear-reducing insole is more effective than traditional insoles to prevent foot ulcers in high-risk persons with diabetes.","container-title":"Advances in Skin &amp; Wound Care","issue":"11","journalAbbreviation":"Adv Skin Wound Care","language":"eng","note":"PMID: 23080240","page":"519-524; quiz 525-526","title":"Shear-reducing insoles to prevent foot ulceration in high-risk diabetic patients","volume":"25","author":[{"family":"Lavery","given":"Lawrence A."},{"family":"LaFontaine","given":"Javier"},{"family":"Higgins","given":"Kevin R."},{"family":"Lanctot","given":"Dan R."},{"family":"Constantinides","given":"George"}],"issued":{"date-parts":[["2012",11]]}}},{"id":57105,"uris":["http://zotero.org/users/5328021/items/H242TITH"],"uri":["http://zotero.org/users/5328021/items/H242TITH"],"itemData":{"id":57105,"type":"article-journal","abstract":"CONTEXT: Ulceration can be a debilitating and costly complication of the neuropathic diabetic foot. Insoles inserted into footwear are routinely used in clinical practice to help to prevent ulceration. AIM AND SCOPE OF THE REVIEW: This review evaluated the effectiveness of insoles used for the prevention of ulcer in the neuropathic diabetic foot.\nMETHODS: Databases were searched from inception to 2008, supplemented by hand searching of references and grey literature. Data extraction and methodological quality assessment were independently conducted by two reviewers following the recommendations of the Centre for Reviews and Dissemination.\nRESULTS: A total of five trials met the inclusion criteria: two randomised control trials (RCTs), two case control studies, and one follow-up study. The methodological quality of the majority of studies was poor. Omitted details regarding the generalisability of results made study comparison and inference to practice difficult. There is a small amount of limited evidence indicating that insoles are effective in reducing incidence of ulceration and reducing plantar peak pressures in the diabetic neuropathic foot. No study included economic analysis or patient-based outcome measures.\nCONCLUSIONS: Insoles appear of use for the prevention of neuropathic diabetic foot ulceration, although evidence is limited. Clinical recommendation regarding type and specification of insole is not possible at this time. There is an essential need for a large well-designed RCT comparing different types of commonly used insole for the prevention of ulceration in the diabetic neuropathic foot. Outcome measures should include patient perceptions of the effectiveness and cost-effectiveness analysis.","container-title":"Journal of Diabetes and Its Complications","issue":"1","journalAbbreviation":"J. Diabetes Complicat.","language":"eng","note":"PMID: 19854075","page":"52-62","title":"Effectiveness of insoles used for the prevention of ulceration in the neuropathic diabetic foot: a systematic review","volume":"25","author":[{"family":"Paton","given":"Joanne"},{"family":"Bruce","given":"Graham"},{"family":"Jones","given":"Ray"},{"family":"Stenhouse","given":"Elizabeth"}],"issued":{"date-parts":[["2011",2]]}}}],"schema":"https://github.com/citation-style-language/schema/raw/master/csl-citation.json"} </w:instrText>
            </w:r>
            <w:r>
              <w:rPr>
                <w:rFonts w:cs="Arial"/>
                <w:lang w:val="en-US"/>
              </w:rPr>
              <w:fldChar w:fldCharType="separate"/>
            </w:r>
            <w:r w:rsidRPr="00A91C12">
              <w:rPr>
                <w:rFonts w:cs="Arial"/>
                <w:lang w:val="en-US"/>
              </w:rPr>
              <w:t>(315,316)</w:t>
            </w:r>
            <w:r>
              <w:rPr>
                <w:rFonts w:cs="Arial"/>
                <w:lang w:val="en-US"/>
              </w:rPr>
              <w:fldChar w:fldCharType="end"/>
            </w:r>
          </w:p>
        </w:tc>
      </w:tr>
      <w:tr w:rsidR="00BC2633" w:rsidRPr="00166EC2" w14:paraId="10051F36" w14:textId="77777777" w:rsidTr="005553D6">
        <w:tc>
          <w:tcPr>
            <w:tcW w:w="9060" w:type="dxa"/>
            <w:gridSpan w:val="4"/>
            <w:shd w:val="clear" w:color="auto" w:fill="D4F1D3" w:themeFill="background2" w:themeFillTint="33"/>
            <w:vAlign w:val="center"/>
          </w:tcPr>
          <w:p w14:paraId="2FCCEABE" w14:textId="77777777" w:rsidR="00BC2633" w:rsidRDefault="00BC2633" w:rsidP="00BC2633">
            <w:pPr>
              <w:jc w:val="center"/>
              <w:rPr>
                <w:b/>
                <w:lang w:val="en-US"/>
              </w:rPr>
            </w:pPr>
            <w:r>
              <w:rPr>
                <w:b/>
                <w:lang w:val="en-US"/>
              </w:rPr>
              <w:t>Providing o</w:t>
            </w:r>
            <w:r w:rsidRPr="00E56A79">
              <w:rPr>
                <w:b/>
                <w:lang w:val="en-US"/>
              </w:rPr>
              <w:t>ptimization by plantar pressure measurements</w:t>
            </w:r>
          </w:p>
          <w:p w14:paraId="33EFC27E" w14:textId="63564281" w:rsidR="00BC2633" w:rsidRDefault="00BC2633" w:rsidP="00BC2633">
            <w:pPr>
              <w:jc w:val="center"/>
              <w:rPr>
                <w:lang w:val="en-US"/>
              </w:rPr>
            </w:pPr>
            <w:r w:rsidRPr="00E56A79">
              <w:rPr>
                <w:b/>
                <w:lang w:val="en-US"/>
              </w:rPr>
              <w:t xml:space="preserve">of </w:t>
            </w:r>
            <w:r>
              <w:rPr>
                <w:b/>
                <w:lang w:val="en-US"/>
              </w:rPr>
              <w:t xml:space="preserve">the </w:t>
            </w:r>
            <w:r w:rsidRPr="00E56A79">
              <w:rPr>
                <w:b/>
                <w:lang w:val="en-US"/>
              </w:rPr>
              <w:t>custom-made footwear and/or insoles</w:t>
            </w:r>
          </w:p>
        </w:tc>
      </w:tr>
      <w:tr w:rsidR="005553D6" w:rsidRPr="00166EC2" w14:paraId="296CD8A6" w14:textId="77777777" w:rsidTr="005553D6">
        <w:tc>
          <w:tcPr>
            <w:tcW w:w="9060" w:type="dxa"/>
            <w:gridSpan w:val="4"/>
            <w:vAlign w:val="center"/>
          </w:tcPr>
          <w:p w14:paraId="7B453771" w14:textId="669F709C" w:rsidR="005553D6" w:rsidRDefault="005553D6" w:rsidP="005553D6">
            <w:pPr>
              <w:jc w:val="left"/>
              <w:rPr>
                <w:lang w:val="en-US"/>
              </w:rPr>
            </w:pPr>
            <w:r>
              <w:rPr>
                <w:b/>
                <w:lang w:val="en-US"/>
              </w:rPr>
              <w:t>U</w:t>
            </w:r>
            <w:r w:rsidRPr="00E56A79">
              <w:rPr>
                <w:b/>
                <w:lang w:val="en-US"/>
              </w:rPr>
              <w:t>lcer incidence</w:t>
            </w:r>
          </w:p>
        </w:tc>
      </w:tr>
      <w:tr w:rsidR="00BC2633" w14:paraId="5070C93A" w14:textId="77777777" w:rsidTr="00BC2633">
        <w:tc>
          <w:tcPr>
            <w:tcW w:w="2830" w:type="dxa"/>
            <w:vAlign w:val="center"/>
          </w:tcPr>
          <w:p w14:paraId="10171CFF" w14:textId="32B332CD" w:rsidR="00BC2633" w:rsidRDefault="00BC2633" w:rsidP="00BC2633">
            <w:pPr>
              <w:jc w:val="center"/>
              <w:rPr>
                <w:b/>
                <w:lang w:val="en-US"/>
              </w:rPr>
            </w:pPr>
            <w:r>
              <w:rPr>
                <w:lang w:val="en-US"/>
              </w:rPr>
              <w:t>1 study (II</w:t>
            </w:r>
            <w:r w:rsidRPr="0062654A">
              <w:rPr>
                <w:lang w:val="en-US"/>
              </w:rPr>
              <w:t>)</w:t>
            </w:r>
          </w:p>
        </w:tc>
        <w:tc>
          <w:tcPr>
            <w:tcW w:w="1700" w:type="dxa"/>
          </w:tcPr>
          <w:p w14:paraId="61C00CE5" w14:textId="1FB0C12F" w:rsidR="00BC2633" w:rsidRDefault="00BC2633" w:rsidP="00BC2633">
            <w:pPr>
              <w:jc w:val="center"/>
              <w:rPr>
                <w:lang w:val="en-US"/>
              </w:rPr>
            </w:pPr>
            <w:r w:rsidRPr="00B70391">
              <w:rPr>
                <w:lang w:val="en-US"/>
              </w:rPr>
              <w:t>8</w:t>
            </w:r>
          </w:p>
        </w:tc>
        <w:tc>
          <w:tcPr>
            <w:tcW w:w="2265" w:type="dxa"/>
          </w:tcPr>
          <w:p w14:paraId="1FBB981E" w14:textId="5AEFF254" w:rsidR="00BC2633" w:rsidRDefault="00BC2633" w:rsidP="00BC2633">
            <w:pPr>
              <w:jc w:val="center"/>
              <w:rPr>
                <w:lang w:val="en-US"/>
              </w:rPr>
            </w:pPr>
            <w:r w:rsidRPr="008F5383">
              <w:rPr>
                <w:lang w:val="en-US"/>
              </w:rPr>
              <w:t>High</w:t>
            </w:r>
          </w:p>
        </w:tc>
        <w:tc>
          <w:tcPr>
            <w:tcW w:w="2265" w:type="dxa"/>
          </w:tcPr>
          <w:p w14:paraId="7AC77217" w14:textId="42305A94" w:rsidR="00BC2633" w:rsidRDefault="00BC2633" w:rsidP="00BC2633">
            <w:pPr>
              <w:jc w:val="center"/>
              <w:rPr>
                <w:lang w:val="en-US"/>
              </w:rPr>
            </w:pPr>
            <w:r>
              <w:rPr>
                <w:rFonts w:cs="Arial"/>
                <w:lang w:val="en-US"/>
              </w:rPr>
              <w:fldChar w:fldCharType="begin"/>
            </w:r>
            <w:r>
              <w:rPr>
                <w:rFonts w:cs="Arial"/>
                <w:lang w:val="en-US"/>
              </w:rPr>
              <w:instrText xml:space="preserve"> ADDIN ZOTERO_ITEM CSL_CITATION {"citationID":"tHb2jOa9","properties":{"formattedCitation":"(317)","plainCitation":"(317)","noteIndex":0},"citationItems":[{"id":51616,"uris":["http://zotero.org/users/5328021/items/ZCNIHKAC"],"uri":["http://zotero.org/users/5328021/items/ZCNIHKAC"],"itemData":{"id":51616,"type":"article-journal","abstract":"OBJECTIVE: To assess the efficacy of in-shoe orthoses that were designed based on shape and barefoot plantar pressure in reducing the incidence of submetatarsal head plantar ulcers in people with diabetes, peripheral neuropathy, and a history of similar prior ulceration.\nRESEARCH DESIGN AND METHODS: Single-blinded multicenter randomized controlled trial with subjects randomized to wear shape- and pressure-based orthoses (experimental, n = 66) or standard-of-care A5513 orthoses (control, n = 64). Patients were followed for 15 months, until a study end point (forefoot plantar ulcer or nonulcerative plantar forefoot lesion) or to study termination. Proportional hazards regression was used for analysis.\nRESULTS: There was a trend in the composite primary end point (both ulcers and nonulcerative lesions) across the full follow-up period (P = 0.13) in favor of the experimental orthoses. This trend was due to a marked difference in ulcer occurrence (P = 0.007) but no difference in the rate of nonulcerative lesions (P = 0.76). At 180 days, the ulcer prevention effect of the experimental orthoses was already significant (P = 0.003) when compared with control, and the benefit of the experimental orthoses with respect to the composite end point was also significant (P = 0.042). The hazard ratio was 3.4 (95% CI 1.3-8.7) for the occurrence of a submetatarsal head plantar ulcer in the control compared with experimental arm over the duration of the study.\nCONCLUSIONS: We conclude that shape- and barefoot plantar pressure-based orthoses were more effective in reducing submetatarsal head plantar ulcer recurrence than current standard-of-care orthoses, but they did not significantly reduce nonulcerative lesions.","container-title":"Diabetes Care","issue":"7","journalAbbreviation":"Diabetes Care","language":"eng","note":"PMID: 24760263\nPMCID: PMC4067390","page":"1982-1989","title":"Prevention of recurrent foot ulcers with plantar pressure-based in-shoe orthoses: the CareFUL prevention multicenter randomized controlled trial","volume":"37","author":[{"family":"Ulbrecht","given":"Jan S."},{"family":"Hurley","given":"Timothy"},{"family":"Mauger","given":"David T."},{"family":"Cavanagh","given":"Peter R."}],"issued":{"date-parts":[["2014",7]]}}}],"schema":"https://github.com/citation-style-language/schema/raw/master/csl-citation.json"} </w:instrText>
            </w:r>
            <w:r>
              <w:rPr>
                <w:rFonts w:cs="Arial"/>
                <w:lang w:val="en-US"/>
              </w:rPr>
              <w:fldChar w:fldCharType="separate"/>
            </w:r>
            <w:r w:rsidRPr="008B0686">
              <w:rPr>
                <w:rFonts w:cs="Arial"/>
              </w:rPr>
              <w:t>(317)</w:t>
            </w:r>
            <w:r>
              <w:rPr>
                <w:rFonts w:cs="Arial"/>
                <w:lang w:val="en-US"/>
              </w:rPr>
              <w:fldChar w:fldCharType="end"/>
            </w:r>
          </w:p>
        </w:tc>
      </w:tr>
      <w:tr w:rsidR="005553D6" w14:paraId="2DFA8653" w14:textId="77777777" w:rsidTr="005553D6">
        <w:tc>
          <w:tcPr>
            <w:tcW w:w="9060" w:type="dxa"/>
            <w:gridSpan w:val="4"/>
            <w:vAlign w:val="center"/>
          </w:tcPr>
          <w:p w14:paraId="5BB0F02B" w14:textId="4E8C4C6C" w:rsidR="005553D6" w:rsidRDefault="005553D6" w:rsidP="005553D6">
            <w:pPr>
              <w:jc w:val="left"/>
              <w:rPr>
                <w:lang w:val="en-US"/>
              </w:rPr>
            </w:pPr>
            <w:r>
              <w:rPr>
                <w:b/>
                <w:lang w:val="en-US"/>
              </w:rPr>
              <w:t>U</w:t>
            </w:r>
            <w:r w:rsidRPr="00E56A79">
              <w:rPr>
                <w:b/>
                <w:lang w:val="en-US"/>
              </w:rPr>
              <w:t xml:space="preserve">lcer </w:t>
            </w:r>
            <w:proofErr w:type="spellStart"/>
            <w:r w:rsidRPr="00E56A79">
              <w:rPr>
                <w:b/>
                <w:lang w:val="en-US"/>
              </w:rPr>
              <w:t>incidence</w:t>
            </w:r>
            <w:r>
              <w:rPr>
                <w:rFonts w:cs="Arial"/>
                <w:b/>
                <w:vertAlign w:val="superscript"/>
                <w:lang w:val="en-US"/>
              </w:rPr>
              <w:t>e</w:t>
            </w:r>
            <w:proofErr w:type="spellEnd"/>
          </w:p>
        </w:tc>
      </w:tr>
      <w:tr w:rsidR="00BC2633" w:rsidRPr="00166EC2" w14:paraId="0F9B6698" w14:textId="77777777" w:rsidTr="00BC2633">
        <w:tc>
          <w:tcPr>
            <w:tcW w:w="2830" w:type="dxa"/>
            <w:vAlign w:val="center"/>
          </w:tcPr>
          <w:p w14:paraId="7A76F434" w14:textId="7C38EAFE" w:rsidR="00BC2633" w:rsidRDefault="00BC2633" w:rsidP="00BC2633">
            <w:pPr>
              <w:jc w:val="center"/>
              <w:rPr>
                <w:b/>
                <w:lang w:val="en-US"/>
              </w:rPr>
            </w:pPr>
            <w:r>
              <w:rPr>
                <w:lang w:val="en-US"/>
              </w:rPr>
              <w:t>2 studies (I</w:t>
            </w:r>
            <w:r w:rsidRPr="006E4B1C">
              <w:rPr>
                <w:lang w:val="en-US"/>
              </w:rPr>
              <w:t>I)</w:t>
            </w:r>
          </w:p>
        </w:tc>
        <w:tc>
          <w:tcPr>
            <w:tcW w:w="1700" w:type="dxa"/>
          </w:tcPr>
          <w:p w14:paraId="40836D85" w14:textId="2E9C07FD" w:rsidR="00BC2633" w:rsidRDefault="00BC2633" w:rsidP="00BC2633">
            <w:pPr>
              <w:jc w:val="center"/>
              <w:rPr>
                <w:lang w:val="en-US"/>
              </w:rPr>
            </w:pPr>
            <w:r>
              <w:rPr>
                <w:lang w:val="en-US"/>
              </w:rPr>
              <w:t>7</w:t>
            </w:r>
          </w:p>
        </w:tc>
        <w:tc>
          <w:tcPr>
            <w:tcW w:w="2265" w:type="dxa"/>
          </w:tcPr>
          <w:p w14:paraId="0D0D6042" w14:textId="32EB362C" w:rsidR="00BC2633" w:rsidRDefault="00BC2633" w:rsidP="00BC2633">
            <w:pPr>
              <w:jc w:val="center"/>
              <w:rPr>
                <w:lang w:val="en-US"/>
              </w:rPr>
            </w:pPr>
            <w:r w:rsidRPr="008F5383">
              <w:rPr>
                <w:lang w:val="en-US"/>
              </w:rPr>
              <w:t>Good</w:t>
            </w:r>
          </w:p>
        </w:tc>
        <w:tc>
          <w:tcPr>
            <w:tcW w:w="2265" w:type="dxa"/>
          </w:tcPr>
          <w:p w14:paraId="55328EC1" w14:textId="048A17D8" w:rsidR="00BC2633" w:rsidRDefault="00BC2633" w:rsidP="00BC2633">
            <w:pPr>
              <w:jc w:val="center"/>
              <w:rPr>
                <w:lang w:val="en-US"/>
              </w:rPr>
            </w:pPr>
            <w:r>
              <w:rPr>
                <w:rFonts w:cs="Arial"/>
                <w:lang w:val="en-US"/>
              </w:rPr>
              <w:fldChar w:fldCharType="begin"/>
            </w:r>
            <w:r>
              <w:rPr>
                <w:rFonts w:cs="Arial"/>
                <w:lang w:val="en-US"/>
              </w:rPr>
              <w:instrText xml:space="preserve"> ADDIN ZOTERO_ITEM CSL_CITATION {"citationID":"BBhIsRef","properties":{"formattedCitation":"(318,319)","plainCitation":"(318,319)","noteIndex":0},"citationItems":[{"id":73415,"uris":["http://zotero.org/users/5328021/items/66ZEBBVY"],"uri":["http://zotero.org/users/5328021/items/66ZEBBVY"],"itemData":{"id":73415,"type":"article-journal","abstract":"BACKGROUND: Therapeutic footwear becomes the first treatment line in the prevention of diabetic foot ulcer and future complications of diabetes. Previous  studies and the International Working Group on the Diabetic Foot have described therapeutic footwear as a protective factor to reduce the risk of re-ulceration.  In this study, we aimed to analyze the efficacy of a rigid rocker sole to reduce  the recurrence rate of plantar ulcers in patients with diabetic foot. METHODS: Between June 2016 and December 2017, we conducted a randomized controlled trial in a specialized diabetic foot unit. PARTICIPANTS AND INTERVENTION: Fifty-one patients with diabetic neuropathy who had a recently healed plantar ulcer were randomized consecutively into the following two groups: therapeutic footwear with semi-rigid sole (control) or therapeutic footwear with a rigid rocker sole (experimental). All patients included in the study were followed up for 6 months  (one visit each 30 +/- 2 days) or until the development of a recurrence event. MAIN OUTCOME AND MEASURE: Primary outcome measure was recurrence of ulcers in the plantar aspect of the foot. FINDINGS: A total of 51 patients were randomized to the control and experimental groups. The median follow-up time was 26 [IQR-4.4-26.1] weeks for both groups. On an intention-to-treat basis, 16 (64%) and 6 (23%) patients in the control and experimental groups had ulcer recurrence, respectively. Among the group with &gt;60% adherence to therapeutic footwear, multivariate analysis showed that the rigid rocker sole improved ulcer recurrence-free survival time in diabetes patients with polyneuropathy and DFU history (P = 0.019; 95% confidence interval, 0.086-0.807; hazard ratio, 0.263). CONCLUSIONS: We recommend the use of therapeutic footwear with a rigid rocker sole in patients with diabetes with polyneuropathy and history of diabetic foot ulcer to reduce the risk of plantar ulcer recurrence. TRIAL REGISTRATION: ClinicalTrials.gov NCT02995863.","container-title":"PloS one","issue":"7","journalAbbreviation":"PLoS One","language":"eng","note":"PMID: 31295292 \nPMCID: PMC6623964","page":"e0219537","title":"Clinical efficacy of therapeutic footwear with a rigid rocker sole in the prevention of recurrence in patients with diabetes mellitus and diabetic polineuropathy: A randomized clinical trial.","volume":"14","author":[{"family":"Lopez-Moral","given":"Mateo"},{"family":"Lazaro-Martinez","given":"Jose Luis"},{"family":"Garcia-Morales","given":"Esther"},{"family":"Garcia-Alvarez","given":"Yolanda"},{"family":"Alvaro-Afonso","given":"Francisco Javier"},{"family":"Molines-Barroso","given":"Raul J."}],"issued":{"date-parts":[["2019"]]}}},{"id":52962,"uris":["http://zotero.org/users/5328021/items/ZUWZXLCE"],"uri":["http://zotero.org/users/5328021/items/ZUWZXLCE"],"itemData":{"id":52962,"type":"article-journal","abstract":"OBJECTIVE: Custom-made footwear is the treatment of choice to prevent foot ulcer recurrence in diabetes. This footwear primarily aims to offload plantar regions at high ulcer risk. However, ulcer recurrence rates are high. We assessed the effect of offloading-improved custom-made footwear and the role of footwear adherence on plantar foot ulcer recurrence.\nRESEARCH DESIGN AND METHODS: We randomly assigned 171 neuropathic diabetic patients with a recently healed plantar foot ulcer to custom-made footwear with improved and subsequently preserved offloading (</w:instrText>
            </w:r>
            <w:r>
              <w:rPr>
                <w:rFonts w:ascii="Cambria Math" w:hAnsi="Cambria Math" w:cs="Cambria Math"/>
                <w:lang w:val="en-US"/>
              </w:rPr>
              <w:instrText>∼</w:instrText>
            </w:r>
            <w:r>
              <w:rPr>
                <w:rFonts w:cs="Arial"/>
                <w:lang w:val="en-US"/>
              </w:rPr>
              <w:instrText xml:space="preserve">20% peak pressure relief by modifying the footwear) or to usual care (i.e., nonimproved custom-made footwear). Primary outcome was plantar foot ulcer recurrence in 18 months. Secondary outcome was ulcer recurrence in patients with an objectively measured adherence of ≥80% of steps taken.\nRESULTS: On the basis of intention-to-treat, 33 of 85 patients (38.8%) with improved footwear and 38 of 86 patients (44.2%) with usual care had a recurrent ulcer (relative risk -11%, odds ratio 0.80 [95% CI 0.44-1.47], P = 0.48). Ulcer-free survival curves were not significantly different between groups (P = 0.40). In the 79 patients (46% of total group) with high adherence, 9 of 35 (25.7%) with improved footwear and 21 of 44 (47.8%) with usual care had a recurrent ulcer (relative risk -46%, odds ratio 0.38 [0.15-0.99], P = 0.045).\nCONCLUSIONS: Offloading-improved custom-made footwear does not significantly reduce the incidence of plantar foot ulcer recurrence in diabetes compared with custom-made footwear that does not undergo such improvement, unless it is worn as recommended.","container-title":"Diabetes Care","issue":"12","journalAbbreviation":"Diabetes Care","language":"eng","note":"PMID: 24130357\nPMCID: PMC3836114","page":"4109-4116","title":"Effect of custom-made footwear on foot ulcer recurrence in diabetes: a multicenter randomized controlled trial","volume":"36","author":[{"family":"Bus","given":"Sicco A."},{"family":"Waaijman","given":"Roelof"},{"family":"Arts","given":"Mark"},{"family":"Haart","given":"Mirjam","non-dropping-particle":"de"},{"family":"Busch-Westbroek","given":"Tessa"},{"family":"Baal","given":"Jeff","non-dropping-particle":"van"},{"family":"Nollet","given":"Frans"}],"issued":{"date-parts":[["2013",12]]}}}],"schema":"https://github.com/citation-style-language/schema/raw/master/csl-citation.json"} </w:instrText>
            </w:r>
            <w:r>
              <w:rPr>
                <w:rFonts w:cs="Arial"/>
                <w:lang w:val="en-US"/>
              </w:rPr>
              <w:fldChar w:fldCharType="separate"/>
            </w:r>
            <w:r w:rsidRPr="00A91C12">
              <w:rPr>
                <w:rFonts w:cs="Arial"/>
                <w:lang w:val="en-US"/>
              </w:rPr>
              <w:t>(318,319)</w:t>
            </w:r>
            <w:r>
              <w:rPr>
                <w:rFonts w:cs="Arial"/>
                <w:lang w:val="en-US"/>
              </w:rPr>
              <w:fldChar w:fldCharType="end"/>
            </w:r>
          </w:p>
        </w:tc>
      </w:tr>
      <w:tr w:rsidR="00BC2633" w:rsidRPr="00166EC2" w14:paraId="4F5931D0" w14:textId="77777777" w:rsidTr="005553D6">
        <w:tc>
          <w:tcPr>
            <w:tcW w:w="9060" w:type="dxa"/>
            <w:gridSpan w:val="4"/>
            <w:shd w:val="clear" w:color="auto" w:fill="D4F1D3" w:themeFill="background2" w:themeFillTint="33"/>
            <w:vAlign w:val="center"/>
          </w:tcPr>
          <w:p w14:paraId="6DE04237" w14:textId="38FA87C8" w:rsidR="00BC2633" w:rsidRDefault="00BC2633" w:rsidP="00BC2633">
            <w:pPr>
              <w:jc w:val="center"/>
              <w:rPr>
                <w:lang w:val="en-US"/>
              </w:rPr>
            </w:pPr>
            <w:r>
              <w:rPr>
                <w:b/>
                <w:lang w:val="en-US"/>
              </w:rPr>
              <w:t>Treatment in the context of a prevention management program</w:t>
            </w:r>
          </w:p>
        </w:tc>
      </w:tr>
      <w:tr w:rsidR="005553D6" w:rsidRPr="00166EC2" w14:paraId="3D85B26E" w14:textId="77777777" w:rsidTr="005553D6">
        <w:tc>
          <w:tcPr>
            <w:tcW w:w="9060" w:type="dxa"/>
            <w:gridSpan w:val="4"/>
            <w:vAlign w:val="center"/>
          </w:tcPr>
          <w:p w14:paraId="118885E7" w14:textId="7C6FD34B" w:rsidR="005553D6" w:rsidRDefault="005553D6" w:rsidP="005553D6">
            <w:pPr>
              <w:jc w:val="left"/>
              <w:rPr>
                <w:lang w:val="en-US"/>
              </w:rPr>
            </w:pPr>
            <w:r w:rsidRPr="0091169A">
              <w:rPr>
                <w:b/>
                <w:lang w:val="en-US"/>
              </w:rPr>
              <w:t>Treatment cost-effectiveness</w:t>
            </w:r>
          </w:p>
        </w:tc>
      </w:tr>
      <w:tr w:rsidR="00BC2633" w:rsidRPr="00166EC2" w14:paraId="20902BFC" w14:textId="77777777" w:rsidTr="00BC2633">
        <w:tc>
          <w:tcPr>
            <w:tcW w:w="2830" w:type="dxa"/>
            <w:vAlign w:val="center"/>
          </w:tcPr>
          <w:p w14:paraId="3BF2C986" w14:textId="190AE86C" w:rsidR="00BC2633" w:rsidRDefault="00BC2633" w:rsidP="00BC2633">
            <w:pPr>
              <w:jc w:val="center"/>
              <w:rPr>
                <w:b/>
                <w:lang w:val="en-US"/>
              </w:rPr>
            </w:pPr>
            <w:r>
              <w:rPr>
                <w:lang w:val="en-US"/>
              </w:rPr>
              <w:t>1 study (II</w:t>
            </w:r>
            <w:r w:rsidRPr="006E4B1C">
              <w:rPr>
                <w:lang w:val="en-US"/>
              </w:rPr>
              <w:t>)</w:t>
            </w:r>
            <w:r>
              <w:rPr>
                <w:lang w:val="en-US"/>
              </w:rPr>
              <w:t xml:space="preserve"> - 2</w:t>
            </w:r>
            <w:r w:rsidRPr="006E4B1C">
              <w:rPr>
                <w:lang w:val="en-US"/>
              </w:rPr>
              <w:t xml:space="preserve"> studies (III)</w:t>
            </w:r>
          </w:p>
        </w:tc>
        <w:tc>
          <w:tcPr>
            <w:tcW w:w="1700" w:type="dxa"/>
          </w:tcPr>
          <w:p w14:paraId="6C29FBFC" w14:textId="52832371" w:rsidR="00BC2633" w:rsidRDefault="00BC2633" w:rsidP="00BC2633">
            <w:pPr>
              <w:jc w:val="center"/>
              <w:rPr>
                <w:lang w:val="en-US"/>
              </w:rPr>
            </w:pPr>
            <w:r>
              <w:rPr>
                <w:lang w:val="en-US"/>
              </w:rPr>
              <w:t>4</w:t>
            </w:r>
          </w:p>
        </w:tc>
        <w:tc>
          <w:tcPr>
            <w:tcW w:w="2265" w:type="dxa"/>
          </w:tcPr>
          <w:p w14:paraId="21B4D860" w14:textId="0BF38656" w:rsidR="00BC2633" w:rsidRDefault="00BC2633" w:rsidP="00BC2633">
            <w:pPr>
              <w:jc w:val="center"/>
              <w:rPr>
                <w:lang w:val="en-US"/>
              </w:rPr>
            </w:pPr>
            <w:r>
              <w:rPr>
                <w:lang w:val="en-US"/>
              </w:rPr>
              <w:t>Low</w:t>
            </w:r>
          </w:p>
        </w:tc>
        <w:tc>
          <w:tcPr>
            <w:tcW w:w="2265" w:type="dxa"/>
          </w:tcPr>
          <w:p w14:paraId="31DDAF05" w14:textId="7B1323A2" w:rsidR="00BC2633" w:rsidRDefault="00BC2633" w:rsidP="00A57D03">
            <w:pPr>
              <w:jc w:val="center"/>
              <w:rPr>
                <w:lang w:val="en-US"/>
              </w:rPr>
            </w:pPr>
            <w:r>
              <w:rPr>
                <w:rFonts w:cs="Arial"/>
                <w:lang w:val="en-US"/>
              </w:rPr>
              <w:fldChar w:fldCharType="begin"/>
            </w:r>
            <w:r w:rsidR="00A57D03">
              <w:rPr>
                <w:rFonts w:cs="Arial"/>
                <w:lang w:val="en-US"/>
              </w:rPr>
              <w:instrText xml:space="preserve"> ADDIN ZOTERO_ITEM CSL_CITATION {"citationID":"efkahBqp","properties":{"formattedCitation":"(320\\uc0\\u8211{}322)","plainCitation":"(320–322)","noteIndex":0},"citationItems":[{"id":7979,"uris":["http://zotero.org/users/5328021/items/YAQYR4YN"],"uri":["http://zotero.org/users/5328021/items/YAQYR4YN"],"itemData":{"id":7979,"type":"article-journal","abstract":"In addition to affecting quality of life, diabetic foot ulcers (DFUs) impose an economic burden on both patients and the health system. This study developed a Markov model to analyse the cost-effectiveness of implementing optimal care in comparison with the continuation of usual care for diabetic patients at high risk of DFUs in the Australian setting. The model results demonstrated overall 5-year cost savings (AUD 9100·11 for those aged 35–54, $9391·60 for those aged 55–74 and $12 394·97 for those aged 75 or older) and improved health benefits measured in quality-adjusted life years (QALYs) (0·13 QALYs, 0·13 QALYs and 0·16 QALYs, respectively) for high-risk patients receiving optimal care for DFUs compared with usual care. Total cost savings for Australia were estimated at AUD 2·7 billion over 5 years. Probabilistic sensitivity analysis showed that optimal care always had a higher probability of costing less and generating more health benefits. This study provides important evidence to inform Australian policy decisions on the efficient use of health resources and supports the implementation of evidence-based optimal care in Australia. Furthermore, this information is of great importance for comparable developed countries that could reap similar benefits from investing in these well-known evidence-based strategies.","archive":"Embase","container-title":"International Wound Journal","issue":"4","journalAbbreviation":"Int. Wound J.","language":"English","note":"PMID: 27489228","page":"616-628","title":"A cost-effectiveness analysis of optimal care for diabetic foot ulcers in Australia","volume":"14","author":[{"literal":"Cheng Q."},{"literal":"Lazzarini P.A."},{"literal":"Gibb M."},{"literal":"Derhy P.H."},{"literal":"Kinnear E.M."},{"literal":"Burn E."},{"literal":"Graves N."},{"literal":"Norman R.E."}],"issued":{"date-parts":[["2017",8]]}}},{"id":47156,"uris":["http://zotero.org/users/5328021/items/QFWUE9EW"],"uri":["http://zotero.org/users/5328021/items/QFWUE9EW"],"itemData":{"id":47156,"type":"article-journal","abstract":"BACKGROUND: The aim of the present study was to estimate the lifetime health and economic effects of different strategies of caring for diabetic foot in the Chinese setting.\nMETHODS: A mathematical model was developed to simulate the onset and progression of diabetic foot disease in patients with type 2 diabetes managed with optimal care and usual care. Clinical and utility data were obtained from the published literature. Direct medical costs and resource utilization in the Chinese healthcare setting were considered. Sensitivity analyses were undertaken to test the effects of a range of variables and assumptions on the results. Heath benefits and costs were the outcome measures assessed.\nRESULTS: Compared with usual care, optimal care was a cost-saving option that exhibited lower costs with improved health benefits, including greater quality-adjusted life-years (QALYs) and reduced incidence of foot complications. The lifetime saving costs per additional QALY gained by optimal care were US$2015. The model outcome was most sensitive to the risk ratio of foot ulcers and amputation for optimal care over usual care.\nCONCLUSIONS: Implementing guideline-based optimal care for diabetic foot is likely to be cost-effective in a health resource-limited setting.","container-title":"Journal of Diabetes","issue":"4","journalAbbreviation":"J Diabetes","language":"eng","note":"PMID: 28976723","page":"320-327","title":"Cost-effectiveness of prevention and management of diabetic foot ulcer and amputation in a health resource-limited setting","volume":"10","author":[{"family":"Wu","given":"Bin"},{"family":"Wan","given":"Xu"},{"family":"Ma","given":"Jing"}],"issued":{"date-parts":[["2018",4]]}}},{"id":49588,"uris":["http://zotero.org/users/5328021/items/EMXL6RWZ"],"uri":["http://zotero.org/users/5328021/items/EMXL6RWZ"],"itemData":{"id":49588,"type":"article-journal","abstract":"BACKGROUND: Diabetes mellitus is a public health challenge worldwide, and roughly 25% of patients with diabetes in developing countries will develop at least one foot ulcer during their lifetime. The gravest outcome of an ulcerated foot is amputation, leading to premature death and larger economic costs.\nMETHODS: This study aimed to estimate the economic costs of diabetic foot in high-risk patients in Peru in 2012 and to model the cost-effectiveness of a year-long preventive strategy for foot ulceration including: sub-optimal care (baseline), standard care as recommended by the International Diabetes Federation, and standard care plus daily self-monitoring of foot temperature. A decision tree model using a population prevalence-based approach was used to calculate the costs and the incremental cost-effectiveness ratio (ICER). Outcome measures were deaths and major amputations, uncertainty was tested with a one-way sensitivity analysis.\nRESULTS: The direct costs for prevention and management with sub-optimal care for high-risk diabetics is around US$74.5 million dollars in a single year, which decreases to US$71.8 million for standard care and increases to US$96.8 million for standard care plus temperature monitoring. The implementation of a standard care strategy would avert 791 deaths and is cost-saving in comparison to sub-optimal care. For standard care plus temperature monitoring compared to sub-optimal care the ICER rises to US$16,124 per death averted and averts 1,385 deaths.\nCONCLUSION: Diabetic foot complications are highly costly and largely preventable in Peru. The implementation of a standard care strategy would lead to net savings and avert deaths over a one-year period. More intensive prevention strategies such as incorporating temperature monitoring may also be cost-effective.","container-title":"BMC health services research","journalAbbreviation":"BMC Health Serv Res","language":"eng","note":"PMID: 26503154\nPMCID: PMC4623251","page":"483","title":"The cost of illness attributable to diabetic foot and cost-effectiveness of secondary prevention in Peru","volume":"15","author":[{"family":"Cárdenas","given":"María Kathia"},{"family":"Mirelman","given":"Andrew J."},{"family":"Galvin","given":"Cooper J."},{"family":"Lazo-Porras","given":"María"},{"family":"Pinto","given":"Miguel"},{"family":"Miranda","given":"J. Jaime"},{"family":"Gilman","given":"Robert H."}],"issued":{"date-parts":[["2015",10,26]]}}}],"schema":"https://github.com/citation-style-language/schema/raw/master/csl-citation.json"} </w:instrText>
            </w:r>
            <w:r>
              <w:rPr>
                <w:rFonts w:cs="Arial"/>
                <w:lang w:val="en-US"/>
              </w:rPr>
              <w:fldChar w:fldCharType="separate"/>
            </w:r>
            <w:r w:rsidR="00A57D03" w:rsidRPr="00A57D03">
              <w:rPr>
                <w:rFonts w:cs="Arial"/>
                <w:szCs w:val="24"/>
                <w:lang w:val="en-US"/>
              </w:rPr>
              <w:t>(320–322)</w:t>
            </w:r>
            <w:r>
              <w:rPr>
                <w:rFonts w:cs="Arial"/>
                <w:lang w:val="en-US"/>
              </w:rPr>
              <w:fldChar w:fldCharType="end"/>
            </w:r>
          </w:p>
        </w:tc>
      </w:tr>
    </w:tbl>
    <w:p w14:paraId="10295360" w14:textId="77777777" w:rsidR="00BC2633" w:rsidRDefault="00BC2633" w:rsidP="00BC2633">
      <w:pPr>
        <w:pStyle w:val="BodySciensano"/>
        <w:rPr>
          <w:szCs w:val="20"/>
          <w:lang w:val="en-US"/>
        </w:rPr>
      </w:pPr>
      <w:proofErr w:type="spellStart"/>
      <w:r w:rsidRPr="00240DFC">
        <w:rPr>
          <w:szCs w:val="20"/>
          <w:vertAlign w:val="superscript"/>
          <w:lang w:val="en-US"/>
        </w:rPr>
        <w:t>a</w:t>
      </w:r>
      <w:r>
        <w:rPr>
          <w:szCs w:val="20"/>
          <w:lang w:val="en-US"/>
        </w:rPr>
        <w:t>no</w:t>
      </w:r>
      <w:proofErr w:type="spellEnd"/>
      <w:r>
        <w:rPr>
          <w:szCs w:val="20"/>
          <w:lang w:val="en-US"/>
        </w:rPr>
        <w:t xml:space="preserve"> specific follow-up time was reported</w:t>
      </w:r>
    </w:p>
    <w:p w14:paraId="1C7049F1" w14:textId="77777777" w:rsidR="00BC2633" w:rsidRDefault="00BC2633" w:rsidP="00BC2633">
      <w:pPr>
        <w:pStyle w:val="BodySciensano"/>
        <w:rPr>
          <w:lang w:val="en-US"/>
        </w:rPr>
      </w:pPr>
      <w:proofErr w:type="spellStart"/>
      <w:r w:rsidRPr="00240DFC">
        <w:rPr>
          <w:szCs w:val="20"/>
          <w:vertAlign w:val="superscript"/>
          <w:lang w:val="en-US"/>
        </w:rPr>
        <w:t>b</w:t>
      </w:r>
      <w:r>
        <w:rPr>
          <w:lang w:val="en-US"/>
        </w:rPr>
        <w:t>r</w:t>
      </w:r>
      <w:r w:rsidRPr="003C77E7">
        <w:rPr>
          <w:lang w:val="en-US"/>
        </w:rPr>
        <w:t>esults</w:t>
      </w:r>
      <w:proofErr w:type="spellEnd"/>
      <w:r w:rsidRPr="003C77E7">
        <w:rPr>
          <w:lang w:val="en-US"/>
        </w:rPr>
        <w:t xml:space="preserve"> in favor of control group</w:t>
      </w:r>
      <w:r>
        <w:rPr>
          <w:lang w:val="en-US"/>
        </w:rPr>
        <w:t xml:space="preserve"> (not significant)</w:t>
      </w:r>
    </w:p>
    <w:p w14:paraId="3C993DAE" w14:textId="560DC566" w:rsidR="00034D03" w:rsidRDefault="00BC2633" w:rsidP="00BC2633">
      <w:pPr>
        <w:pStyle w:val="BodySciensano"/>
        <w:rPr>
          <w:lang w:val="en-US"/>
        </w:rPr>
      </w:pPr>
      <w:proofErr w:type="spellStart"/>
      <w:r w:rsidRPr="00240DFC">
        <w:rPr>
          <w:rFonts w:asciiTheme="minorHAnsi" w:hAnsiTheme="minorHAnsi" w:cstheme="minorHAnsi"/>
          <w:szCs w:val="20"/>
          <w:vertAlign w:val="superscript"/>
          <w:lang w:val="en-US"/>
        </w:rPr>
        <w:t>c</w:t>
      </w:r>
      <w:r w:rsidR="00034D03">
        <w:rPr>
          <w:lang w:val="en-US"/>
        </w:rPr>
        <w:t>T</w:t>
      </w:r>
      <w:r w:rsidR="009C3899">
        <w:rPr>
          <w:lang w:val="en-US"/>
        </w:rPr>
        <w:t>his</w:t>
      </w:r>
      <w:proofErr w:type="spellEnd"/>
      <w:r w:rsidR="009C3899">
        <w:rPr>
          <w:lang w:val="en-US"/>
        </w:rPr>
        <w:t xml:space="preserve"> outcome </w:t>
      </w:r>
      <w:r w:rsidR="00034D03">
        <w:rPr>
          <w:lang w:val="en-US"/>
        </w:rPr>
        <w:t>is reported in a study (</w:t>
      </w:r>
      <w:proofErr w:type="spellStart"/>
      <w:r w:rsidR="00034D03">
        <w:rPr>
          <w:lang w:val="en-US"/>
        </w:rPr>
        <w:t>Elraiyah</w:t>
      </w:r>
      <w:proofErr w:type="spellEnd"/>
      <w:r w:rsidR="00034D03">
        <w:rPr>
          <w:lang w:val="en-US"/>
        </w:rPr>
        <w:t xml:space="preserve"> </w:t>
      </w:r>
      <w:r w:rsidR="00034D03" w:rsidRPr="005D753E">
        <w:rPr>
          <w:i/>
          <w:lang w:val="en-US"/>
        </w:rPr>
        <w:t>et al</w:t>
      </w:r>
      <w:r w:rsidR="00034D03">
        <w:rPr>
          <w:lang w:val="en-US"/>
        </w:rPr>
        <w:t xml:space="preserve">.) </w:t>
      </w:r>
      <w:r w:rsidR="009C3899">
        <w:rPr>
          <w:lang w:val="en-US"/>
        </w:rPr>
        <w:t xml:space="preserve">through two levels of evidence </w:t>
      </w:r>
    </w:p>
    <w:p w14:paraId="1AD161A5" w14:textId="28286604" w:rsidR="00BC2633" w:rsidRPr="005D753E" w:rsidRDefault="009C3899" w:rsidP="00BC2633">
      <w:pPr>
        <w:pStyle w:val="BodySciensano"/>
        <w:rPr>
          <w:rFonts w:asciiTheme="minorHAnsi" w:hAnsiTheme="minorHAnsi" w:cstheme="minorHAnsi"/>
          <w:szCs w:val="20"/>
          <w:lang w:val="en-US"/>
        </w:rPr>
      </w:pPr>
      <w:r>
        <w:rPr>
          <w:lang w:val="en-US"/>
        </w:rPr>
        <w:t>(level of evidence I and II)</w:t>
      </w:r>
      <w:r w:rsidR="00034D03">
        <w:rPr>
          <w:lang w:val="en-US"/>
        </w:rPr>
        <w:t xml:space="preserve"> </w:t>
      </w:r>
    </w:p>
    <w:p w14:paraId="6D9BA82B" w14:textId="02649EF7" w:rsidR="00BC2633" w:rsidRPr="00DD6335" w:rsidRDefault="00BC2633" w:rsidP="00BC2633">
      <w:pPr>
        <w:pStyle w:val="BodySciensano"/>
        <w:rPr>
          <w:lang w:val="en-US"/>
        </w:rPr>
      </w:pPr>
      <w:proofErr w:type="spellStart"/>
      <w:r w:rsidRPr="00240DFC">
        <w:rPr>
          <w:rFonts w:asciiTheme="minorHAnsi" w:hAnsiTheme="minorHAnsi" w:cstheme="minorHAnsi"/>
          <w:szCs w:val="20"/>
          <w:vertAlign w:val="superscript"/>
          <w:lang w:val="en-US"/>
        </w:rPr>
        <w:t>d</w:t>
      </w:r>
      <w:r w:rsidR="009C3899" w:rsidRPr="00CA32B9">
        <w:rPr>
          <w:rFonts w:asciiTheme="minorHAnsi" w:hAnsiTheme="minorHAnsi" w:cstheme="minorHAnsi"/>
          <w:szCs w:val="20"/>
          <w:lang w:val="en-US"/>
        </w:rPr>
        <w:t>results</w:t>
      </w:r>
      <w:proofErr w:type="spellEnd"/>
      <w:r w:rsidR="009C3899" w:rsidRPr="00CA32B9">
        <w:rPr>
          <w:rFonts w:asciiTheme="minorHAnsi" w:hAnsiTheme="minorHAnsi" w:cstheme="minorHAnsi"/>
          <w:szCs w:val="20"/>
          <w:lang w:val="en-US"/>
        </w:rPr>
        <w:t xml:space="preserve"> in favor of control group</w:t>
      </w:r>
      <w:r w:rsidR="009C3899" w:rsidRPr="00D14D11">
        <w:rPr>
          <w:rFonts w:asciiTheme="minorHAnsi" w:hAnsiTheme="minorHAnsi" w:cstheme="minorHAnsi"/>
          <w:szCs w:val="20"/>
          <w:lang w:val="en-US"/>
        </w:rPr>
        <w:t xml:space="preserve"> </w:t>
      </w:r>
      <w:r w:rsidR="009C3899">
        <w:rPr>
          <w:rFonts w:asciiTheme="minorHAnsi" w:hAnsiTheme="minorHAnsi" w:cstheme="minorHAnsi"/>
          <w:szCs w:val="20"/>
          <w:lang w:val="en-US"/>
        </w:rPr>
        <w:t>(significant)</w:t>
      </w:r>
    </w:p>
    <w:p w14:paraId="078F606D" w14:textId="77777777" w:rsidR="00BC2633" w:rsidRPr="003D4F6A" w:rsidRDefault="00BC2633" w:rsidP="00BC2633">
      <w:pPr>
        <w:spacing w:line="240" w:lineRule="auto"/>
        <w:jc w:val="left"/>
        <w:rPr>
          <w:lang w:val="en-US"/>
        </w:rPr>
      </w:pPr>
      <w:proofErr w:type="spellStart"/>
      <w:r w:rsidRPr="00240DFC">
        <w:rPr>
          <w:rFonts w:cs="Arial"/>
          <w:vertAlign w:val="superscript"/>
          <w:lang w:val="en-US"/>
        </w:rPr>
        <w:t>e</w:t>
      </w:r>
      <w:r w:rsidRPr="003D4F6A">
        <w:rPr>
          <w:lang w:val="en-US"/>
        </w:rPr>
        <w:t>but</w:t>
      </w:r>
      <w:proofErr w:type="spellEnd"/>
      <w:r w:rsidRPr="003D4F6A">
        <w:rPr>
          <w:lang w:val="en-US"/>
        </w:rPr>
        <w:t xml:space="preserve"> only if a sufficient compliance to wear the footwear is present</w:t>
      </w:r>
    </w:p>
    <w:p w14:paraId="45E97E15" w14:textId="6FEAD01D" w:rsidR="0022700A" w:rsidRDefault="0022700A" w:rsidP="00BC2633">
      <w:pPr>
        <w:jc w:val="center"/>
        <w:rPr>
          <w:lang w:val="en-US"/>
        </w:rPr>
      </w:pPr>
      <w:r>
        <w:rPr>
          <w:lang w:val="en-US"/>
        </w:rPr>
        <w:br w:type="page"/>
      </w:r>
    </w:p>
    <w:p w14:paraId="37C18334" w14:textId="77777777" w:rsidR="00220533" w:rsidRDefault="00F16337" w:rsidP="007508B6">
      <w:pPr>
        <w:spacing w:line="240" w:lineRule="auto"/>
        <w:jc w:val="left"/>
        <w:rPr>
          <w:b/>
          <w:lang w:val="en-US"/>
        </w:rPr>
      </w:pPr>
      <w:r>
        <w:rPr>
          <w:b/>
          <w:lang w:val="en-US"/>
        </w:rPr>
        <w:t>References of supporting studies</w:t>
      </w:r>
    </w:p>
    <w:p w14:paraId="15D33FEE" w14:textId="77777777" w:rsidR="00220533" w:rsidRDefault="00220533" w:rsidP="007508B6">
      <w:pPr>
        <w:spacing w:line="240" w:lineRule="auto"/>
        <w:jc w:val="left"/>
        <w:rPr>
          <w:b/>
          <w:lang w:val="en-US"/>
        </w:rPr>
      </w:pPr>
    </w:p>
    <w:p w14:paraId="0C750248" w14:textId="77777777" w:rsidR="00A57D03" w:rsidRPr="008B4E3F" w:rsidRDefault="00220533" w:rsidP="00A57D03">
      <w:pPr>
        <w:pStyle w:val="Bibliography"/>
        <w:rPr>
          <w:lang w:val="en-US"/>
        </w:rPr>
      </w:pPr>
      <w:r>
        <w:rPr>
          <w:b/>
          <w:lang w:val="en-US"/>
        </w:rPr>
        <w:fldChar w:fldCharType="begin"/>
      </w:r>
      <w:r>
        <w:rPr>
          <w:b/>
          <w:lang w:val="en-US"/>
        </w:rPr>
        <w:instrText xml:space="preserve"> ADDIN ZOTERO_BIBL {"uncited":[],"omitted":[],"custom":[]} CSL_BIBLIOGRAPHY </w:instrText>
      </w:r>
      <w:r>
        <w:rPr>
          <w:b/>
          <w:lang w:val="en-US"/>
        </w:rPr>
        <w:fldChar w:fldCharType="separate"/>
      </w:r>
      <w:r w:rsidR="00A57D03" w:rsidRPr="00A57D03">
        <w:rPr>
          <w:lang w:val="en-US"/>
        </w:rPr>
        <w:t>1.</w:t>
      </w:r>
      <w:r w:rsidR="00A57D03" w:rsidRPr="00A57D03">
        <w:rPr>
          <w:lang w:val="en-US"/>
        </w:rPr>
        <w:tab/>
        <w:t xml:space="preserve">Riaz M, Miyan Z, Waris N, Zaidi SIH, Tahir B, Fawwad A, et al. Impact of multidisciplinary foot care team on outcome of diabetic foot ulcer in term of lower extremity amputation at a tertiary care unit in Karachi, Pakistan. </w:t>
      </w:r>
      <w:r w:rsidR="00A57D03" w:rsidRPr="008B4E3F">
        <w:rPr>
          <w:lang w:val="en-US"/>
        </w:rPr>
        <w:t xml:space="preserve">Int Wound J. 2019 Jun;16(3):768–72. </w:t>
      </w:r>
    </w:p>
    <w:p w14:paraId="7FE54E08" w14:textId="77777777" w:rsidR="00A57D03" w:rsidRPr="00A57D03" w:rsidRDefault="00A57D03" w:rsidP="00A57D03">
      <w:pPr>
        <w:pStyle w:val="Bibliography"/>
        <w:rPr>
          <w:lang w:val="en-US"/>
        </w:rPr>
      </w:pPr>
      <w:r w:rsidRPr="008B4E3F">
        <w:rPr>
          <w:lang w:val="en-US"/>
        </w:rPr>
        <w:t>2.</w:t>
      </w:r>
      <w:r w:rsidRPr="008B4E3F">
        <w:rPr>
          <w:lang w:val="en-US"/>
        </w:rPr>
        <w:tab/>
        <w:t xml:space="preserve">Coşkun Ö., Uzun G., Karakaş A., Tok D., Çebi G., Çekli Y., et al. </w:t>
      </w:r>
      <w:r w:rsidRPr="00A57D03">
        <w:rPr>
          <w:lang w:val="en-US"/>
        </w:rPr>
        <w:t xml:space="preserve">The influence of an interdisciplinary diabetic foot team on the outcome of patients with diabetic foot. J Clin Anal Med. 2016;7(4):529–32. </w:t>
      </w:r>
    </w:p>
    <w:p w14:paraId="1AEF8CDC" w14:textId="77777777" w:rsidR="00A57D03" w:rsidRPr="00A57D03" w:rsidRDefault="00A57D03" w:rsidP="00A57D03">
      <w:pPr>
        <w:pStyle w:val="Bibliography"/>
        <w:rPr>
          <w:lang w:val="en-US"/>
        </w:rPr>
      </w:pPr>
      <w:r w:rsidRPr="00A57D03">
        <w:rPr>
          <w:lang w:val="en-US"/>
        </w:rPr>
        <w:t>3.</w:t>
      </w:r>
      <w:r w:rsidRPr="00A57D03">
        <w:rPr>
          <w:lang w:val="en-US"/>
        </w:rPr>
        <w:tab/>
        <w:t xml:space="preserve">Albright RH, Manohar NB, Murillo JF, Kengne LAM, Delgado-Hurtado JJ, Diamond ML, et al. Effectiveness of multidisciplinary care teams in reducing major amputation rate in adults with diabetes: A systematic review &amp; meta-analysis. Diabetes Res Clin Pract. 2020 Jan 11;161:107996. </w:t>
      </w:r>
    </w:p>
    <w:p w14:paraId="72FB8273" w14:textId="77777777" w:rsidR="00A57D03" w:rsidRPr="00A57D03" w:rsidRDefault="00A57D03" w:rsidP="00A57D03">
      <w:pPr>
        <w:pStyle w:val="Bibliography"/>
        <w:rPr>
          <w:lang w:val="en-US"/>
        </w:rPr>
      </w:pPr>
      <w:r w:rsidRPr="00A57D03">
        <w:rPr>
          <w:lang w:val="en-US"/>
        </w:rPr>
        <w:t>4.</w:t>
      </w:r>
      <w:r w:rsidRPr="00A57D03">
        <w:rPr>
          <w:lang w:val="en-US"/>
        </w:rPr>
        <w:tab/>
        <w:t xml:space="preserve">Basiri R, Haverstock BD, Petrasek PF, Manji K. Reduction in Diabetes-Related Major Amputation Rates After Implementation of a Multidisciplinary Model: An Evaluation in Alberta, Canada. J Am Podiatr Med Assoc. 2019 Nov 1; </w:t>
      </w:r>
    </w:p>
    <w:p w14:paraId="35C86E43" w14:textId="77777777" w:rsidR="00A57D03" w:rsidRPr="00A57D03" w:rsidRDefault="00A57D03" w:rsidP="00A57D03">
      <w:pPr>
        <w:pStyle w:val="Bibliography"/>
        <w:rPr>
          <w:lang w:val="en-US"/>
        </w:rPr>
      </w:pPr>
      <w:r w:rsidRPr="00A57D03">
        <w:rPr>
          <w:lang w:val="en-US"/>
        </w:rPr>
        <w:t>5.</w:t>
      </w:r>
      <w:r w:rsidRPr="00A57D03">
        <w:rPr>
          <w:lang w:val="en-US"/>
        </w:rPr>
        <w:tab/>
        <w:t xml:space="preserve">Musuuza J, Sutherland BL, Kurter S, Balasubramanian P, Bartels CM, Brennan MB. A systematic review of multidisciplinary teams to reduce major amputations for patients with diabetic foot ulcers. J Vasc Surg. 2019 Oct 29; </w:t>
      </w:r>
    </w:p>
    <w:p w14:paraId="653ADD2D" w14:textId="77777777" w:rsidR="00A57D03" w:rsidRPr="00A57D03" w:rsidRDefault="00A57D03" w:rsidP="00A57D03">
      <w:pPr>
        <w:pStyle w:val="Bibliography"/>
        <w:rPr>
          <w:lang w:val="en-US"/>
        </w:rPr>
      </w:pPr>
      <w:r w:rsidRPr="00A57D03">
        <w:rPr>
          <w:lang w:val="en-US"/>
        </w:rPr>
        <w:t>6.</w:t>
      </w:r>
      <w:r w:rsidRPr="00A57D03">
        <w:rPr>
          <w:lang w:val="en-US"/>
        </w:rPr>
        <w:tab/>
        <w:t xml:space="preserve">Paisey RB, Abbott A, Levenson R, Harrington A, Browne D, Moore J, et al. Diabetes-related major lower limb amputation incidence is strongly related to diabetic foot service provision and improves with enhancement of services: peer review of the South-West of England. Diabet Med J Br Diabet Assoc. 2018;35(1):53–62. </w:t>
      </w:r>
    </w:p>
    <w:p w14:paraId="1E43E336" w14:textId="77777777" w:rsidR="00A57D03" w:rsidRPr="00A57D03" w:rsidRDefault="00A57D03" w:rsidP="00A57D03">
      <w:pPr>
        <w:pStyle w:val="Bibliography"/>
        <w:rPr>
          <w:lang w:val="en-US"/>
        </w:rPr>
      </w:pPr>
      <w:r w:rsidRPr="00A57D03">
        <w:rPr>
          <w:lang w:val="en-US"/>
        </w:rPr>
        <w:t>7.</w:t>
      </w:r>
      <w:r w:rsidRPr="00A57D03">
        <w:rPr>
          <w:lang w:val="en-US"/>
        </w:rPr>
        <w:tab/>
        <w:t xml:space="preserve">Jiménez S, Rubio JA, Álvarez J, Ruiz-Grande F, Medina C. Trends in the incidence of lower limb amputation after implementation of a Multidisciplinary Diabetic Foot Unit. Endocrinol Diabetes Nutr. 2017 Apr;64(4):188–97. </w:t>
      </w:r>
    </w:p>
    <w:p w14:paraId="2D705C9E" w14:textId="77777777" w:rsidR="00A57D03" w:rsidRPr="00A57D03" w:rsidRDefault="00A57D03" w:rsidP="00A57D03">
      <w:pPr>
        <w:pStyle w:val="Bibliography"/>
        <w:rPr>
          <w:lang w:val="en-US"/>
        </w:rPr>
      </w:pPr>
      <w:r w:rsidRPr="00A57D03">
        <w:rPr>
          <w:lang w:val="en-US"/>
        </w:rPr>
        <w:t>8.</w:t>
      </w:r>
      <w:r w:rsidRPr="00A57D03">
        <w:rPr>
          <w:lang w:val="en-US"/>
        </w:rPr>
        <w:tab/>
        <w:t xml:space="preserve">Hsu CR, Chang CC, Chen YT, Lin WN, Chen MY. Organization of wound healing services: The impact on lowering the diabetes foot amputation rate in a ten-year review and the importance of early debridement. Diabetes Res Clin Pract. 2015 Jul;109(1):77–84. </w:t>
      </w:r>
    </w:p>
    <w:p w14:paraId="4A9DF69C" w14:textId="77777777" w:rsidR="00A57D03" w:rsidRPr="00A57D03" w:rsidRDefault="00A57D03" w:rsidP="00A57D03">
      <w:pPr>
        <w:pStyle w:val="Bibliography"/>
        <w:rPr>
          <w:lang w:val="en-US"/>
        </w:rPr>
      </w:pPr>
      <w:r w:rsidRPr="00A57D03">
        <w:rPr>
          <w:lang w:val="en-US"/>
        </w:rPr>
        <w:t>9.</w:t>
      </w:r>
      <w:r w:rsidRPr="00A57D03">
        <w:rPr>
          <w:lang w:val="en-US"/>
        </w:rPr>
        <w:tab/>
        <w:t xml:space="preserve">Lazzarini PA, O’Rourke SR, Russell AW, Derhy PH, Kamp MC. Reduced Incidence of Foot-Related Hospitalisation and Amputation amongst Persons with Diabetes in Queensland, Australia. PloS One. 2015;10(6):e0130609. </w:t>
      </w:r>
    </w:p>
    <w:p w14:paraId="290A9704" w14:textId="77777777" w:rsidR="00A57D03" w:rsidRPr="00A57D03" w:rsidRDefault="00A57D03" w:rsidP="00A57D03">
      <w:pPr>
        <w:pStyle w:val="Bibliography"/>
        <w:rPr>
          <w:lang w:val="en-US"/>
        </w:rPr>
      </w:pPr>
      <w:r w:rsidRPr="00A57D03">
        <w:rPr>
          <w:lang w:val="en-US"/>
        </w:rPr>
        <w:t>10.</w:t>
      </w:r>
      <w:r w:rsidRPr="00A57D03">
        <w:rPr>
          <w:lang w:val="en-US"/>
        </w:rPr>
        <w:tab/>
        <w:t xml:space="preserve">Martínez-Gómez DA, Moreno-Carrillo MA, Campillo-Soto A, Carrillo-García A, Aguayo-Albasini JL. Reduction in diabetic amputations over 15 years in a defined Spain population. Benefits of a critical pathway approach and multidisciplinary team work. Rev Espanola Quimioter Publicacion Of Soc Espanola Quimioter. 2014 Sep;27(3):170–9. </w:t>
      </w:r>
    </w:p>
    <w:p w14:paraId="16502DDA" w14:textId="77777777" w:rsidR="00A57D03" w:rsidRPr="00A57D03" w:rsidRDefault="00A57D03" w:rsidP="00A57D03">
      <w:pPr>
        <w:pStyle w:val="Bibliography"/>
        <w:rPr>
          <w:lang w:val="en-US"/>
        </w:rPr>
      </w:pPr>
      <w:r w:rsidRPr="00A57D03">
        <w:rPr>
          <w:lang w:val="en-US"/>
        </w:rPr>
        <w:t>11.</w:t>
      </w:r>
      <w:r w:rsidRPr="00A57D03">
        <w:rPr>
          <w:lang w:val="en-US"/>
        </w:rPr>
        <w:tab/>
        <w:t xml:space="preserve">Rubio JA, Aragón-Sánchez J, Jiménez S, Guadalix G, Albarracín A, Salido C, et al. Reducing major lower extremity amputations after the introduction of a multidisciplinary team for the diabetic foot. Int J Low Extrem Wounds. 2014 Mar;13(1):22–6. </w:t>
      </w:r>
    </w:p>
    <w:p w14:paraId="1CFBBCEB" w14:textId="77777777" w:rsidR="00A57D03" w:rsidRPr="00A57D03" w:rsidRDefault="00A57D03" w:rsidP="00A57D03">
      <w:pPr>
        <w:pStyle w:val="Bibliography"/>
        <w:rPr>
          <w:lang w:val="en-US"/>
        </w:rPr>
      </w:pPr>
      <w:r w:rsidRPr="00A57D03">
        <w:rPr>
          <w:lang w:val="en-US"/>
        </w:rPr>
        <w:t>12.</w:t>
      </w:r>
      <w:r w:rsidRPr="00A57D03">
        <w:rPr>
          <w:lang w:val="en-US"/>
        </w:rPr>
        <w:tab/>
        <w:t xml:space="preserve">Alexandrescu V, Hubermont G, Coessens V, Philips Y, Guillaumie B, Ngongang C, et al. Why a multidisciplinary team may represent a key factor for lowering the inferior limb loss rate in diabetic neuro-ischaemic wounds: application in a departmental institution. Acta Chir Belg. 2009 Dec;109(6):694–700. </w:t>
      </w:r>
    </w:p>
    <w:p w14:paraId="008B4A1C" w14:textId="77777777" w:rsidR="00A57D03" w:rsidRPr="00A57D03" w:rsidRDefault="00A57D03" w:rsidP="00A57D03">
      <w:pPr>
        <w:pStyle w:val="Bibliography"/>
        <w:rPr>
          <w:lang w:val="en-US"/>
        </w:rPr>
      </w:pPr>
      <w:r w:rsidRPr="00A57D03">
        <w:rPr>
          <w:lang w:val="en-US"/>
        </w:rPr>
        <w:t>13.</w:t>
      </w:r>
      <w:r w:rsidRPr="00A57D03">
        <w:rPr>
          <w:lang w:val="en-US"/>
        </w:rPr>
        <w:tab/>
        <w:t xml:space="preserve">Kim CH, Moon JS, Chung SM, Kong EJ, Park CH, Yoon WS, et al. The Changes of Trends in the Diagnosis and Treatment of Diabetic Foot Ulcer over a 10-Year Period: Single Center Study. Diabetes Metab J. 2018 Aug;42(4):308–19. </w:t>
      </w:r>
    </w:p>
    <w:p w14:paraId="7AA6B344" w14:textId="77777777" w:rsidR="00A57D03" w:rsidRPr="00A57D03" w:rsidRDefault="00A57D03" w:rsidP="00A57D03">
      <w:pPr>
        <w:pStyle w:val="Bibliography"/>
        <w:rPr>
          <w:lang w:val="en-US"/>
        </w:rPr>
      </w:pPr>
      <w:r w:rsidRPr="00A57D03">
        <w:rPr>
          <w:lang w:val="en-US"/>
        </w:rPr>
        <w:t>14.</w:t>
      </w:r>
      <w:r w:rsidRPr="00A57D03">
        <w:rPr>
          <w:lang w:val="en-US"/>
        </w:rPr>
        <w:tab/>
        <w:t xml:space="preserve">Plusch D, Penkala S, Dickson HG, Malone M. Primary care referral to multidisciplinary high risk foot services - too few, too late. J Foot Ankle Res. 2015;8:62. </w:t>
      </w:r>
    </w:p>
    <w:p w14:paraId="68382027" w14:textId="77777777" w:rsidR="00A57D03" w:rsidRPr="00A57D03" w:rsidRDefault="00A57D03" w:rsidP="00A57D03">
      <w:pPr>
        <w:pStyle w:val="Bibliography"/>
        <w:rPr>
          <w:lang w:val="en-US"/>
        </w:rPr>
      </w:pPr>
      <w:r w:rsidRPr="00A57D03">
        <w:rPr>
          <w:lang w:val="en-US"/>
        </w:rPr>
        <w:t>15.</w:t>
      </w:r>
      <w:r w:rsidRPr="00A57D03">
        <w:rPr>
          <w:lang w:val="en-US"/>
        </w:rPr>
        <w:tab/>
        <w:t xml:space="preserve">Laakso M, Honkasalo M, Kiiski J, Ala-Houhala M, Haapasalo H, Laine HJ, et al. Re-organizing inpatient care saves legs in patients with diabetic foot infections. Diabetes Res Clin Pract. 2017 Mar;125:39–46. </w:t>
      </w:r>
    </w:p>
    <w:p w14:paraId="4C36657D" w14:textId="77777777" w:rsidR="00A57D03" w:rsidRDefault="00A57D03" w:rsidP="00A57D03">
      <w:pPr>
        <w:pStyle w:val="Bibliography"/>
      </w:pPr>
      <w:r w:rsidRPr="00A57D03">
        <w:rPr>
          <w:lang w:val="en-US"/>
        </w:rPr>
        <w:t>16.</w:t>
      </w:r>
      <w:r w:rsidRPr="00A57D03">
        <w:rPr>
          <w:lang w:val="en-US"/>
        </w:rPr>
        <w:tab/>
        <w:t xml:space="preserve">Blanchette V, Hains S, Cloutier L. Establishing a multidisciplinary partnership integrating podiatric care into the Quebec public health-care system to improve diabetic foot outcomes: A retrospective cohort. </w:t>
      </w:r>
      <w:r>
        <w:t xml:space="preserve">Foot Edinb Scotl. 2019 Mar;38:54–60. </w:t>
      </w:r>
    </w:p>
    <w:p w14:paraId="5DE046C6" w14:textId="77777777" w:rsidR="00A57D03" w:rsidRPr="00A57D03" w:rsidRDefault="00A57D03" w:rsidP="00A57D03">
      <w:pPr>
        <w:pStyle w:val="Bibliography"/>
        <w:rPr>
          <w:lang w:val="en-US"/>
        </w:rPr>
      </w:pPr>
      <w:r>
        <w:t>17.</w:t>
      </w:r>
      <w:r>
        <w:tab/>
        <w:t xml:space="preserve">Almdal T, Nielsen AA, Nielsen KE, Jørgensen ME, Rasmussen A, Hangaard S, et al. </w:t>
      </w:r>
      <w:r w:rsidRPr="00A57D03">
        <w:rPr>
          <w:lang w:val="en-US"/>
        </w:rPr>
        <w:t xml:space="preserve">Increased healing in diabetic toe ulcers in a multidisciplinary foot clinic-An observational cohort study. Diabetes Res Clin Pract. 2015 Dec;110(3):315–21. </w:t>
      </w:r>
    </w:p>
    <w:p w14:paraId="0007F605" w14:textId="77777777" w:rsidR="00A57D03" w:rsidRPr="00A57D03" w:rsidRDefault="00A57D03" w:rsidP="00A57D03">
      <w:pPr>
        <w:pStyle w:val="Bibliography"/>
        <w:rPr>
          <w:lang w:val="en-US"/>
        </w:rPr>
      </w:pPr>
      <w:r w:rsidRPr="00A57D03">
        <w:rPr>
          <w:lang w:val="en-US"/>
        </w:rPr>
        <w:t>18.</w:t>
      </w:r>
      <w:r w:rsidRPr="00A57D03">
        <w:rPr>
          <w:lang w:val="en-US"/>
        </w:rPr>
        <w:tab/>
        <w:t xml:space="preserve">Schmidt BM, Holmes CM, Ye W, Pop-Busui R. A Tale of Two Eras: Mining Big Data from Electronic Health Records to Determine Limb Salvage Rates with Podiatry. Curr Diabetes Rev. 2019;15(6):497–502. </w:t>
      </w:r>
    </w:p>
    <w:p w14:paraId="4C75DA5C" w14:textId="77777777" w:rsidR="00A57D03" w:rsidRPr="00A57D03" w:rsidRDefault="00A57D03" w:rsidP="00A57D03">
      <w:pPr>
        <w:pStyle w:val="Bibliography"/>
        <w:rPr>
          <w:lang w:val="en-US"/>
        </w:rPr>
      </w:pPr>
      <w:r w:rsidRPr="00A57D03">
        <w:rPr>
          <w:lang w:val="en-US"/>
        </w:rPr>
        <w:t>19.</w:t>
      </w:r>
      <w:r w:rsidRPr="00A57D03">
        <w:rPr>
          <w:lang w:val="en-US"/>
        </w:rPr>
        <w:tab/>
        <w:t xml:space="preserve">Schmidt BM, Wrobel JS, Munson M, Rothenberg G, Holmes CM. Podiatry impact on high-low amputation ratio characteristics: A 16-year retrospective study. Diabetes Res Clin Pract. 2017 Apr;126:272–7. </w:t>
      </w:r>
    </w:p>
    <w:p w14:paraId="6046CC45" w14:textId="77777777" w:rsidR="00A57D03" w:rsidRPr="00A57D03" w:rsidRDefault="00A57D03" w:rsidP="00A57D03">
      <w:pPr>
        <w:pStyle w:val="Bibliography"/>
        <w:rPr>
          <w:lang w:val="en-US"/>
        </w:rPr>
      </w:pPr>
      <w:r w:rsidRPr="00A57D03">
        <w:rPr>
          <w:lang w:val="en-US"/>
        </w:rPr>
        <w:t>20.</w:t>
      </w:r>
      <w:r w:rsidRPr="00A57D03">
        <w:rPr>
          <w:lang w:val="en-US"/>
        </w:rPr>
        <w:tab/>
        <w:t xml:space="preserve">Kröger K, Moysidis T, Feghaly M, Schäfer E, Bufe A, Initiative Chronische Wunden e.V., Germany. Association of diabetic foot care and amputation rates in Germany. Int Wound J. 2016 Oct;13(5):686–91. </w:t>
      </w:r>
    </w:p>
    <w:p w14:paraId="17175A2C" w14:textId="77777777" w:rsidR="00A57D03" w:rsidRPr="00A57D03" w:rsidRDefault="00A57D03" w:rsidP="00A57D03">
      <w:pPr>
        <w:pStyle w:val="Bibliography"/>
        <w:rPr>
          <w:lang w:val="en-US"/>
        </w:rPr>
      </w:pPr>
      <w:r w:rsidRPr="00A57D03">
        <w:rPr>
          <w:lang w:val="en-US"/>
        </w:rPr>
        <w:t>21.</w:t>
      </w:r>
      <w:r w:rsidRPr="00A57D03">
        <w:rPr>
          <w:lang w:val="en-US"/>
        </w:rPr>
        <w:tab/>
        <w:t xml:space="preserve">Gibson TB, Driver VR, Wrobel JS, Christina JR, Bagalman E, DeFrancis R, et al. Podiatrist care and outcomes for patients with diabetes and foot ulcer. Int Wound J. 2014 Dec;11(6):641–8. </w:t>
      </w:r>
    </w:p>
    <w:p w14:paraId="75EAFB0F" w14:textId="77777777" w:rsidR="00A57D03" w:rsidRPr="00A57D03" w:rsidRDefault="00A57D03" w:rsidP="00A57D03">
      <w:pPr>
        <w:pStyle w:val="Bibliography"/>
        <w:rPr>
          <w:lang w:val="en-US"/>
        </w:rPr>
      </w:pPr>
      <w:r w:rsidRPr="00A57D03">
        <w:rPr>
          <w:lang w:val="en-US"/>
        </w:rPr>
        <w:t>22.</w:t>
      </w:r>
      <w:r w:rsidRPr="00A57D03">
        <w:rPr>
          <w:lang w:val="en-US"/>
        </w:rPr>
        <w:tab/>
        <w:t xml:space="preserve">Cichero MJ, Bower VM, Walsh TP, Yates BJ. Reducing length of stay for acute diabetic foot episodes: employing an extended scope of practice podiatric high-risk foot coordinator in an acute foundation trust hospital. J Foot Ankle Res. 2013 Dec 11;6(1):47. </w:t>
      </w:r>
    </w:p>
    <w:p w14:paraId="52AE6DAD" w14:textId="77777777" w:rsidR="00A57D03" w:rsidRPr="00A57D03" w:rsidRDefault="00A57D03" w:rsidP="00A57D03">
      <w:pPr>
        <w:pStyle w:val="Bibliography"/>
        <w:rPr>
          <w:lang w:val="en-US"/>
        </w:rPr>
      </w:pPr>
      <w:r w:rsidRPr="00A57D03">
        <w:rPr>
          <w:lang w:val="en-US"/>
        </w:rPr>
        <w:t>23.</w:t>
      </w:r>
      <w:r w:rsidRPr="00A57D03">
        <w:rPr>
          <w:lang w:val="en-US"/>
        </w:rPr>
        <w:tab/>
        <w:t xml:space="preserve">Weck M, Slesaczeck T, Paetzold H, Muench D, Nanning T, von Gagern G, et al. Structured health care for subjects with diabetic foot ulcers results in a reduction of major amputation rates. Cardiovasc Diabetol. 2013 Mar 13;12:45. </w:t>
      </w:r>
    </w:p>
    <w:p w14:paraId="08B2702D" w14:textId="77777777" w:rsidR="00A57D03" w:rsidRPr="00A57D03" w:rsidRDefault="00A57D03" w:rsidP="00A57D03">
      <w:pPr>
        <w:pStyle w:val="Bibliography"/>
        <w:rPr>
          <w:lang w:val="en-US"/>
        </w:rPr>
      </w:pPr>
      <w:r w:rsidRPr="00A57D03">
        <w:rPr>
          <w:lang w:val="en-US"/>
        </w:rPr>
        <w:t>24.</w:t>
      </w:r>
      <w:r w:rsidRPr="00A57D03">
        <w:rPr>
          <w:lang w:val="en-US"/>
        </w:rPr>
        <w:tab/>
        <w:t xml:space="preserve">Setacci C, Sirignano P, Mazzitelli G, Setacci F, Messina G, Galzerano G, et al. Diabetic foot: surgical approach in emergency. Int J Vasc Med. 2013;2013:296169. </w:t>
      </w:r>
    </w:p>
    <w:p w14:paraId="40861828" w14:textId="77777777" w:rsidR="00A57D03" w:rsidRDefault="00A57D03" w:rsidP="00A57D03">
      <w:pPr>
        <w:pStyle w:val="Bibliography"/>
      </w:pPr>
      <w:r w:rsidRPr="00A57D03">
        <w:rPr>
          <w:lang w:val="en-US"/>
        </w:rPr>
        <w:t>25.</w:t>
      </w:r>
      <w:r w:rsidRPr="00A57D03">
        <w:rPr>
          <w:lang w:val="en-US"/>
        </w:rPr>
        <w:tab/>
        <w:t xml:space="preserve">Tan MLM, Feng J, Gordois A, Wong ESD. Lower extremity amputation prevention in Singapore: economic analysis of results. </w:t>
      </w:r>
      <w:r>
        <w:t xml:space="preserve">Singapore Med J. 2011 Sep;52(9):662–8. </w:t>
      </w:r>
    </w:p>
    <w:p w14:paraId="73599E01" w14:textId="77777777" w:rsidR="00A57D03" w:rsidRPr="00A57D03" w:rsidRDefault="00A57D03" w:rsidP="00A57D03">
      <w:pPr>
        <w:pStyle w:val="Bibliography"/>
        <w:rPr>
          <w:lang w:val="en-US"/>
        </w:rPr>
      </w:pPr>
      <w:r>
        <w:t>26.</w:t>
      </w:r>
      <w:r>
        <w:tab/>
        <w:t xml:space="preserve">Rümenapf G, Geiger S, Schneider B, Amendt K, Wilhelm N, Morbach S, et al. </w:t>
      </w:r>
      <w:r w:rsidRPr="00A57D03">
        <w:rPr>
          <w:lang w:val="en-US"/>
        </w:rPr>
        <w:t xml:space="preserve">Readmissions of patients with diabetes mellitus and foot ulcers after infra-popliteal bypass surgery - attacking the problem by an integrated case management model. VASA Z Gefasskrankheiten. 2013 Jan;42(1):56–67. </w:t>
      </w:r>
    </w:p>
    <w:p w14:paraId="500F86A5" w14:textId="77777777" w:rsidR="00A57D03" w:rsidRPr="00A57D03" w:rsidRDefault="00A57D03" w:rsidP="00A57D03">
      <w:pPr>
        <w:pStyle w:val="Bibliography"/>
        <w:rPr>
          <w:lang w:val="en-US"/>
        </w:rPr>
      </w:pPr>
      <w:r w:rsidRPr="00A57D03">
        <w:rPr>
          <w:lang w:val="en-US"/>
        </w:rPr>
        <w:t>27.</w:t>
      </w:r>
      <w:r w:rsidRPr="00A57D03">
        <w:rPr>
          <w:lang w:val="en-US"/>
        </w:rPr>
        <w:tab/>
        <w:t xml:space="preserve">Sheen YJ, Kung PT, Kuo WY, Chiu LT, Tsai WC. Impact of the pay-for-performance program on lower extremity amputations in patients with diabetes in Taiwan. Medicine (Baltimore). 2018 Oct;97(41):e12759. </w:t>
      </w:r>
    </w:p>
    <w:p w14:paraId="7EAD5290" w14:textId="77777777" w:rsidR="00A57D03" w:rsidRPr="00A57D03" w:rsidRDefault="00A57D03" w:rsidP="00A57D03">
      <w:pPr>
        <w:pStyle w:val="Bibliography"/>
        <w:rPr>
          <w:lang w:val="en-US"/>
        </w:rPr>
      </w:pPr>
      <w:r w:rsidRPr="00A57D03">
        <w:rPr>
          <w:lang w:val="en-US"/>
        </w:rPr>
        <w:t>28.</w:t>
      </w:r>
      <w:r w:rsidRPr="00A57D03">
        <w:rPr>
          <w:lang w:val="en-US"/>
        </w:rPr>
        <w:tab/>
        <w:t xml:space="preserve">Nayeri ND, Samadi N, Larijani B, Sayadi L. Effect of nurse-led care on quality of care and level of HbA1C in patients with diabetic foot ulcer: A randomized clinical trial. Wound Repair Regen. 2020;28(3):338–46. </w:t>
      </w:r>
    </w:p>
    <w:p w14:paraId="5A454A5C" w14:textId="77777777" w:rsidR="00A57D03" w:rsidRPr="00A57D03" w:rsidRDefault="00A57D03" w:rsidP="00A57D03">
      <w:pPr>
        <w:pStyle w:val="Bibliography"/>
        <w:rPr>
          <w:lang w:val="en-US"/>
        </w:rPr>
      </w:pPr>
      <w:r w:rsidRPr="00A57D03">
        <w:rPr>
          <w:lang w:val="en-US"/>
        </w:rPr>
        <w:t>29.</w:t>
      </w:r>
      <w:r w:rsidRPr="00A57D03">
        <w:rPr>
          <w:lang w:val="en-US"/>
        </w:rPr>
        <w:tab/>
        <w:t xml:space="preserve">Karimi Z, Behnammoghadam M, Rafiei H, Abdi N, Zoladl M, Talebianpoor MS, et al. Impact of olive oil and honey on healing of diabetic foot: a randomized controlled trial. Clin Cosmet Investig Dermatol. 2019;12:347–54. </w:t>
      </w:r>
    </w:p>
    <w:p w14:paraId="2F428291" w14:textId="77777777" w:rsidR="00A57D03" w:rsidRPr="00A57D03" w:rsidRDefault="00A57D03" w:rsidP="00A57D03">
      <w:pPr>
        <w:pStyle w:val="Bibliography"/>
        <w:rPr>
          <w:lang w:val="en-US"/>
        </w:rPr>
      </w:pPr>
      <w:r w:rsidRPr="00A57D03">
        <w:rPr>
          <w:lang w:val="en-US"/>
        </w:rPr>
        <w:t>30.</w:t>
      </w:r>
      <w:r w:rsidRPr="00A57D03">
        <w:rPr>
          <w:lang w:val="en-US"/>
        </w:rPr>
        <w:tab/>
        <w:t xml:space="preserve">Wang C, Guo M, Zhang N, Wang G. Effectiveness of honey dressing in the treatment of diabetic foot ulcers: A systematic review and meta-analysis. Complement Ther Clin Pract. 2019 Feb;34:123–31. </w:t>
      </w:r>
    </w:p>
    <w:p w14:paraId="2597B1AB" w14:textId="77777777" w:rsidR="00A57D03" w:rsidRPr="00A57D03" w:rsidRDefault="00A57D03" w:rsidP="00A57D03">
      <w:pPr>
        <w:pStyle w:val="Bibliography"/>
        <w:rPr>
          <w:lang w:val="en-US"/>
        </w:rPr>
      </w:pPr>
      <w:r w:rsidRPr="00A57D03">
        <w:rPr>
          <w:lang w:val="en-US"/>
        </w:rPr>
        <w:t>31.</w:t>
      </w:r>
      <w:r w:rsidRPr="00A57D03">
        <w:rPr>
          <w:lang w:val="en-US"/>
        </w:rPr>
        <w:tab/>
        <w:t xml:space="preserve">Yakoot M, Abdelatif M, Helmy S. Efficacy of a new local limb salvage treatment for limb-threatening diabetic foot wounds - a randomized controlled study. Diabetes Metab Syndr Obes Targets Ther. 2019;12:1659–65. </w:t>
      </w:r>
    </w:p>
    <w:p w14:paraId="4787C16A" w14:textId="77777777" w:rsidR="00A57D03" w:rsidRPr="00A57D03" w:rsidRDefault="00A57D03" w:rsidP="00A57D03">
      <w:pPr>
        <w:pStyle w:val="Bibliography"/>
        <w:rPr>
          <w:lang w:val="en-US"/>
        </w:rPr>
      </w:pPr>
      <w:r w:rsidRPr="00A57D03">
        <w:rPr>
          <w:lang w:val="en-US"/>
        </w:rPr>
        <w:t>32.</w:t>
      </w:r>
      <w:r w:rsidRPr="00A57D03">
        <w:rPr>
          <w:lang w:val="en-US"/>
        </w:rPr>
        <w:tab/>
        <w:t xml:space="preserve">Kateel R, Adhikari P, Augustine AJ, Ullal S. Topical honey for the treatment of diabetic foot ulcer: A systematic review. Complement Ther Clin Pract. 2016 Aug;24:130–3. </w:t>
      </w:r>
    </w:p>
    <w:p w14:paraId="3E13E69C" w14:textId="77777777" w:rsidR="00A57D03" w:rsidRPr="00A57D03" w:rsidRDefault="00A57D03" w:rsidP="00A57D03">
      <w:pPr>
        <w:pStyle w:val="Bibliography"/>
        <w:rPr>
          <w:lang w:val="en-US"/>
        </w:rPr>
      </w:pPr>
      <w:r w:rsidRPr="00A57D03">
        <w:rPr>
          <w:lang w:val="en-US"/>
        </w:rPr>
        <w:t>33.</w:t>
      </w:r>
      <w:r w:rsidRPr="00A57D03">
        <w:rPr>
          <w:lang w:val="en-US"/>
        </w:rPr>
        <w:tab/>
        <w:t xml:space="preserve">Imran M, Hussain MB, Baig M. A Randomized, Controlled Clinical Trial of Honey-Impregnated Dressing for Treating Diabetic Foot Ulcer. J Coll Physicians Surg--Pak JCPSP. 2015 Oct;25(10):721–5. </w:t>
      </w:r>
    </w:p>
    <w:p w14:paraId="1C82C61E" w14:textId="77777777" w:rsidR="00A57D03" w:rsidRPr="00A57D03" w:rsidRDefault="00A57D03" w:rsidP="00A57D03">
      <w:pPr>
        <w:pStyle w:val="Bibliography"/>
        <w:rPr>
          <w:lang w:val="en-US"/>
        </w:rPr>
      </w:pPr>
      <w:r w:rsidRPr="00A57D03">
        <w:rPr>
          <w:lang w:val="en-US"/>
        </w:rPr>
        <w:t>34.</w:t>
      </w:r>
      <w:r w:rsidRPr="00A57D03">
        <w:rPr>
          <w:lang w:val="en-US"/>
        </w:rPr>
        <w:tab/>
        <w:t xml:space="preserve">Zhang X, Sun D, Jiang GC. Comparative efficacy of nine different dressings in healing diabetic foot ulcer: A Bayesian network analysis. J Diabetes. 2019 Jun;11(6):418–26. </w:t>
      </w:r>
    </w:p>
    <w:p w14:paraId="5FF71F66" w14:textId="77777777" w:rsidR="00A57D03" w:rsidRPr="00A57D03" w:rsidRDefault="00A57D03" w:rsidP="00A57D03">
      <w:pPr>
        <w:pStyle w:val="Bibliography"/>
        <w:rPr>
          <w:lang w:val="en-US"/>
        </w:rPr>
      </w:pPr>
      <w:r w:rsidRPr="00A57D03">
        <w:rPr>
          <w:lang w:val="en-US"/>
        </w:rPr>
        <w:t>35.</w:t>
      </w:r>
      <w:r w:rsidRPr="00A57D03">
        <w:rPr>
          <w:lang w:val="en-US"/>
        </w:rPr>
        <w:tab/>
        <w:t xml:space="preserve">Dumville JC, Lipsky BA, Hoey C, Cruciani M, Fiscon M, Xia J. Topical antimicrobial agents for treating foot ulcers in people with diabetes. Cochrane Database Syst Rev. 2017 14;6:CD011038. </w:t>
      </w:r>
    </w:p>
    <w:p w14:paraId="267C763B" w14:textId="77777777" w:rsidR="00A57D03" w:rsidRPr="00A57D03" w:rsidRDefault="00A57D03" w:rsidP="00A57D03">
      <w:pPr>
        <w:pStyle w:val="Bibliography"/>
        <w:rPr>
          <w:lang w:val="en-US"/>
        </w:rPr>
      </w:pPr>
      <w:r w:rsidRPr="00A57D03">
        <w:rPr>
          <w:lang w:val="en-US"/>
        </w:rPr>
        <w:t>36.</w:t>
      </w:r>
      <w:r w:rsidRPr="00A57D03">
        <w:rPr>
          <w:lang w:val="en-US"/>
        </w:rPr>
        <w:tab/>
        <w:t xml:space="preserve">Tsang KK, Kwong EWY, To TSS, Chung JWY, Wong TKS. A Pilot Randomized, Controlled Study of Nanocrystalline Silver, Manuka Honey, and Conventional Dressing in Healing Diabetic Foot Ulcer. Evid-Based Complement Altern Med ECAM. 2017;2017:5294890. </w:t>
      </w:r>
    </w:p>
    <w:p w14:paraId="0FD077AC" w14:textId="77777777" w:rsidR="00A57D03" w:rsidRPr="00A57D03" w:rsidRDefault="00A57D03" w:rsidP="00A57D03">
      <w:pPr>
        <w:pStyle w:val="Bibliography"/>
        <w:rPr>
          <w:lang w:val="en-US"/>
        </w:rPr>
      </w:pPr>
      <w:r w:rsidRPr="00A57D03">
        <w:rPr>
          <w:lang w:val="en-US"/>
        </w:rPr>
        <w:t>37.</w:t>
      </w:r>
      <w:r w:rsidRPr="00A57D03">
        <w:rPr>
          <w:lang w:val="en-US"/>
        </w:rPr>
        <w:tab/>
        <w:t xml:space="preserve">Bergqvist K, Almhöjd U, Herrmann I, Eliasson B. The role of chloramines in treatment of diabetic foot ulcers: an exploratory multicentre randomised controlled trial. Clin Diabetes Endocrinol. 2016;2:6. </w:t>
      </w:r>
    </w:p>
    <w:p w14:paraId="4B8BCAD7" w14:textId="77777777" w:rsidR="00A57D03" w:rsidRPr="00A57D03" w:rsidRDefault="00A57D03" w:rsidP="00A57D03">
      <w:pPr>
        <w:pStyle w:val="Bibliography"/>
        <w:rPr>
          <w:lang w:val="en-US"/>
        </w:rPr>
      </w:pPr>
      <w:r w:rsidRPr="00A57D03">
        <w:rPr>
          <w:lang w:val="en-US"/>
        </w:rPr>
        <w:t>38.</w:t>
      </w:r>
      <w:r w:rsidRPr="00A57D03">
        <w:rPr>
          <w:lang w:val="en-US"/>
        </w:rPr>
        <w:tab/>
        <w:t xml:space="preserve">Siavash M, Shokri S, Haghighi S, Shahtalebi MA, Farajzadehgan Z. The efficacy of topical royal jelly on healing of diabetic foot ulcers: a double-blind placebo-controlled clinical trial. Int Wound J. 2015 Apr;12(2):137–42. </w:t>
      </w:r>
    </w:p>
    <w:p w14:paraId="4CF16D47" w14:textId="77777777" w:rsidR="00A57D03" w:rsidRPr="00A57D03" w:rsidRDefault="00A57D03" w:rsidP="00A57D03">
      <w:pPr>
        <w:pStyle w:val="Bibliography"/>
        <w:rPr>
          <w:lang w:val="en-US"/>
        </w:rPr>
      </w:pPr>
      <w:r w:rsidRPr="00A57D03">
        <w:rPr>
          <w:lang w:val="en-US"/>
        </w:rPr>
        <w:t>39.</w:t>
      </w:r>
      <w:r w:rsidRPr="00A57D03">
        <w:rPr>
          <w:lang w:val="en-US"/>
        </w:rPr>
        <w:tab/>
        <w:t xml:space="preserve">Kamaratos AV, Tzirogiannis KN, Iraklianou SA, Panoutsopoulos GI, Kanellos IE, Melidonis AI. Manuka honey-impregnated dressings in the treatment of neuropathic diabetic foot ulcers. Int Wound J. 2014 Jun;11(3):259–63. </w:t>
      </w:r>
    </w:p>
    <w:p w14:paraId="64FA0818" w14:textId="77777777" w:rsidR="00A57D03" w:rsidRPr="00A57D03" w:rsidRDefault="00A57D03" w:rsidP="00A57D03">
      <w:pPr>
        <w:pStyle w:val="Bibliography"/>
        <w:rPr>
          <w:lang w:val="en-US"/>
        </w:rPr>
      </w:pPr>
      <w:r w:rsidRPr="00A57D03">
        <w:rPr>
          <w:lang w:val="en-US"/>
        </w:rPr>
        <w:t>40.</w:t>
      </w:r>
      <w:r w:rsidRPr="00A57D03">
        <w:rPr>
          <w:lang w:val="en-US"/>
        </w:rPr>
        <w:tab/>
        <w:t xml:space="preserve">Tian X., Yi L.-J., Ma L., Zhang L., Song G.-M., Wang Y. Effects of honey dressing for the treatment of DFUs: A systematic review. Int J Nurs Sci. 2014;1(2):224–31. </w:t>
      </w:r>
    </w:p>
    <w:p w14:paraId="67156F9C" w14:textId="77777777" w:rsidR="00A57D03" w:rsidRPr="00A57D03" w:rsidRDefault="00A57D03" w:rsidP="00A57D03">
      <w:pPr>
        <w:pStyle w:val="Bibliography"/>
        <w:rPr>
          <w:lang w:val="en-US"/>
        </w:rPr>
      </w:pPr>
      <w:r w:rsidRPr="00A57D03">
        <w:rPr>
          <w:lang w:val="en-US"/>
        </w:rPr>
        <w:t>41.</w:t>
      </w:r>
      <w:r w:rsidRPr="00A57D03">
        <w:rPr>
          <w:lang w:val="en-US"/>
        </w:rPr>
        <w:tab/>
        <w:t xml:space="preserve">Mujica V, Orrego R, Fuentealba R, Leiva E, Zuniga-Hernandez J. Propolis as an Adjuvant in the Healing of Human Diabetic Foot Wounds Receiving Care in the Diagnostic and Treatment Centre from the Regional Hospital of Talca. J Diabetes Res. 2019;2019:2507578. </w:t>
      </w:r>
    </w:p>
    <w:p w14:paraId="3C67AD48" w14:textId="77777777" w:rsidR="00A57D03" w:rsidRPr="00A57D03" w:rsidRDefault="00A57D03" w:rsidP="00A57D03">
      <w:pPr>
        <w:pStyle w:val="Bibliography"/>
        <w:rPr>
          <w:lang w:val="fr-BE"/>
        </w:rPr>
      </w:pPr>
      <w:r w:rsidRPr="00A57D03">
        <w:rPr>
          <w:lang w:val="en-US"/>
        </w:rPr>
        <w:t>42.</w:t>
      </w:r>
      <w:r w:rsidRPr="00A57D03">
        <w:rPr>
          <w:lang w:val="en-US"/>
        </w:rPr>
        <w:tab/>
        <w:t xml:space="preserve">Afkhamizadeh M, Aboutorabi R, Ravari H, Fathi Najafi M, Ataei Azimi S, Javadian Langaroodi A, et al. Topical propolis improves wound healing in patients with diabetic foot ulcer: a randomized controlled trial. </w:t>
      </w:r>
      <w:r w:rsidRPr="00A57D03">
        <w:rPr>
          <w:lang w:val="fr-BE"/>
        </w:rPr>
        <w:t xml:space="preserve">Nat Prod Res. 2018 Sep;32(17):2096–9. </w:t>
      </w:r>
    </w:p>
    <w:p w14:paraId="706F756D" w14:textId="77777777" w:rsidR="00A57D03" w:rsidRPr="00A57D03" w:rsidRDefault="00A57D03" w:rsidP="00A57D03">
      <w:pPr>
        <w:pStyle w:val="Bibliography"/>
        <w:rPr>
          <w:lang w:val="en-US"/>
        </w:rPr>
      </w:pPr>
      <w:r w:rsidRPr="00A57D03">
        <w:rPr>
          <w:lang w:val="fr-BE"/>
        </w:rPr>
        <w:t>43.</w:t>
      </w:r>
      <w:r w:rsidRPr="00A57D03">
        <w:rPr>
          <w:lang w:val="fr-BE"/>
        </w:rPr>
        <w:tab/>
        <w:t xml:space="preserve">Motley TA, Caporusso JM, Lange DL, Eichelkraut RA, Cargill DI, Dickerson JE. </w:t>
      </w:r>
      <w:r w:rsidRPr="00A57D03">
        <w:rPr>
          <w:lang w:val="en-US"/>
        </w:rPr>
        <w:t xml:space="preserve">Clinical Outcomes for Diabetic Foot Ulcers Treated with Clostridial Collagenase Ointment or with a Product Containing Silver. Adv Wound Care. 2018 Oct 1;7(10):339–48. </w:t>
      </w:r>
    </w:p>
    <w:p w14:paraId="7EF8C15E" w14:textId="77777777" w:rsidR="00A57D03" w:rsidRPr="00A57D03" w:rsidRDefault="00A57D03" w:rsidP="00A57D03">
      <w:pPr>
        <w:pStyle w:val="Bibliography"/>
        <w:rPr>
          <w:lang w:val="en-US"/>
        </w:rPr>
      </w:pPr>
      <w:r w:rsidRPr="00A57D03">
        <w:rPr>
          <w:lang w:val="en-US"/>
        </w:rPr>
        <w:t>44.</w:t>
      </w:r>
      <w:r w:rsidRPr="00A57D03">
        <w:rPr>
          <w:lang w:val="en-US"/>
        </w:rPr>
        <w:tab/>
        <w:t xml:space="preserve">Varga M, Sixta B, Bem R, Matia I, Jirkovska A, Adamec M. Application of gentamicin-collagen sponge shortened wound healing time after minor amputations in diabetic patients - a prospective, randomised trial. Arch Med Sci AMS. 2014 May 12;10(2):283–7. </w:t>
      </w:r>
    </w:p>
    <w:p w14:paraId="281F2D35" w14:textId="77777777" w:rsidR="00A57D03" w:rsidRPr="00A57D03" w:rsidRDefault="00A57D03" w:rsidP="00A57D03">
      <w:pPr>
        <w:pStyle w:val="Bibliography"/>
        <w:rPr>
          <w:lang w:val="en-US"/>
        </w:rPr>
      </w:pPr>
      <w:r w:rsidRPr="00A57D03">
        <w:rPr>
          <w:lang w:val="en-US"/>
        </w:rPr>
        <w:t>45.</w:t>
      </w:r>
      <w:r w:rsidRPr="00A57D03">
        <w:rPr>
          <w:lang w:val="en-US"/>
        </w:rPr>
        <w:tab/>
        <w:t xml:space="preserve">Zhang L, Yin H, Lei X, Lau JNY, Yuan M, Wang X, et al. A Systematic Review and Meta-Analysis of Clinical Effectiveness and Safety of Hydrogel Dressings in the Management of Skin Wounds. Front Bioeng Biotechnol. 2019;7:342. </w:t>
      </w:r>
    </w:p>
    <w:p w14:paraId="4F16200C" w14:textId="77777777" w:rsidR="00A57D03" w:rsidRPr="008B4E3F" w:rsidRDefault="00A57D03" w:rsidP="00A57D03">
      <w:pPr>
        <w:pStyle w:val="Bibliography"/>
        <w:rPr>
          <w:lang w:val="en-US"/>
        </w:rPr>
      </w:pPr>
      <w:r w:rsidRPr="00A57D03">
        <w:rPr>
          <w:lang w:val="en-US"/>
        </w:rPr>
        <w:t>46.</w:t>
      </w:r>
      <w:r w:rsidRPr="00A57D03">
        <w:rPr>
          <w:lang w:val="en-US"/>
        </w:rPr>
        <w:tab/>
        <w:t xml:space="preserve">Gallelli G, Cione E, Serra R, Leo A, Citraro R, Matricardi P, et al. Nano-hydrogel embedded with quercetin and oleic acid as a new formulation in the  treatment of diabetic foot ulcer: A pilot study. </w:t>
      </w:r>
      <w:r w:rsidRPr="008B4E3F">
        <w:rPr>
          <w:lang w:val="en-US"/>
        </w:rPr>
        <w:t xml:space="preserve">Int Wound J. 2020 Apr;17(2):485–90. </w:t>
      </w:r>
    </w:p>
    <w:p w14:paraId="1ED84560" w14:textId="77777777" w:rsidR="00A57D03" w:rsidRPr="00A57D03" w:rsidRDefault="00A57D03" w:rsidP="00A57D03">
      <w:pPr>
        <w:pStyle w:val="Bibliography"/>
        <w:rPr>
          <w:lang w:val="fr-BE"/>
        </w:rPr>
      </w:pPr>
      <w:r w:rsidRPr="008B4E3F">
        <w:rPr>
          <w:lang w:val="en-US"/>
        </w:rPr>
        <w:t>47.</w:t>
      </w:r>
      <w:r w:rsidRPr="008B4E3F">
        <w:rPr>
          <w:lang w:val="en-US"/>
        </w:rPr>
        <w:tab/>
        <w:t xml:space="preserve">Edmonds M, Lázaro-Martínez JL, Alfayate-García JM, Martini J, Petit JM, Rayman G, et al. </w:t>
      </w:r>
      <w:r w:rsidRPr="00A57D03">
        <w:rPr>
          <w:lang w:val="en-US"/>
        </w:rPr>
        <w:t xml:space="preserve">Sucrose octasulfate dressing versus control dressing in patients with neuroischaemic diabetic foot ulcers (Explorer): an international, multicentre, double-blind, randomised, controlled trial. </w:t>
      </w:r>
      <w:r w:rsidRPr="00A57D03">
        <w:rPr>
          <w:lang w:val="fr-BE"/>
        </w:rPr>
        <w:t xml:space="preserve">Lancet Diabetes Endocrinol. 2018;6(3):186–96. </w:t>
      </w:r>
    </w:p>
    <w:p w14:paraId="69EA459F" w14:textId="77777777" w:rsidR="00A57D03" w:rsidRPr="00A57D03" w:rsidRDefault="00A57D03" w:rsidP="00A57D03">
      <w:pPr>
        <w:pStyle w:val="Bibliography"/>
        <w:rPr>
          <w:lang w:val="en-US"/>
        </w:rPr>
      </w:pPr>
      <w:r w:rsidRPr="00A57D03">
        <w:rPr>
          <w:lang w:val="fr-BE"/>
        </w:rPr>
        <w:t>48.</w:t>
      </w:r>
      <w:r w:rsidRPr="00A57D03">
        <w:rPr>
          <w:lang w:val="fr-BE"/>
        </w:rPr>
        <w:tab/>
        <w:t xml:space="preserve">Tonaco LAB, Gomes FL, Velasquez-Melendez G, Lopes MTP, Salas CE. </w:t>
      </w:r>
      <w:r w:rsidRPr="00A57D03">
        <w:rPr>
          <w:lang w:val="en-US"/>
        </w:rPr>
        <w:t xml:space="preserve">The Proteolytic Fraction from Latex of Vasconcellea cundinamarcensis (P1G10) Enhances Wound Healing of Diabetic Foot Ulcers: A Double-Blind Randomized Pilot Study. Adv Ther. 2018;35(4):494–502. </w:t>
      </w:r>
    </w:p>
    <w:p w14:paraId="5B7DC51E" w14:textId="77777777" w:rsidR="00A57D03" w:rsidRPr="00A57D03" w:rsidRDefault="00A57D03" w:rsidP="00A57D03">
      <w:pPr>
        <w:pStyle w:val="Bibliography"/>
        <w:rPr>
          <w:lang w:val="en-US"/>
        </w:rPr>
      </w:pPr>
      <w:r w:rsidRPr="00A57D03">
        <w:rPr>
          <w:lang w:val="en-US"/>
        </w:rPr>
        <w:t>49.</w:t>
      </w:r>
      <w:r w:rsidRPr="00A57D03">
        <w:rPr>
          <w:lang w:val="en-US"/>
        </w:rPr>
        <w:tab/>
        <w:t xml:space="preserve">Saco M, Howe N, Nathoo R, Cherpelis B. Comparing the efficacies of alginate, foam, hydrocolloid, hydrofiber, and hydrogel dressings in the management of diabetic foot ulcers and venous leg ulcers: a systematic review and meta-analysis examining how to dress for success. Dermatol Online J. 2016 Aug 15;22(8). </w:t>
      </w:r>
    </w:p>
    <w:p w14:paraId="0300005F" w14:textId="77777777" w:rsidR="00A57D03" w:rsidRPr="00A57D03" w:rsidRDefault="00A57D03" w:rsidP="00A57D03">
      <w:pPr>
        <w:pStyle w:val="Bibliography"/>
        <w:rPr>
          <w:lang w:val="en-US"/>
        </w:rPr>
      </w:pPr>
      <w:r w:rsidRPr="00A57D03">
        <w:rPr>
          <w:lang w:val="en-US"/>
        </w:rPr>
        <w:t>50.</w:t>
      </w:r>
      <w:r w:rsidRPr="00A57D03">
        <w:rPr>
          <w:lang w:val="en-US"/>
        </w:rPr>
        <w:tab/>
        <w:t xml:space="preserve">Lee M, Han SH, Choi WJ, Chung KH, Lee JW. Hyaluronic acid dressing (Healoderm) in the treatment of diabetic foot ulcer: A prospective, randomized, placebo-controlled, single-center study. Wound Repair Regen Off Publ Wound Heal Soc Eur Tissue Repair Soc. 2016;24(3):581–8. </w:t>
      </w:r>
    </w:p>
    <w:p w14:paraId="321AE247" w14:textId="77777777" w:rsidR="00A57D03" w:rsidRPr="00A57D03" w:rsidRDefault="00A57D03" w:rsidP="00A57D03">
      <w:pPr>
        <w:pStyle w:val="Bibliography"/>
        <w:rPr>
          <w:lang w:val="en-US"/>
        </w:rPr>
      </w:pPr>
      <w:r w:rsidRPr="00A57D03">
        <w:rPr>
          <w:lang w:val="en-US"/>
        </w:rPr>
        <w:t>51.</w:t>
      </w:r>
      <w:r w:rsidRPr="00A57D03">
        <w:rPr>
          <w:lang w:val="en-US"/>
        </w:rPr>
        <w:tab/>
        <w:t xml:space="preserve">Grek CL, Prasad GM, Viswanathan V, Armstrong DG, Gourdie RG, Ghatnekar GS. Topical administration of a connexin43-based peptide augments healing of chronic neuropathic diabetic foot ulcers: A multicenter, randomized trial. Wound Repair Regen Off Publ Wound Heal Soc Eur Tissue Repair Soc. 2015 Apr;23(2):203–12. </w:t>
      </w:r>
    </w:p>
    <w:p w14:paraId="4C678640" w14:textId="77777777" w:rsidR="00A57D03" w:rsidRPr="00A57D03" w:rsidRDefault="00A57D03" w:rsidP="00A57D03">
      <w:pPr>
        <w:pStyle w:val="Bibliography"/>
        <w:rPr>
          <w:lang w:val="en-US"/>
        </w:rPr>
      </w:pPr>
      <w:r w:rsidRPr="00A57D03">
        <w:rPr>
          <w:lang w:val="en-US"/>
        </w:rPr>
        <w:t>52.</w:t>
      </w:r>
      <w:r w:rsidRPr="00A57D03">
        <w:rPr>
          <w:lang w:val="en-US"/>
        </w:rPr>
        <w:tab/>
        <w:t xml:space="preserve">Chen CP, Hung W, Lin SH. Effectiveness of hyaluronic acid for treating diabetic foot: a systematic review and meta-analysis. Dermatol Ther. 2014 Dec;27(6):331–6. </w:t>
      </w:r>
    </w:p>
    <w:p w14:paraId="3A962888" w14:textId="77777777" w:rsidR="00A57D03" w:rsidRPr="00A57D03" w:rsidRDefault="00A57D03" w:rsidP="00A57D03">
      <w:pPr>
        <w:pStyle w:val="Bibliography"/>
        <w:rPr>
          <w:lang w:val="en-US"/>
        </w:rPr>
      </w:pPr>
      <w:r w:rsidRPr="00A57D03">
        <w:rPr>
          <w:lang w:val="en-US"/>
        </w:rPr>
        <w:t>53.</w:t>
      </w:r>
      <w:r w:rsidRPr="00A57D03">
        <w:rPr>
          <w:lang w:val="en-US"/>
        </w:rPr>
        <w:tab/>
        <w:t xml:space="preserve">Dumville JC, O’Meara S, Deshpande S, Speak K. Alginate dressings for healing diabetic foot ulcers. Cochrane Database Syst Rev. 2013 Jun 25;(6):CD009110. </w:t>
      </w:r>
    </w:p>
    <w:p w14:paraId="2D9DB6BC" w14:textId="77777777" w:rsidR="00A57D03" w:rsidRPr="00A57D03" w:rsidRDefault="00A57D03" w:rsidP="00A57D03">
      <w:pPr>
        <w:pStyle w:val="Bibliography"/>
        <w:rPr>
          <w:lang w:val="en-US"/>
        </w:rPr>
      </w:pPr>
      <w:r w:rsidRPr="00A57D03">
        <w:rPr>
          <w:lang w:val="en-US"/>
        </w:rPr>
        <w:t>54.</w:t>
      </w:r>
      <w:r w:rsidRPr="00A57D03">
        <w:rPr>
          <w:lang w:val="en-US"/>
        </w:rPr>
        <w:tab/>
        <w:t xml:space="preserve">Voigt J, Driver VR. Hyaluronic acid derivatives and their healing effect on burns, epithelial surgical wounds, and chronic wounds: a systematic review and meta-analysis of randomized controlled trials. Wound Repair Regen Off Publ Wound Heal Soc Eur Tissue Repair Soc. 2012 Jun;20(3):317–31. </w:t>
      </w:r>
    </w:p>
    <w:p w14:paraId="16780F29" w14:textId="77777777" w:rsidR="00A57D03" w:rsidRPr="00A57D03" w:rsidRDefault="00A57D03" w:rsidP="00A57D03">
      <w:pPr>
        <w:pStyle w:val="Bibliography"/>
        <w:rPr>
          <w:lang w:val="en-US"/>
        </w:rPr>
      </w:pPr>
      <w:r w:rsidRPr="00A57D03">
        <w:rPr>
          <w:lang w:val="en-US"/>
        </w:rPr>
        <w:t>55.</w:t>
      </w:r>
      <w:r w:rsidRPr="00A57D03">
        <w:rPr>
          <w:lang w:val="en-US"/>
        </w:rPr>
        <w:tab/>
        <w:t xml:space="preserve">Dumville JC, Soares MO, O’Meara S, Cullum N. Systematic review and mixed treatment comparison: dressings to heal diabetic foot ulcers. Diabetologia. 2012 Jul;55(7):1902–10. </w:t>
      </w:r>
    </w:p>
    <w:p w14:paraId="16EA489A" w14:textId="77777777" w:rsidR="00A57D03" w:rsidRPr="00A57D03" w:rsidRDefault="00A57D03" w:rsidP="00A57D03">
      <w:pPr>
        <w:pStyle w:val="Bibliography"/>
        <w:rPr>
          <w:lang w:val="en-US"/>
        </w:rPr>
      </w:pPr>
      <w:r w:rsidRPr="00A57D03">
        <w:rPr>
          <w:lang w:val="en-US"/>
        </w:rPr>
        <w:t>56.</w:t>
      </w:r>
      <w:r w:rsidRPr="00A57D03">
        <w:rPr>
          <w:lang w:val="en-US"/>
        </w:rPr>
        <w:tab/>
        <w:t xml:space="preserve">Dumville JC, Deshpande S, O’Meara S, Speak K. Hydrocolloid dressings for healing diabetic foot ulcers. Cochrane Database Syst Rev. 2013 Aug 6;(8):CD009099. </w:t>
      </w:r>
    </w:p>
    <w:p w14:paraId="34EFF1F8" w14:textId="77777777" w:rsidR="00A57D03" w:rsidRPr="00A57D03" w:rsidRDefault="00A57D03" w:rsidP="00A57D03">
      <w:pPr>
        <w:pStyle w:val="Bibliography"/>
        <w:rPr>
          <w:lang w:val="en-US"/>
        </w:rPr>
      </w:pPr>
      <w:r w:rsidRPr="00A57D03">
        <w:rPr>
          <w:lang w:val="en-US"/>
        </w:rPr>
        <w:t>57.</w:t>
      </w:r>
      <w:r w:rsidRPr="00A57D03">
        <w:rPr>
          <w:lang w:val="en-US"/>
        </w:rPr>
        <w:tab/>
        <w:t xml:space="preserve">Dumville JC, O’Meara S, Deshpande S, Speak K. Hydrogel dressings for healing diabetic foot ulcers. Cochrane Database Syst Rev. 2013 Jul 12;(7):CD009101. </w:t>
      </w:r>
    </w:p>
    <w:p w14:paraId="74228F82" w14:textId="77777777" w:rsidR="00A57D03" w:rsidRPr="00A57D03" w:rsidRDefault="00A57D03" w:rsidP="00A57D03">
      <w:pPr>
        <w:pStyle w:val="Bibliography"/>
        <w:rPr>
          <w:lang w:val="en-US"/>
        </w:rPr>
      </w:pPr>
      <w:r w:rsidRPr="00A57D03">
        <w:rPr>
          <w:lang w:val="en-US"/>
        </w:rPr>
        <w:t>58.</w:t>
      </w:r>
      <w:r w:rsidRPr="00A57D03">
        <w:rPr>
          <w:lang w:val="en-US"/>
        </w:rPr>
        <w:tab/>
        <w:t xml:space="preserve">Dumville JC, Deshpande S, O’Meara S, Speak K. Foam dressings for healing diabetic foot ulcers. Cochrane Database Syst Rev. 2013 Jun 6;(6):CD009111. </w:t>
      </w:r>
    </w:p>
    <w:p w14:paraId="6CE854F3" w14:textId="77777777" w:rsidR="00A57D03" w:rsidRPr="00A57D03" w:rsidRDefault="00A57D03" w:rsidP="00A57D03">
      <w:pPr>
        <w:pStyle w:val="Bibliography"/>
        <w:rPr>
          <w:lang w:val="en-US"/>
        </w:rPr>
      </w:pPr>
      <w:r w:rsidRPr="00A57D03">
        <w:rPr>
          <w:lang w:val="en-US"/>
        </w:rPr>
        <w:t>59.</w:t>
      </w:r>
      <w:r w:rsidRPr="00A57D03">
        <w:rPr>
          <w:lang w:val="en-US"/>
        </w:rPr>
        <w:tab/>
        <w:t xml:space="preserve">Gwak HC, Han SH, Lee J, Park S, Sung KS, Kim HJ, et al. Efficacy of a povidone-iodine foam dressing (Betafoam) on diabetic foot ulcer. Int Wound J. 2020 Feb;17(1):91–9. </w:t>
      </w:r>
    </w:p>
    <w:p w14:paraId="280FEFAE" w14:textId="77777777" w:rsidR="00A57D03" w:rsidRPr="00A57D03" w:rsidRDefault="00A57D03" w:rsidP="00A57D03">
      <w:pPr>
        <w:pStyle w:val="Bibliography"/>
        <w:rPr>
          <w:lang w:val="en-US"/>
        </w:rPr>
      </w:pPr>
      <w:r w:rsidRPr="00A57D03">
        <w:rPr>
          <w:lang w:val="en-US"/>
        </w:rPr>
        <w:t>60.</w:t>
      </w:r>
      <w:r w:rsidRPr="00A57D03">
        <w:rPr>
          <w:lang w:val="en-US"/>
        </w:rPr>
        <w:tab/>
        <w:t xml:space="preserve">Blume P, Driver VR, Tallis AJ, Kirsner RS, Kroeker R, Payne WG, et al. Formulated collagen gel accelerates healing rate immediately after application in patients with diabetic neuropathic foot ulcers. Wound Repair Regen Off Publ Wound Heal Soc Eur Tissue Repair Soc. 2011 Jun;19(3):302–8. </w:t>
      </w:r>
    </w:p>
    <w:p w14:paraId="066AB45D" w14:textId="77777777" w:rsidR="00A57D03" w:rsidRPr="00A57D03" w:rsidRDefault="00A57D03" w:rsidP="00A57D03">
      <w:pPr>
        <w:pStyle w:val="Bibliography"/>
        <w:rPr>
          <w:lang w:val="en-US"/>
        </w:rPr>
      </w:pPr>
      <w:r w:rsidRPr="00A57D03">
        <w:rPr>
          <w:lang w:val="en-US"/>
        </w:rPr>
        <w:t>61.</w:t>
      </w:r>
      <w:r w:rsidRPr="00A57D03">
        <w:rPr>
          <w:lang w:val="en-US"/>
        </w:rPr>
        <w:tab/>
        <w:t xml:space="preserve">Shaw J, Hughes CM, Lagan KM, Stevenson MR, Irwin CR, Bell PM. The effect of topical phenytoin on healing in diabetic foot ulcers: a randomized controlled trial. Diabet Med J Br Diabet Assoc. 2011 Oct;28(10):1154–7. </w:t>
      </w:r>
    </w:p>
    <w:p w14:paraId="46961892" w14:textId="77777777" w:rsidR="00A57D03" w:rsidRPr="00A57D03" w:rsidRDefault="00A57D03" w:rsidP="00A57D03">
      <w:pPr>
        <w:pStyle w:val="Bibliography"/>
        <w:rPr>
          <w:lang w:val="fr-BE"/>
        </w:rPr>
      </w:pPr>
      <w:r w:rsidRPr="00A57D03">
        <w:rPr>
          <w:lang w:val="en-US"/>
        </w:rPr>
        <w:t>62.</w:t>
      </w:r>
      <w:r w:rsidRPr="00A57D03">
        <w:rPr>
          <w:lang w:val="en-US"/>
        </w:rPr>
        <w:tab/>
        <w:t xml:space="preserve">Bhittani MK, Rehman M, Altaf HN, Altaf OS. Effectiveness of Topical Insulin Dressings in Management of Diabetic Foot Ulcers. </w:t>
      </w:r>
      <w:r w:rsidRPr="00A57D03">
        <w:rPr>
          <w:lang w:val="fr-BE"/>
        </w:rPr>
        <w:t xml:space="preserve">World J Surg. 2019 Dec 9; </w:t>
      </w:r>
    </w:p>
    <w:p w14:paraId="07396924" w14:textId="77777777" w:rsidR="00A57D03" w:rsidRPr="00A57D03" w:rsidRDefault="00A57D03" w:rsidP="00A57D03">
      <w:pPr>
        <w:pStyle w:val="Bibliography"/>
        <w:rPr>
          <w:lang w:val="en-US"/>
        </w:rPr>
      </w:pPr>
      <w:r w:rsidRPr="00A57D03">
        <w:rPr>
          <w:lang w:val="fr-BE"/>
        </w:rPr>
        <w:t>63.</w:t>
      </w:r>
      <w:r w:rsidRPr="00A57D03">
        <w:rPr>
          <w:lang w:val="fr-BE"/>
        </w:rPr>
        <w:tab/>
        <w:t xml:space="preserve">Meimeti E, Tentolouris N, Manes C, Loupa C, Provatopoulou X, Mostratos D, et al. </w:t>
      </w:r>
      <w:r w:rsidRPr="00A57D03">
        <w:rPr>
          <w:lang w:val="en-US"/>
        </w:rPr>
        <w:t xml:space="preserve">Ointments containing Ceratothoa oestroides extract: Evaluation of their healing potential in the treatment of diabetic foot ulcers. Wound Repair Regen Off Publ Wound Heal Soc Eur Tissue Repair Soc. 2019 Oct 16; </w:t>
      </w:r>
    </w:p>
    <w:p w14:paraId="40834439" w14:textId="77777777" w:rsidR="00A57D03" w:rsidRPr="00A57D03" w:rsidRDefault="00A57D03" w:rsidP="00A57D03">
      <w:pPr>
        <w:pStyle w:val="Bibliography"/>
        <w:rPr>
          <w:lang w:val="en-US"/>
        </w:rPr>
      </w:pPr>
      <w:r w:rsidRPr="00A57D03">
        <w:rPr>
          <w:lang w:val="en-US"/>
        </w:rPr>
        <w:t>64.</w:t>
      </w:r>
      <w:r w:rsidRPr="00A57D03">
        <w:rPr>
          <w:lang w:val="en-US"/>
        </w:rPr>
        <w:tab/>
        <w:t xml:space="preserve">Motawea A, Abd El-Gawad AEGH, Borg T, Motawea M, Tarshoby M. The impact of topical phenytoin loaded nanostructured lipid carriers in diabetic  foot ulceration. Foot Edinb Scotl. 2019 Sep;40:14–21. </w:t>
      </w:r>
    </w:p>
    <w:p w14:paraId="06DD16C0" w14:textId="77777777" w:rsidR="00A57D03" w:rsidRPr="00A57D03" w:rsidRDefault="00A57D03" w:rsidP="00A57D03">
      <w:pPr>
        <w:pStyle w:val="Bibliography"/>
        <w:rPr>
          <w:lang w:val="en-US"/>
        </w:rPr>
      </w:pPr>
      <w:r w:rsidRPr="00A57D03">
        <w:rPr>
          <w:lang w:val="en-US"/>
        </w:rPr>
        <w:t>65.</w:t>
      </w:r>
      <w:r w:rsidRPr="00A57D03">
        <w:rPr>
          <w:lang w:val="en-US"/>
        </w:rPr>
        <w:tab/>
        <w:t xml:space="preserve">Delgado-Enciso I, Madrigal-Perez VM, Lara-Esqueda A, Diaz-Sanchez MG, Guzman-Esquivel J, Rosas-Vizcaino LE, et al. Topical 5% potassium permanganate solution accelerates the healing process in chronic diabetic foot ulcers. Biomed Rep. 2018 Feb;8(2):156–9. </w:t>
      </w:r>
    </w:p>
    <w:p w14:paraId="6ABE87A2" w14:textId="77777777" w:rsidR="00A57D03" w:rsidRPr="00A57D03" w:rsidRDefault="00A57D03" w:rsidP="00A57D03">
      <w:pPr>
        <w:pStyle w:val="Bibliography"/>
        <w:rPr>
          <w:lang w:val="en-US"/>
        </w:rPr>
      </w:pPr>
      <w:r w:rsidRPr="00A57D03">
        <w:rPr>
          <w:lang w:val="en-US"/>
        </w:rPr>
        <w:t>66.</w:t>
      </w:r>
      <w:r w:rsidRPr="00A57D03">
        <w:rPr>
          <w:lang w:val="en-US"/>
        </w:rPr>
        <w:tab/>
        <w:t xml:space="preserve">Prabhu R, Ravi C, Pai S, Rodrigues G. The efficacy of topical phenytoin in the healing of diabetic foot ulcers: a randomized double-blinded trial. Int J Diabetes Dev Ctries. 2017 Mar;37(1):46–9. </w:t>
      </w:r>
    </w:p>
    <w:p w14:paraId="2A66416C" w14:textId="77777777" w:rsidR="00A57D03" w:rsidRPr="00A57D03" w:rsidRDefault="00A57D03" w:rsidP="00A57D03">
      <w:pPr>
        <w:pStyle w:val="Bibliography"/>
        <w:rPr>
          <w:lang w:val="en-US"/>
        </w:rPr>
      </w:pPr>
      <w:r w:rsidRPr="00A57D03">
        <w:rPr>
          <w:lang w:val="en-US"/>
        </w:rPr>
        <w:t>67.</w:t>
      </w:r>
      <w:r w:rsidRPr="00A57D03">
        <w:rPr>
          <w:lang w:val="en-US"/>
        </w:rPr>
        <w:tab/>
        <w:t xml:space="preserve">Ahmed A., Ahmed M.I. A comparison of efficacy of topical use of phenytoin and vaseline gauze dressing with vaseline gauze dressing alone in healing of diabetic foot ulcers. J Postgrad Med Inst. 2014;28(3):297–302. </w:t>
      </w:r>
    </w:p>
    <w:p w14:paraId="2FE89178" w14:textId="77777777" w:rsidR="00A57D03" w:rsidRPr="00A57D03" w:rsidRDefault="00A57D03" w:rsidP="00A57D03">
      <w:pPr>
        <w:pStyle w:val="Bibliography"/>
        <w:rPr>
          <w:lang w:val="en-US"/>
        </w:rPr>
      </w:pPr>
      <w:r w:rsidRPr="00A57D03">
        <w:rPr>
          <w:lang w:val="en-US"/>
        </w:rPr>
        <w:t>68.</w:t>
      </w:r>
      <w:r w:rsidRPr="00A57D03">
        <w:rPr>
          <w:lang w:val="en-US"/>
        </w:rPr>
        <w:tab/>
        <w:t xml:space="preserve">Gottrup F, Cullen BM, Karlsmark T, Bischoff-Mikkelsen M, Nisbet L, Gibson MC. Randomized controlled trial on collagen/oxidized regenerated cellulose/silver treatment. Wound Repair Regen Off Publ Wound Heal Soc Eur Tissue Repair Soc. 2013 Apr;21(2):216–25. </w:t>
      </w:r>
    </w:p>
    <w:p w14:paraId="08217C24" w14:textId="77777777" w:rsidR="00A57D03" w:rsidRPr="00A57D03" w:rsidRDefault="00A57D03" w:rsidP="00A57D03">
      <w:pPr>
        <w:pStyle w:val="Bibliography"/>
        <w:rPr>
          <w:lang w:val="en-US"/>
        </w:rPr>
      </w:pPr>
      <w:r w:rsidRPr="00A57D03">
        <w:rPr>
          <w:lang w:val="en-US"/>
        </w:rPr>
        <w:t>69.</w:t>
      </w:r>
      <w:r w:rsidRPr="00A57D03">
        <w:rPr>
          <w:lang w:val="en-US"/>
        </w:rPr>
        <w:tab/>
        <w:t xml:space="preserve">Solway DR, Clark WA, Levinson DJ. A parallel open-label trial to evaluate microbial cellulose wound dressing in the treatment of diabetic foot ulcers. Int Wound J. 2011 Feb;8(1):69–73. </w:t>
      </w:r>
    </w:p>
    <w:p w14:paraId="07A438DD" w14:textId="77777777" w:rsidR="00A57D03" w:rsidRPr="00A57D03" w:rsidRDefault="00A57D03" w:rsidP="00A57D03">
      <w:pPr>
        <w:pStyle w:val="Bibliography"/>
        <w:rPr>
          <w:lang w:val="en-US"/>
        </w:rPr>
      </w:pPr>
      <w:r w:rsidRPr="00A57D03">
        <w:rPr>
          <w:lang w:val="en-US"/>
        </w:rPr>
        <w:t>70.</w:t>
      </w:r>
      <w:r w:rsidRPr="00A57D03">
        <w:rPr>
          <w:lang w:val="en-US"/>
        </w:rPr>
        <w:tab/>
        <w:t>Franck Maunoury, Anaïs Oury, Sophie Fortin. Cost-effectiveness of TLC-NOSF dressings versus neutral dressings for the treatment of diabetic foot ulcers in France (NCT01717183). https://clinicaltrials.gov/show/NCT01717183 [Internet]. 2021; Available from: https://www.cochranelibrary.com/central/doi/10.1002/central/CN-02024806/full</w:t>
      </w:r>
    </w:p>
    <w:p w14:paraId="42262A36" w14:textId="77777777" w:rsidR="00A57D03" w:rsidRPr="00A57D03" w:rsidRDefault="00A57D03" w:rsidP="00A57D03">
      <w:pPr>
        <w:pStyle w:val="Bibliography"/>
        <w:rPr>
          <w:lang w:val="en-US"/>
        </w:rPr>
      </w:pPr>
      <w:r w:rsidRPr="00A57D03">
        <w:rPr>
          <w:lang w:val="en-US"/>
        </w:rPr>
        <w:t>71.</w:t>
      </w:r>
      <w:r w:rsidRPr="00A57D03">
        <w:rPr>
          <w:lang w:val="en-US"/>
        </w:rPr>
        <w:tab/>
        <w:t xml:space="preserve">Cutting KF. The cost-effectiveness of a novel soluble beta-glucan gel. J Wound Care. 2017 May 2;26(5):228–34. </w:t>
      </w:r>
    </w:p>
    <w:p w14:paraId="4D2E2EBC" w14:textId="77777777" w:rsidR="00A57D03" w:rsidRPr="00A57D03" w:rsidRDefault="00A57D03" w:rsidP="00A57D03">
      <w:pPr>
        <w:pStyle w:val="Bibliography"/>
        <w:rPr>
          <w:lang w:val="en-US"/>
        </w:rPr>
      </w:pPr>
      <w:r w:rsidRPr="00A57D03">
        <w:rPr>
          <w:lang w:val="en-US"/>
        </w:rPr>
        <w:t>72.</w:t>
      </w:r>
      <w:r w:rsidRPr="00A57D03">
        <w:rPr>
          <w:lang w:val="en-US"/>
        </w:rPr>
        <w:tab/>
        <w:t xml:space="preserve">Bilyayeva OO, Neshta VV, Golub AA, Sams-Dodd F. Comparative Clinical Study of the Wound Healing Effects of a Novel Micropore Particle Technology: Effects on Wounds, Venous Leg Ulcers, and Diabetic Foot Ulcers. Wounds Compend Clin Res Pract. 2017;29(8):1–9. </w:t>
      </w:r>
    </w:p>
    <w:p w14:paraId="7FC3C952" w14:textId="77777777" w:rsidR="00A57D03" w:rsidRPr="00A57D03" w:rsidRDefault="00A57D03" w:rsidP="00A57D03">
      <w:pPr>
        <w:pStyle w:val="Bibliography"/>
        <w:rPr>
          <w:lang w:val="en-US"/>
        </w:rPr>
      </w:pPr>
      <w:r w:rsidRPr="00A57D03">
        <w:rPr>
          <w:lang w:val="en-US"/>
        </w:rPr>
        <w:t>73.</w:t>
      </w:r>
      <w:r w:rsidRPr="00A57D03">
        <w:rPr>
          <w:lang w:val="en-US"/>
        </w:rPr>
        <w:tab/>
        <w:t xml:space="preserve">Patil V, Patil R, Kariholu PL, Patil LS, Shahapur P. Topical Phenytoin Application in Grade I and II Diabetic Foot Ulcers: A Prospective Study. J Clin Diagn Res JCDR. 2013 Oct;7(10):2238–40. </w:t>
      </w:r>
    </w:p>
    <w:p w14:paraId="150F45A1" w14:textId="77777777" w:rsidR="00A57D03" w:rsidRPr="008B4E3F" w:rsidRDefault="00A57D03" w:rsidP="00A57D03">
      <w:pPr>
        <w:pStyle w:val="Bibliography"/>
        <w:rPr>
          <w:lang w:val="en-US"/>
        </w:rPr>
      </w:pPr>
      <w:r w:rsidRPr="00A57D03">
        <w:rPr>
          <w:lang w:val="en-US"/>
        </w:rPr>
        <w:t>74.</w:t>
      </w:r>
      <w:r w:rsidRPr="00A57D03">
        <w:rPr>
          <w:lang w:val="en-US"/>
        </w:rPr>
        <w:tab/>
        <w:t xml:space="preserve">Alvaro-Afonso FJ, Garcia-Alvarez Y, Lazaro-Martinez JL, Kakagia D, Papanas N. Advances in Dermoepidermal Skin Substitutes for Diabetic Foot Ulcers. </w:t>
      </w:r>
      <w:r w:rsidRPr="008B4E3F">
        <w:rPr>
          <w:lang w:val="en-US"/>
        </w:rPr>
        <w:t xml:space="preserve">Curr Vasc Pharmacol. 2020;18(2):182–92. </w:t>
      </w:r>
    </w:p>
    <w:p w14:paraId="05EEE844" w14:textId="77777777" w:rsidR="00A57D03" w:rsidRPr="008B4E3F" w:rsidRDefault="00A57D03" w:rsidP="00A57D03">
      <w:pPr>
        <w:pStyle w:val="Bibliography"/>
        <w:rPr>
          <w:lang w:val="en-US"/>
        </w:rPr>
      </w:pPr>
      <w:r w:rsidRPr="008B4E3F">
        <w:rPr>
          <w:lang w:val="en-US"/>
        </w:rPr>
        <w:t>75.</w:t>
      </w:r>
      <w:r w:rsidRPr="008B4E3F">
        <w:rPr>
          <w:lang w:val="en-US"/>
        </w:rPr>
        <w:tab/>
        <w:t xml:space="preserve">Campitiello F, Mancone M, Della Corte A, Guerniero R, Canonico S. To evaluate the efficacy of an acellular Flowable matrix in comparison with a wet dressing for the treatment of patients with diabetic foot ulcers: a randomized clinical trial. Updat Surg. 2017 Dec;69(4):523–9. </w:t>
      </w:r>
    </w:p>
    <w:p w14:paraId="395123B6" w14:textId="77777777" w:rsidR="00A57D03" w:rsidRPr="008B4E3F" w:rsidRDefault="00A57D03" w:rsidP="00A57D03">
      <w:pPr>
        <w:pStyle w:val="Bibliography"/>
        <w:rPr>
          <w:lang w:val="en-US"/>
        </w:rPr>
      </w:pPr>
      <w:r w:rsidRPr="008B4E3F">
        <w:rPr>
          <w:lang w:val="en-US"/>
        </w:rPr>
        <w:t>76.</w:t>
      </w:r>
      <w:r w:rsidRPr="008B4E3F">
        <w:rPr>
          <w:lang w:val="en-US"/>
        </w:rPr>
        <w:tab/>
        <w:t xml:space="preserve">Guo X, Mu D, Gao F. Efficacy and safety of acellular dermal matrix in diabetic foot ulcer treatment: A systematic review and meta-analysis. Int J Surg Lond Engl. 2017 Apr;40:1–7. </w:t>
      </w:r>
    </w:p>
    <w:p w14:paraId="78D3E0FE" w14:textId="77777777" w:rsidR="00A57D03" w:rsidRPr="008B4E3F" w:rsidRDefault="00A57D03" w:rsidP="00A57D03">
      <w:pPr>
        <w:pStyle w:val="Bibliography"/>
        <w:rPr>
          <w:lang w:val="en-US"/>
        </w:rPr>
      </w:pPr>
      <w:r w:rsidRPr="008B4E3F">
        <w:rPr>
          <w:lang w:val="en-US"/>
        </w:rPr>
        <w:t>77.</w:t>
      </w:r>
      <w:r w:rsidRPr="008B4E3F">
        <w:rPr>
          <w:lang w:val="en-US"/>
        </w:rPr>
        <w:tab/>
        <w:t xml:space="preserve">Tchero H, Herlin C, Bekara F, Kangambega P, Sergiu F, Teot L. Failure rates of artificial dermis products in treatment of diabetic foot ulcer: A systematic review and network meta-analysis. Wound Repair Regen Off Publ Wound Heal Soc Eur Tissue Repair Soc. 2017;25(4):691–6. </w:t>
      </w:r>
    </w:p>
    <w:p w14:paraId="736B7558" w14:textId="77777777" w:rsidR="00A57D03" w:rsidRPr="008B4E3F" w:rsidRDefault="00A57D03" w:rsidP="00A57D03">
      <w:pPr>
        <w:pStyle w:val="Bibliography"/>
        <w:rPr>
          <w:lang w:val="en-US"/>
        </w:rPr>
      </w:pPr>
      <w:r w:rsidRPr="008B4E3F">
        <w:rPr>
          <w:lang w:val="en-US"/>
        </w:rPr>
        <w:t>78.</w:t>
      </w:r>
      <w:r w:rsidRPr="008B4E3F">
        <w:rPr>
          <w:lang w:val="en-US"/>
        </w:rPr>
        <w:tab/>
        <w:t xml:space="preserve">Cazzell S, Vayser D, Pham H, Walters J, Reyzelman A, Samsell B, et al. A randomized clinical trial of a human acellular dermal matrix demonstrated superior healing rates for chronic diabetic foot ulcers over conventional care and an active acellular dermal matrix comparator. Wound Repair Regen Off Publ Wound Heal Soc Eur Tissue Repair Soc. 2017;25(3):483–97. </w:t>
      </w:r>
    </w:p>
    <w:p w14:paraId="7C81A195" w14:textId="77777777" w:rsidR="00A57D03" w:rsidRPr="008B4E3F" w:rsidRDefault="00A57D03" w:rsidP="00A57D03">
      <w:pPr>
        <w:pStyle w:val="Bibliography"/>
        <w:rPr>
          <w:lang w:val="en-US"/>
        </w:rPr>
      </w:pPr>
      <w:r w:rsidRPr="008B4E3F">
        <w:rPr>
          <w:lang w:val="fr-BE"/>
        </w:rPr>
        <w:t>79.</w:t>
      </w:r>
      <w:r w:rsidRPr="008B4E3F">
        <w:rPr>
          <w:lang w:val="fr-BE"/>
        </w:rPr>
        <w:tab/>
        <w:t xml:space="preserve">Chandler LA, Alvarez OM, Blume PA, Kim PJ, Kirsner RS, Lantis JC, et al. </w:t>
      </w:r>
      <w:r w:rsidRPr="008B4E3F">
        <w:rPr>
          <w:lang w:val="en-US"/>
        </w:rPr>
        <w:t xml:space="preserve">Wound Conforming Matrix Containing Purified Homogenate of Dermal Collagen Promotes Healing of Diabetic Neuropathic Foot Ulcers: Comparative Analysis Versus Standard of Care. Adv Wound Care. 2020 Feb 1;9(2):61–7. </w:t>
      </w:r>
    </w:p>
    <w:p w14:paraId="1420D1A2" w14:textId="77777777" w:rsidR="00A57D03" w:rsidRPr="008B4E3F" w:rsidRDefault="00A57D03" w:rsidP="00A57D03">
      <w:pPr>
        <w:pStyle w:val="Bibliography"/>
        <w:rPr>
          <w:lang w:val="en-US"/>
        </w:rPr>
      </w:pPr>
      <w:r w:rsidRPr="008B4E3F">
        <w:rPr>
          <w:lang w:val="en-US"/>
        </w:rPr>
        <w:t>80.</w:t>
      </w:r>
      <w:r w:rsidRPr="008B4E3F">
        <w:rPr>
          <w:lang w:val="en-US"/>
        </w:rPr>
        <w:tab/>
        <w:t xml:space="preserve">Santema TBK, Poyck PPC, Ubbink DT. Systematic review and meta-analysis of skin substitutes in the treatment of diabetic foot ulcers: Highlights of a Cochrane systematic review. Wound Repair Regen Off Publ Wound Heal Soc Eur Tissue Repair Soc. 2016;24(4):737–44. </w:t>
      </w:r>
    </w:p>
    <w:p w14:paraId="4A16FB1C" w14:textId="77777777" w:rsidR="00A57D03" w:rsidRPr="008B4E3F" w:rsidRDefault="00A57D03" w:rsidP="00A57D03">
      <w:pPr>
        <w:pStyle w:val="Bibliography"/>
        <w:rPr>
          <w:lang w:val="en-US"/>
        </w:rPr>
      </w:pPr>
      <w:r>
        <w:t>81.</w:t>
      </w:r>
      <w:r>
        <w:tab/>
        <w:t xml:space="preserve">Hu Z, Zhu J, Cao X, Chen C, Li S, Guo D, et al. </w:t>
      </w:r>
      <w:r w:rsidRPr="008B4E3F">
        <w:rPr>
          <w:lang w:val="en-US"/>
        </w:rPr>
        <w:t xml:space="preserve">Composite Skin Grafting with Human Acellular Dermal Matrix Scaffold for Treatment of Diabetic Foot Ulcers: A Randomized Controlled Trial. J Am Coll Surg. 2016;222(6):1171–9. </w:t>
      </w:r>
    </w:p>
    <w:p w14:paraId="6EAC310B" w14:textId="77777777" w:rsidR="00A57D03" w:rsidRPr="008B4E3F" w:rsidRDefault="00A57D03" w:rsidP="00A57D03">
      <w:pPr>
        <w:pStyle w:val="Bibliography"/>
        <w:rPr>
          <w:lang w:val="en-US"/>
        </w:rPr>
      </w:pPr>
      <w:r w:rsidRPr="008B4E3F">
        <w:rPr>
          <w:lang w:val="en-US"/>
        </w:rPr>
        <w:t>82.</w:t>
      </w:r>
      <w:r w:rsidRPr="008B4E3F">
        <w:rPr>
          <w:lang w:val="en-US"/>
        </w:rPr>
        <w:tab/>
        <w:t xml:space="preserve">Huang W, Chen Y, Wang N, Yin G, Wei C, Xu W. The Efficacy and Safety of Acellular Matrix Therapy for Diabetic Foot Ulcers: A Meta-Analysis of Randomized Clinical Trials. J Diabetes Res. 2020;2020:6245758. </w:t>
      </w:r>
    </w:p>
    <w:p w14:paraId="5EE264F6" w14:textId="77777777" w:rsidR="00A57D03" w:rsidRPr="008B4E3F" w:rsidRDefault="00A57D03" w:rsidP="00A57D03">
      <w:pPr>
        <w:pStyle w:val="Bibliography"/>
        <w:rPr>
          <w:lang w:val="en-US"/>
        </w:rPr>
      </w:pPr>
      <w:r w:rsidRPr="008B4E3F">
        <w:rPr>
          <w:lang w:val="en-US"/>
        </w:rPr>
        <w:t>83.</w:t>
      </w:r>
      <w:r w:rsidRPr="008B4E3F">
        <w:rPr>
          <w:lang w:val="en-US"/>
        </w:rPr>
        <w:tab/>
        <w:t xml:space="preserve">Park KH, Kwon JB, Park JH, Shin JC, Han SH, Lee JW. Collagen dressing in the treatment of diabetic foot ulcer: A prospective, randomized, placebo-controlled, single-center study. Diabetes Res Clin Pract. 2019 Oct;156:107861. </w:t>
      </w:r>
    </w:p>
    <w:p w14:paraId="2E4815D9" w14:textId="77777777" w:rsidR="00A57D03" w:rsidRPr="008B4E3F" w:rsidRDefault="00A57D03" w:rsidP="00A57D03">
      <w:pPr>
        <w:pStyle w:val="Bibliography"/>
        <w:rPr>
          <w:lang w:val="en-US"/>
        </w:rPr>
      </w:pPr>
      <w:r w:rsidRPr="008B4E3F">
        <w:rPr>
          <w:lang w:val="en-US"/>
        </w:rPr>
        <w:t>84.</w:t>
      </w:r>
      <w:r w:rsidRPr="008B4E3F">
        <w:rPr>
          <w:lang w:val="en-US"/>
        </w:rPr>
        <w:tab/>
        <w:t xml:space="preserve">Alvarez OM, Smith T, Gilbert TW, Onumah NJ, Wendelken ME, Parker R, et al. Diabetic Foot Ulcers Treated With Porcine Urinary Bladder Extracellular Matrix and Total Contact Cast: Interim Analysis of a Randomized, Controlled Trial. Wounds Compend Clin Res Pract. 2017;29(5):140–6. </w:t>
      </w:r>
    </w:p>
    <w:p w14:paraId="1E7AEF90" w14:textId="77777777" w:rsidR="00A57D03" w:rsidRPr="008B4E3F" w:rsidRDefault="00A57D03" w:rsidP="00A57D03">
      <w:pPr>
        <w:pStyle w:val="Bibliography"/>
        <w:rPr>
          <w:lang w:val="en-US"/>
        </w:rPr>
      </w:pPr>
      <w:r w:rsidRPr="008B4E3F">
        <w:rPr>
          <w:lang w:val="en-US"/>
        </w:rPr>
        <w:t>85.</w:t>
      </w:r>
      <w:r w:rsidRPr="008B4E3F">
        <w:rPr>
          <w:lang w:val="en-US"/>
        </w:rPr>
        <w:tab/>
        <w:t xml:space="preserve">Walters J, Cazzell S, Pham H, Vayser D, Reyzelman A. Healing Rates in a Multicenter Assessment of a Sterile, Room Temperature, Acellular Dermal Matrix Versus Conventional Care Wound Management and an Active Comparator in the Treatment of Full-Thickness Diabetic Foot Ulcers. Eplasty. 2016;16:e10. </w:t>
      </w:r>
    </w:p>
    <w:p w14:paraId="6D4536F5" w14:textId="77777777" w:rsidR="00A57D03" w:rsidRPr="008B4E3F" w:rsidRDefault="00A57D03" w:rsidP="00A57D03">
      <w:pPr>
        <w:pStyle w:val="Bibliography"/>
        <w:rPr>
          <w:lang w:val="en-US"/>
        </w:rPr>
      </w:pPr>
      <w:r w:rsidRPr="008B4E3F">
        <w:rPr>
          <w:lang w:val="en-US"/>
        </w:rPr>
        <w:t>86.</w:t>
      </w:r>
      <w:r w:rsidRPr="008B4E3F">
        <w:rPr>
          <w:lang w:val="en-US"/>
        </w:rPr>
        <w:tab/>
        <w:t xml:space="preserve">Driver V.R., Lavery L.A., Reyzelman A.M., Dutra T.G., Dove C.R., Kotsis S.V., et al. A clinical trial of Integra Template for diabetic foot ulcer treatment. Wound Repair Regen. 2015;23(6):891–900. </w:t>
      </w:r>
    </w:p>
    <w:p w14:paraId="135A586E" w14:textId="77777777" w:rsidR="00A57D03" w:rsidRPr="008B4E3F" w:rsidRDefault="00A57D03" w:rsidP="00A57D03">
      <w:pPr>
        <w:pStyle w:val="Bibliography"/>
        <w:rPr>
          <w:lang w:val="en-US"/>
        </w:rPr>
      </w:pPr>
      <w:r w:rsidRPr="008B4E3F">
        <w:rPr>
          <w:lang w:val="en-US"/>
        </w:rPr>
        <w:t>87.</w:t>
      </w:r>
      <w:r w:rsidRPr="008B4E3F">
        <w:rPr>
          <w:lang w:val="en-US"/>
        </w:rPr>
        <w:tab/>
        <w:t>Şevki Çetinkalp, Evren Homan Gökçe, IlgınYıldırım Şimşir, Sakine Tuncay Tanrıverdi. Comparative Evaluation of Clinical Efficacy and Safety of Collagen Laminin–Based Dermal Matrix Combined With Resveratrol Microparticles (Dermalix) and Standard Wound Care for Diabetic Foot Ulcers - NCT03136822. https://clinicaltrials.gov/show/NCT03136822 [Internet]. 2020; Available from: https://www.cochranelibrary.com/central/doi/10.1002/central/CN-01580859/full</w:t>
      </w:r>
    </w:p>
    <w:p w14:paraId="0BFF3E85" w14:textId="77777777" w:rsidR="00A57D03" w:rsidRPr="008B4E3F" w:rsidRDefault="00A57D03" w:rsidP="00A57D03">
      <w:pPr>
        <w:pStyle w:val="Bibliography"/>
        <w:rPr>
          <w:lang w:val="en-US"/>
        </w:rPr>
      </w:pPr>
      <w:r>
        <w:t>88.</w:t>
      </w:r>
      <w:r>
        <w:tab/>
        <w:t xml:space="preserve">Serena TE, Yaakov R, Moore S, Cole W, Coe S, Snyder R, et al. </w:t>
      </w:r>
      <w:r w:rsidRPr="008B4E3F">
        <w:rPr>
          <w:lang w:val="en-US"/>
        </w:rPr>
        <w:t xml:space="preserve">A randomized controlled clinical trial of a hypothermically stored amniotic membrane for use in diabetic foot ulcers. J Comp Eff Res. 2020 Jan;9(1):23–34. </w:t>
      </w:r>
    </w:p>
    <w:p w14:paraId="5A0E1D87" w14:textId="77777777" w:rsidR="00A57D03" w:rsidRPr="008B4E3F" w:rsidRDefault="00A57D03" w:rsidP="00A57D03">
      <w:pPr>
        <w:pStyle w:val="Bibliography"/>
        <w:rPr>
          <w:lang w:val="en-US"/>
        </w:rPr>
      </w:pPr>
      <w:r w:rsidRPr="008B4E3F">
        <w:rPr>
          <w:lang w:val="en-US"/>
        </w:rPr>
        <w:t>89.</w:t>
      </w:r>
      <w:r w:rsidRPr="008B4E3F">
        <w:rPr>
          <w:lang w:val="en-US"/>
        </w:rPr>
        <w:tab/>
        <w:t xml:space="preserve">Luck J, Rodi T, Geierlehner A, Mosahebi A. Allogeneic Skin Substitutes Versus Human Placental Membrane Products in the Management of Diabetic Foot Ulcers: A Narrative Comparative Evaluation of the Literature. Int J Low Extrem Wounds. 2019 Mar;18(1):10–22. </w:t>
      </w:r>
    </w:p>
    <w:p w14:paraId="6A8F9A22" w14:textId="77777777" w:rsidR="00A57D03" w:rsidRPr="008B4E3F" w:rsidRDefault="00A57D03" w:rsidP="00A57D03">
      <w:pPr>
        <w:pStyle w:val="Bibliography"/>
        <w:rPr>
          <w:lang w:val="en-US"/>
        </w:rPr>
      </w:pPr>
      <w:r w:rsidRPr="008B4E3F">
        <w:rPr>
          <w:lang w:val="en-US"/>
        </w:rPr>
        <w:t>90.</w:t>
      </w:r>
      <w:r w:rsidRPr="008B4E3F">
        <w:rPr>
          <w:lang w:val="en-US"/>
        </w:rPr>
        <w:tab/>
        <w:t xml:space="preserve">Haugh AM, Witt JG, Hauch A, Darden M, Parker G, Ellsworth WA, et al. Amnion Membrane in Diabetic Foot Wounds: A Meta-analysis. Plast Reconstr Surg Glob Open. 2017 Apr;5(4):e1302. </w:t>
      </w:r>
    </w:p>
    <w:p w14:paraId="2218FF3E" w14:textId="77777777" w:rsidR="00A57D03" w:rsidRPr="008B4E3F" w:rsidRDefault="00A57D03" w:rsidP="00A57D03">
      <w:pPr>
        <w:pStyle w:val="Bibliography"/>
        <w:rPr>
          <w:lang w:val="en-US"/>
        </w:rPr>
      </w:pPr>
      <w:r w:rsidRPr="008B4E3F">
        <w:rPr>
          <w:lang w:val="en-US"/>
        </w:rPr>
        <w:t>91.</w:t>
      </w:r>
      <w:r w:rsidRPr="008B4E3F">
        <w:rPr>
          <w:lang w:val="en-US"/>
        </w:rPr>
        <w:tab/>
        <w:t xml:space="preserve">Mohajeri-Tehrani MR, Variji Z, Mohseni S, Firuz A, Annabestani Z, Zartab H, et al. Comparison of a Bioimplant Dressing With a Wet Dressing for the Treatment of Diabetic Foot Ulcers: A Randomized, Controlled Clinical Trial. Wounds Compend Clin Res Pract. 2016 Jul;28(7):248–54. </w:t>
      </w:r>
    </w:p>
    <w:p w14:paraId="3404AEC9" w14:textId="77777777" w:rsidR="00A57D03" w:rsidRPr="008B4E3F" w:rsidRDefault="00A57D03" w:rsidP="00A57D03">
      <w:pPr>
        <w:pStyle w:val="Bibliography"/>
        <w:rPr>
          <w:lang w:val="en-US"/>
        </w:rPr>
      </w:pPr>
      <w:r w:rsidRPr="008B4E3F">
        <w:rPr>
          <w:lang w:val="en-US"/>
        </w:rPr>
        <w:t>92.</w:t>
      </w:r>
      <w:r w:rsidRPr="008B4E3F">
        <w:rPr>
          <w:lang w:val="en-US"/>
        </w:rPr>
        <w:tab/>
        <w:t xml:space="preserve">Snyder RJ, Shimozaki K, Tallis A, Kerzner M, Reyzelman A, Lintzeris D, et al. A Prospective, Randomized, Multicenter, Controlled Evaluation of the Use of Dehydrated Amniotic Membrane Allograft Compared to Standard of Care for the Closure of Chronic Diabetic Foot Ulcer. Wounds Compend Clin Res Pract. 2016 Mar;28(3):70–7. </w:t>
      </w:r>
    </w:p>
    <w:p w14:paraId="32B236E1" w14:textId="77777777" w:rsidR="00A57D03" w:rsidRDefault="00A57D03" w:rsidP="00A57D03">
      <w:pPr>
        <w:pStyle w:val="Bibliography"/>
      </w:pPr>
      <w:r w:rsidRPr="008B4E3F">
        <w:rPr>
          <w:lang w:val="en-US"/>
        </w:rPr>
        <w:t>93.</w:t>
      </w:r>
      <w:r w:rsidRPr="008B4E3F">
        <w:rPr>
          <w:lang w:val="en-US"/>
        </w:rPr>
        <w:tab/>
        <w:t xml:space="preserve">Lavery LA, Fulmer J, Shebetka KA, Regulski M, Vayser D, Fried D, et al. The efficacy and safety of Grafix(®) for the treatment of chronic diabetic foot ulcers: results of a multi-centre, controlled, randomised, blinded, clinical trial. </w:t>
      </w:r>
      <w:r>
        <w:t xml:space="preserve">Int Wound J. 2014 Oct;11(5):554–60. </w:t>
      </w:r>
    </w:p>
    <w:p w14:paraId="79F011C1" w14:textId="77777777" w:rsidR="00A57D03" w:rsidRPr="008B4E3F" w:rsidRDefault="00A57D03" w:rsidP="00A57D03">
      <w:pPr>
        <w:pStyle w:val="Bibliography"/>
        <w:rPr>
          <w:lang w:val="en-US"/>
        </w:rPr>
      </w:pPr>
      <w:r>
        <w:t>94.</w:t>
      </w:r>
      <w:r>
        <w:tab/>
        <w:t xml:space="preserve">Zelen CM, Serena TE, Snyder RJ. </w:t>
      </w:r>
      <w:r w:rsidRPr="008B4E3F">
        <w:rPr>
          <w:lang w:val="en-US"/>
        </w:rPr>
        <w:t xml:space="preserve">A prospective, randomised comparative study of weekly versus biweekly application of dehydrated human amnion/chorion membrane allograft in the management of diabetic foot ulcers. Int Wound J. 2014 Apr;11(2):122–8. </w:t>
      </w:r>
    </w:p>
    <w:p w14:paraId="09E605EA" w14:textId="77777777" w:rsidR="00A57D03" w:rsidRPr="008B4E3F" w:rsidRDefault="00A57D03" w:rsidP="00A57D03">
      <w:pPr>
        <w:pStyle w:val="Bibliography"/>
        <w:rPr>
          <w:lang w:val="en-US"/>
        </w:rPr>
      </w:pPr>
      <w:r w:rsidRPr="008B4E3F">
        <w:rPr>
          <w:lang w:val="en-US"/>
        </w:rPr>
        <w:t>95.</w:t>
      </w:r>
      <w:r w:rsidRPr="008B4E3F">
        <w:rPr>
          <w:lang w:val="en-US"/>
        </w:rPr>
        <w:tab/>
        <w:t xml:space="preserve">Greer N., Foman N.A., MacDonald R., Dorrian J., Fitzgerald P., Rutks I., et al. Advanced wound care therapies for nonhealing diabetic, venous, and arterial ulcers: A systematic review. Ann Intern Med. 2013;159(8):532–42. </w:t>
      </w:r>
    </w:p>
    <w:p w14:paraId="587D8B98" w14:textId="77777777" w:rsidR="00A57D03" w:rsidRPr="008B4E3F" w:rsidRDefault="00A57D03" w:rsidP="00A57D03">
      <w:pPr>
        <w:pStyle w:val="Bibliography"/>
        <w:rPr>
          <w:lang w:val="en-US"/>
        </w:rPr>
      </w:pPr>
      <w:r w:rsidRPr="008B4E3F">
        <w:rPr>
          <w:lang w:val="en-US"/>
        </w:rPr>
        <w:t>96.</w:t>
      </w:r>
      <w:r w:rsidRPr="008B4E3F">
        <w:rPr>
          <w:lang w:val="en-US"/>
        </w:rPr>
        <w:tab/>
        <w:t xml:space="preserve">You HJ, Han SK, Rhie JW. Randomised controlled clinical trial for autologous fibroblast-hyaluronic acid complex in treating diabetic foot ulcers. J Wound Care. 2014 Nov;23(11):521–2, 524, 526–30. </w:t>
      </w:r>
    </w:p>
    <w:p w14:paraId="636118CA" w14:textId="77777777" w:rsidR="00A57D03" w:rsidRPr="008B4E3F" w:rsidRDefault="00A57D03" w:rsidP="00A57D03">
      <w:pPr>
        <w:pStyle w:val="Bibliography"/>
        <w:rPr>
          <w:lang w:val="en-US"/>
        </w:rPr>
      </w:pPr>
      <w:r w:rsidRPr="008B4E3F">
        <w:rPr>
          <w:lang w:val="en-US"/>
        </w:rPr>
        <w:t>97.</w:t>
      </w:r>
      <w:r w:rsidRPr="008B4E3F">
        <w:rPr>
          <w:lang w:val="en-US"/>
        </w:rPr>
        <w:tab/>
        <w:t xml:space="preserve">Su YN, Zhao DY, Li YH, Yu TQ, Sun H, Wu XY, et al. Human amniotic membrane allograft, a novel treatment for chronic diabetic foot ulcers: A systematic review and meta-analysis of randomised controlled trials. Int Wound J. 2020 Mar 2; </w:t>
      </w:r>
    </w:p>
    <w:p w14:paraId="1F00DDAB" w14:textId="77777777" w:rsidR="00A57D03" w:rsidRPr="008B4E3F" w:rsidRDefault="00A57D03" w:rsidP="00A57D03">
      <w:pPr>
        <w:pStyle w:val="Bibliography"/>
        <w:rPr>
          <w:lang w:val="en-US"/>
        </w:rPr>
      </w:pPr>
      <w:r w:rsidRPr="008B4E3F">
        <w:rPr>
          <w:lang w:val="en-US"/>
        </w:rPr>
        <w:t>98.</w:t>
      </w:r>
      <w:r w:rsidRPr="008B4E3F">
        <w:rPr>
          <w:lang w:val="en-US"/>
        </w:rPr>
        <w:tab/>
        <w:t xml:space="preserve">Gordon AJ, Alfonso AR, Nicholson J, Chiu ES. Evidence for Healing Diabetic Foot Ulcers With Biologic Skin Substitutes: A Systematic Review and Meta-Analysis. Ann Plast Surg. 2019 Oct;83(4S Suppl 1):S31–44. </w:t>
      </w:r>
    </w:p>
    <w:p w14:paraId="7F44AC41" w14:textId="77777777" w:rsidR="00A57D03" w:rsidRPr="008B4E3F" w:rsidRDefault="00A57D03" w:rsidP="00A57D03">
      <w:pPr>
        <w:pStyle w:val="Bibliography"/>
        <w:rPr>
          <w:lang w:val="en-US"/>
        </w:rPr>
      </w:pPr>
      <w:r w:rsidRPr="008B4E3F">
        <w:rPr>
          <w:lang w:val="en-US"/>
        </w:rPr>
        <w:t>99.</w:t>
      </w:r>
      <w:r w:rsidRPr="008B4E3F">
        <w:rPr>
          <w:lang w:val="en-US"/>
        </w:rPr>
        <w:tab/>
        <w:t xml:space="preserve">DiDomenico LA, Orgill DP, Galiano RD, Serena TE, Carter MJ, Kaufman JP, et al. Use of an aseptically processed, dehydrated human amnion and chorion membrane improves likelihood and rate of healing in chronic diabetic foot ulcers: A prospective, randomised, multi-centre clinical trial in 80 patients. Int Wound J. 2018 Dec;15(6):950–7. </w:t>
      </w:r>
    </w:p>
    <w:p w14:paraId="0891303A" w14:textId="77777777" w:rsidR="00A57D03" w:rsidRDefault="00A57D03" w:rsidP="00A57D03">
      <w:pPr>
        <w:pStyle w:val="Bibliography"/>
      </w:pPr>
      <w:r w:rsidRPr="008B4E3F">
        <w:rPr>
          <w:lang w:val="en-US"/>
        </w:rPr>
        <w:t>100.</w:t>
      </w:r>
      <w:r w:rsidRPr="008B4E3F">
        <w:rPr>
          <w:lang w:val="en-US"/>
        </w:rPr>
        <w:tab/>
        <w:t xml:space="preserve">Zelen CM, Orgill DP, Serena TE, Galiano RE, Carter MJ, DiDomenico LA, et al. An aseptically processed, acellular, reticular, allogenic human dermis improves healing in diabetic foot ulcers: A prospective, randomised, controlled, multicentre follow-up trial. </w:t>
      </w:r>
      <w:r>
        <w:t xml:space="preserve">Int Wound J. 2018 Oct;15(5):731–9. </w:t>
      </w:r>
    </w:p>
    <w:p w14:paraId="44F3E93A" w14:textId="77777777" w:rsidR="00A57D03" w:rsidRPr="008B4E3F" w:rsidRDefault="00A57D03" w:rsidP="00A57D03">
      <w:pPr>
        <w:pStyle w:val="Bibliography"/>
        <w:rPr>
          <w:lang w:val="en-US"/>
        </w:rPr>
      </w:pPr>
      <w:r>
        <w:t>101.</w:t>
      </w:r>
      <w:r>
        <w:tab/>
        <w:t xml:space="preserve">Zelen CM, Serena TE, Denoziere G, Fetterolf DE. </w:t>
      </w:r>
      <w:r w:rsidRPr="008B4E3F">
        <w:rPr>
          <w:lang w:val="en-US"/>
        </w:rPr>
        <w:t xml:space="preserve">A prospective randomised comparative parallel study of amniotic membrane wound graft in the management of diabetic foot ulcers. Int Wound J. 2013 Oct;10(5):502–7. </w:t>
      </w:r>
    </w:p>
    <w:p w14:paraId="5C472CD6" w14:textId="77777777" w:rsidR="00A57D03" w:rsidRPr="008B4E3F" w:rsidRDefault="00A57D03" w:rsidP="00A57D03">
      <w:pPr>
        <w:pStyle w:val="Bibliography"/>
        <w:rPr>
          <w:lang w:val="en-US"/>
        </w:rPr>
      </w:pPr>
      <w:r w:rsidRPr="008B4E3F">
        <w:rPr>
          <w:lang w:val="en-US"/>
        </w:rPr>
        <w:t>102.</w:t>
      </w:r>
      <w:r w:rsidRPr="008B4E3F">
        <w:rPr>
          <w:lang w:val="en-US"/>
        </w:rPr>
        <w:tab/>
        <w:t xml:space="preserve">Glat P, Orgill DP, Galiano R, Armstrong D, Serena T, DiDomenico LA, et al. Placental Membrane Provides Improved Healing Efficacy and Lower Cost Versus a Tissue-Engineered Human Skin in the Treatment of Diabetic Foot Ulcerations. Plast Reconstr Surg Glob Open. 2019 Aug;7(8):e2371. </w:t>
      </w:r>
    </w:p>
    <w:p w14:paraId="318FF49F" w14:textId="77777777" w:rsidR="00A57D03" w:rsidRPr="008B4E3F" w:rsidRDefault="00A57D03" w:rsidP="00A57D03">
      <w:pPr>
        <w:pStyle w:val="Bibliography"/>
        <w:rPr>
          <w:lang w:val="en-US"/>
        </w:rPr>
      </w:pPr>
      <w:r w:rsidRPr="008B4E3F">
        <w:rPr>
          <w:lang w:val="en-US"/>
        </w:rPr>
        <w:t>103.</w:t>
      </w:r>
      <w:r w:rsidRPr="008B4E3F">
        <w:rPr>
          <w:lang w:val="en-US"/>
        </w:rPr>
        <w:tab/>
        <w:t xml:space="preserve">Tettelbach W, Cazzell S, Sigal F, Caporusso JM, Agnew PS, Hanft J, et al. A multicentre prospective randomised controlled comparative parallel study of dehydrated human umbilical cord (EpiCord) allograft for the treatment of diabetic foot ulcers. Int Wound J. 2019 Feb;16(1):122–30. </w:t>
      </w:r>
    </w:p>
    <w:p w14:paraId="7AA83A4B" w14:textId="77777777" w:rsidR="00A57D03" w:rsidRPr="008B4E3F" w:rsidRDefault="00A57D03" w:rsidP="00A57D03">
      <w:pPr>
        <w:pStyle w:val="Bibliography"/>
        <w:rPr>
          <w:lang w:val="en-US"/>
        </w:rPr>
      </w:pPr>
      <w:r w:rsidRPr="008B4E3F">
        <w:rPr>
          <w:lang w:val="en-US"/>
        </w:rPr>
        <w:t>104.</w:t>
      </w:r>
      <w:r w:rsidRPr="008B4E3F">
        <w:rPr>
          <w:lang w:val="en-US"/>
        </w:rPr>
        <w:tab/>
        <w:t xml:space="preserve">Zelen CM, Serena TE, Gould L, Le L, Carter MJ, Keller J, et al. Treatment of chronic diabetic lower extremity ulcers with advanced therapies: a prospective, randomised, controlled, multi-centre comparative study examining clinical efficacy and cost. Int Wound J. 2016 Apr;13(2):272–82. </w:t>
      </w:r>
    </w:p>
    <w:p w14:paraId="22D15AD7" w14:textId="77777777" w:rsidR="00A57D03" w:rsidRPr="008B4E3F" w:rsidRDefault="00A57D03" w:rsidP="00A57D03">
      <w:pPr>
        <w:pStyle w:val="Bibliography"/>
        <w:rPr>
          <w:lang w:val="en-US"/>
        </w:rPr>
      </w:pPr>
      <w:r w:rsidRPr="008B4E3F">
        <w:rPr>
          <w:lang w:val="en-US"/>
        </w:rPr>
        <w:t>105.</w:t>
      </w:r>
      <w:r w:rsidRPr="008B4E3F">
        <w:rPr>
          <w:lang w:val="en-US"/>
        </w:rPr>
        <w:tab/>
        <w:t xml:space="preserve">Cazzell SM, Lange DL, Dickerson JE, Slade HB. The Management of Diabetic Foot Ulcers with Porcine Small Intestine Submucosa Tri-Layer Matrix: A Randomized Controlled Trial. Adv Wound Care. 2015 Dec 1;4(12):711–8. </w:t>
      </w:r>
    </w:p>
    <w:p w14:paraId="5496ACDE" w14:textId="77777777" w:rsidR="00A57D03" w:rsidRPr="008B4E3F" w:rsidRDefault="00A57D03" w:rsidP="00A57D03">
      <w:pPr>
        <w:pStyle w:val="Bibliography"/>
        <w:rPr>
          <w:lang w:val="en-US"/>
        </w:rPr>
      </w:pPr>
      <w:r w:rsidRPr="008B4E3F">
        <w:rPr>
          <w:lang w:val="en-US"/>
        </w:rPr>
        <w:t>106.</w:t>
      </w:r>
      <w:r w:rsidRPr="008B4E3F">
        <w:rPr>
          <w:lang w:val="en-US"/>
        </w:rPr>
        <w:tab/>
        <w:t xml:space="preserve">Tettelbach W., Cazzell S., Reyzelman A.M., Sigal F., Caporusso J.M., Agnew P.S. A confirmatory study on the efficacy of dehydrated human amnion/chorion membrane dHACM allograft in the management of diabetic foot ulcers: A prospective, multicentre, randomised, controlled study of 110 patients from 14 wound clinics. Int Wound J. 2018;16(1):19–29. </w:t>
      </w:r>
    </w:p>
    <w:p w14:paraId="3372946B" w14:textId="77777777" w:rsidR="00A57D03" w:rsidRPr="008B4E3F" w:rsidRDefault="00A57D03" w:rsidP="00A57D03">
      <w:pPr>
        <w:pStyle w:val="Bibliography"/>
        <w:rPr>
          <w:lang w:val="fr-BE"/>
        </w:rPr>
      </w:pPr>
      <w:r w:rsidRPr="008B4E3F">
        <w:rPr>
          <w:lang w:val="en-US"/>
        </w:rPr>
        <w:t>107.</w:t>
      </w:r>
      <w:r w:rsidRPr="008B4E3F">
        <w:rPr>
          <w:lang w:val="en-US"/>
        </w:rPr>
        <w:tab/>
        <w:t xml:space="preserve">Li X, Xu G, Chen J. Tissue engineered skin for diabetic foot ulcers: a meta-analysis. </w:t>
      </w:r>
      <w:r w:rsidRPr="008B4E3F">
        <w:rPr>
          <w:lang w:val="fr-BE"/>
        </w:rPr>
        <w:t xml:space="preserve">Int J Clin Exp Med. 2015;8(10):18191–6. </w:t>
      </w:r>
    </w:p>
    <w:p w14:paraId="4DB4A98F" w14:textId="77777777" w:rsidR="00A57D03" w:rsidRPr="008B4E3F" w:rsidRDefault="00A57D03" w:rsidP="00A57D03">
      <w:pPr>
        <w:pStyle w:val="Bibliography"/>
        <w:rPr>
          <w:lang w:val="en-US"/>
        </w:rPr>
      </w:pPr>
      <w:r w:rsidRPr="008B4E3F">
        <w:rPr>
          <w:lang w:val="fr-BE"/>
        </w:rPr>
        <w:t>108.</w:t>
      </w:r>
      <w:r w:rsidRPr="008B4E3F">
        <w:rPr>
          <w:lang w:val="fr-BE"/>
        </w:rPr>
        <w:tab/>
        <w:t xml:space="preserve">Lu D, Jiang Y, Deng W, Zhang Y, Liang Z, Wu Q, et al. </w:t>
      </w:r>
      <w:r w:rsidRPr="008B4E3F">
        <w:rPr>
          <w:lang w:val="en-US"/>
        </w:rPr>
        <w:t xml:space="preserve">Long-Term Outcomes of BMMSC Compared with BMMNC for Treatment of Critical Limb Ischemia and Foot Ulcer in Patients with Diabetes. Cell Transplant. 2019 May;28(5):645–52. </w:t>
      </w:r>
    </w:p>
    <w:p w14:paraId="26D9A0E0" w14:textId="77777777" w:rsidR="00A57D03" w:rsidRPr="008B4E3F" w:rsidRDefault="00A57D03" w:rsidP="00A57D03">
      <w:pPr>
        <w:pStyle w:val="Bibliography"/>
        <w:rPr>
          <w:lang w:val="en-US"/>
        </w:rPr>
      </w:pPr>
      <w:r w:rsidRPr="008B4E3F">
        <w:rPr>
          <w:lang w:val="en-US"/>
        </w:rPr>
        <w:t>109.</w:t>
      </w:r>
      <w:r w:rsidRPr="008B4E3F">
        <w:rPr>
          <w:lang w:val="en-US"/>
        </w:rPr>
        <w:tab/>
        <w:t xml:space="preserve">You HJ, Han SK, Lee JW, Chang H. Treatment of diabetic foot ulcers using cultured allogeneic keratinocytes--a pilot study. Wound Repair Regen Off Publ Wound Heal Soc Eur Tissue Repair Soc. 2012 Aug;20(4):491–9. </w:t>
      </w:r>
    </w:p>
    <w:p w14:paraId="05FD879F" w14:textId="77777777" w:rsidR="00A57D03" w:rsidRPr="008B4E3F" w:rsidRDefault="00A57D03" w:rsidP="00A57D03">
      <w:pPr>
        <w:pStyle w:val="Bibliography"/>
        <w:rPr>
          <w:lang w:val="en-US"/>
        </w:rPr>
      </w:pPr>
      <w:r w:rsidRPr="008B4E3F">
        <w:rPr>
          <w:lang w:val="fr-BE"/>
        </w:rPr>
        <w:t>110.</w:t>
      </w:r>
      <w:r w:rsidRPr="008B4E3F">
        <w:rPr>
          <w:lang w:val="fr-BE"/>
        </w:rPr>
        <w:tab/>
        <w:t xml:space="preserve">Ananian CE, Dhillon YS, Van Gils CC, Lindsey DC, Otto RJ, Dove CR, et al. </w:t>
      </w:r>
      <w:r w:rsidRPr="008B4E3F">
        <w:rPr>
          <w:lang w:val="en-US"/>
        </w:rPr>
        <w:t xml:space="preserve">A multicenter, randomized, single-blind trial comparing the efficacy of viable cryopreserved placental membrane to human fibroblast-derived dermal substitute for the treatment of chronic diabetic foot ulcers. Wound Repair Regen Off Publ Wound Heal Soc Eur Tissue Repair Soc. 2018;26(3):274–83. </w:t>
      </w:r>
    </w:p>
    <w:p w14:paraId="6A4894DC" w14:textId="77777777" w:rsidR="00A57D03" w:rsidRPr="008B4E3F" w:rsidRDefault="00A57D03" w:rsidP="00A57D03">
      <w:pPr>
        <w:pStyle w:val="Bibliography"/>
        <w:rPr>
          <w:lang w:val="en-US"/>
        </w:rPr>
      </w:pPr>
      <w:r w:rsidRPr="008B4E3F">
        <w:rPr>
          <w:lang w:val="en-US"/>
        </w:rPr>
        <w:t>111.</w:t>
      </w:r>
      <w:r w:rsidRPr="008B4E3F">
        <w:rPr>
          <w:lang w:val="en-US"/>
        </w:rPr>
        <w:tab/>
        <w:t xml:space="preserve">Laurent I, Astère M, Wang KR, Cheng QF, Li QF. Efficacy and Time Sensitivity of Amniotic Membrane treatment in Patients with Diabetic Foot Ulcers: A Systematic Review and Meta-analysis. Diabetes Ther Res Treat Educ Diabetes Relat Disord. 2017 Oct;8(5):967–79. </w:t>
      </w:r>
    </w:p>
    <w:p w14:paraId="7D839B4D" w14:textId="77777777" w:rsidR="00A57D03" w:rsidRPr="008B4E3F" w:rsidRDefault="00A57D03" w:rsidP="00A57D03">
      <w:pPr>
        <w:pStyle w:val="Bibliography"/>
        <w:rPr>
          <w:lang w:val="en-US"/>
        </w:rPr>
      </w:pPr>
      <w:r w:rsidRPr="008B4E3F">
        <w:rPr>
          <w:lang w:val="en-US"/>
        </w:rPr>
        <w:t>112.</w:t>
      </w:r>
      <w:r w:rsidRPr="008B4E3F">
        <w:rPr>
          <w:lang w:val="en-US"/>
        </w:rPr>
        <w:tab/>
        <w:t xml:space="preserve">Guest JF, Weidlich D, Singh H, La Fontaine J, Garrett A, Abularrage CJ, et al. Cost-effectiveness of using adjunctive porcine small intestine submucosa tri-layer matrix compared with standard care in managing diabetic foot ulcers in the US. J Wound Care. 2017 02;26(Sup1):S12–24. </w:t>
      </w:r>
    </w:p>
    <w:p w14:paraId="3CE9E1F1" w14:textId="77777777" w:rsidR="00A57D03" w:rsidRPr="008B4E3F" w:rsidRDefault="00A57D03" w:rsidP="00A57D03">
      <w:pPr>
        <w:pStyle w:val="Bibliography"/>
        <w:rPr>
          <w:lang w:val="en-US"/>
        </w:rPr>
      </w:pPr>
      <w:r w:rsidRPr="008B4E3F">
        <w:rPr>
          <w:lang w:val="en-US"/>
        </w:rPr>
        <w:t>113.</w:t>
      </w:r>
      <w:r w:rsidRPr="008B4E3F">
        <w:rPr>
          <w:lang w:val="en-US"/>
        </w:rPr>
        <w:tab/>
        <w:t>Langer A, Rogowski W, Heybeck TV. Systematic Review of Economic Evaluations of Human Cell-Derived Wound C are Products for the Treatment of Venous Leg and Diabetic Foot Ulcers. Foot Ankle Q-- Semin J [Internet]. 2016;27(9). Available from: http://search.ebscohost.com/login.aspx?direct=true&amp;db=cin20&amp;AN=114503321&amp;site=ehost-live&amp;scope=site</w:t>
      </w:r>
    </w:p>
    <w:p w14:paraId="738DB5E3" w14:textId="77777777" w:rsidR="00A57D03" w:rsidRPr="008B4E3F" w:rsidRDefault="00A57D03" w:rsidP="00A57D03">
      <w:pPr>
        <w:pStyle w:val="Bibliography"/>
        <w:rPr>
          <w:lang w:val="en-US"/>
        </w:rPr>
      </w:pPr>
      <w:r w:rsidRPr="008B4E3F">
        <w:rPr>
          <w:lang w:val="en-US"/>
        </w:rPr>
        <w:t>114.</w:t>
      </w:r>
      <w:r w:rsidRPr="008B4E3F">
        <w:rPr>
          <w:lang w:val="en-US"/>
        </w:rPr>
        <w:tab/>
        <w:t xml:space="preserve">Rice JB, Desai U, Ristovska L, Cummings AKG, Birnbaum HG, Skornicki M, et al. Economic outcomes among Medicare patients receiving bioengineered cellular technologies for treatment of diabetic foot ulcers. J Med Econ. 2015;18(8):586–95. </w:t>
      </w:r>
    </w:p>
    <w:p w14:paraId="1E87AF6A" w14:textId="77777777" w:rsidR="00A57D03" w:rsidRPr="008B4E3F" w:rsidRDefault="00A57D03" w:rsidP="00A57D03">
      <w:pPr>
        <w:pStyle w:val="Bibliography"/>
        <w:rPr>
          <w:lang w:val="en-US"/>
        </w:rPr>
      </w:pPr>
      <w:r w:rsidRPr="008B4E3F">
        <w:rPr>
          <w:lang w:val="en-US"/>
        </w:rPr>
        <w:t>115.</w:t>
      </w:r>
      <w:r w:rsidRPr="008B4E3F">
        <w:rPr>
          <w:lang w:val="en-US"/>
        </w:rPr>
        <w:tab/>
        <w:t xml:space="preserve">Lonardi R, Leone N, Gennai S, Trevisi Borsari G, Covic T, Silingardi R. Autologous micro-fragmented adipose tissue for the treatment of diabetic foot minor amputations: a randomized controlled single-center clinical trial (MiFrAADiF). Stem Cell Res Ther. 2019 Jul 29;10(1):223. </w:t>
      </w:r>
    </w:p>
    <w:p w14:paraId="5661495A" w14:textId="77777777" w:rsidR="00A57D03" w:rsidRPr="008B4E3F" w:rsidRDefault="00A57D03" w:rsidP="00A57D03">
      <w:pPr>
        <w:pStyle w:val="Bibliography"/>
        <w:rPr>
          <w:lang w:val="en-US"/>
        </w:rPr>
      </w:pPr>
      <w:r w:rsidRPr="008B4E3F">
        <w:rPr>
          <w:lang w:val="en-US"/>
        </w:rPr>
        <w:t>116.</w:t>
      </w:r>
      <w:r w:rsidRPr="008B4E3F">
        <w:rPr>
          <w:lang w:val="en-US"/>
        </w:rPr>
        <w:tab/>
        <w:t xml:space="preserve">Li L, Chen D, Wang C, Yuan N, Wang Y, He L, et al. Autologous platelet-rich gel for treatment of diabetic chronic refractory cutaneous ulcers: A prospective, randomized clinical trial. Wound Repair Regen Off Publ Wound Heal Soc Eur Tissue Repair Soc. 2015 Aug;23(4):495–505. </w:t>
      </w:r>
    </w:p>
    <w:p w14:paraId="6D47E559" w14:textId="77777777" w:rsidR="00A57D03" w:rsidRPr="008B4E3F" w:rsidRDefault="00A57D03" w:rsidP="00A57D03">
      <w:pPr>
        <w:pStyle w:val="Bibliography"/>
        <w:rPr>
          <w:lang w:val="fr-BE"/>
        </w:rPr>
      </w:pPr>
      <w:r w:rsidRPr="008B4E3F">
        <w:rPr>
          <w:lang w:val="en-US"/>
        </w:rPr>
        <w:t>117.</w:t>
      </w:r>
      <w:r w:rsidRPr="008B4E3F">
        <w:rPr>
          <w:lang w:val="en-US"/>
        </w:rPr>
        <w:tab/>
        <w:t xml:space="preserve">Game F, Jeffcoate W, Tarnow L, Jacobsen JL, Whitham DJ, Harrison EF, et al. LeucoPatch system for the management of hard-to-heal diabetic foot ulcers in the UK, Denmark, and Sweden: an observer-masked, randomised controlled trial. </w:t>
      </w:r>
      <w:r w:rsidRPr="008B4E3F">
        <w:rPr>
          <w:lang w:val="fr-BE"/>
        </w:rPr>
        <w:t xml:space="preserve">Lancet Diabetes Endocrinol. 2018;6(11):870–8. </w:t>
      </w:r>
    </w:p>
    <w:p w14:paraId="7A36777F" w14:textId="77777777" w:rsidR="00A57D03" w:rsidRPr="008B4E3F" w:rsidRDefault="00A57D03" w:rsidP="00A57D03">
      <w:pPr>
        <w:pStyle w:val="Bibliography"/>
        <w:rPr>
          <w:lang w:val="en-US"/>
        </w:rPr>
      </w:pPr>
      <w:r w:rsidRPr="008B4E3F">
        <w:rPr>
          <w:lang w:val="fr-BE"/>
        </w:rPr>
        <w:t>118.</w:t>
      </w:r>
      <w:r w:rsidRPr="008B4E3F">
        <w:rPr>
          <w:lang w:val="fr-BE"/>
        </w:rPr>
        <w:tab/>
        <w:t xml:space="preserve">Uccioli L, Giurato L, Ruotolo V, Ciavarella A, Grimaldi MS, Piaggesi A, et al. </w:t>
      </w:r>
      <w:r w:rsidRPr="008B4E3F">
        <w:rPr>
          <w:lang w:val="en-US"/>
        </w:rPr>
        <w:t xml:space="preserve">Two-step autologous grafting using HYAFF scaffolds in treating difficult diabetic foot ulcers: results of a multicenter, randomized controlled clinical trial with long-term follow-up. Int J Low Extrem Wounds. 2011 Jun;10(2):80–5. </w:t>
      </w:r>
    </w:p>
    <w:p w14:paraId="16934032" w14:textId="77777777" w:rsidR="00A57D03" w:rsidRPr="008B4E3F" w:rsidRDefault="00A57D03" w:rsidP="00A57D03">
      <w:pPr>
        <w:pStyle w:val="Bibliography"/>
        <w:rPr>
          <w:lang w:val="en-US"/>
        </w:rPr>
      </w:pPr>
      <w:r w:rsidRPr="008B4E3F">
        <w:rPr>
          <w:lang w:val="en-US"/>
        </w:rPr>
        <w:t>119.</w:t>
      </w:r>
      <w:r w:rsidRPr="008B4E3F">
        <w:rPr>
          <w:lang w:val="en-US"/>
        </w:rPr>
        <w:tab/>
        <w:t xml:space="preserve">Zhang Y, Deng H, Tang Z. Efficacy of Cellular Therapy for Diabetic Foot Ulcer: A Meta-Analysis of Randomized Controlled Clinical Trials. Cell Transplant. 2017;26(12):1931–9. </w:t>
      </w:r>
    </w:p>
    <w:p w14:paraId="2A1277C9" w14:textId="77777777" w:rsidR="00A57D03" w:rsidRPr="00A57D03" w:rsidRDefault="00A57D03" w:rsidP="00A57D03">
      <w:pPr>
        <w:pStyle w:val="Bibliography"/>
        <w:rPr>
          <w:lang w:val="en-US"/>
        </w:rPr>
      </w:pPr>
      <w:r w:rsidRPr="008B4E3F">
        <w:rPr>
          <w:lang w:val="en-US"/>
        </w:rPr>
        <w:t>120.</w:t>
      </w:r>
      <w:r w:rsidRPr="008B4E3F">
        <w:rPr>
          <w:lang w:val="en-US"/>
        </w:rPr>
        <w:tab/>
        <w:t xml:space="preserve">Dubsky M, Jirkovska A, Bem R, Fejfarova V, Pagacova L, Sixta B, et al. </w:t>
      </w:r>
      <w:r w:rsidRPr="00A57D03">
        <w:rPr>
          <w:lang w:val="en-US"/>
        </w:rPr>
        <w:t xml:space="preserve">Both autologous bone marrow mononuclear cell and peripheral blood progenitor cell therapies similarly improve ischaemia in patients with diabetic foot in comparison with control treatment. Diabetes Metab Res Rev. 2013 Jul;29(5):369–76. </w:t>
      </w:r>
    </w:p>
    <w:p w14:paraId="218A27A6" w14:textId="77777777" w:rsidR="00A57D03" w:rsidRDefault="00A57D03" w:rsidP="00A57D03">
      <w:pPr>
        <w:pStyle w:val="Bibliography"/>
      </w:pPr>
      <w:r w:rsidRPr="00A57D03">
        <w:rPr>
          <w:lang w:val="en-US"/>
        </w:rPr>
        <w:t>121.</w:t>
      </w:r>
      <w:r w:rsidRPr="00A57D03">
        <w:rPr>
          <w:lang w:val="en-US"/>
        </w:rPr>
        <w:tab/>
        <w:t xml:space="preserve">Moon KC, Suh HS, Kim KB, Han SK, Young KW, Lee JW, et al. Potential of Allogeneic Adipose-Derived Stem Cell-Hydrogel Complex for Treating Diabetic Foot Ulcers. </w:t>
      </w:r>
      <w:r>
        <w:t xml:space="preserve">Diabetes. 2019;68(4):837–46. </w:t>
      </w:r>
    </w:p>
    <w:p w14:paraId="4C1FC5AC" w14:textId="77777777" w:rsidR="00A57D03" w:rsidRPr="008B4E3F" w:rsidRDefault="00A57D03" w:rsidP="00A57D03">
      <w:pPr>
        <w:pStyle w:val="Bibliography"/>
        <w:rPr>
          <w:lang w:val="en-US"/>
        </w:rPr>
      </w:pPr>
      <w:r>
        <w:t>122.</w:t>
      </w:r>
      <w:r>
        <w:tab/>
        <w:t xml:space="preserve">Shu X, Shu S, Tang S, Yang L, Liu D, Li K, et al. </w:t>
      </w:r>
      <w:r w:rsidRPr="00A57D03">
        <w:rPr>
          <w:lang w:val="en-US"/>
        </w:rPr>
        <w:t xml:space="preserve">Efficiency of stem cell based therapy in the treatment of diabetic foot ulcer: a meta-analysis. </w:t>
      </w:r>
      <w:r w:rsidRPr="008B4E3F">
        <w:rPr>
          <w:lang w:val="en-US"/>
        </w:rPr>
        <w:t xml:space="preserve">Endocr J. 2018 Apr 26;65(4):403–13. </w:t>
      </w:r>
    </w:p>
    <w:p w14:paraId="79EF446D" w14:textId="77777777" w:rsidR="00A57D03" w:rsidRPr="008B4E3F" w:rsidRDefault="00A57D03" w:rsidP="00A57D03">
      <w:pPr>
        <w:pStyle w:val="Bibliography"/>
        <w:rPr>
          <w:lang w:val="en-US"/>
        </w:rPr>
      </w:pPr>
      <w:r w:rsidRPr="008B4E3F">
        <w:rPr>
          <w:lang w:val="en-US"/>
        </w:rPr>
        <w:t>123.</w:t>
      </w:r>
      <w:r w:rsidRPr="008B4E3F">
        <w:rPr>
          <w:lang w:val="en-US"/>
        </w:rPr>
        <w:tab/>
        <w:t xml:space="preserve">Guo J, Dardik A, Fang K, Huang R, Gu Y. Meta-analysis on the treatment of diabetic foot ulcers with autologous stem cells. Stem Cell Res Ther. 2017 16;8(1):228. </w:t>
      </w:r>
    </w:p>
    <w:p w14:paraId="6B210DD8" w14:textId="77777777" w:rsidR="00A57D03" w:rsidRPr="008B4E3F" w:rsidRDefault="00A57D03" w:rsidP="00A57D03">
      <w:pPr>
        <w:pStyle w:val="Bibliography"/>
        <w:rPr>
          <w:lang w:val="en-US"/>
        </w:rPr>
      </w:pPr>
      <w:r w:rsidRPr="008B4E3F">
        <w:rPr>
          <w:lang w:val="en-US"/>
        </w:rPr>
        <w:t>124.</w:t>
      </w:r>
      <w:r w:rsidRPr="008B4E3F">
        <w:rPr>
          <w:lang w:val="en-US"/>
        </w:rPr>
        <w:tab/>
        <w:t xml:space="preserve">Kirana S, Stratmann B, Prante C, Prohaska W, Koerperich H, Lammers D, et al. Autologous stem cell therapy in the treatment of limb ischaemia induced chronic tissue ulcers of diabetic foot patients. Int J Clin Pract. 2012 Apr;66(4):384–93. </w:t>
      </w:r>
    </w:p>
    <w:p w14:paraId="6E1D083C" w14:textId="77777777" w:rsidR="00A57D03" w:rsidRPr="008B4E3F" w:rsidRDefault="00A57D03" w:rsidP="00A57D03">
      <w:pPr>
        <w:pStyle w:val="Bibliography"/>
        <w:rPr>
          <w:lang w:val="en-US"/>
        </w:rPr>
      </w:pPr>
      <w:r w:rsidRPr="008B4E3F">
        <w:rPr>
          <w:lang w:val="en-US"/>
        </w:rPr>
        <w:t>125.</w:t>
      </w:r>
      <w:r w:rsidRPr="008B4E3F">
        <w:rPr>
          <w:lang w:val="en-US"/>
        </w:rPr>
        <w:tab/>
        <w:t xml:space="preserve">Golledge J, Singh TP. Systematic review and meta-analysis of clinical trials examining the effect of hyperbaric oxygen therapy in people with diabetes-related lower limb ulcers. Diabet Med J Br Diabet Assoc. 2019 Jul;36(7):813–26. </w:t>
      </w:r>
    </w:p>
    <w:p w14:paraId="6AD1CDDF" w14:textId="77777777" w:rsidR="00A57D03" w:rsidRPr="008B4E3F" w:rsidRDefault="00A57D03" w:rsidP="00A57D03">
      <w:pPr>
        <w:pStyle w:val="Bibliography"/>
        <w:rPr>
          <w:lang w:val="en-US"/>
        </w:rPr>
      </w:pPr>
      <w:r w:rsidRPr="008B4E3F">
        <w:rPr>
          <w:lang w:val="en-US"/>
        </w:rPr>
        <w:t>126.</w:t>
      </w:r>
      <w:r w:rsidRPr="008B4E3F">
        <w:rPr>
          <w:lang w:val="en-US"/>
        </w:rPr>
        <w:tab/>
        <w:t xml:space="preserve">Salama SE, Eldeeb AE, Elbarbary AH, Abdelghany SE. Adjuvant Hyperbaric Oxygen Therapy Enhances Healing of Nonischemic Diabetic Foot  Ulcers Compared With Standard Wound Care Alone. Int J Low Extrem Wounds. 2019 Mar;18(1):75–80. </w:t>
      </w:r>
    </w:p>
    <w:p w14:paraId="0DD3C965" w14:textId="77777777" w:rsidR="00A57D03" w:rsidRPr="008B4E3F" w:rsidRDefault="00A57D03" w:rsidP="00A57D03">
      <w:pPr>
        <w:pStyle w:val="Bibliography"/>
        <w:rPr>
          <w:lang w:val="en-US"/>
        </w:rPr>
      </w:pPr>
      <w:r w:rsidRPr="008B4E3F">
        <w:rPr>
          <w:lang w:val="en-US"/>
        </w:rPr>
        <w:t>127.</w:t>
      </w:r>
      <w:r w:rsidRPr="008B4E3F">
        <w:rPr>
          <w:lang w:val="en-US"/>
        </w:rPr>
        <w:tab/>
        <w:t xml:space="preserve">Chen CY, Wu RW, Hsu MC, Hsieh CJ, Chou MC. Adjunctive Hyperbaric Oxygen Therapy for Healing of Chronic Diabetic Foot Ulcers: A Randomized Controlled Trial. J Wound Ostomy Cont Nurs Off Publ Wound Ostomy Cont Nurses Soc. 2017 Dec;44(6):536–45. </w:t>
      </w:r>
    </w:p>
    <w:p w14:paraId="10E1D207" w14:textId="77777777" w:rsidR="00A57D03" w:rsidRPr="008B4E3F" w:rsidRDefault="00A57D03" w:rsidP="00A57D03">
      <w:pPr>
        <w:pStyle w:val="Bibliography"/>
        <w:rPr>
          <w:lang w:val="en-US"/>
        </w:rPr>
      </w:pPr>
      <w:r w:rsidRPr="008B4E3F">
        <w:rPr>
          <w:lang w:val="en-US"/>
        </w:rPr>
        <w:t>128.</w:t>
      </w:r>
      <w:r w:rsidRPr="008B4E3F">
        <w:rPr>
          <w:lang w:val="en-US"/>
        </w:rPr>
        <w:tab/>
        <w:t xml:space="preserve">Health Quality Ontario. Hyperbaric Oxygen Therapy for the Treatment of Diabetic Foot Ulcers: A Health Technology Assessment. Ont Health Technol Assess Ser. 2017;17(5):1–142. </w:t>
      </w:r>
    </w:p>
    <w:p w14:paraId="42432212" w14:textId="77777777" w:rsidR="00A57D03" w:rsidRPr="008B4E3F" w:rsidRDefault="00A57D03" w:rsidP="00A57D03">
      <w:pPr>
        <w:pStyle w:val="Bibliography"/>
        <w:rPr>
          <w:lang w:val="en-US"/>
        </w:rPr>
      </w:pPr>
      <w:r w:rsidRPr="008B4E3F">
        <w:rPr>
          <w:lang w:val="en-US"/>
        </w:rPr>
        <w:t>129.</w:t>
      </w:r>
      <w:r w:rsidRPr="008B4E3F">
        <w:rPr>
          <w:lang w:val="en-US"/>
        </w:rPr>
        <w:tab/>
        <w:t xml:space="preserve">Elraiyah T, Tsapas A, Prutsky G, Domecq JP, Hasan R, Firwana B, et al. A systematic review and meta-analysis of adjunctive therapies in diabetic foot ulcers. J Vasc Surg. 2016 Feb;63(2 Suppl):46S-58S.e1-2. </w:t>
      </w:r>
    </w:p>
    <w:p w14:paraId="247EE9FA" w14:textId="77777777" w:rsidR="00A57D03" w:rsidRPr="008B4E3F" w:rsidRDefault="00A57D03" w:rsidP="00A57D03">
      <w:pPr>
        <w:pStyle w:val="Bibliography"/>
        <w:rPr>
          <w:lang w:val="en-US"/>
        </w:rPr>
      </w:pPr>
      <w:r w:rsidRPr="008B4E3F">
        <w:rPr>
          <w:lang w:val="en-US"/>
        </w:rPr>
        <w:t>130.</w:t>
      </w:r>
      <w:r w:rsidRPr="008B4E3F">
        <w:rPr>
          <w:lang w:val="en-US"/>
        </w:rPr>
        <w:tab/>
        <w:t xml:space="preserve">Liu R, Li L, Yang M, Boden G, Yang G. Systematic review of the effectiveness of hyperbaric oxygenation therapy in the management of chronic diabetic foot ulcers. Mayo Clin Proc. 2013 Feb;88(2):166–75. </w:t>
      </w:r>
    </w:p>
    <w:p w14:paraId="33E2E2B4" w14:textId="77777777" w:rsidR="00A57D03" w:rsidRPr="008B4E3F" w:rsidRDefault="00A57D03" w:rsidP="00A57D03">
      <w:pPr>
        <w:pStyle w:val="Bibliography"/>
        <w:rPr>
          <w:lang w:val="en-US"/>
        </w:rPr>
      </w:pPr>
      <w:r w:rsidRPr="008B4E3F">
        <w:rPr>
          <w:lang w:val="en-US"/>
        </w:rPr>
        <w:t>131.</w:t>
      </w:r>
      <w:r w:rsidRPr="008B4E3F">
        <w:rPr>
          <w:lang w:val="en-US"/>
        </w:rPr>
        <w:tab/>
        <w:t xml:space="preserve">O’Reilly D, Pasricha A, Campbell K, Burke N, Assasi N, Bowen JM, et al. Hyperbaric oxygen therapy for diabetic ulcers: systematic review and meta-analysis. Int J Technol Assess Health Care. 2013 Jul;29(3):269–81. </w:t>
      </w:r>
    </w:p>
    <w:p w14:paraId="221FE6CA" w14:textId="77777777" w:rsidR="00A57D03" w:rsidRPr="008B4E3F" w:rsidRDefault="00A57D03" w:rsidP="00A57D03">
      <w:pPr>
        <w:pStyle w:val="Bibliography"/>
        <w:rPr>
          <w:lang w:val="en-US"/>
        </w:rPr>
      </w:pPr>
      <w:r w:rsidRPr="008B4E3F">
        <w:rPr>
          <w:lang w:val="en-US"/>
        </w:rPr>
        <w:t>132.</w:t>
      </w:r>
      <w:r w:rsidRPr="008B4E3F">
        <w:rPr>
          <w:lang w:val="en-US"/>
        </w:rPr>
        <w:tab/>
        <w:t xml:space="preserve">Lalieu RC, Brouwer RJ, Ubbink DT, Hoencamp R, Bol Raap R, van Hulst RA. Hyperbaric oxygen therapy for nonischemic diabetic ulcers: A systematic review. Wound Repair Regen Off Publ Wound Heal Soc Eur Tissue Repair Soc. 2019 Oct 31; </w:t>
      </w:r>
    </w:p>
    <w:p w14:paraId="3CE58D3A" w14:textId="77777777" w:rsidR="00A57D03" w:rsidRPr="008B4E3F" w:rsidRDefault="00A57D03" w:rsidP="00A57D03">
      <w:pPr>
        <w:pStyle w:val="Bibliography"/>
        <w:rPr>
          <w:lang w:val="en-US"/>
        </w:rPr>
      </w:pPr>
      <w:r>
        <w:t>133.</w:t>
      </w:r>
      <w:r>
        <w:tab/>
        <w:t xml:space="preserve">Santema KTB, Stoekenbroek RM, Koelemay MJW, Reekers JA, van Dortmont LMC, Oomen A, et al. </w:t>
      </w:r>
      <w:r w:rsidRPr="008B4E3F">
        <w:rPr>
          <w:lang w:val="en-US"/>
        </w:rPr>
        <w:t xml:space="preserve">Hyperbaric Oxygen Therapy in the Treatment of Ischemic Lower- Extremity Ulcers in Patients With Diabetes: Results of the DAMO2CLES Multicenter Randomized Clinical Trial. Diabetes Care. 2018;41(1):112–9. </w:t>
      </w:r>
    </w:p>
    <w:p w14:paraId="4D67CC9A" w14:textId="77777777" w:rsidR="00A57D03" w:rsidRPr="008B4E3F" w:rsidRDefault="00A57D03" w:rsidP="00A57D03">
      <w:pPr>
        <w:pStyle w:val="Bibliography"/>
        <w:rPr>
          <w:lang w:val="en-US"/>
        </w:rPr>
      </w:pPr>
      <w:r w:rsidRPr="008B4E3F">
        <w:rPr>
          <w:lang w:val="en-US"/>
        </w:rPr>
        <w:t>134.</w:t>
      </w:r>
      <w:r w:rsidRPr="008B4E3F">
        <w:rPr>
          <w:lang w:val="en-US"/>
        </w:rPr>
        <w:tab/>
        <w:t xml:space="preserve">Zhao D, Luo S, Xu W, Hu J, Lin S, Wang N. Efficacy and Safety of Hyperbaric Oxygen Therapy Used in Patients With Diabetic Foot: A Meta-analysis of Randomized Clinical Trials. Clin Ther. 2017 Oct;39(10):2088-2094.e2. </w:t>
      </w:r>
    </w:p>
    <w:p w14:paraId="22210451" w14:textId="77777777" w:rsidR="00A57D03" w:rsidRPr="008B4E3F" w:rsidRDefault="00A57D03" w:rsidP="00A57D03">
      <w:pPr>
        <w:pStyle w:val="Bibliography"/>
        <w:rPr>
          <w:lang w:val="en-US"/>
        </w:rPr>
      </w:pPr>
      <w:r w:rsidRPr="008B4E3F">
        <w:rPr>
          <w:lang w:val="en-US"/>
        </w:rPr>
        <w:t>135.</w:t>
      </w:r>
      <w:r w:rsidRPr="008B4E3F">
        <w:rPr>
          <w:lang w:val="en-US"/>
        </w:rPr>
        <w:tab/>
        <w:t xml:space="preserve">Kranke P, Bennett MH, Martyn-St James M, Schnabel A, Debus SE, Weibel S. Hyperbaric oxygen therapy for chronic wounds. Cochrane Database Syst Rev. 2015 Jun 24;(6):CD004123. </w:t>
      </w:r>
    </w:p>
    <w:p w14:paraId="67AF5F21" w14:textId="77777777" w:rsidR="00A57D03" w:rsidRPr="008B4E3F" w:rsidRDefault="00A57D03" w:rsidP="00A57D03">
      <w:pPr>
        <w:pStyle w:val="Bibliography"/>
        <w:rPr>
          <w:lang w:val="en-US"/>
        </w:rPr>
      </w:pPr>
      <w:r w:rsidRPr="008B4E3F">
        <w:rPr>
          <w:lang w:val="en-US"/>
        </w:rPr>
        <w:t>136.</w:t>
      </w:r>
      <w:r w:rsidRPr="008B4E3F">
        <w:rPr>
          <w:lang w:val="en-US"/>
        </w:rPr>
        <w:tab/>
        <w:t xml:space="preserve">Margolis DJ, Gupta J, Hoffstad O, Papdopoulos M, Glick HA, Thom SR, et al. Lack of effectiveness of hyperbaric oxygen therapy for the treatment of diabetic foot ulcer and the prevention of amputation: a cohort study. Diabetes Care. 2013 Jul;36(7):1961–6. </w:t>
      </w:r>
    </w:p>
    <w:p w14:paraId="4DE16EAC" w14:textId="77777777" w:rsidR="00A57D03" w:rsidRPr="008B4E3F" w:rsidRDefault="00A57D03" w:rsidP="00A57D03">
      <w:pPr>
        <w:pStyle w:val="Bibliography"/>
        <w:rPr>
          <w:lang w:val="en-US"/>
        </w:rPr>
      </w:pPr>
      <w:r w:rsidRPr="008B4E3F">
        <w:rPr>
          <w:lang w:val="en-US"/>
        </w:rPr>
        <w:t>137.</w:t>
      </w:r>
      <w:r w:rsidRPr="008B4E3F">
        <w:rPr>
          <w:lang w:val="en-US"/>
        </w:rPr>
        <w:tab/>
        <w:t xml:space="preserve">Perren S, Gatt A, Papanas N, Formosa C. Hyperbaric Oxygen Therapy in Ischaemic Foot Ulcers in Type 2 Diabetes: A Clinical Trial. Open Cardiovasc Med J. 2018;12:80–5. </w:t>
      </w:r>
    </w:p>
    <w:p w14:paraId="5C5F95B9" w14:textId="77777777" w:rsidR="00A57D03" w:rsidRPr="008B4E3F" w:rsidRDefault="00A57D03" w:rsidP="00A57D03">
      <w:pPr>
        <w:pStyle w:val="Bibliography"/>
        <w:rPr>
          <w:lang w:val="en-US"/>
        </w:rPr>
      </w:pPr>
      <w:r w:rsidRPr="008B4E3F">
        <w:rPr>
          <w:lang w:val="en-US"/>
        </w:rPr>
        <w:t>138.</w:t>
      </w:r>
      <w:r w:rsidRPr="008B4E3F">
        <w:rPr>
          <w:lang w:val="en-US"/>
        </w:rPr>
        <w:tab/>
        <w:t xml:space="preserve">MOHD YAZID B, AYESYAH A, NURHANANI AB, MOHD ROHAIZAT H. The Physiological, Biochemical and Quality of Life Changes in Chronic Diabetic Foot Ulcer after Hyperbaric Oxygen Therapy. Med Health Univ Kebangs Malays. 2017 Jul;12(2):210–9. </w:t>
      </w:r>
    </w:p>
    <w:p w14:paraId="59FFC0DC" w14:textId="77777777" w:rsidR="00A57D03" w:rsidRPr="008B4E3F" w:rsidRDefault="00A57D03" w:rsidP="00A57D03">
      <w:pPr>
        <w:pStyle w:val="Bibliography"/>
        <w:rPr>
          <w:lang w:val="en-US"/>
        </w:rPr>
      </w:pPr>
      <w:r w:rsidRPr="008B4E3F">
        <w:rPr>
          <w:lang w:val="en-US"/>
        </w:rPr>
        <w:t>139.</w:t>
      </w:r>
      <w:r w:rsidRPr="008B4E3F">
        <w:rPr>
          <w:lang w:val="en-US"/>
        </w:rPr>
        <w:tab/>
        <w:t xml:space="preserve">Fedorko L, Bowen JM, Jones W, Oreopoulos G, Goeree R, Hopkins RB, et al. Hyperbaric Oxygen Therapy Does Not Reduce Indications for Amputation in Patients With Diabetes With Nonhealing Ulcers of the Lower Limb: A Prospective, Double-Blind, Randomized Controlled Clinical Trial. Diabetes Care. 2016 Mar;39(3):392–9. </w:t>
      </w:r>
    </w:p>
    <w:p w14:paraId="43968BEB" w14:textId="77777777" w:rsidR="00A57D03" w:rsidRPr="008B4E3F" w:rsidRDefault="00A57D03" w:rsidP="00A57D03">
      <w:pPr>
        <w:pStyle w:val="Bibliography"/>
        <w:rPr>
          <w:lang w:val="en-US"/>
        </w:rPr>
      </w:pPr>
      <w:r w:rsidRPr="008B4E3F">
        <w:rPr>
          <w:lang w:val="en-US"/>
        </w:rPr>
        <w:t>140.</w:t>
      </w:r>
      <w:r w:rsidRPr="008B4E3F">
        <w:rPr>
          <w:lang w:val="en-US"/>
        </w:rPr>
        <w:tab/>
        <w:t xml:space="preserve">Löndahl M, Landin-Olsson M, Katzman P. Hyperbaric oxygen therapy improves health-related quality of life in patients with diabetes and chronic foot ulcer. Diabet Med J Br Diabet Assoc. 2011 Feb;28(2):186–90. </w:t>
      </w:r>
    </w:p>
    <w:p w14:paraId="0182819A" w14:textId="77777777" w:rsidR="00A57D03" w:rsidRDefault="00A57D03" w:rsidP="00A57D03">
      <w:pPr>
        <w:pStyle w:val="Bibliography"/>
      </w:pPr>
      <w:r w:rsidRPr="008B4E3F">
        <w:rPr>
          <w:lang w:val="en-US"/>
        </w:rPr>
        <w:t>141.</w:t>
      </w:r>
      <w:r w:rsidRPr="008B4E3F">
        <w:rPr>
          <w:lang w:val="en-US"/>
        </w:rPr>
        <w:tab/>
        <w:t xml:space="preserve">Li G, Hopkins RB, Levine MAH, Jin X, Bowen JM, Thabane L, et al. Relationship between hyperbaric oxygen therapy and quality of life in participants with chronic diabetic foot ulcers: data from a randomized controlled trial. </w:t>
      </w:r>
      <w:r>
        <w:t xml:space="preserve">Acta Diabetol. 2017 Sep;54(9):823–31. </w:t>
      </w:r>
    </w:p>
    <w:p w14:paraId="06B2B283" w14:textId="77777777" w:rsidR="00A57D03" w:rsidRPr="008B4E3F" w:rsidRDefault="00A57D03" w:rsidP="00A57D03">
      <w:pPr>
        <w:pStyle w:val="Bibliography"/>
        <w:rPr>
          <w:lang w:val="en-US"/>
        </w:rPr>
      </w:pPr>
      <w:r>
        <w:t>142.</w:t>
      </w:r>
      <w:r>
        <w:tab/>
        <w:t xml:space="preserve">Eggert JV, Worth ER, Van Gils CC. </w:t>
      </w:r>
      <w:r w:rsidRPr="008B4E3F">
        <w:rPr>
          <w:lang w:val="en-US"/>
        </w:rPr>
        <w:t xml:space="preserve">Cost and mortality data of a regional limb salvage and hyperbaric medicine program for Wagner Grade 3 or 4 diabetic foot ulcers. Undersea Hyperb Med J Undersea Hyperb Med Soc Inc. 2016 Feb;43(1):1–8. </w:t>
      </w:r>
    </w:p>
    <w:p w14:paraId="1076FC99" w14:textId="77777777" w:rsidR="00A57D03" w:rsidRPr="008B4E3F" w:rsidRDefault="00A57D03" w:rsidP="00A57D03">
      <w:pPr>
        <w:pStyle w:val="Bibliography"/>
        <w:rPr>
          <w:lang w:val="en-US"/>
        </w:rPr>
      </w:pPr>
      <w:r w:rsidRPr="008B4E3F">
        <w:rPr>
          <w:lang w:val="en-US"/>
        </w:rPr>
        <w:t>143.</w:t>
      </w:r>
      <w:r w:rsidRPr="008B4E3F">
        <w:rPr>
          <w:lang w:val="en-US"/>
        </w:rPr>
        <w:tab/>
        <w:t>Hamed S, Ullmann, Belokopytov M. Topical Erythropoietin Accelerates Wound Closure in Patients with Diabetic Foot Ulcers: A Prospective, Multicenter, Single-Blind, Randomized, Controlled Trial - NCT02361931. https://clinicaltrials.gov/show/NCT02361931 [Internet]. 2021; Available from: https://www.cochranelibrary.com/central/doi/10.1002/central/CN-02044267/full</w:t>
      </w:r>
    </w:p>
    <w:p w14:paraId="3FC5309E" w14:textId="77777777" w:rsidR="00A57D03" w:rsidRPr="008B4E3F" w:rsidRDefault="00A57D03" w:rsidP="00A57D03">
      <w:pPr>
        <w:pStyle w:val="Bibliography"/>
        <w:rPr>
          <w:lang w:val="en-US"/>
        </w:rPr>
      </w:pPr>
      <w:r w:rsidRPr="008B4E3F">
        <w:rPr>
          <w:lang w:val="en-US"/>
        </w:rPr>
        <w:t>144.</w:t>
      </w:r>
      <w:r w:rsidRPr="008B4E3F">
        <w:rPr>
          <w:lang w:val="en-US"/>
        </w:rPr>
        <w:tab/>
        <w:t xml:space="preserve">Park KH, Han SH, Hong JP, Han SK, Lee DH, Kim BS, et al. Topical epidermal growth factor spray for the treatment of chronic diabetic foot ulcers: A phase III multicenter, double-blind, randomized, placebo-controlled trial. Diabetes Res Clin Pract. 2018 Aug;142:335–44. </w:t>
      </w:r>
    </w:p>
    <w:p w14:paraId="0AE6F3FB" w14:textId="77777777" w:rsidR="00A57D03" w:rsidRPr="008B4E3F" w:rsidRDefault="00A57D03" w:rsidP="00A57D03">
      <w:pPr>
        <w:pStyle w:val="Bibliography"/>
        <w:rPr>
          <w:lang w:val="en-US"/>
        </w:rPr>
      </w:pPr>
      <w:r w:rsidRPr="008B4E3F">
        <w:rPr>
          <w:lang w:val="en-US"/>
        </w:rPr>
        <w:t>145.</w:t>
      </w:r>
      <w:r w:rsidRPr="008B4E3F">
        <w:rPr>
          <w:lang w:val="en-US"/>
        </w:rPr>
        <w:tab/>
        <w:t xml:space="preserve">Sridharan K, Sivaramakrishnan G. Growth factors for diabetic foot ulcers: mixed treatment comparison analysis of randomized clinical trials. Br J Clin Pharmacol. 2018;84(3):434–44. </w:t>
      </w:r>
    </w:p>
    <w:p w14:paraId="592AA66B" w14:textId="77777777" w:rsidR="00A57D03" w:rsidRPr="008B4E3F" w:rsidRDefault="00A57D03" w:rsidP="00A57D03">
      <w:pPr>
        <w:pStyle w:val="Bibliography"/>
        <w:rPr>
          <w:lang w:val="en-US"/>
        </w:rPr>
      </w:pPr>
      <w:r w:rsidRPr="008B4E3F">
        <w:rPr>
          <w:lang w:val="en-US"/>
        </w:rPr>
        <w:t>146.</w:t>
      </w:r>
      <w:r w:rsidRPr="008B4E3F">
        <w:rPr>
          <w:lang w:val="en-US"/>
        </w:rPr>
        <w:tab/>
        <w:t xml:space="preserve">Martinez-Zapata MJ, Martí-Carvajal AJ, Solà I, Expósito JA, Bolíbar I, Rodríguez L, et al. Autologous platelet-rich plasma for treating chronic wounds. Cochrane Database Syst Rev. 2016 May 25;(5):CD006899. </w:t>
      </w:r>
    </w:p>
    <w:p w14:paraId="543F4697" w14:textId="77777777" w:rsidR="00A57D03" w:rsidRPr="008B4E3F" w:rsidRDefault="00A57D03" w:rsidP="00A57D03">
      <w:pPr>
        <w:pStyle w:val="Bibliography"/>
        <w:rPr>
          <w:lang w:val="en-US"/>
        </w:rPr>
      </w:pPr>
      <w:r w:rsidRPr="008B4E3F">
        <w:rPr>
          <w:lang w:val="en-US"/>
        </w:rPr>
        <w:t>147.</w:t>
      </w:r>
      <w:r w:rsidRPr="008B4E3F">
        <w:rPr>
          <w:lang w:val="en-US"/>
        </w:rPr>
        <w:tab/>
        <w:t xml:space="preserve">Yang S, Geng Z, Ma K, Sun X, Fu X. Efficacy of Topical Recombinant Human Epidermal Growth Factor for Treatment of Diabetic Foot Ulcer: A Systematic Review and Meta-Analysis. Int J Low Extrem Wounds. 2016 Jun;15(2):120–5. </w:t>
      </w:r>
    </w:p>
    <w:p w14:paraId="1A83E207" w14:textId="77777777" w:rsidR="00A57D03" w:rsidRPr="008B4E3F" w:rsidRDefault="00A57D03" w:rsidP="00A57D03">
      <w:pPr>
        <w:pStyle w:val="Bibliography"/>
        <w:rPr>
          <w:lang w:val="en-US"/>
        </w:rPr>
      </w:pPr>
      <w:r w:rsidRPr="008B4E3F">
        <w:rPr>
          <w:lang w:val="en-US"/>
        </w:rPr>
        <w:t>148.</w:t>
      </w:r>
      <w:r w:rsidRPr="008B4E3F">
        <w:rPr>
          <w:lang w:val="en-US"/>
        </w:rPr>
        <w:tab/>
        <w:t xml:space="preserve">Bui T, Bui Q, Németh D, Hegyi P, Szakács Z, Rumbus Z, et al. Epidermal Growth Factor is Effective in the Treatment of Diabetic Foot Ulcers: Meta-Analysis and Systematic Review. Int J Environ Res Public Health. 2019 Jul 19;16:2584. </w:t>
      </w:r>
    </w:p>
    <w:p w14:paraId="5082F1D8" w14:textId="77777777" w:rsidR="00A57D03" w:rsidRPr="008B4E3F" w:rsidRDefault="00A57D03" w:rsidP="00A57D03">
      <w:pPr>
        <w:pStyle w:val="Bibliography"/>
        <w:rPr>
          <w:lang w:val="en-US"/>
        </w:rPr>
      </w:pPr>
      <w:r w:rsidRPr="008B4E3F">
        <w:rPr>
          <w:lang w:val="en-US"/>
        </w:rPr>
        <w:t>149.</w:t>
      </w:r>
      <w:r w:rsidRPr="008B4E3F">
        <w:rPr>
          <w:lang w:val="en-US"/>
        </w:rPr>
        <w:tab/>
        <w:t xml:space="preserve">Gomez-Villa R, Aguilar-Rebolledo F, Lozano-Platonoff A, Teran-Soto JM, Fabian-Victoriano MR, Kresch-Tronik NS, et al. Efficacy of intralesional recombinant human epidermal growth factor in diabetic foot ulcers in Mexican patients: a randomized double-blinded controlled trial. Wound Repair Regen Off Publ Wound Heal Soc Eur Tissue Repair Soc. 2014 Aug;22(4):497–503. </w:t>
      </w:r>
    </w:p>
    <w:p w14:paraId="4A84DA5D" w14:textId="77777777" w:rsidR="00A57D03" w:rsidRPr="008B4E3F" w:rsidRDefault="00A57D03" w:rsidP="00A57D03">
      <w:pPr>
        <w:pStyle w:val="Bibliography"/>
        <w:rPr>
          <w:lang w:val="en-US"/>
        </w:rPr>
      </w:pPr>
      <w:r w:rsidRPr="008B4E3F">
        <w:rPr>
          <w:lang w:val="en-US"/>
        </w:rPr>
        <w:t>150.</w:t>
      </w:r>
      <w:r w:rsidRPr="008B4E3F">
        <w:rPr>
          <w:lang w:val="en-US"/>
        </w:rPr>
        <w:tab/>
        <w:t xml:space="preserve">Elsaid A, El-Said M, Emile S, Youssef M, Khafagy W, Elshobaky A. Randomized Controlled Trial on Autologous Platelet-Rich Plasma Versus Saline Dressing in Treatment of Non-healing Diabetic Foot Ulcers. World J Surg. 2020 Apr;44(4):1294–301. </w:t>
      </w:r>
    </w:p>
    <w:p w14:paraId="65B9F507" w14:textId="77777777" w:rsidR="00A57D03" w:rsidRPr="008B4E3F" w:rsidRDefault="00A57D03" w:rsidP="00A57D03">
      <w:pPr>
        <w:pStyle w:val="Bibliography"/>
        <w:rPr>
          <w:lang w:val="en-US"/>
        </w:rPr>
      </w:pPr>
      <w:r w:rsidRPr="008B4E3F">
        <w:rPr>
          <w:lang w:val="en-US"/>
        </w:rPr>
        <w:t>151.</w:t>
      </w:r>
      <w:r w:rsidRPr="008B4E3F">
        <w:rPr>
          <w:lang w:val="en-US"/>
        </w:rPr>
        <w:tab/>
        <w:t xml:space="preserve">Gude W, Hagan D, Abood F, Clausen P. Aurix Gel Is an Effective Intervention for Chronic Diabetic Foot Ulcers: A Pragmatic Randomized Controlled Trial. Adv Skin Wound Care. 2019 Sep;32(9):416–26. </w:t>
      </w:r>
    </w:p>
    <w:p w14:paraId="29FA062E" w14:textId="77777777" w:rsidR="00A57D03" w:rsidRPr="008B4E3F" w:rsidRDefault="00A57D03" w:rsidP="00A57D03">
      <w:pPr>
        <w:pStyle w:val="Bibliography"/>
        <w:rPr>
          <w:lang w:val="en-US"/>
        </w:rPr>
      </w:pPr>
      <w:r w:rsidRPr="008B4E3F">
        <w:rPr>
          <w:lang w:val="en-US"/>
        </w:rPr>
        <w:t>152.</w:t>
      </w:r>
      <w:r w:rsidRPr="008B4E3F">
        <w:rPr>
          <w:lang w:val="en-US"/>
        </w:rPr>
        <w:tab/>
        <w:t xml:space="preserve">Li Y, Gao Y, Gao Y, Chen D, Wang C, Liu G, et al. Autologous platelet-rich gel treatment for diabetic chronic cutaneous ulcers: A meta-analysis of randomized controlled trials. J Diabetes. 2019 May;11(5):359–69. </w:t>
      </w:r>
    </w:p>
    <w:p w14:paraId="77CBD71E" w14:textId="77777777" w:rsidR="00A57D03" w:rsidRPr="008B4E3F" w:rsidRDefault="00A57D03" w:rsidP="00A57D03">
      <w:pPr>
        <w:pStyle w:val="Bibliography"/>
        <w:rPr>
          <w:lang w:val="en-US"/>
        </w:rPr>
      </w:pPr>
      <w:r w:rsidRPr="008B4E3F">
        <w:rPr>
          <w:lang w:val="en-US"/>
        </w:rPr>
        <w:t>153.</w:t>
      </w:r>
      <w:r w:rsidRPr="008B4E3F">
        <w:rPr>
          <w:lang w:val="en-US"/>
        </w:rPr>
        <w:tab/>
        <w:t xml:space="preserve">Del Pino-Sedeño T, Trujillo-Martín MM, Andia I, Aragón-Sánchez J, Herrera-Ramos E, Iruzubieta Barragán FJ, et al. Platelet-rich plasma for the treatment of diabetic foot ulcers: A meta-analysis. Wound Repair Regen Off Publ Wound Heal Soc Eur Tissue Repair Soc. 2019;27(2):170–82. </w:t>
      </w:r>
    </w:p>
    <w:p w14:paraId="620893E1" w14:textId="77777777" w:rsidR="00A57D03" w:rsidRDefault="00A57D03" w:rsidP="00A57D03">
      <w:pPr>
        <w:pStyle w:val="Bibliography"/>
      </w:pPr>
      <w:r w:rsidRPr="008B4E3F">
        <w:rPr>
          <w:lang w:val="fr-BE"/>
        </w:rPr>
        <w:t>154.</w:t>
      </w:r>
      <w:r w:rsidRPr="008B4E3F">
        <w:rPr>
          <w:lang w:val="fr-BE"/>
        </w:rPr>
        <w:tab/>
        <w:t xml:space="preserve">Xia Y, Zhao J, Xie J, Lv Y, Cao DS. </w:t>
      </w:r>
      <w:r w:rsidRPr="008B4E3F">
        <w:rPr>
          <w:lang w:val="en-US"/>
        </w:rPr>
        <w:t xml:space="preserve">The Efficacy of Platelet-Rich Plasma Dressing for Chronic Nonhealing Ulcers: A Meta-Analysis of 15 Randomized Controlled Trials. </w:t>
      </w:r>
      <w:r>
        <w:t xml:space="preserve">Plast Reconstr Surg. 2019 Dec;144(6):1463–74. </w:t>
      </w:r>
    </w:p>
    <w:p w14:paraId="7E1E13D9" w14:textId="77777777" w:rsidR="00A57D03" w:rsidRPr="008B4E3F" w:rsidRDefault="00A57D03" w:rsidP="00A57D03">
      <w:pPr>
        <w:pStyle w:val="Bibliography"/>
        <w:rPr>
          <w:lang w:val="en-US"/>
        </w:rPr>
      </w:pPr>
      <w:r>
        <w:t>155.</w:t>
      </w:r>
      <w:r>
        <w:tab/>
        <w:t xml:space="preserve">Hu Z, Qu S, Zhang J, Cao X, Wang P, Huang S, et al. </w:t>
      </w:r>
      <w:r w:rsidRPr="008B4E3F">
        <w:rPr>
          <w:lang w:val="en-US"/>
        </w:rPr>
        <w:t xml:space="preserve">Efficacy and Safety of Platelet-Rich Plasma for Patients with Diabetic Ulcers: A  Systematic Review and Meta-analysis. Adv Wound Care. 2019 Jul 1;8(7):298–308. </w:t>
      </w:r>
    </w:p>
    <w:p w14:paraId="62EC685C" w14:textId="77777777" w:rsidR="00A57D03" w:rsidRPr="008B4E3F" w:rsidRDefault="00A57D03" w:rsidP="00A57D03">
      <w:pPr>
        <w:pStyle w:val="Bibliography"/>
        <w:rPr>
          <w:lang w:val="en-US"/>
        </w:rPr>
      </w:pPr>
      <w:r w:rsidRPr="008B4E3F">
        <w:rPr>
          <w:lang w:val="en-US"/>
        </w:rPr>
        <w:t>156.</w:t>
      </w:r>
      <w:r w:rsidRPr="008B4E3F">
        <w:rPr>
          <w:lang w:val="en-US"/>
        </w:rPr>
        <w:tab/>
        <w:t xml:space="preserve">Picard F, Hersant B, Bosc R, Meningaud JP. The growing evidence for the use of platelet-rich plasma on diabetic chronic wounds: A review and a proposal for a new standard care. Wound Repair Regen Off Publ Wound Heal Soc Eur Tissue Repair Soc. 2015 Sep;23(5):638–43. </w:t>
      </w:r>
    </w:p>
    <w:p w14:paraId="226C8D6E" w14:textId="77777777" w:rsidR="00A57D03" w:rsidRPr="008B4E3F" w:rsidRDefault="00A57D03" w:rsidP="00A57D03">
      <w:pPr>
        <w:pStyle w:val="Bibliography"/>
        <w:rPr>
          <w:lang w:val="en-US"/>
        </w:rPr>
      </w:pPr>
      <w:r w:rsidRPr="008B4E3F">
        <w:rPr>
          <w:lang w:val="fr-BE"/>
        </w:rPr>
        <w:t>157.</w:t>
      </w:r>
      <w:r w:rsidRPr="008B4E3F">
        <w:rPr>
          <w:lang w:val="fr-BE"/>
        </w:rPr>
        <w:tab/>
        <w:t xml:space="preserve">Martí-Carvajal AJ, Gluud C, Nicola S, Simancas-Racines D, Reveiz L, Oliva P, et al. </w:t>
      </w:r>
      <w:r w:rsidRPr="008B4E3F">
        <w:rPr>
          <w:lang w:val="en-US"/>
        </w:rPr>
        <w:t xml:space="preserve">Growth factors for treating diabetic foot ulcers. Cochrane Database Syst Rev. 2015 Oct 28;(10):CD008548. </w:t>
      </w:r>
    </w:p>
    <w:p w14:paraId="397A800A" w14:textId="77777777" w:rsidR="00A57D03" w:rsidRPr="008B4E3F" w:rsidRDefault="00A57D03" w:rsidP="00A57D03">
      <w:pPr>
        <w:pStyle w:val="Bibliography"/>
        <w:rPr>
          <w:lang w:val="en-US"/>
        </w:rPr>
      </w:pPr>
      <w:r>
        <w:t>158.</w:t>
      </w:r>
      <w:r>
        <w:tab/>
        <w:t xml:space="preserve">Zhao X hong, Gu H feng, Xu Z rong, Zhang Q, Lv X ying, Zheng X jun, et al. </w:t>
      </w:r>
      <w:r w:rsidRPr="008B4E3F">
        <w:rPr>
          <w:lang w:val="en-US"/>
        </w:rPr>
        <w:t xml:space="preserve">Efficacy of topical recombinant human platelet-derived growth factor for treatment of diabetic lower-extremity ulcers: Systematic review and meta-analysis. Metabolism. 2014 Oct;63(10):1304–13. </w:t>
      </w:r>
    </w:p>
    <w:p w14:paraId="2B8ED9A0" w14:textId="77777777" w:rsidR="00A57D03" w:rsidRPr="008B4E3F" w:rsidRDefault="00A57D03" w:rsidP="00A57D03">
      <w:pPr>
        <w:pStyle w:val="Bibliography"/>
        <w:rPr>
          <w:lang w:val="en-US"/>
        </w:rPr>
      </w:pPr>
      <w:r w:rsidRPr="008B4E3F">
        <w:rPr>
          <w:lang w:val="en-US"/>
        </w:rPr>
        <w:t>159.</w:t>
      </w:r>
      <w:r w:rsidRPr="008B4E3F">
        <w:rPr>
          <w:lang w:val="en-US"/>
        </w:rPr>
        <w:tab/>
        <w:t xml:space="preserve">Ding H, Fu XL, Miao WW, Mao XC, Zhan MQ, Chen HL. Efficacy of Autologous Platelet-Rich Gel for Diabetic Foot Wound Healing: A Meta-Analysis of 15 Randomized Controlled Trials. Adv Wound Care. 2019 May 1;8(5):195–207. </w:t>
      </w:r>
    </w:p>
    <w:p w14:paraId="223F885F" w14:textId="77777777" w:rsidR="00A57D03" w:rsidRPr="008B4E3F" w:rsidRDefault="00A57D03" w:rsidP="00A57D03">
      <w:pPr>
        <w:pStyle w:val="Bibliography"/>
        <w:rPr>
          <w:lang w:val="en-US"/>
        </w:rPr>
      </w:pPr>
      <w:r w:rsidRPr="008B4E3F">
        <w:rPr>
          <w:lang w:val="en-US"/>
        </w:rPr>
        <w:t>160.</w:t>
      </w:r>
      <w:r w:rsidRPr="008B4E3F">
        <w:rPr>
          <w:lang w:val="en-US"/>
        </w:rPr>
        <w:tab/>
        <w:t xml:space="preserve">Shen Z, Zheng S, Chen G, Li D, Jiang Z, Li Y, et al. Efficacy and safety of platelet-rich plasma in treating cutaneous ulceration: A meta-analysis of randomized controlled trials. J Cosmet Dermatol. 2019 Apr;18(2):495–507. </w:t>
      </w:r>
    </w:p>
    <w:p w14:paraId="7A5F75A8" w14:textId="77777777" w:rsidR="00A57D03" w:rsidRPr="008B4E3F" w:rsidRDefault="00A57D03" w:rsidP="00A57D03">
      <w:pPr>
        <w:pStyle w:val="Bibliography"/>
        <w:rPr>
          <w:lang w:val="en-US"/>
        </w:rPr>
      </w:pPr>
      <w:r w:rsidRPr="008B4E3F">
        <w:rPr>
          <w:lang w:val="en-US"/>
        </w:rPr>
        <w:t>161.</w:t>
      </w:r>
      <w:r w:rsidRPr="008B4E3F">
        <w:rPr>
          <w:lang w:val="en-US"/>
        </w:rPr>
        <w:tab/>
        <w:t xml:space="preserve">Cruciani M, Lipsky BA, Mengoli C, de Lalla F. Granulocyte-colony stimulating factors as adjunctive therapy for diabetic foot infections. Cochrane Database Syst Rev. 2013 Aug 17;(8):CD006810. </w:t>
      </w:r>
    </w:p>
    <w:p w14:paraId="3B31A35F" w14:textId="77777777" w:rsidR="00A57D03" w:rsidRPr="008B4E3F" w:rsidRDefault="00A57D03" w:rsidP="00A57D03">
      <w:pPr>
        <w:pStyle w:val="Bibliography"/>
        <w:rPr>
          <w:lang w:val="en-US"/>
        </w:rPr>
      </w:pPr>
      <w:r w:rsidRPr="008B4E3F">
        <w:rPr>
          <w:lang w:val="en-US"/>
        </w:rPr>
        <w:t>162.</w:t>
      </w:r>
      <w:r w:rsidRPr="008B4E3F">
        <w:rPr>
          <w:lang w:val="en-US"/>
        </w:rPr>
        <w:tab/>
        <w:t xml:space="preserve">Volpe P, Marcuccio D, Stilo G, Alberti A, Foti G, Volpe A, et al. Efficacy of cord blood platelet gel application for enhancing diabetic foot ulcer healing after lower limb revascularization. Semin Vasc Surg. 2017 Dec;30(4):106–12. </w:t>
      </w:r>
    </w:p>
    <w:p w14:paraId="7A55385E" w14:textId="77777777" w:rsidR="00A57D03" w:rsidRPr="008B4E3F" w:rsidRDefault="00A57D03" w:rsidP="00A57D03">
      <w:pPr>
        <w:pStyle w:val="Bibliography"/>
        <w:rPr>
          <w:lang w:val="en-US"/>
        </w:rPr>
      </w:pPr>
      <w:r w:rsidRPr="008B4E3F">
        <w:rPr>
          <w:lang w:val="en-US"/>
        </w:rPr>
        <w:t>163.</w:t>
      </w:r>
      <w:r w:rsidRPr="008B4E3F">
        <w:rPr>
          <w:lang w:val="en-US"/>
        </w:rPr>
        <w:tab/>
        <w:t>Hosseini S.E., Molavi B., Goodarzi A., Alizadeh A., Yousefzadeh A., Sodeifi N., et al. The efficacy of platelet gel derived from umbilical cord blood on diabetic foot ulcers: A double-blind randomized clinical trial. Wound Med [Internet]. 2020;28((Molavi B., molavibe@sina.tums.ac.ir) Sina Trauma and Surgery Research Center, Tehran University of Medical Sciences, Tehran, Iran). Available from: http://www.embase.com/search/results?subaction=viewrecord&amp;from=export&amp;id=L2004656584</w:t>
      </w:r>
    </w:p>
    <w:p w14:paraId="32606B94" w14:textId="77777777" w:rsidR="00A57D03" w:rsidRPr="008B4E3F" w:rsidRDefault="00A57D03" w:rsidP="00A57D03">
      <w:pPr>
        <w:pStyle w:val="Bibliography"/>
        <w:rPr>
          <w:lang w:val="en-US"/>
        </w:rPr>
      </w:pPr>
      <w:r w:rsidRPr="008B4E3F">
        <w:rPr>
          <w:lang w:val="en-US"/>
        </w:rPr>
        <w:t>164.</w:t>
      </w:r>
      <w:r w:rsidRPr="008B4E3F">
        <w:rPr>
          <w:lang w:val="en-US"/>
        </w:rPr>
        <w:tab/>
        <w:t>Whitmont K, McKelvey K, Fulcher G, Reid I, March L, Xue M, et al. Treatment of chronic diabetic lower leg ulcers with activated protein C: a randomised placebo-controlled, double-blind pilot clinical trial. Int Wound J. 2015;12(4):422</w:t>
      </w:r>
      <w:r w:rsidRPr="008B4E3F">
        <w:rPr>
          <w:rFonts w:ascii="Cambria Math" w:hAnsi="Cambria Math" w:cs="Cambria Math"/>
          <w:lang w:val="en-US"/>
        </w:rPr>
        <w:t>‐</w:t>
      </w:r>
      <w:r w:rsidRPr="008B4E3F">
        <w:rPr>
          <w:lang w:val="en-US"/>
        </w:rPr>
        <w:t xml:space="preserve">427. </w:t>
      </w:r>
    </w:p>
    <w:p w14:paraId="380BE94E" w14:textId="77777777" w:rsidR="00A57D03" w:rsidRPr="008B4E3F" w:rsidRDefault="00A57D03" w:rsidP="00A57D03">
      <w:pPr>
        <w:pStyle w:val="Bibliography"/>
        <w:rPr>
          <w:lang w:val="en-US"/>
        </w:rPr>
      </w:pPr>
      <w:r w:rsidRPr="008B4E3F">
        <w:rPr>
          <w:lang w:val="en-US"/>
        </w:rPr>
        <w:t>165.</w:t>
      </w:r>
      <w:r w:rsidRPr="008B4E3F">
        <w:rPr>
          <w:lang w:val="en-US"/>
        </w:rPr>
        <w:tab/>
        <w:t xml:space="preserve">Mohammadzadeh L, Samedanifard SH, Keshavarzi A, Alimoghaddam K, Larijani B, Ghavamzadeh A, et al. Therapeutic outcomes of transplanting autologous granulocyte colony-stimulating factor-mobilised peripheral mononuclear cells in diabetic patients with critical limb ischaemia. Exp Clin Endocrinol Diabetes Off J Ger Soc Endocrinol Ger Diabetes Assoc. 2013 Jan;121(1):48–53. </w:t>
      </w:r>
    </w:p>
    <w:p w14:paraId="3C021553" w14:textId="77777777" w:rsidR="00A57D03" w:rsidRPr="008B4E3F" w:rsidRDefault="00A57D03" w:rsidP="00A57D03">
      <w:pPr>
        <w:pStyle w:val="Bibliography"/>
        <w:rPr>
          <w:lang w:val="en-US"/>
        </w:rPr>
      </w:pPr>
      <w:r w:rsidRPr="008B4E3F">
        <w:rPr>
          <w:lang w:val="en-US"/>
        </w:rPr>
        <w:t>166.</w:t>
      </w:r>
      <w:r w:rsidRPr="008B4E3F">
        <w:rPr>
          <w:lang w:val="en-US"/>
        </w:rPr>
        <w:tab/>
        <w:t xml:space="preserve">Xu J, Min D, Guo G, Liao X, Fu Z. Experimental study of epidermal growth factor and acidic fibroblast growth factor in the treatment of diabetic foot wounds. Exp Ther Med. 2018 Jun;15(6):5365–70. </w:t>
      </w:r>
    </w:p>
    <w:p w14:paraId="36F8EFA3" w14:textId="77777777" w:rsidR="00A57D03" w:rsidRPr="008B4E3F" w:rsidRDefault="00A57D03" w:rsidP="00A57D03">
      <w:pPr>
        <w:pStyle w:val="Bibliography"/>
        <w:rPr>
          <w:lang w:val="en-US"/>
        </w:rPr>
      </w:pPr>
      <w:r w:rsidRPr="008B4E3F">
        <w:rPr>
          <w:lang w:val="en-US"/>
        </w:rPr>
        <w:t>167.</w:t>
      </w:r>
      <w:r w:rsidRPr="008B4E3F">
        <w:rPr>
          <w:lang w:val="en-US"/>
        </w:rPr>
        <w:tab/>
        <w:t xml:space="preserve">Viswanathan V, Juttada U, Babu M. Efficacy of Recombinant Human Epidermal Growth Factor (Regen-D 150) in Healing Diabetic Foot Ulcers: A Hospital-Based Randomized Controlled Trial. Int J Low Extrem Wounds. 2019 Dec 26;1534734619892791. </w:t>
      </w:r>
    </w:p>
    <w:p w14:paraId="070E1BEE" w14:textId="77777777" w:rsidR="00A57D03" w:rsidRPr="008B4E3F" w:rsidRDefault="00A57D03" w:rsidP="00A57D03">
      <w:pPr>
        <w:pStyle w:val="Bibliography"/>
        <w:rPr>
          <w:lang w:val="en-US"/>
        </w:rPr>
      </w:pPr>
      <w:r w:rsidRPr="008B4E3F">
        <w:rPr>
          <w:lang w:val="en-US"/>
        </w:rPr>
        <w:t>168.</w:t>
      </w:r>
      <w:r w:rsidRPr="008B4E3F">
        <w:rPr>
          <w:lang w:val="en-US"/>
        </w:rPr>
        <w:tab/>
        <w:t xml:space="preserve">Hirase T, Ruff E, Surani S, Ratnani I. Topical application of platelet-rich plasma for diabetic foot ulcers: A systematic review. World J Diabetes. 2018 Oct 15;9(10):172–9. </w:t>
      </w:r>
    </w:p>
    <w:p w14:paraId="43523986" w14:textId="77777777" w:rsidR="00A57D03" w:rsidRPr="008B4E3F" w:rsidRDefault="00A57D03" w:rsidP="00A57D03">
      <w:pPr>
        <w:pStyle w:val="Bibliography"/>
        <w:rPr>
          <w:lang w:val="en-US"/>
        </w:rPr>
      </w:pPr>
      <w:r w:rsidRPr="008B4E3F">
        <w:rPr>
          <w:lang w:val="en-US"/>
        </w:rPr>
        <w:t>169.</w:t>
      </w:r>
      <w:r w:rsidRPr="008B4E3F">
        <w:rPr>
          <w:lang w:val="en-US"/>
        </w:rPr>
        <w:tab/>
        <w:t xml:space="preserve">Ozturk A, Kucukardali Y, Tangi F, Erikci A, Uzun G, Bashekim C, et al. Therapeutical potential of autologous peripheral blood mononuclear cell transplantation in patients with type 2 diabetic critical limb ischemia. J Diabetes Complications. 2012 Feb;26(1):29–33. </w:t>
      </w:r>
    </w:p>
    <w:p w14:paraId="4475AF22" w14:textId="77777777" w:rsidR="00A57D03" w:rsidRPr="008B4E3F" w:rsidRDefault="00A57D03" w:rsidP="00A57D03">
      <w:pPr>
        <w:pStyle w:val="Bibliography"/>
        <w:rPr>
          <w:lang w:val="en-US"/>
        </w:rPr>
      </w:pPr>
      <w:r w:rsidRPr="008B4E3F">
        <w:rPr>
          <w:lang w:val="en-US"/>
        </w:rPr>
        <w:t>170.</w:t>
      </w:r>
      <w:r w:rsidRPr="008B4E3F">
        <w:rPr>
          <w:lang w:val="en-US"/>
        </w:rPr>
        <w:tab/>
        <w:t xml:space="preserve">Romero Prada M, Roa C, Alfonso P, Acero G, Huérfano L, Vivas-Consuelo D. Cost-effectiveness analysis of the human recombinant epidermal growth factor in the management of patients with diabetic foot ulcers. Diabet Foot Ankle. 2018;9(1):1480249. </w:t>
      </w:r>
    </w:p>
    <w:p w14:paraId="71CC82F1" w14:textId="77777777" w:rsidR="00A57D03" w:rsidRPr="008B4E3F" w:rsidRDefault="00A57D03" w:rsidP="00A57D03">
      <w:pPr>
        <w:pStyle w:val="Bibliography"/>
        <w:rPr>
          <w:lang w:val="en-US"/>
        </w:rPr>
      </w:pPr>
      <w:r w:rsidRPr="008B4E3F">
        <w:rPr>
          <w:lang w:val="en-US"/>
        </w:rPr>
        <w:t>171.</w:t>
      </w:r>
      <w:r w:rsidRPr="008B4E3F">
        <w:rPr>
          <w:lang w:val="en-US"/>
        </w:rPr>
        <w:tab/>
        <w:t xml:space="preserve">Waycaster CR, Gilligan AM, Motley TA. Cost-Effectiveness of Becaplermin Gel on Diabetic Foot Ulcer HealingChanges in Wound Surface Area. J Am Podiatr Med Assoc. 2016 Jul;106(4):273–82. </w:t>
      </w:r>
    </w:p>
    <w:p w14:paraId="4DC83E5A" w14:textId="77777777" w:rsidR="00A57D03" w:rsidRPr="008B4E3F" w:rsidRDefault="00A57D03" w:rsidP="00A57D03">
      <w:pPr>
        <w:pStyle w:val="Bibliography"/>
        <w:rPr>
          <w:lang w:val="en-US"/>
        </w:rPr>
      </w:pPr>
      <w:r w:rsidRPr="008B4E3F">
        <w:rPr>
          <w:lang w:val="en-US"/>
        </w:rPr>
        <w:t>172.</w:t>
      </w:r>
      <w:r w:rsidRPr="008B4E3F">
        <w:rPr>
          <w:lang w:val="en-US"/>
        </w:rPr>
        <w:tab/>
        <w:t xml:space="preserve">Linertová R., Del Pino Sedeño T., García-Pérez L., Aragón-Sánchez J., Kaiser-Girardot S., Trujillo-Martín M., et al. PLATELET-RICH PLASMA IN DIABETIC FOOT ULCERS: COST-EFFECTIVENESS ANALYSIS FOR SPAIN. Value Health. 2018;21((Linertová R.) Fundación Canaria de Investigación Sanitaria (FUNCANIS), Santa Cruz de Tenerife, Spain):S130. </w:t>
      </w:r>
    </w:p>
    <w:p w14:paraId="160CE4A1" w14:textId="77777777" w:rsidR="00A57D03" w:rsidRPr="008B4E3F" w:rsidRDefault="00A57D03" w:rsidP="00A57D03">
      <w:pPr>
        <w:pStyle w:val="Bibliography"/>
        <w:rPr>
          <w:lang w:val="en-US"/>
        </w:rPr>
      </w:pPr>
      <w:r w:rsidRPr="008B4E3F">
        <w:rPr>
          <w:lang w:val="en-US"/>
        </w:rPr>
        <w:t>173.</w:t>
      </w:r>
      <w:r w:rsidRPr="008B4E3F">
        <w:rPr>
          <w:lang w:val="en-US"/>
        </w:rPr>
        <w:tab/>
        <w:t xml:space="preserve">Gilligan AM, Waycaster CR, Motley TA. Cost-effectiveness of becaplermin gel on wound healing of diabetic foot ulcers. Wound Repair Regen Off Publ Wound Heal Soc Eur Tissue Repair Soc. 2015 Jun;23(3):353–60. </w:t>
      </w:r>
    </w:p>
    <w:p w14:paraId="07ABB77A" w14:textId="77777777" w:rsidR="00A57D03" w:rsidRPr="008B4E3F" w:rsidRDefault="00A57D03" w:rsidP="00A57D03">
      <w:pPr>
        <w:pStyle w:val="Bibliography"/>
        <w:rPr>
          <w:lang w:val="en-US"/>
        </w:rPr>
      </w:pPr>
      <w:r w:rsidRPr="008B4E3F">
        <w:rPr>
          <w:lang w:val="en-US"/>
        </w:rPr>
        <w:t>174.</w:t>
      </w:r>
      <w:r w:rsidRPr="008B4E3F">
        <w:rPr>
          <w:lang w:val="en-US"/>
        </w:rPr>
        <w:tab/>
        <w:t xml:space="preserve">Tesar T, Szilberhorn L, Nemeth B, Nagy B, Wawruch M, Kalo Z. Cost-Utility Analysis of Heberprot-P as an Add-on Therapy to Good Wound Care for Patients in Slovakia with Advanced Diabetic Foot Ulcer. Front Pharmacol. 2017;8:946. </w:t>
      </w:r>
    </w:p>
    <w:p w14:paraId="61AA85A1" w14:textId="77777777" w:rsidR="00A57D03" w:rsidRPr="008B4E3F" w:rsidRDefault="00A57D03" w:rsidP="00A57D03">
      <w:pPr>
        <w:pStyle w:val="Bibliography"/>
        <w:rPr>
          <w:lang w:val="en-US"/>
        </w:rPr>
      </w:pPr>
      <w:r w:rsidRPr="008B4E3F">
        <w:rPr>
          <w:lang w:val="en-US"/>
        </w:rPr>
        <w:t>175.</w:t>
      </w:r>
      <w:r w:rsidRPr="008B4E3F">
        <w:rPr>
          <w:lang w:val="en-US"/>
        </w:rPr>
        <w:tab/>
        <w:t xml:space="preserve">Mohseni S, Aalaa M, Atlasi R, Mohajeri Tehrani MR, Sanjari M, Amini MR. The effectiveness of negative pressure wound therapy as a novel management of diabetic foot ulcers: an overview of systematic reviews. J Diabetes Metab Disord. 2019 Dec;18(2):625–41. </w:t>
      </w:r>
    </w:p>
    <w:p w14:paraId="65D5682C" w14:textId="77777777" w:rsidR="00A57D03" w:rsidRPr="008B4E3F" w:rsidRDefault="00A57D03" w:rsidP="00A57D03">
      <w:pPr>
        <w:pStyle w:val="Bibliography"/>
        <w:rPr>
          <w:lang w:val="en-US"/>
        </w:rPr>
      </w:pPr>
      <w:r w:rsidRPr="008B4E3F">
        <w:rPr>
          <w:lang w:val="en-US"/>
        </w:rPr>
        <w:t>176.</w:t>
      </w:r>
      <w:r w:rsidRPr="008B4E3F">
        <w:rPr>
          <w:lang w:val="en-US"/>
        </w:rPr>
        <w:tab/>
        <w:t xml:space="preserve">Liu Z, Dumville JC, Hinchliffe RJ, Cullum N, Game F, Stubbs N, et al. Negative pressure wound therapy for treating foot wounds in people with diabetes mellitus. Cochrane Database Syst Rev. 2018 17;10:CD010318. </w:t>
      </w:r>
    </w:p>
    <w:p w14:paraId="470A5566" w14:textId="77777777" w:rsidR="00A57D03" w:rsidRPr="008B4E3F" w:rsidRDefault="00A57D03" w:rsidP="00A57D03">
      <w:pPr>
        <w:pStyle w:val="Bibliography"/>
        <w:rPr>
          <w:lang w:val="en-US"/>
        </w:rPr>
      </w:pPr>
      <w:r w:rsidRPr="008B4E3F">
        <w:rPr>
          <w:lang w:val="en-US"/>
        </w:rPr>
        <w:t>177.</w:t>
      </w:r>
      <w:r w:rsidRPr="008B4E3F">
        <w:rPr>
          <w:lang w:val="en-US"/>
        </w:rPr>
        <w:tab/>
        <w:t xml:space="preserve">Liu S, He CZ, Cai YT, Xing QP, Guo YZ, Chen ZL, et al. Evaluation of negative-pressure wound therapy for patients with diabetic foot ulcers: systematic review and meta-analysis. Ther Clin Risk Manag. 2017;13:533–44. </w:t>
      </w:r>
    </w:p>
    <w:p w14:paraId="727AF5BB" w14:textId="77777777" w:rsidR="00A57D03" w:rsidRPr="008B4E3F" w:rsidRDefault="00A57D03" w:rsidP="00A57D03">
      <w:pPr>
        <w:pStyle w:val="Bibliography"/>
        <w:rPr>
          <w:lang w:val="en-US"/>
        </w:rPr>
      </w:pPr>
      <w:r w:rsidRPr="008B4E3F">
        <w:rPr>
          <w:lang w:val="en-US"/>
        </w:rPr>
        <w:t>178.</w:t>
      </w:r>
      <w:r w:rsidRPr="008B4E3F">
        <w:rPr>
          <w:lang w:val="en-US"/>
        </w:rPr>
        <w:tab/>
        <w:t>Sihag B, Chahar C, Sharma J, Agrawal R. Trial of vacuum-assisted closure in patients with chronic nonhealing leg ulcers in type 2 diabetes mellitus. Diabetes. 2016;65:A555</w:t>
      </w:r>
      <w:r w:rsidRPr="008B4E3F">
        <w:rPr>
          <w:rFonts w:ascii="Cambria Math" w:hAnsi="Cambria Math" w:cs="Cambria Math"/>
          <w:lang w:val="en-US"/>
        </w:rPr>
        <w:t>‐</w:t>
      </w:r>
      <w:r w:rsidRPr="008B4E3F">
        <w:rPr>
          <w:lang w:val="en-US"/>
        </w:rPr>
        <w:t xml:space="preserve">. </w:t>
      </w:r>
    </w:p>
    <w:p w14:paraId="7231F24E" w14:textId="77777777" w:rsidR="00A57D03" w:rsidRPr="008B4E3F" w:rsidRDefault="00A57D03" w:rsidP="00A57D03">
      <w:pPr>
        <w:pStyle w:val="Bibliography"/>
        <w:rPr>
          <w:lang w:val="en-US"/>
        </w:rPr>
      </w:pPr>
      <w:r w:rsidRPr="008B4E3F">
        <w:rPr>
          <w:lang w:val="en-US"/>
        </w:rPr>
        <w:t>179.</w:t>
      </w:r>
      <w:r w:rsidRPr="008B4E3F">
        <w:rPr>
          <w:lang w:val="en-US"/>
        </w:rPr>
        <w:tab/>
        <w:t xml:space="preserve">Wang R, Feng Y, Di B. Comparisons of negative pressure wound therapy and ultrasonic debridement for diabetic foot ulcers: a network meta-analysis. Int J Clin Exp Med. 2015;8(8):12548–56. </w:t>
      </w:r>
    </w:p>
    <w:p w14:paraId="01297F6B" w14:textId="77777777" w:rsidR="00A57D03" w:rsidRPr="008B4E3F" w:rsidRDefault="00A57D03" w:rsidP="00A57D03">
      <w:pPr>
        <w:pStyle w:val="Bibliography"/>
        <w:rPr>
          <w:lang w:val="en-US"/>
        </w:rPr>
      </w:pPr>
      <w:r w:rsidRPr="008B4E3F">
        <w:rPr>
          <w:lang w:val="en-US"/>
        </w:rPr>
        <w:t>180.</w:t>
      </w:r>
      <w:r w:rsidRPr="008B4E3F">
        <w:rPr>
          <w:lang w:val="en-US"/>
        </w:rPr>
        <w:tab/>
        <w:t xml:space="preserve">Zhang J, Hu ZC, Chen D, Guo D, Zhu JY, Tang B. Effectiveness and safety of negative-pressure wound therapy for diabetic foot ulcers: a meta-analysis. Plast Reconstr Surg. 2014 Jul;134(1):141–51. </w:t>
      </w:r>
    </w:p>
    <w:p w14:paraId="3009E0B2" w14:textId="77777777" w:rsidR="00A57D03" w:rsidRPr="008B4E3F" w:rsidRDefault="00A57D03" w:rsidP="00A57D03">
      <w:pPr>
        <w:pStyle w:val="Bibliography"/>
        <w:rPr>
          <w:lang w:val="en-US"/>
        </w:rPr>
      </w:pPr>
      <w:r w:rsidRPr="008B4E3F">
        <w:rPr>
          <w:lang w:val="en-US"/>
        </w:rPr>
        <w:t>181.</w:t>
      </w:r>
      <w:r w:rsidRPr="008B4E3F">
        <w:rPr>
          <w:lang w:val="en-US"/>
        </w:rPr>
        <w:tab/>
        <w:t xml:space="preserve">Guffanti A. Negative pressure wound therapy in the treatment of diabetic foot ulcers: a systematic review of the literature. J Wound Ostomy Cont Nurs Off Publ Wound Ostomy Cont Nurses Soc. 2014 Jun;41(3):233–7. </w:t>
      </w:r>
    </w:p>
    <w:p w14:paraId="05FDE8AE" w14:textId="77777777" w:rsidR="00A57D03" w:rsidRPr="008B4E3F" w:rsidRDefault="00A57D03" w:rsidP="00A57D03">
      <w:pPr>
        <w:pStyle w:val="Bibliography"/>
        <w:rPr>
          <w:lang w:val="en-US"/>
        </w:rPr>
      </w:pPr>
      <w:r w:rsidRPr="008B4E3F">
        <w:rPr>
          <w:lang w:val="en-US"/>
        </w:rPr>
        <w:t>182.</w:t>
      </w:r>
      <w:r w:rsidRPr="008B4E3F">
        <w:rPr>
          <w:lang w:val="en-US"/>
        </w:rPr>
        <w:tab/>
        <w:t>Seidel D, Storck M, Lawall H, Wozniak G. Negative pressure wound therapy compared with standard moist wound care on diabetic foot ulcers in real-life clinical practice: results of the German DiaFu-RCT - NCT01480362. https://clinicaltrials.gov/show/NCT01480362 [Internet]. 2020; Available from: https://www.cochranelibrary.com/central/doi/10.1002/central/CN-01534125/full</w:t>
      </w:r>
    </w:p>
    <w:p w14:paraId="78D41C48" w14:textId="77777777" w:rsidR="00A57D03" w:rsidRPr="008B4E3F" w:rsidRDefault="00A57D03" w:rsidP="00A57D03">
      <w:pPr>
        <w:pStyle w:val="Bibliography"/>
        <w:rPr>
          <w:lang w:val="en-US"/>
        </w:rPr>
      </w:pPr>
      <w:r w:rsidRPr="008B4E3F">
        <w:rPr>
          <w:lang w:val="en-US"/>
        </w:rPr>
        <w:t>183.</w:t>
      </w:r>
      <w:r w:rsidRPr="008B4E3F">
        <w:rPr>
          <w:lang w:val="en-US"/>
        </w:rPr>
        <w:tab/>
        <w:t xml:space="preserve">Huang Q, Wang JT, Gu HC, Cao G, Cao JC. Comparison of Vacuum Sealing Drainage and Traditional Therapy for Treatment of Diabetic Foot Ulcers: A Meta-Analysis. J Foot Ankle Surg Off Publ Am Coll Foot Ankle Surg. 2019 Sep;58(5):954–8. </w:t>
      </w:r>
    </w:p>
    <w:p w14:paraId="7C4E0022" w14:textId="77777777" w:rsidR="00A57D03" w:rsidRPr="008B4E3F" w:rsidRDefault="00A57D03" w:rsidP="00A57D03">
      <w:pPr>
        <w:pStyle w:val="Bibliography"/>
        <w:rPr>
          <w:lang w:val="en-US"/>
        </w:rPr>
      </w:pPr>
      <w:r w:rsidRPr="008B4E3F">
        <w:rPr>
          <w:lang w:val="en-US"/>
        </w:rPr>
        <w:t>184.</w:t>
      </w:r>
      <w:r w:rsidRPr="008B4E3F">
        <w:rPr>
          <w:lang w:val="en-US"/>
        </w:rPr>
        <w:tab/>
        <w:t xml:space="preserve">Sajid MT, Mustafa Q ul A, Shaheen N, Hussain SM, Shukr I, Ahmed M. Comparison of Negative Pressure Wound Therapy Using Vacuum-Assisted Closure with Advanced Moist Wound Therapy in the Treatment of Diabetic Foot Ulcers. J Coll Physicians Surg--Pak JCPSP. 2015 Nov;25(11):789–93. </w:t>
      </w:r>
    </w:p>
    <w:p w14:paraId="57681841" w14:textId="77777777" w:rsidR="00A57D03" w:rsidRPr="008B4E3F" w:rsidRDefault="00A57D03" w:rsidP="00A57D03">
      <w:pPr>
        <w:pStyle w:val="Bibliography"/>
        <w:rPr>
          <w:lang w:val="en-US"/>
        </w:rPr>
      </w:pPr>
      <w:r w:rsidRPr="008B4E3F">
        <w:rPr>
          <w:lang w:val="en-US"/>
        </w:rPr>
        <w:t>185.</w:t>
      </w:r>
      <w:r w:rsidRPr="008B4E3F">
        <w:rPr>
          <w:lang w:val="en-US"/>
        </w:rPr>
        <w:tab/>
        <w:t xml:space="preserve">Ravari H, Modaghegh MHS, Kazemzadeh GH, Johari HG, Vatanchi AM, Sangaki A, et al. Comparision of vacuum-asisted closure and moist wound dressing in the treatment of diabetic foot ulcers. J Cutan Aesthetic Surg. 2013 Jan;6(1):17–20. </w:t>
      </w:r>
    </w:p>
    <w:p w14:paraId="4F7751D9" w14:textId="77777777" w:rsidR="00A57D03" w:rsidRPr="008B4E3F" w:rsidRDefault="00A57D03" w:rsidP="00A57D03">
      <w:pPr>
        <w:pStyle w:val="Bibliography"/>
        <w:rPr>
          <w:lang w:val="en-US"/>
        </w:rPr>
      </w:pPr>
      <w:r w:rsidRPr="008B4E3F">
        <w:rPr>
          <w:lang w:val="en-US"/>
        </w:rPr>
        <w:t>186.</w:t>
      </w:r>
      <w:r w:rsidRPr="008B4E3F">
        <w:rPr>
          <w:lang w:val="en-US"/>
        </w:rPr>
        <w:tab/>
        <w:t xml:space="preserve">Nain PS, Uppal SK, Garg R, Bajaj K, Garg S. Role of negative pressure wound therapy in healing of diabetic foot ulcers. J Surg Tech Case Rep. 2011 Jan;3(1):17–22. </w:t>
      </w:r>
    </w:p>
    <w:p w14:paraId="2F8BE2AD" w14:textId="77777777" w:rsidR="00A57D03" w:rsidRPr="008B4E3F" w:rsidRDefault="00A57D03" w:rsidP="00A57D03">
      <w:pPr>
        <w:pStyle w:val="Bibliography"/>
        <w:rPr>
          <w:lang w:val="en-US"/>
        </w:rPr>
      </w:pPr>
      <w:r w:rsidRPr="008B4E3F">
        <w:rPr>
          <w:lang w:val="en-US"/>
        </w:rPr>
        <w:t>187.</w:t>
      </w:r>
      <w:r w:rsidRPr="008B4E3F">
        <w:rPr>
          <w:lang w:val="en-US"/>
        </w:rPr>
        <w:tab/>
        <w:t xml:space="preserve">Rys P, Borys S, Hohendorff J, Zapala A, Witek P, Monica M, et al. NPWT in diabetic foot wounds-a systematic review and meta-analysis of observational studies. Endocrine. 2020 Jan 9; </w:t>
      </w:r>
    </w:p>
    <w:p w14:paraId="2483CF75" w14:textId="77777777" w:rsidR="00A57D03" w:rsidRPr="008B4E3F" w:rsidRDefault="00A57D03" w:rsidP="00A57D03">
      <w:pPr>
        <w:pStyle w:val="Bibliography"/>
        <w:rPr>
          <w:lang w:val="en-US"/>
        </w:rPr>
      </w:pPr>
      <w:r w:rsidRPr="008B4E3F">
        <w:rPr>
          <w:lang w:val="en-US"/>
        </w:rPr>
        <w:t>188.</w:t>
      </w:r>
      <w:r w:rsidRPr="008B4E3F">
        <w:rPr>
          <w:lang w:val="en-US"/>
        </w:rPr>
        <w:tab/>
        <w:t xml:space="preserve">Wynn M, Freeman S. The efficacy of negative pressure wound therapy for diabetic foot ulcers: A systematised review. J Tissue Viability. 2019 Aug;28(3):152–60. </w:t>
      </w:r>
    </w:p>
    <w:p w14:paraId="6FBA6F5A" w14:textId="77777777" w:rsidR="00A57D03" w:rsidRPr="008B4E3F" w:rsidRDefault="00A57D03" w:rsidP="00A57D03">
      <w:pPr>
        <w:pStyle w:val="Bibliography"/>
        <w:rPr>
          <w:lang w:val="en-US"/>
        </w:rPr>
      </w:pPr>
      <w:r w:rsidRPr="008B4E3F">
        <w:rPr>
          <w:lang w:val="en-US"/>
        </w:rPr>
        <w:t>189.</w:t>
      </w:r>
      <w:r w:rsidRPr="008B4E3F">
        <w:rPr>
          <w:lang w:val="en-US"/>
        </w:rPr>
        <w:tab/>
        <w:t xml:space="preserve">Karatepe O, Eken I, Acet E, Unal O, Mert M, Koc B, et al. Vacuum assisted closure improves the quality of life in patients with diabetic foot. Acta Chir Belg. 2011 Oct;111(5):298–302. </w:t>
      </w:r>
    </w:p>
    <w:p w14:paraId="5E4EC435" w14:textId="77777777" w:rsidR="00A57D03" w:rsidRPr="008B4E3F" w:rsidRDefault="00A57D03" w:rsidP="00A57D03">
      <w:pPr>
        <w:pStyle w:val="Bibliography"/>
        <w:rPr>
          <w:lang w:val="en-US"/>
        </w:rPr>
      </w:pPr>
      <w:r w:rsidRPr="008B4E3F">
        <w:rPr>
          <w:lang w:val="en-US"/>
        </w:rPr>
        <w:t>190.</w:t>
      </w:r>
      <w:r w:rsidRPr="008B4E3F">
        <w:rPr>
          <w:lang w:val="en-US"/>
        </w:rPr>
        <w:tab/>
        <w:t xml:space="preserve">Driver V.R., Eckert K.A., Carter M.J., French M.A. Cost-effectiveness of negative pressure wound therapy in patients with many comorbidities and severe wounds of various etiology. Wound Repair Regen. 2016;24(6):1041–58. </w:t>
      </w:r>
    </w:p>
    <w:p w14:paraId="0ECA107B" w14:textId="77777777" w:rsidR="00A57D03" w:rsidRPr="008B4E3F" w:rsidRDefault="00A57D03" w:rsidP="00A57D03">
      <w:pPr>
        <w:pStyle w:val="Bibliography"/>
        <w:rPr>
          <w:lang w:val="en-US"/>
        </w:rPr>
      </w:pPr>
      <w:r w:rsidRPr="008B4E3F">
        <w:rPr>
          <w:lang w:val="en-US"/>
        </w:rPr>
        <w:t>191.</w:t>
      </w:r>
      <w:r w:rsidRPr="008B4E3F">
        <w:rPr>
          <w:lang w:val="en-US"/>
        </w:rPr>
        <w:tab/>
        <w:t xml:space="preserve">Driver VR, Blume PA. Evaluation of wound care and health-care use costs in patients with diabetic foot ulcers treated with negative pressure wound therapy versus advanced moist wound therapy. J Am Podiatr Med Assoc. 2014 Mar;104(2):147–53. </w:t>
      </w:r>
    </w:p>
    <w:p w14:paraId="78E6EF62" w14:textId="77777777" w:rsidR="00A57D03" w:rsidRPr="008B4E3F" w:rsidRDefault="00A57D03" w:rsidP="00A57D03">
      <w:pPr>
        <w:pStyle w:val="Bibliography"/>
        <w:rPr>
          <w:lang w:val="en-US"/>
        </w:rPr>
      </w:pPr>
      <w:r w:rsidRPr="008B4E3F">
        <w:rPr>
          <w:lang w:val="en-US"/>
        </w:rPr>
        <w:t>192.</w:t>
      </w:r>
      <w:r w:rsidRPr="008B4E3F">
        <w:rPr>
          <w:lang w:val="en-US"/>
        </w:rPr>
        <w:tab/>
        <w:t>Hutton DW, Sheehan P. Comparative effectiveness of the SNaP</w:t>
      </w:r>
      <w:r w:rsidRPr="008B4E3F">
        <w:rPr>
          <w:vertAlign w:val="superscript"/>
          <w:lang w:val="en-US"/>
        </w:rPr>
        <w:t>TM</w:t>
      </w:r>
      <w:r w:rsidRPr="008B4E3F">
        <w:rPr>
          <w:lang w:val="en-US"/>
        </w:rPr>
        <w:t xml:space="preserve"> Wound Care System. Int Wound J. 2011 Apr;8(2):196–205. </w:t>
      </w:r>
    </w:p>
    <w:p w14:paraId="4E7A855A" w14:textId="77777777" w:rsidR="00A57D03" w:rsidRPr="008B4E3F" w:rsidRDefault="00A57D03" w:rsidP="00A57D03">
      <w:pPr>
        <w:pStyle w:val="Bibliography"/>
        <w:rPr>
          <w:lang w:val="en-US"/>
        </w:rPr>
      </w:pPr>
      <w:r w:rsidRPr="008B4E3F">
        <w:rPr>
          <w:lang w:val="en-US"/>
        </w:rPr>
        <w:t>193.</w:t>
      </w:r>
      <w:r w:rsidRPr="008B4E3F">
        <w:rPr>
          <w:lang w:val="en-US"/>
        </w:rPr>
        <w:tab/>
        <w:t xml:space="preserve">Whitehead SJ, Forest-Bendien VL, Richard JL, Halimi S, Van GH, Trueman P. Economic evaluation of Vacuum Assisted Closure® Therapy for the treatment of diabetic foot ulcers in France. Int Wound J. 2011 Feb;8(1):22–32. </w:t>
      </w:r>
    </w:p>
    <w:p w14:paraId="4D5AA62F" w14:textId="77777777" w:rsidR="00A57D03" w:rsidRPr="008B4E3F" w:rsidRDefault="00A57D03" w:rsidP="00A57D03">
      <w:pPr>
        <w:pStyle w:val="Bibliography"/>
        <w:rPr>
          <w:lang w:val="fr-BE"/>
        </w:rPr>
      </w:pPr>
      <w:r w:rsidRPr="008B4E3F">
        <w:rPr>
          <w:lang w:val="en-US"/>
        </w:rPr>
        <w:t>194.</w:t>
      </w:r>
      <w:r w:rsidRPr="008B4E3F">
        <w:rPr>
          <w:lang w:val="en-US"/>
        </w:rPr>
        <w:tab/>
        <w:t xml:space="preserve">Li S, Wang C, Wang B, Liu L, Tang L, Liu D, et al. Efficacy of low-level light therapy for treatment of diabetic foot ulcer: A systematic review and meta-analysis of randomized controlled trials. </w:t>
      </w:r>
      <w:r w:rsidRPr="008B4E3F">
        <w:rPr>
          <w:lang w:val="fr-BE"/>
        </w:rPr>
        <w:t xml:space="preserve">Diabetes Res Clin Pract. 2018 Sep;143:215–24. </w:t>
      </w:r>
    </w:p>
    <w:p w14:paraId="29A646C5" w14:textId="77777777" w:rsidR="00A57D03" w:rsidRPr="008B4E3F" w:rsidRDefault="00A57D03" w:rsidP="00A57D03">
      <w:pPr>
        <w:pStyle w:val="Bibliography"/>
        <w:rPr>
          <w:lang w:val="en-US"/>
        </w:rPr>
      </w:pPr>
      <w:r w:rsidRPr="008B4E3F">
        <w:rPr>
          <w:lang w:val="fr-BE"/>
        </w:rPr>
        <w:t>195.</w:t>
      </w:r>
      <w:r w:rsidRPr="008B4E3F">
        <w:rPr>
          <w:lang w:val="fr-BE"/>
        </w:rPr>
        <w:tab/>
        <w:t xml:space="preserve">Tchanque-Fossuo CN, Ho D, Dahle SE, Koo E, Li CS, Isseroff RR, et al. </w:t>
      </w:r>
      <w:r w:rsidRPr="008B4E3F">
        <w:rPr>
          <w:lang w:val="en-US"/>
        </w:rPr>
        <w:t xml:space="preserve">A systematic review of low-level light therapy for treatment of diabetic foot ulcer. Wound Repair Regen Off Publ Wound Heal Soc Eur Tissue Repair Soc. 2016;24(2):418–26. </w:t>
      </w:r>
    </w:p>
    <w:p w14:paraId="6AF5CA68" w14:textId="77777777" w:rsidR="00A57D03" w:rsidRPr="008B4E3F" w:rsidRDefault="00A57D03" w:rsidP="00A57D03">
      <w:pPr>
        <w:pStyle w:val="Bibliography"/>
        <w:rPr>
          <w:lang w:val="en-US"/>
        </w:rPr>
      </w:pPr>
      <w:r w:rsidRPr="008B4E3F">
        <w:rPr>
          <w:lang w:val="en-US"/>
        </w:rPr>
        <w:t>196.</w:t>
      </w:r>
      <w:r w:rsidRPr="008B4E3F">
        <w:rPr>
          <w:lang w:val="en-US"/>
        </w:rPr>
        <w:tab/>
        <w:t xml:space="preserve">Wang HT, Yuan JQ, Zhang B, Dong ML, Mao C, Hu D. Phototherapy for treating foot ulcers in people with diabetes. Cochrane Database Syst Rev. 2017 28;6:CD011979. </w:t>
      </w:r>
    </w:p>
    <w:p w14:paraId="7262E5A0" w14:textId="77777777" w:rsidR="00A57D03" w:rsidRPr="008B4E3F" w:rsidRDefault="00A57D03" w:rsidP="00A57D03">
      <w:pPr>
        <w:pStyle w:val="Bibliography"/>
        <w:rPr>
          <w:lang w:val="en-US"/>
        </w:rPr>
      </w:pPr>
      <w:r w:rsidRPr="008B4E3F">
        <w:rPr>
          <w:lang w:val="en-US"/>
        </w:rPr>
        <w:t>197.</w:t>
      </w:r>
      <w:r w:rsidRPr="008B4E3F">
        <w:rPr>
          <w:lang w:val="en-US"/>
        </w:rPr>
        <w:tab/>
        <w:t>Haze A, Gavish L, Elishoov O, Shorka D. Treatment of diabetic foot ulcers in a frail population with severe co-morbidities using at-home photobiomodulation laser therapy: a double-blind, randomized, sham-controlled pilot clinical study - NCT01493895. https://clinicaltrials.gov/show/NCT01493895 [Internet]. 2021; Available from: https://www.cochranelibrary.com/central/doi/10.1002/central/CN-01534493/full</w:t>
      </w:r>
    </w:p>
    <w:p w14:paraId="5710100D" w14:textId="77777777" w:rsidR="00A57D03" w:rsidRPr="008B4E3F" w:rsidRDefault="00A57D03" w:rsidP="00A57D03">
      <w:pPr>
        <w:pStyle w:val="Bibliography"/>
        <w:rPr>
          <w:lang w:val="fr-BE"/>
        </w:rPr>
      </w:pPr>
      <w:r w:rsidRPr="008B4E3F">
        <w:rPr>
          <w:lang w:val="en-US"/>
        </w:rPr>
        <w:t>198.</w:t>
      </w:r>
      <w:r w:rsidRPr="008B4E3F">
        <w:rPr>
          <w:lang w:val="en-US"/>
        </w:rPr>
        <w:tab/>
        <w:t xml:space="preserve">Ortíz M, Villabona E, Lemos D, Castellanos R. Effects of low level laser therapy and high voltage stimulation on diabetic wound healing. </w:t>
      </w:r>
      <w:r w:rsidRPr="008B4E3F">
        <w:rPr>
          <w:lang w:val="fr-BE"/>
        </w:rPr>
        <w:t>Rev Univ Ind Santander Salud. 2014;46(2):107</w:t>
      </w:r>
      <w:r w:rsidRPr="008B4E3F">
        <w:rPr>
          <w:rFonts w:ascii="Cambria Math" w:hAnsi="Cambria Math" w:cs="Cambria Math"/>
          <w:lang w:val="fr-BE"/>
        </w:rPr>
        <w:t>‐</w:t>
      </w:r>
      <w:r w:rsidRPr="008B4E3F">
        <w:rPr>
          <w:lang w:val="fr-BE"/>
        </w:rPr>
        <w:t xml:space="preserve">117. </w:t>
      </w:r>
    </w:p>
    <w:p w14:paraId="1E44B657" w14:textId="77777777" w:rsidR="00A57D03" w:rsidRPr="008B4E3F" w:rsidRDefault="00A57D03" w:rsidP="00A57D03">
      <w:pPr>
        <w:pStyle w:val="Bibliography"/>
        <w:rPr>
          <w:lang w:val="en-US"/>
        </w:rPr>
      </w:pPr>
      <w:r w:rsidRPr="008B4E3F">
        <w:rPr>
          <w:lang w:val="fr-BE"/>
        </w:rPr>
        <w:t>199.</w:t>
      </w:r>
      <w:r w:rsidRPr="008B4E3F">
        <w:rPr>
          <w:lang w:val="fr-BE"/>
        </w:rPr>
        <w:tab/>
        <w:t xml:space="preserve">Vitoriano NAM, Mont’Alverne DGB, Martins MIS, Silva PS, Martins CA, Teixeira HD, et al. </w:t>
      </w:r>
      <w:r w:rsidRPr="008B4E3F">
        <w:rPr>
          <w:lang w:val="en-US"/>
        </w:rPr>
        <w:t xml:space="preserve">Comparative study on laser and LED influence on tissue repair and improvement of neuropathic symptoms during the treatment of diabetic ulcers. Lasers Med Sci. 2019 Sep;34(7):1365–71. </w:t>
      </w:r>
    </w:p>
    <w:p w14:paraId="4D13E57F" w14:textId="77777777" w:rsidR="00A57D03" w:rsidRPr="008B4E3F" w:rsidRDefault="00A57D03" w:rsidP="00A57D03">
      <w:pPr>
        <w:pStyle w:val="Bibliography"/>
        <w:rPr>
          <w:lang w:val="en-US"/>
        </w:rPr>
      </w:pPr>
      <w:r w:rsidRPr="008B4E3F">
        <w:rPr>
          <w:lang w:val="en-US"/>
        </w:rPr>
        <w:t>200.</w:t>
      </w:r>
      <w:r w:rsidRPr="008B4E3F">
        <w:rPr>
          <w:lang w:val="en-US"/>
        </w:rPr>
        <w:tab/>
        <w:t xml:space="preserve">Alayat MS, El-Sodany AM, Ebid AA, Shousha TM, Abdelgalil AA, Alhasan H, et al. Efficacy of high intensity laser therapy in the management of foot ulcers: a systematic review. J Phys Ther Sci. 2018 Oct;30(10):1341–5. </w:t>
      </w:r>
    </w:p>
    <w:p w14:paraId="0F581454" w14:textId="77777777" w:rsidR="00A57D03" w:rsidRPr="008B4E3F" w:rsidRDefault="00A57D03" w:rsidP="00A57D03">
      <w:pPr>
        <w:pStyle w:val="Bibliography"/>
        <w:rPr>
          <w:lang w:val="fr-BE"/>
        </w:rPr>
      </w:pPr>
      <w:r w:rsidRPr="008B4E3F">
        <w:rPr>
          <w:lang w:val="en-US"/>
        </w:rPr>
        <w:t>201.</w:t>
      </w:r>
      <w:r w:rsidRPr="008B4E3F">
        <w:rPr>
          <w:lang w:val="en-US"/>
        </w:rPr>
        <w:tab/>
        <w:t xml:space="preserve">Tantawy SA, Abdelbasset WK, Kamel DM, Alrawaili SM. A randomized controlled trial comparing helium-neon laser therapy and infrared laser therapy in patients with diabetic foot ulcer. </w:t>
      </w:r>
      <w:r w:rsidRPr="008B4E3F">
        <w:rPr>
          <w:lang w:val="fr-BE"/>
        </w:rPr>
        <w:t xml:space="preserve">Lasers Med Sci. 2018 Dec;33(9):1901–6. </w:t>
      </w:r>
    </w:p>
    <w:p w14:paraId="4110902A" w14:textId="77777777" w:rsidR="00A57D03" w:rsidRPr="008B4E3F" w:rsidRDefault="00A57D03" w:rsidP="00A57D03">
      <w:pPr>
        <w:pStyle w:val="Bibliography"/>
        <w:rPr>
          <w:lang w:val="en-US"/>
        </w:rPr>
      </w:pPr>
      <w:r w:rsidRPr="008B4E3F">
        <w:rPr>
          <w:lang w:val="fr-BE"/>
        </w:rPr>
        <w:t>202.</w:t>
      </w:r>
      <w:r w:rsidRPr="008B4E3F">
        <w:rPr>
          <w:lang w:val="fr-BE"/>
        </w:rPr>
        <w:tab/>
        <w:t xml:space="preserve">de Alencar Fonseca Santos J, Campelo MBD, de Oliveira RA, Nicolau RA, Rezende VEA, Arisawa EÂL. </w:t>
      </w:r>
      <w:r w:rsidRPr="008B4E3F">
        <w:rPr>
          <w:lang w:val="en-US"/>
        </w:rPr>
        <w:t xml:space="preserve">Effects of Low-Power Light Therapy on the Tissue Repair Process of Chronic Wounds in Diabetic Feet. Photomed Laser Surg. 2018 Jun;36(6):298–304. </w:t>
      </w:r>
    </w:p>
    <w:p w14:paraId="33777732" w14:textId="77777777" w:rsidR="00A57D03" w:rsidRPr="008B4E3F" w:rsidRDefault="00A57D03" w:rsidP="00A57D03">
      <w:pPr>
        <w:pStyle w:val="Bibliography"/>
        <w:rPr>
          <w:lang w:val="en-US"/>
        </w:rPr>
      </w:pPr>
      <w:r w:rsidRPr="008B4E3F">
        <w:rPr>
          <w:lang w:val="en-US"/>
        </w:rPr>
        <w:t>203.</w:t>
      </w:r>
      <w:r w:rsidRPr="008B4E3F">
        <w:rPr>
          <w:lang w:val="en-US"/>
        </w:rPr>
        <w:tab/>
        <w:t xml:space="preserve">Carrinho PM, Andreani DIK, Morete V de A, Iseri S, Navarro RS, Villaverde AB. A Study on the Macroscopic Morphometry of the Lesion Area on Diabetic Ulcers in Humans Treated with Photodynamic Therapy Using Two Methods of Measurement. Photomed Laser Surg. 2018 Jan;36(1):44–50. </w:t>
      </w:r>
    </w:p>
    <w:p w14:paraId="09248E23" w14:textId="77777777" w:rsidR="00A57D03" w:rsidRPr="008B4E3F" w:rsidRDefault="00A57D03" w:rsidP="00A57D03">
      <w:pPr>
        <w:pStyle w:val="Bibliography"/>
        <w:rPr>
          <w:lang w:val="en-US"/>
        </w:rPr>
      </w:pPr>
      <w:r w:rsidRPr="008B4E3F">
        <w:rPr>
          <w:lang w:val="en-US"/>
        </w:rPr>
        <w:t>204.</w:t>
      </w:r>
      <w:r w:rsidRPr="008B4E3F">
        <w:rPr>
          <w:lang w:val="en-US"/>
        </w:rPr>
        <w:tab/>
        <w:t xml:space="preserve">Srilestari A., Nareswari I., Simadibrata C., Tarigan T.J.E. Effectiveness of combined laser-puncture and conventional wound care to accelerate diabetic foot ulcer healing. Med J Indones. 2017;26(1):26–34. </w:t>
      </w:r>
    </w:p>
    <w:p w14:paraId="5A6D8771" w14:textId="77777777" w:rsidR="00A57D03" w:rsidRPr="008B4E3F" w:rsidRDefault="00A57D03" w:rsidP="00A57D03">
      <w:pPr>
        <w:pStyle w:val="Bibliography"/>
        <w:rPr>
          <w:lang w:val="en-US"/>
        </w:rPr>
      </w:pPr>
      <w:r w:rsidRPr="008B4E3F">
        <w:rPr>
          <w:lang w:val="en-US"/>
        </w:rPr>
        <w:t>205.</w:t>
      </w:r>
      <w:r w:rsidRPr="008B4E3F">
        <w:rPr>
          <w:lang w:val="en-US"/>
        </w:rPr>
        <w:tab/>
        <w:t xml:space="preserve">Mathur RK, Sahu K, Saraf S, Patheja P, Khan F, Gupta PK. Low-level laser therapy as an adjunct to conventional therapy in the treatment of diabetic foot ulcers. Lasers Med Sci. 2017 Feb;32(2):275–82. </w:t>
      </w:r>
    </w:p>
    <w:p w14:paraId="36F1D2C4" w14:textId="77777777" w:rsidR="00A57D03" w:rsidRPr="008B4E3F" w:rsidRDefault="00A57D03" w:rsidP="00A57D03">
      <w:pPr>
        <w:pStyle w:val="Bibliography"/>
        <w:rPr>
          <w:lang w:val="en-US"/>
        </w:rPr>
      </w:pPr>
      <w:r w:rsidRPr="008B4E3F">
        <w:rPr>
          <w:lang w:val="en-US"/>
        </w:rPr>
        <w:t>206.</w:t>
      </w:r>
      <w:r w:rsidRPr="008B4E3F">
        <w:rPr>
          <w:lang w:val="en-US"/>
        </w:rPr>
        <w:tab/>
        <w:t xml:space="preserve">Carvalho AFM de, Feitosa MCP, Coelho NPM de F, Rebêlo VCN, Castro JG de, Sousa PRG de, et al. Low-level laser therapy and Calendula officinalis in repairing diabetic foot ulcers. Rev Esc Enferm U P. 2016 Aug;50(4):628–34. </w:t>
      </w:r>
    </w:p>
    <w:p w14:paraId="762F8570" w14:textId="77777777" w:rsidR="00A57D03" w:rsidRPr="008B4E3F" w:rsidRDefault="00A57D03" w:rsidP="00A57D03">
      <w:pPr>
        <w:pStyle w:val="Bibliography"/>
        <w:rPr>
          <w:lang w:val="en-US"/>
        </w:rPr>
      </w:pPr>
      <w:r w:rsidRPr="008B4E3F">
        <w:rPr>
          <w:lang w:val="en-US"/>
        </w:rPr>
        <w:t>207.</w:t>
      </w:r>
      <w:r w:rsidRPr="008B4E3F">
        <w:rPr>
          <w:lang w:val="en-US"/>
        </w:rPr>
        <w:tab/>
        <w:t xml:space="preserve">Feitosa MCP, Carvalho AFM de, Feitosa VC, Coelho IM, Oliveira RA de, Arisawa EÂL. Effects of the Low-Level Laser Therapy (LLLT) in the process of healing diabetic foot ulcers. Acta Cir Bras. 2015 Dec;30(12):852–7. </w:t>
      </w:r>
    </w:p>
    <w:p w14:paraId="181F0A88" w14:textId="77777777" w:rsidR="00A57D03" w:rsidRPr="008B4E3F" w:rsidRDefault="00A57D03" w:rsidP="00A57D03">
      <w:pPr>
        <w:pStyle w:val="Bibliography"/>
        <w:rPr>
          <w:lang w:val="en-US"/>
        </w:rPr>
      </w:pPr>
      <w:r w:rsidRPr="008B4E3F">
        <w:rPr>
          <w:lang w:val="en-US"/>
        </w:rPr>
        <w:t>208.</w:t>
      </w:r>
      <w:r w:rsidRPr="008B4E3F">
        <w:rPr>
          <w:lang w:val="en-US"/>
        </w:rPr>
        <w:tab/>
        <w:t xml:space="preserve">Kajagar BM, Godhi AS, Pandit A, Khatri S. Efficacy of low level laser therapy on wound healing in patients with chronic diabetic foot ulcers-a randomised control trial. Indian J Surg. 2012 Oct;74(5):359–63. </w:t>
      </w:r>
    </w:p>
    <w:p w14:paraId="79E3CC29" w14:textId="77777777" w:rsidR="00A57D03" w:rsidRPr="008B4E3F" w:rsidRDefault="00A57D03" w:rsidP="00A57D03">
      <w:pPr>
        <w:pStyle w:val="Bibliography"/>
        <w:rPr>
          <w:lang w:val="en-US"/>
        </w:rPr>
      </w:pPr>
      <w:r w:rsidRPr="008B4E3F">
        <w:rPr>
          <w:lang w:val="en-US"/>
        </w:rPr>
        <w:t>209.</w:t>
      </w:r>
      <w:r w:rsidRPr="008B4E3F">
        <w:rPr>
          <w:lang w:val="en-US"/>
        </w:rPr>
        <w:tab/>
        <w:t xml:space="preserve">Kaviani A, Djavid GE, Ataie-Fashtami L, Fateh M, Ghodsi M, Salami M, et al. A randomized clinical trial on the effect of low-level laser therapy on chronic diabetic foot wound healing: a preliminary report. Photomed Laser Surg. 2011 Feb;29(2):109–14. </w:t>
      </w:r>
    </w:p>
    <w:p w14:paraId="331C290C" w14:textId="77777777" w:rsidR="00A57D03" w:rsidRPr="008B4E3F" w:rsidRDefault="00A57D03" w:rsidP="00A57D03">
      <w:pPr>
        <w:pStyle w:val="Bibliography"/>
        <w:rPr>
          <w:lang w:val="en-US"/>
        </w:rPr>
      </w:pPr>
      <w:r w:rsidRPr="008B4E3F">
        <w:rPr>
          <w:lang w:val="en-US"/>
        </w:rPr>
        <w:t>210.</w:t>
      </w:r>
      <w:r w:rsidRPr="008B4E3F">
        <w:rPr>
          <w:lang w:val="en-US"/>
        </w:rPr>
        <w:tab/>
        <w:t xml:space="preserve">Rosa SSRF, Rosa MFF, Marques MP, Guimarães GA, Motta BC, Macedo YCL, et al. Regeneration of Diabetic Foot Ulcers Based on Therapy with Red LED Light and a Natural Latex Biomembrane. Ann Biomed Eng. 2019 Apr;47(4):1153–64. </w:t>
      </w:r>
    </w:p>
    <w:p w14:paraId="5A5F776B" w14:textId="77777777" w:rsidR="00A57D03" w:rsidRPr="008B4E3F" w:rsidRDefault="00A57D03" w:rsidP="00A57D03">
      <w:pPr>
        <w:pStyle w:val="Bibliography"/>
        <w:rPr>
          <w:lang w:val="en-US"/>
        </w:rPr>
      </w:pPr>
      <w:r w:rsidRPr="008B4E3F">
        <w:rPr>
          <w:lang w:val="en-US"/>
        </w:rPr>
        <w:t>211.</w:t>
      </w:r>
      <w:r w:rsidRPr="008B4E3F">
        <w:rPr>
          <w:lang w:val="en-US"/>
        </w:rPr>
        <w:tab/>
        <w:t xml:space="preserve">Huang Q, Yan P, Xiong H, Shuai T, Liu J, Zhu L, et al. Extracorporeal Shock Wave Therapy for Treating Foot Ulcers in Adults With Type 1  and Type 2 Diabetes: A Systematic Review and Meta-Analysis of Randomized Controlled Trials. Can J Diabetes. 2020 Mar;44(2):196-204.e3. </w:t>
      </w:r>
    </w:p>
    <w:p w14:paraId="1B751758" w14:textId="77777777" w:rsidR="00A57D03" w:rsidRPr="008B4E3F" w:rsidRDefault="00A57D03" w:rsidP="00A57D03">
      <w:pPr>
        <w:pStyle w:val="Bibliography"/>
        <w:rPr>
          <w:lang w:val="en-US"/>
        </w:rPr>
      </w:pPr>
      <w:r w:rsidRPr="008B4E3F">
        <w:rPr>
          <w:lang w:val="en-US"/>
        </w:rPr>
        <w:t>212.</w:t>
      </w:r>
      <w:r w:rsidRPr="008B4E3F">
        <w:rPr>
          <w:lang w:val="en-US"/>
        </w:rPr>
        <w:tab/>
        <w:t xml:space="preserve">Hitchman LH, Totty JP, Raza A, Cai P, Smith GE, Carradice D, et al. Extracorporeal Shockwave Therapy for Diabetic Foot Ulcers: A Systematic Review and Meta-Analysis. Ann Vasc Surg. 2019 Apr;56:330–9. </w:t>
      </w:r>
    </w:p>
    <w:p w14:paraId="760D4BC7" w14:textId="77777777" w:rsidR="00A57D03" w:rsidRPr="008B4E3F" w:rsidRDefault="00A57D03" w:rsidP="00A57D03">
      <w:pPr>
        <w:pStyle w:val="Bibliography"/>
        <w:rPr>
          <w:lang w:val="en-US"/>
        </w:rPr>
      </w:pPr>
      <w:r w:rsidRPr="008B4E3F">
        <w:rPr>
          <w:lang w:val="en-US"/>
        </w:rPr>
        <w:t>213.</w:t>
      </w:r>
      <w:r w:rsidRPr="008B4E3F">
        <w:rPr>
          <w:lang w:val="en-US"/>
        </w:rPr>
        <w:tab/>
        <w:t xml:space="preserve">Snyder R, Galiano R, Mayer P, Rogers LC, Alvarez O, Sanuwave Trial Investigators. Diabetic foot ulcer treatment with focused shockwave therapy: two multicentre, prospective, controlled, double-blinded, randomised phase III clinical trials. J Wound Care. 2018 02;27(12):822–36. </w:t>
      </w:r>
    </w:p>
    <w:p w14:paraId="77211610" w14:textId="77777777" w:rsidR="00A57D03" w:rsidRPr="008B4E3F" w:rsidRDefault="00A57D03" w:rsidP="00A57D03">
      <w:pPr>
        <w:pStyle w:val="Bibliography"/>
        <w:rPr>
          <w:lang w:val="en-US"/>
        </w:rPr>
      </w:pPr>
      <w:r w:rsidRPr="008B4E3F">
        <w:rPr>
          <w:lang w:val="en-US"/>
        </w:rPr>
        <w:t>214.</w:t>
      </w:r>
      <w:r w:rsidRPr="008B4E3F">
        <w:rPr>
          <w:lang w:val="en-US"/>
        </w:rPr>
        <w:tab/>
        <w:t xml:space="preserve">Wang CJ, Wu RW, Yang YJ. Treatment of diabetic foot ulcers: a comparative study of extracorporeal shockwave therapy and hyperbaric oxygen therapy. Diabetes Res Clin Pract. 2011 May;92(2):187–93. </w:t>
      </w:r>
    </w:p>
    <w:p w14:paraId="4B585EEB" w14:textId="77777777" w:rsidR="00A57D03" w:rsidRPr="008B4E3F" w:rsidRDefault="00A57D03" w:rsidP="00A57D03">
      <w:pPr>
        <w:pStyle w:val="Bibliography"/>
        <w:rPr>
          <w:lang w:val="en-US"/>
        </w:rPr>
      </w:pPr>
      <w:r w:rsidRPr="008B4E3F">
        <w:rPr>
          <w:lang w:val="en-US"/>
        </w:rPr>
        <w:t>215.</w:t>
      </w:r>
      <w:r w:rsidRPr="008B4E3F">
        <w:rPr>
          <w:lang w:val="en-US"/>
        </w:rPr>
        <w:tab/>
        <w:t xml:space="preserve">Omar MTA, Alghadir A, Al-Wahhabi KK, Al-Askar AB. Efficacy of shock wave therapy on chronic diabetic foot ulcer: a single-blinded randomized controlled clinical trial. Diabetes Res Clin Pract. 2014 Dec;106(3):548–54. </w:t>
      </w:r>
    </w:p>
    <w:p w14:paraId="183E47FF" w14:textId="77777777" w:rsidR="00A57D03" w:rsidRPr="008B4E3F" w:rsidRDefault="00A57D03" w:rsidP="00A57D03">
      <w:pPr>
        <w:pStyle w:val="Bibliography"/>
        <w:rPr>
          <w:lang w:val="en-US"/>
        </w:rPr>
      </w:pPr>
      <w:r w:rsidRPr="008B4E3F">
        <w:rPr>
          <w:lang w:val="en-US"/>
        </w:rPr>
        <w:t>216.</w:t>
      </w:r>
      <w:r w:rsidRPr="008B4E3F">
        <w:rPr>
          <w:lang w:val="en-US"/>
        </w:rPr>
        <w:tab/>
        <w:t xml:space="preserve">Jeppesen SM, Yderstraede KB, Rasmussen BSB, Hanna M, Lund L. Extracorporeal shockwave therapy in the treatment of chronic diabetic foot ulcers: a prospective randomised trial. J Wound Care. 2016 Nov 2;25(11):641–9. </w:t>
      </w:r>
    </w:p>
    <w:p w14:paraId="285CC752" w14:textId="77777777" w:rsidR="00A57D03" w:rsidRPr="008B4E3F" w:rsidRDefault="00A57D03" w:rsidP="00A57D03">
      <w:pPr>
        <w:pStyle w:val="Bibliography"/>
        <w:rPr>
          <w:lang w:val="en-US"/>
        </w:rPr>
      </w:pPr>
      <w:r w:rsidRPr="008B4E3F">
        <w:rPr>
          <w:lang w:val="en-US"/>
        </w:rPr>
        <w:t>217.</w:t>
      </w:r>
      <w:r w:rsidRPr="008B4E3F">
        <w:rPr>
          <w:lang w:val="en-US"/>
        </w:rPr>
        <w:tab/>
        <w:t xml:space="preserve">Galiano R, Snyder R, Mayer P, Rogers LC, Alvarez O. Focused shockwave therapy in diabetic foot ulcers: secondary endpoints of two multicentre randomised controlled trials. J Wound Care. 2019 Jun 2;28(6):383–95. </w:t>
      </w:r>
    </w:p>
    <w:p w14:paraId="0A576BC9" w14:textId="77777777" w:rsidR="00A57D03" w:rsidRPr="008B4E3F" w:rsidRDefault="00A57D03" w:rsidP="00A57D03">
      <w:pPr>
        <w:pStyle w:val="Bibliography"/>
        <w:rPr>
          <w:lang w:val="en-US"/>
        </w:rPr>
      </w:pPr>
      <w:r w:rsidRPr="008B4E3F">
        <w:rPr>
          <w:lang w:val="en-US"/>
        </w:rPr>
        <w:t>218.</w:t>
      </w:r>
      <w:r w:rsidRPr="008B4E3F">
        <w:rPr>
          <w:lang w:val="en-US"/>
        </w:rPr>
        <w:tab/>
        <w:t xml:space="preserve">Rastogi A, Bhansali A, Ramachandran S. Efficacy and Safety of Low-Frequency, Noncontact Airborne Ultrasound Therapy (Glybetac) For Neuropathic Diabetic Foot Ulcers: A Randomized, Double-Blind, Sham-Control Study. Int J Low Extrem Wounds. 2019 Mar;18(1):81–8. </w:t>
      </w:r>
    </w:p>
    <w:p w14:paraId="56CEAD13" w14:textId="77777777" w:rsidR="00A57D03" w:rsidRPr="008B4E3F" w:rsidRDefault="00A57D03" w:rsidP="00A57D03">
      <w:pPr>
        <w:pStyle w:val="Bibliography"/>
        <w:rPr>
          <w:lang w:val="en-US"/>
        </w:rPr>
      </w:pPr>
      <w:r w:rsidRPr="008B4E3F">
        <w:rPr>
          <w:lang w:val="en-US"/>
        </w:rPr>
        <w:t>219.</w:t>
      </w:r>
      <w:r w:rsidRPr="008B4E3F">
        <w:rPr>
          <w:lang w:val="en-US"/>
        </w:rPr>
        <w:tab/>
        <w:t xml:space="preserve">Bajpai A, Nadkarni S, Neidrauer M, Weingarten MS, Lewin PA, Spiller KL. Effects of Non-thermal, Non-cavitational Ultrasound Exposure on Human Diabetic Ulcer Healing and Inflammatory Gene Expression in a Pilot Study. Ultrasound Med Biol. 2018;44(9):2043–9. </w:t>
      </w:r>
    </w:p>
    <w:p w14:paraId="51D28E70" w14:textId="77777777" w:rsidR="00A57D03" w:rsidRPr="008B4E3F" w:rsidRDefault="00A57D03" w:rsidP="00A57D03">
      <w:pPr>
        <w:pStyle w:val="Bibliography"/>
        <w:rPr>
          <w:lang w:val="en-US"/>
        </w:rPr>
      </w:pPr>
      <w:r w:rsidRPr="008B4E3F">
        <w:rPr>
          <w:lang w:val="en-US"/>
        </w:rPr>
        <w:t>220.</w:t>
      </w:r>
      <w:r w:rsidRPr="008B4E3F">
        <w:rPr>
          <w:lang w:val="en-US"/>
        </w:rPr>
        <w:tab/>
        <w:t xml:space="preserve">Yao M, Hasturk H, Kantarci A, Gu G, Garcia-Lavin S, Fabbi M, et al. A pilot study evaluating non-contact low-frequency ultrasound and underlying molecular mechanism on diabetic foot ulcers. Int Wound J. 2014 Dec;11(6):586–93. </w:t>
      </w:r>
    </w:p>
    <w:p w14:paraId="15AF450B" w14:textId="77777777" w:rsidR="00A57D03" w:rsidRPr="008B4E3F" w:rsidRDefault="00A57D03" w:rsidP="00A57D03">
      <w:pPr>
        <w:pStyle w:val="Bibliography"/>
        <w:rPr>
          <w:lang w:val="en-US"/>
        </w:rPr>
      </w:pPr>
      <w:r w:rsidRPr="008B4E3F">
        <w:rPr>
          <w:lang w:val="en-US"/>
        </w:rPr>
        <w:t>221.</w:t>
      </w:r>
      <w:r w:rsidRPr="008B4E3F">
        <w:rPr>
          <w:lang w:val="en-US"/>
        </w:rPr>
        <w:tab/>
        <w:t xml:space="preserve">Ngo O, Niemann E, Gunasekaran V, Sankar P, Putterman M, Lafontant A, et al. Development of Low Frequency (20-100 kHz) Clinically Viable Ultrasound Applicator for Chronic Wound Treatment. IEEE Trans Ultrason Ferroelectr Freq Control. 2019;66(3):572–80. </w:t>
      </w:r>
    </w:p>
    <w:p w14:paraId="7FF86F1D" w14:textId="77777777" w:rsidR="00A57D03" w:rsidRPr="008B4E3F" w:rsidRDefault="00A57D03" w:rsidP="00A57D03">
      <w:pPr>
        <w:pStyle w:val="Bibliography"/>
        <w:rPr>
          <w:lang w:val="en-US"/>
        </w:rPr>
      </w:pPr>
      <w:r w:rsidRPr="008B4E3F">
        <w:rPr>
          <w:lang w:val="en-US"/>
        </w:rPr>
        <w:t>222.</w:t>
      </w:r>
      <w:r w:rsidRPr="008B4E3F">
        <w:rPr>
          <w:lang w:val="en-US"/>
        </w:rPr>
        <w:tab/>
        <w:t xml:space="preserve">Amini S, ShojaeeFard A, Annabestani Z, Hammami MR, Shaiganmehr Z, Larijani B, et al. Low-frequency ultrasound debridement in patients with diabetic foot ulcers and osteomyelitis. Wounds Compend Clin Res Pract. 2013 Jul;25(7):193–8. </w:t>
      </w:r>
    </w:p>
    <w:p w14:paraId="78CBAD9C" w14:textId="77777777" w:rsidR="00A57D03" w:rsidRPr="008B4E3F" w:rsidRDefault="00A57D03" w:rsidP="00A57D03">
      <w:pPr>
        <w:pStyle w:val="Bibliography"/>
        <w:rPr>
          <w:lang w:val="en-US"/>
        </w:rPr>
      </w:pPr>
      <w:r w:rsidRPr="008B4E3F">
        <w:rPr>
          <w:lang w:val="en-US"/>
        </w:rPr>
        <w:t>223.</w:t>
      </w:r>
      <w:r w:rsidRPr="008B4E3F">
        <w:rPr>
          <w:lang w:val="en-US"/>
        </w:rPr>
        <w:tab/>
        <w:t>Stratmann, B, Costea TC, Nolte C. Effect of Cold Atmospheric Plasma Therapy vs Standard Therapy Placebo onWound Healing in Patients With Diabetic Foot Ulcers A Randomized Clinical Trial - NCT04205942. https://clinicaltrials.gov/show/NCT04205942 [Internet]. 2020; Available from: https://www.cochranelibrary.com/central/doi/10.1002/central/CN-02053349/full</w:t>
      </w:r>
    </w:p>
    <w:p w14:paraId="38D0201A" w14:textId="77777777" w:rsidR="00A57D03" w:rsidRPr="008B4E3F" w:rsidRDefault="00A57D03" w:rsidP="00A57D03">
      <w:pPr>
        <w:pStyle w:val="Bibliography"/>
        <w:rPr>
          <w:lang w:val="en-US"/>
        </w:rPr>
      </w:pPr>
      <w:r w:rsidRPr="008B4E3F">
        <w:rPr>
          <w:lang w:val="en-US"/>
        </w:rPr>
        <w:t>224.</w:t>
      </w:r>
      <w:r w:rsidRPr="008B4E3F">
        <w:rPr>
          <w:lang w:val="en-US"/>
        </w:rPr>
        <w:tab/>
        <w:t xml:space="preserve">Asadi MR, Torkaman G, Hedayati M, Mohajeri-Tehrani MR, Ahmadi M, Gohardani RF. Angiogenic effects of low-intensity cathodal direct current on ischemic diabetic foot ulcers: A randomized controlled trial. Diabetes Res Clin Pract. 2017 May;127:147–55. </w:t>
      </w:r>
    </w:p>
    <w:p w14:paraId="236C449D" w14:textId="77777777" w:rsidR="00A57D03" w:rsidRPr="008B4E3F" w:rsidRDefault="00A57D03" w:rsidP="00A57D03">
      <w:pPr>
        <w:pStyle w:val="Bibliography"/>
        <w:rPr>
          <w:lang w:val="en-US"/>
        </w:rPr>
      </w:pPr>
      <w:r w:rsidRPr="008B4E3F">
        <w:rPr>
          <w:lang w:val="en-US"/>
        </w:rPr>
        <w:t>225.</w:t>
      </w:r>
      <w:r w:rsidRPr="008B4E3F">
        <w:rPr>
          <w:lang w:val="en-US"/>
        </w:rPr>
        <w:tab/>
        <w:t xml:space="preserve">Asadi M.R., Torkaman G., Mohajeri-Tehrani M.R., Hedayati M. Effects of electrical stimulation on the management of ischemic diabetic foot ulcers. J Babol Univ Med Sci. 2015;17(7):7–14. </w:t>
      </w:r>
    </w:p>
    <w:p w14:paraId="0B90F33C" w14:textId="77777777" w:rsidR="00A57D03" w:rsidRPr="008B4E3F" w:rsidRDefault="00A57D03" w:rsidP="00A57D03">
      <w:pPr>
        <w:pStyle w:val="Bibliography"/>
        <w:rPr>
          <w:lang w:val="en-US"/>
        </w:rPr>
      </w:pPr>
      <w:r w:rsidRPr="008B4E3F">
        <w:rPr>
          <w:lang w:val="en-US"/>
        </w:rPr>
        <w:t>226.</w:t>
      </w:r>
      <w:r w:rsidRPr="008B4E3F">
        <w:rPr>
          <w:lang w:val="en-US"/>
        </w:rPr>
        <w:tab/>
        <w:t xml:space="preserve">Kwan RLC, Cheing GLY, Vong SKS, Lo SK. Electrophysical therapy for managing diabetic foot ulcers: a systematic review. Int Wound J. 2013 Apr;10(2):121–31. </w:t>
      </w:r>
    </w:p>
    <w:p w14:paraId="52D0011D" w14:textId="77777777" w:rsidR="00A57D03" w:rsidRPr="008B4E3F" w:rsidRDefault="00A57D03" w:rsidP="00A57D03">
      <w:pPr>
        <w:pStyle w:val="Bibliography"/>
        <w:rPr>
          <w:lang w:val="en-US"/>
        </w:rPr>
      </w:pPr>
      <w:r w:rsidRPr="008B4E3F">
        <w:rPr>
          <w:lang w:val="en-US"/>
        </w:rPr>
        <w:t>227.</w:t>
      </w:r>
      <w:r w:rsidRPr="008B4E3F">
        <w:rPr>
          <w:lang w:val="en-US"/>
        </w:rPr>
        <w:tab/>
        <w:t xml:space="preserve">Kwan RLC, Wong WC, Yip SL, Chan KL, Zheng YP, Cheing GLY. Pulsed electromagnetic field therapy promotes healing and microcirculation of chronic diabetic foot ulcers: a pilot study. Adv Skin Wound Care. 2015 May;28(5):212–9. </w:t>
      </w:r>
    </w:p>
    <w:p w14:paraId="10C797D8" w14:textId="77777777" w:rsidR="00A57D03" w:rsidRPr="008B4E3F" w:rsidRDefault="00A57D03" w:rsidP="00A57D03">
      <w:pPr>
        <w:pStyle w:val="Bibliography"/>
        <w:rPr>
          <w:lang w:val="en-US"/>
        </w:rPr>
      </w:pPr>
      <w:r w:rsidRPr="008B4E3F">
        <w:rPr>
          <w:lang w:val="en-US"/>
        </w:rPr>
        <w:t>228.</w:t>
      </w:r>
      <w:r w:rsidRPr="008B4E3F">
        <w:rPr>
          <w:lang w:val="en-US"/>
        </w:rPr>
        <w:tab/>
        <w:t xml:space="preserve">Elg F, Hunt S. Hemoglobin spray as adjunct therapy in complex wounds: Meta-analysis versus standard care alone in pooled data by wound type across three retrospective cohort controlled evaluations. SAGE Open Med. 2018;6:2050312118784313. </w:t>
      </w:r>
    </w:p>
    <w:p w14:paraId="5418F8EF" w14:textId="77777777" w:rsidR="00A57D03" w:rsidRPr="008B4E3F" w:rsidRDefault="00A57D03" w:rsidP="00A57D03">
      <w:pPr>
        <w:pStyle w:val="Bibliography"/>
        <w:rPr>
          <w:lang w:val="en-US"/>
        </w:rPr>
      </w:pPr>
      <w:r w:rsidRPr="008B4E3F">
        <w:rPr>
          <w:lang w:val="en-US"/>
        </w:rPr>
        <w:t>229.</w:t>
      </w:r>
      <w:r w:rsidRPr="008B4E3F">
        <w:rPr>
          <w:lang w:val="en-US"/>
        </w:rPr>
        <w:tab/>
        <w:t xml:space="preserve">Niederauer MQ, Michalek JE, Armstrong DG. A Prospective, Randomized, Double-Blind Multicenter Study Comparing Continuous Diffusion of Oxygen Therapy to Sham Therapy in the Treatment of Diabetic Foot Ulcers. J Diabetes Sci Technol. 2017;11(5):883–91. </w:t>
      </w:r>
    </w:p>
    <w:p w14:paraId="5D12BCE4" w14:textId="77777777" w:rsidR="00A57D03" w:rsidRPr="008B4E3F" w:rsidRDefault="00A57D03" w:rsidP="00A57D03">
      <w:pPr>
        <w:pStyle w:val="Bibliography"/>
        <w:rPr>
          <w:lang w:val="en-US"/>
        </w:rPr>
      </w:pPr>
      <w:r w:rsidRPr="008B4E3F">
        <w:rPr>
          <w:lang w:val="en-US"/>
        </w:rPr>
        <w:t>230.</w:t>
      </w:r>
      <w:r w:rsidRPr="008B4E3F">
        <w:rPr>
          <w:lang w:val="en-US"/>
        </w:rPr>
        <w:tab/>
        <w:t xml:space="preserve">Yu J, Lu S, McLaren AM, Perry JA, Cross KM. Topical oxygen therapy results in complete wound healing in diabetic foot ulcers. Wound Repair Regen Off Publ Wound Heal Soc Eur Tissue Repair Soc. 2016;24(6):1066–72. </w:t>
      </w:r>
    </w:p>
    <w:p w14:paraId="32E56F64" w14:textId="77777777" w:rsidR="00A57D03" w:rsidRPr="008B4E3F" w:rsidRDefault="00A57D03" w:rsidP="00A57D03">
      <w:pPr>
        <w:pStyle w:val="Bibliography"/>
        <w:rPr>
          <w:lang w:val="en-US"/>
        </w:rPr>
      </w:pPr>
      <w:r w:rsidRPr="008B4E3F">
        <w:rPr>
          <w:lang w:val="en-US"/>
        </w:rPr>
        <w:t>231.</w:t>
      </w:r>
      <w:r w:rsidRPr="008B4E3F">
        <w:rPr>
          <w:lang w:val="en-US"/>
        </w:rPr>
        <w:tab/>
        <w:t xml:space="preserve">Driver VR, Reyzelman A, Kawalec J, French M. A Prospective, Randomized, Blinded, Controlled Trial Comparing Transdermal Continuous Oxygen Delivery to Moist Wound Therapy for the Treatment of Diabetic Foot Ulcers. Ostomy Wound Manage. 2017 Apr;63(4):12–28. </w:t>
      </w:r>
    </w:p>
    <w:p w14:paraId="26EF0CC5" w14:textId="77777777" w:rsidR="00A57D03" w:rsidRPr="008B4E3F" w:rsidRDefault="00A57D03" w:rsidP="00A57D03">
      <w:pPr>
        <w:pStyle w:val="Bibliography"/>
        <w:rPr>
          <w:lang w:val="en-US"/>
        </w:rPr>
      </w:pPr>
      <w:r w:rsidRPr="008B4E3F">
        <w:rPr>
          <w:lang w:val="en-US"/>
        </w:rPr>
        <w:t>232.</w:t>
      </w:r>
      <w:r w:rsidRPr="008B4E3F">
        <w:rPr>
          <w:lang w:val="en-US"/>
        </w:rPr>
        <w:tab/>
        <w:t xml:space="preserve">Driver VR, Yao M, Kantarci A, Gu G, Park N, Hasturk H. A prospective, randomized clinical study evaluating the effect of transdermal continuous oxygen therapy on biological processes and foot ulcer healing in persons with diabetes mellitus. Ostomy Wound Manage. 2013 Nov;59(11):19–26. </w:t>
      </w:r>
    </w:p>
    <w:p w14:paraId="3BC9B94F" w14:textId="77777777" w:rsidR="00A57D03" w:rsidRPr="008B4E3F" w:rsidRDefault="00A57D03" w:rsidP="00A57D03">
      <w:pPr>
        <w:pStyle w:val="Bibliography"/>
        <w:rPr>
          <w:lang w:val="en-US"/>
        </w:rPr>
      </w:pPr>
      <w:r w:rsidRPr="008B4E3F">
        <w:rPr>
          <w:lang w:val="en-US"/>
        </w:rPr>
        <w:t>233.</w:t>
      </w:r>
      <w:r w:rsidRPr="008B4E3F">
        <w:rPr>
          <w:lang w:val="en-US"/>
        </w:rPr>
        <w:tab/>
        <w:t xml:space="preserve">Zhang J, Guan M, Xie C, Luo X, Zhang Q, Xue Y. Increased growth factors play a role in wound healing promoted by noninvasive oxygen-ozone therapy in diabetic patients with foot ulcers. Oxid Med Cell Longev. 2014;2014:273475. </w:t>
      </w:r>
    </w:p>
    <w:p w14:paraId="44D6DA13" w14:textId="77777777" w:rsidR="00A57D03" w:rsidRPr="008B4E3F" w:rsidRDefault="00A57D03" w:rsidP="00A57D03">
      <w:pPr>
        <w:pStyle w:val="Bibliography"/>
        <w:rPr>
          <w:lang w:val="en-US"/>
        </w:rPr>
      </w:pPr>
      <w:r w:rsidRPr="008B4E3F">
        <w:rPr>
          <w:lang w:val="en-US"/>
        </w:rPr>
        <w:t>234.</w:t>
      </w:r>
      <w:r w:rsidRPr="008B4E3F">
        <w:rPr>
          <w:lang w:val="en-US"/>
        </w:rPr>
        <w:tab/>
        <w:t xml:space="preserve">Liu J, Zhang P, Tian J, Li L, Li J, Tian JH, et al. Ozone therapy for treating foot ulcers in people with diabetes. Cochrane Database Syst Rev. 2015 Oct 27;(10):CD008474. </w:t>
      </w:r>
    </w:p>
    <w:p w14:paraId="0178E498" w14:textId="77777777" w:rsidR="00A57D03" w:rsidRPr="008B4E3F" w:rsidRDefault="00A57D03" w:rsidP="00A57D03">
      <w:pPr>
        <w:pStyle w:val="Bibliography"/>
        <w:rPr>
          <w:lang w:val="en-US"/>
        </w:rPr>
      </w:pPr>
      <w:r w:rsidRPr="008B4E3F">
        <w:rPr>
          <w:lang w:val="en-US"/>
        </w:rPr>
        <w:t>235.</w:t>
      </w:r>
      <w:r w:rsidRPr="008B4E3F">
        <w:rPr>
          <w:lang w:val="en-US"/>
        </w:rPr>
        <w:tab/>
        <w:t xml:space="preserve">Wainstein J, Feldbrin Z, Boaz M, Harman-Boehm I. Efficacy of ozone-oxygen therapy for the treatment of diabetic foot ulcers. Diabetes Technol Ther. 2011 Dec;13(12):1255–60. </w:t>
      </w:r>
    </w:p>
    <w:p w14:paraId="15E65EF5" w14:textId="77777777" w:rsidR="00A57D03" w:rsidRPr="008B4E3F" w:rsidRDefault="00A57D03" w:rsidP="00A57D03">
      <w:pPr>
        <w:pStyle w:val="Bibliography"/>
        <w:rPr>
          <w:lang w:val="en-US"/>
        </w:rPr>
      </w:pPr>
      <w:r w:rsidRPr="008B4E3F">
        <w:rPr>
          <w:lang w:val="en-US"/>
        </w:rPr>
        <w:t>236.</w:t>
      </w:r>
      <w:r w:rsidRPr="008B4E3F">
        <w:rPr>
          <w:lang w:val="en-US"/>
        </w:rPr>
        <w:tab/>
        <w:t xml:space="preserve">Izadi M, Kheirjou R, Mohammadpour R, Aliyoldashi MH, Moghadam SJ, Khorvash F, et al. Efficacy of comprehensive ozone therapy in diabetic foot ulcer healing. Diabetes Metab Syndr. 2019 Feb;13(1):822–5. </w:t>
      </w:r>
    </w:p>
    <w:p w14:paraId="41D59846" w14:textId="77777777" w:rsidR="00A57D03" w:rsidRPr="008B4E3F" w:rsidRDefault="00A57D03" w:rsidP="00A57D03">
      <w:pPr>
        <w:pStyle w:val="Bibliography"/>
        <w:rPr>
          <w:lang w:val="en-US"/>
        </w:rPr>
      </w:pPr>
      <w:r w:rsidRPr="008B4E3F">
        <w:rPr>
          <w:lang w:val="en-US"/>
        </w:rPr>
        <w:t>237.</w:t>
      </w:r>
      <w:r w:rsidRPr="008B4E3F">
        <w:rPr>
          <w:lang w:val="en-US"/>
        </w:rPr>
        <w:tab/>
        <w:t xml:space="preserve">Razzaghi R, Pidar F, Momen-Heravi M, Bahmani F, Akbari H, Asemi Z. Magnesium Supplementation and the Effects on Wound Healing and Metabolic Status in Patients with Diabetic Foot Ulcer: a Randomized, Double-Blind, Placebo-Controlled Trial. Biol Trace Elem Res. 2018 Feb;181(2):207–15. </w:t>
      </w:r>
    </w:p>
    <w:p w14:paraId="3A3F8E68" w14:textId="77777777" w:rsidR="00A57D03" w:rsidRPr="008B4E3F" w:rsidRDefault="00A57D03" w:rsidP="00A57D03">
      <w:pPr>
        <w:pStyle w:val="Bibliography"/>
        <w:rPr>
          <w:lang w:val="en-US"/>
        </w:rPr>
      </w:pPr>
      <w:r w:rsidRPr="008B4E3F">
        <w:rPr>
          <w:lang w:val="en-US"/>
        </w:rPr>
        <w:t>238.</w:t>
      </w:r>
      <w:r w:rsidRPr="008B4E3F">
        <w:rPr>
          <w:lang w:val="en-US"/>
        </w:rPr>
        <w:tab/>
        <w:t xml:space="preserve">Momen-Heravi M, Barahimi E, Razzaghi R, Bahmani F, Gilasi HR, Asemi Z. The effects of zinc supplementation on wound healing and metabolic status in patients with diabetic foot ulcer: A randomized, double-blind, placebo-controlled trial. Wound Repair Regen Off Publ Wound Heal Soc Eur Tissue Repair Soc. 2017;25(3):512–20. </w:t>
      </w:r>
    </w:p>
    <w:p w14:paraId="33470D30" w14:textId="77777777" w:rsidR="00A57D03" w:rsidRPr="008B4E3F" w:rsidRDefault="00A57D03" w:rsidP="00A57D03">
      <w:pPr>
        <w:pStyle w:val="Bibliography"/>
        <w:rPr>
          <w:lang w:val="fr-BE"/>
        </w:rPr>
      </w:pPr>
      <w:r w:rsidRPr="008B4E3F">
        <w:rPr>
          <w:lang w:val="en-US"/>
        </w:rPr>
        <w:t>239.</w:t>
      </w:r>
      <w:r w:rsidRPr="008B4E3F">
        <w:rPr>
          <w:lang w:val="en-US"/>
        </w:rPr>
        <w:tab/>
        <w:t xml:space="preserve">Soleimani Z, Hashemdokht F, Bahmani F, Taghizadeh M, Memarzadeh MR, Asemi Z. Clinical and metabolic response to flaxseed oil omega-3 fatty acids supplementation in patients with diabetic foot ulcer: A randomized, double-blind, placebo-controlled trial. </w:t>
      </w:r>
      <w:r w:rsidRPr="008B4E3F">
        <w:rPr>
          <w:lang w:val="fr-BE"/>
        </w:rPr>
        <w:t xml:space="preserve">J Diabetes Complications. 2017 Sep;31(9):1394–400. </w:t>
      </w:r>
    </w:p>
    <w:p w14:paraId="47D1C95F" w14:textId="77777777" w:rsidR="00A57D03" w:rsidRPr="008B4E3F" w:rsidRDefault="00A57D03" w:rsidP="00A57D03">
      <w:pPr>
        <w:pStyle w:val="Bibliography"/>
        <w:rPr>
          <w:lang w:val="en-US"/>
        </w:rPr>
      </w:pPr>
      <w:r w:rsidRPr="008B4E3F">
        <w:rPr>
          <w:lang w:val="fr-BE"/>
        </w:rPr>
        <w:t>240.</w:t>
      </w:r>
      <w:r w:rsidRPr="008B4E3F">
        <w:rPr>
          <w:lang w:val="fr-BE"/>
        </w:rPr>
        <w:tab/>
        <w:t xml:space="preserve">Mohseni S, Bayani M, Bahmani F, Tajabadi-Ebrahimi M, Bayani MA, Jafari P, et al. </w:t>
      </w:r>
      <w:r w:rsidRPr="008B4E3F">
        <w:rPr>
          <w:lang w:val="en-US"/>
        </w:rPr>
        <w:t xml:space="preserve">The beneficial effects of probiotic administration on wound healing and metabolic status in patients with diabetic foot ulcer: A randomized, double-blind, placebo-controlled trial. Diabetes Metab Res Rev. 2018;34(3). </w:t>
      </w:r>
    </w:p>
    <w:p w14:paraId="562720AB" w14:textId="77777777" w:rsidR="00A57D03" w:rsidRPr="008B4E3F" w:rsidRDefault="00A57D03" w:rsidP="00A57D03">
      <w:pPr>
        <w:pStyle w:val="Bibliography"/>
        <w:rPr>
          <w:lang w:val="en-US"/>
        </w:rPr>
      </w:pPr>
      <w:r w:rsidRPr="008B4E3F">
        <w:rPr>
          <w:lang w:val="en-US"/>
        </w:rPr>
        <w:t>241.</w:t>
      </w:r>
      <w:r w:rsidRPr="008B4E3F">
        <w:rPr>
          <w:lang w:val="en-US"/>
        </w:rPr>
        <w:tab/>
        <w:t xml:space="preserve">Razzaghi R, Pourbagheri H, Momen-Heravi M, Bahmani F, Shadi J, Soleimani Z, et al. The effects of vitamin D supplementation on wound healing and metabolic status in patients with diabetic foot ulcer: A randomized, double-blind, placebo-controlled trial. J Diabetes Complications. 2017 Apr;31(4):766–72. </w:t>
      </w:r>
    </w:p>
    <w:p w14:paraId="361D3430" w14:textId="77777777" w:rsidR="00A57D03" w:rsidRPr="008B4E3F" w:rsidRDefault="00A57D03" w:rsidP="00A57D03">
      <w:pPr>
        <w:pStyle w:val="Bibliography"/>
        <w:rPr>
          <w:lang w:val="en-US"/>
        </w:rPr>
      </w:pPr>
      <w:r w:rsidRPr="008B4E3F">
        <w:rPr>
          <w:lang w:val="en-US"/>
        </w:rPr>
        <w:t>242.</w:t>
      </w:r>
      <w:r w:rsidRPr="008B4E3F">
        <w:rPr>
          <w:lang w:val="en-US"/>
        </w:rPr>
        <w:tab/>
        <w:t xml:space="preserve">Armstrong DG, Hanft JR, Driver VR, Smith APS, Lazaro-Martinez JL, Reyzelman AM, et al. Effect of oral nutritional supplementation on wound healing in diabetic foot ulcers: a prospective randomized controlled trial. Diabet Med J Br Diabet Assoc. 2014 Sep;31(9):1069–77. </w:t>
      </w:r>
    </w:p>
    <w:p w14:paraId="1967D6C7" w14:textId="77777777" w:rsidR="00A57D03" w:rsidRPr="008B4E3F" w:rsidRDefault="00A57D03" w:rsidP="00A57D03">
      <w:pPr>
        <w:pStyle w:val="Bibliography"/>
        <w:rPr>
          <w:lang w:val="en-US"/>
        </w:rPr>
      </w:pPr>
      <w:r w:rsidRPr="008B4E3F">
        <w:rPr>
          <w:lang w:val="en-US"/>
        </w:rPr>
        <w:t>243.</w:t>
      </w:r>
      <w:r w:rsidRPr="008B4E3F">
        <w:rPr>
          <w:lang w:val="en-US"/>
        </w:rPr>
        <w:tab/>
        <w:t xml:space="preserve">Afzali H, Jafari Kashi AH, Momen-Heravi M, Razzaghi R, Amirani E, Bahmani F, et al. The effects of magnesium and vitamin E co-supplementation on wound healing and metabolic status in patients with diabetic foot ulcer: A randomized, double-blind, placebo-controlled trial. Wound Repair Regen Off Publ Wound Heal Soc Eur Tissue Repair Soc. 2019;27(3):277–84. </w:t>
      </w:r>
    </w:p>
    <w:p w14:paraId="3FA752C1" w14:textId="77777777" w:rsidR="00A57D03" w:rsidRPr="008B4E3F" w:rsidRDefault="00A57D03" w:rsidP="00A57D03">
      <w:pPr>
        <w:pStyle w:val="Bibliography"/>
        <w:rPr>
          <w:lang w:val="en-US"/>
        </w:rPr>
      </w:pPr>
      <w:r w:rsidRPr="008B4E3F">
        <w:rPr>
          <w:lang w:val="en-US"/>
        </w:rPr>
        <w:t>244.</w:t>
      </w:r>
      <w:r w:rsidRPr="008B4E3F">
        <w:rPr>
          <w:lang w:val="en-US"/>
        </w:rPr>
        <w:tab/>
        <w:t>Basiri R, Spicer M, Levenson C. Nutritional Supplementation Concurrent with Nutrition Education Accelerates theWound Healing Process in Patients with Diabetic Foot Ulcers - NCT04055064. https://clinicaltrials.gov/show/NCT04055064 [Internet]. 2020; Available from: https://www.cochranelibrary.com/central/doi/10.1002/central/CN-01966409/full</w:t>
      </w:r>
    </w:p>
    <w:p w14:paraId="111E9460" w14:textId="77777777" w:rsidR="00A57D03" w:rsidRPr="008B4E3F" w:rsidRDefault="00A57D03" w:rsidP="00A57D03">
      <w:pPr>
        <w:pStyle w:val="Bibliography"/>
        <w:rPr>
          <w:lang w:val="en-US"/>
        </w:rPr>
      </w:pPr>
      <w:r w:rsidRPr="008B4E3F">
        <w:rPr>
          <w:lang w:val="en-US"/>
        </w:rPr>
        <w:t>245.</w:t>
      </w:r>
      <w:r w:rsidRPr="008B4E3F">
        <w:rPr>
          <w:lang w:val="en-US"/>
        </w:rPr>
        <w:tab/>
        <w:t xml:space="preserve">Bashmakov YK, Assaad-Khalil SH, Abou Seif M, Udumyan R, Megallaa M, Rohoma KH, et al. Resveratrol promotes foot ulcer size reduction in type 2 diabetes patients. ISRN Endocrinol. 2014;2014:816307. </w:t>
      </w:r>
    </w:p>
    <w:p w14:paraId="5D2EEDAE" w14:textId="77777777" w:rsidR="00A57D03" w:rsidRPr="008B4E3F" w:rsidRDefault="00A57D03" w:rsidP="00A57D03">
      <w:pPr>
        <w:pStyle w:val="Bibliography"/>
        <w:rPr>
          <w:lang w:val="en-US"/>
        </w:rPr>
      </w:pPr>
      <w:r w:rsidRPr="008B4E3F">
        <w:rPr>
          <w:lang w:val="en-US"/>
        </w:rPr>
        <w:t>246.</w:t>
      </w:r>
      <w:r w:rsidRPr="008B4E3F">
        <w:rPr>
          <w:lang w:val="en-US"/>
        </w:rPr>
        <w:tab/>
        <w:t xml:space="preserve">Balingit PP, Armstrong DG, Reyzelman AM, Bolton L, Verco SJ, Rodgers KE, et al. NorLeu3-A(1-7) stimulation of diabetic foot ulcer healing: results of a randomized, parallel-group, double-blind, placebo-controlled phase 2 clinical trial. Wound Repair Regen Off Publ Wound Heal Soc Eur Tissue Repair Soc. 2012 Aug;20(4):482–90. </w:t>
      </w:r>
    </w:p>
    <w:p w14:paraId="6C611F00" w14:textId="77777777" w:rsidR="00A57D03" w:rsidRPr="008B4E3F" w:rsidRDefault="00A57D03" w:rsidP="00A57D03">
      <w:pPr>
        <w:pStyle w:val="Bibliography"/>
        <w:rPr>
          <w:lang w:val="en-US"/>
        </w:rPr>
      </w:pPr>
      <w:r w:rsidRPr="008B4E3F">
        <w:rPr>
          <w:lang w:val="en-US"/>
        </w:rPr>
        <w:t>247.</w:t>
      </w:r>
      <w:r w:rsidRPr="008B4E3F">
        <w:rPr>
          <w:lang w:val="en-US"/>
        </w:rPr>
        <w:tab/>
        <w:t xml:space="preserve">Al-Nimer M, Ratha R, Mahwi T. Pentoxifylline improves the quality of life in type-2 diabetes foot syndrome. Pak J Med Sci. 2019 Oct;35(5):1370–5. </w:t>
      </w:r>
    </w:p>
    <w:p w14:paraId="64EF2754" w14:textId="77777777" w:rsidR="00A57D03" w:rsidRPr="008B4E3F" w:rsidRDefault="00A57D03" w:rsidP="00A57D03">
      <w:pPr>
        <w:pStyle w:val="Bibliography"/>
        <w:rPr>
          <w:lang w:val="en-US"/>
        </w:rPr>
      </w:pPr>
      <w:r w:rsidRPr="008B4E3F">
        <w:rPr>
          <w:lang w:val="en-US"/>
        </w:rPr>
        <w:t>248.</w:t>
      </w:r>
      <w:r w:rsidRPr="008B4E3F">
        <w:rPr>
          <w:lang w:val="en-US"/>
        </w:rPr>
        <w:tab/>
        <w:t xml:space="preserve">Janka-Zires M, Almeda-Valdes P, Uribe-Wiechers AC, Juárez-Comboni SC, López-Gutiérrez J, Escobar-Jiménez JJ, et al. Topical Administration of Pirfenidone Increases Healing of Chronic Diabetic Foot Ulcers: A Randomized Crossover Study. J Diabetes Res. 2016;2016:7340641. </w:t>
      </w:r>
    </w:p>
    <w:p w14:paraId="45C4A3BF" w14:textId="77777777" w:rsidR="00A57D03" w:rsidRDefault="00A57D03" w:rsidP="00A57D03">
      <w:pPr>
        <w:pStyle w:val="Bibliography"/>
      </w:pPr>
      <w:r w:rsidRPr="008B4E3F">
        <w:rPr>
          <w:lang w:val="en-US"/>
        </w:rPr>
        <w:t>249.</w:t>
      </w:r>
      <w:r w:rsidRPr="008B4E3F">
        <w:rPr>
          <w:lang w:val="en-US"/>
        </w:rPr>
        <w:tab/>
        <w:t xml:space="preserve">Zykova SN, Balandina KA, Vorokhobina NV, Kuznetsova AV, Engstad R, Zykova TA. Macrophage stimulating agent soluble yeast </w:t>
      </w:r>
      <w:r>
        <w:t>β</w:t>
      </w:r>
      <w:r w:rsidRPr="008B4E3F">
        <w:rPr>
          <w:lang w:val="en-US"/>
        </w:rPr>
        <w:t xml:space="preserve">-1,3/1,6-glucan as a topical treatment of diabetic foot and leg ulcers: A randomized, double blind, placebo-controlled phase II study. </w:t>
      </w:r>
      <w:r>
        <w:t xml:space="preserve">J Diabetes Investig. 2014 Jul;5(4):392–9. </w:t>
      </w:r>
    </w:p>
    <w:p w14:paraId="23CAB53F" w14:textId="77777777" w:rsidR="00A57D03" w:rsidRPr="008B4E3F" w:rsidRDefault="00A57D03" w:rsidP="00A57D03">
      <w:pPr>
        <w:pStyle w:val="Bibliography"/>
        <w:rPr>
          <w:lang w:val="en-US"/>
        </w:rPr>
      </w:pPr>
      <w:r>
        <w:t>250.</w:t>
      </w:r>
      <w:r>
        <w:tab/>
        <w:t xml:space="preserve">Wang J, Zhu YQ, Li MH, Zhao JG, Tan HQ, Wang JB, et al. </w:t>
      </w:r>
      <w:r w:rsidRPr="008B4E3F">
        <w:rPr>
          <w:lang w:val="en-US"/>
        </w:rPr>
        <w:t xml:space="preserve">Batroxobin plus aspirin reduces restenosis after angioplasty for arterial occlusive disease in diabetic patients with lower-limb ischemia. J Vasc Interv Radiol JVIR. 2011 Jul;22(7):987–94. </w:t>
      </w:r>
    </w:p>
    <w:p w14:paraId="32980A14" w14:textId="77777777" w:rsidR="00A57D03" w:rsidRPr="008B4E3F" w:rsidRDefault="00A57D03" w:rsidP="00A57D03">
      <w:pPr>
        <w:pStyle w:val="Bibliography"/>
        <w:rPr>
          <w:lang w:val="en-US"/>
        </w:rPr>
      </w:pPr>
      <w:r w:rsidRPr="008B4E3F">
        <w:rPr>
          <w:lang w:val="en-US"/>
        </w:rPr>
        <w:t>251.</w:t>
      </w:r>
      <w:r w:rsidRPr="008B4E3F">
        <w:rPr>
          <w:lang w:val="en-US"/>
        </w:rPr>
        <w:tab/>
        <w:t xml:space="preserve">Gasca-Lozano LE, Lucano-Landeros S, Ruiz-Mercado H, Salazar-Montes A, Sandoval-Rodríguez A, Garcia-Bañuelos J, et al. Pirfenidone Accelerates Wound Healing in Chronic Diabetic Foot Ulcers: A Randomized, Double-Blind Controlled Trial. J Diabetes Res. 2017;2017:3159798. </w:t>
      </w:r>
    </w:p>
    <w:p w14:paraId="0DC77317" w14:textId="77777777" w:rsidR="00A57D03" w:rsidRPr="008B4E3F" w:rsidRDefault="00A57D03" w:rsidP="00A57D03">
      <w:pPr>
        <w:pStyle w:val="Bibliography"/>
        <w:rPr>
          <w:lang w:val="en-US"/>
        </w:rPr>
      </w:pPr>
      <w:r w:rsidRPr="008B4E3F">
        <w:rPr>
          <w:lang w:val="en-US"/>
        </w:rPr>
        <w:t>252.</w:t>
      </w:r>
      <w:r w:rsidRPr="008B4E3F">
        <w:rPr>
          <w:lang w:val="en-US"/>
        </w:rPr>
        <w:tab/>
        <w:t xml:space="preserve">Yingsakmongkol N, Maraprygsavan P, Sukosit P. Effect of WF10 (immunokine) on diabetic foot ulcer therapy: a double-blind, randomized, placebo-controlled trial. J Foot Ankle Surg Off Publ Am Coll Foot Ankle Surg. 2011 Dec;50(6):635–40. </w:t>
      </w:r>
    </w:p>
    <w:p w14:paraId="3796FA52" w14:textId="77777777" w:rsidR="00A57D03" w:rsidRPr="008B4E3F" w:rsidRDefault="00A57D03" w:rsidP="00A57D03">
      <w:pPr>
        <w:pStyle w:val="Bibliography"/>
        <w:rPr>
          <w:lang w:val="en-US"/>
        </w:rPr>
      </w:pPr>
      <w:r>
        <w:t>253.</w:t>
      </w:r>
      <w:r>
        <w:tab/>
        <w:t xml:space="preserve">Sun X, Jiang K, Chen J, Wu L, Lu H, Wang A, et al. </w:t>
      </w:r>
      <w:r w:rsidRPr="008B4E3F">
        <w:rPr>
          <w:lang w:val="en-US"/>
        </w:rPr>
        <w:t xml:space="preserve">A systematic review of maggot debridement therapy for chronically infected wounds and ulcers. Int J Infect Dis IJID Off Publ Int Soc Infect Dis. 2014 Aug;25:32–7. </w:t>
      </w:r>
    </w:p>
    <w:p w14:paraId="360DE1C6" w14:textId="77777777" w:rsidR="00A57D03" w:rsidRPr="008B4E3F" w:rsidRDefault="00A57D03" w:rsidP="00A57D03">
      <w:pPr>
        <w:pStyle w:val="Bibliography"/>
        <w:rPr>
          <w:lang w:val="en-US"/>
        </w:rPr>
      </w:pPr>
      <w:r w:rsidRPr="008B4E3F">
        <w:rPr>
          <w:lang w:val="en-US"/>
        </w:rPr>
        <w:t>254.</w:t>
      </w:r>
      <w:r w:rsidRPr="008B4E3F">
        <w:rPr>
          <w:lang w:val="en-US"/>
        </w:rPr>
        <w:tab/>
        <w:t xml:space="preserve">Elraiyah T, Domecq JP, Prutsky G, Tsapas A, Nabhan M, Frykberg RG, et al. A systematic review and meta-analysis of débridement methods for chronic diabetic foot ulcers. J Vasc Surg. 2016 Feb;63(2 Suppl):37S-45S.e1-2. </w:t>
      </w:r>
    </w:p>
    <w:p w14:paraId="4D9B356E" w14:textId="77777777" w:rsidR="00A57D03" w:rsidRPr="008B4E3F" w:rsidRDefault="00A57D03" w:rsidP="00A57D03">
      <w:pPr>
        <w:pStyle w:val="Bibliography"/>
        <w:rPr>
          <w:lang w:val="en-US"/>
        </w:rPr>
      </w:pPr>
      <w:r w:rsidRPr="008B4E3F">
        <w:rPr>
          <w:lang w:val="en-US"/>
        </w:rPr>
        <w:t>255.</w:t>
      </w:r>
      <w:r w:rsidRPr="008B4E3F">
        <w:rPr>
          <w:lang w:val="en-US"/>
        </w:rPr>
        <w:tab/>
        <w:t xml:space="preserve">Wilasrusmee C, Marjareonrungrung M, Eamkong S, Attia J, Poprom N, Jirasisrithum S, et al. Maggot therapy for chronic ulcer: a retrospective cohort and a meta-analysis. Asian J Surg. 2014 Jul;37(3):138–47. </w:t>
      </w:r>
    </w:p>
    <w:p w14:paraId="565DA842" w14:textId="77777777" w:rsidR="00A57D03" w:rsidRPr="008B4E3F" w:rsidRDefault="00A57D03" w:rsidP="00A57D03">
      <w:pPr>
        <w:pStyle w:val="Bibliography"/>
        <w:rPr>
          <w:lang w:val="en-US"/>
        </w:rPr>
      </w:pPr>
      <w:r w:rsidRPr="008B4E3F">
        <w:rPr>
          <w:lang w:val="en-US"/>
        </w:rPr>
        <w:t>256.</w:t>
      </w:r>
      <w:r w:rsidRPr="008B4E3F">
        <w:rPr>
          <w:lang w:val="en-US"/>
        </w:rPr>
        <w:tab/>
        <w:t xml:space="preserve">Tian X, Liang XM, Song GM, Zhao Y, Yang XL. Maggot debridement therapy for the treatment of diabetic foot ulcers: a meta-analysis. J Wound Care. 2013 Sep;22(9):462–9. </w:t>
      </w:r>
    </w:p>
    <w:p w14:paraId="620CCA03" w14:textId="77777777" w:rsidR="00A57D03" w:rsidRPr="008B4E3F" w:rsidRDefault="00A57D03" w:rsidP="00A57D03">
      <w:pPr>
        <w:pStyle w:val="Bibliography"/>
        <w:rPr>
          <w:lang w:val="en-US"/>
        </w:rPr>
      </w:pPr>
      <w:r w:rsidRPr="008B4E3F">
        <w:rPr>
          <w:lang w:val="en-US"/>
        </w:rPr>
        <w:t>257.</w:t>
      </w:r>
      <w:r w:rsidRPr="008B4E3F">
        <w:rPr>
          <w:lang w:val="en-US"/>
        </w:rPr>
        <w:tab/>
        <w:t xml:space="preserve">Tallis A, Motley TA, Wunderlich RP, Dickerson JE, Waycaster C, Slade HB, et al. Clinical and economic assessment of diabetic foot ulcer debridement with collagenase: results of a randomized controlled study. Clin Ther. 2013 Nov;35(11):1805–20. </w:t>
      </w:r>
    </w:p>
    <w:p w14:paraId="1FAEAD5C" w14:textId="77777777" w:rsidR="00A57D03" w:rsidRPr="008B4E3F" w:rsidRDefault="00A57D03" w:rsidP="00A57D03">
      <w:pPr>
        <w:pStyle w:val="Bibliography"/>
        <w:rPr>
          <w:lang w:val="en-US"/>
        </w:rPr>
      </w:pPr>
      <w:r w:rsidRPr="008B4E3F">
        <w:rPr>
          <w:lang w:val="en-US"/>
        </w:rPr>
        <w:t>258.</w:t>
      </w:r>
      <w:r w:rsidRPr="008B4E3F">
        <w:rPr>
          <w:lang w:val="en-US"/>
        </w:rPr>
        <w:tab/>
        <w:t xml:space="preserve">Motley TA, Gilligan AM, Lange DL, Waycaster CR, Dickerson JE. Cost-effectiveness of clostridial collagenase ointment on wound closure in patients with diabetic foot ulcers: economic analysis of results from a multicenter, randomized, open-label trial. J Foot Ankle Res. 2015;8:7. </w:t>
      </w:r>
    </w:p>
    <w:p w14:paraId="0B3D54DA" w14:textId="77777777" w:rsidR="00A57D03" w:rsidRPr="008B4E3F" w:rsidRDefault="00A57D03" w:rsidP="00A57D03">
      <w:pPr>
        <w:pStyle w:val="Bibliography"/>
        <w:rPr>
          <w:lang w:val="fr-BE"/>
        </w:rPr>
      </w:pPr>
      <w:r w:rsidRPr="008B4E3F">
        <w:rPr>
          <w:lang w:val="en-US"/>
        </w:rPr>
        <w:t>259.</w:t>
      </w:r>
      <w:r w:rsidRPr="008B4E3F">
        <w:rPr>
          <w:lang w:val="en-US"/>
        </w:rPr>
        <w:tab/>
        <w:t xml:space="preserve">Brown ML, Tang W, Patel A, Baumhauer JF. Partial foot amputation in patients with diabetic foot ulcers. </w:t>
      </w:r>
      <w:r w:rsidRPr="008B4E3F">
        <w:rPr>
          <w:lang w:val="fr-BE"/>
        </w:rPr>
        <w:t xml:space="preserve">Foot Ankle Int. 2012 Sep;33(9):707–16. </w:t>
      </w:r>
    </w:p>
    <w:p w14:paraId="4AECEC09" w14:textId="77777777" w:rsidR="00A57D03" w:rsidRPr="008B4E3F" w:rsidRDefault="00A57D03" w:rsidP="00A57D03">
      <w:pPr>
        <w:pStyle w:val="Bibliography"/>
        <w:rPr>
          <w:lang w:val="en-US"/>
        </w:rPr>
      </w:pPr>
      <w:r w:rsidRPr="008B4E3F">
        <w:rPr>
          <w:lang w:val="fr-BE"/>
        </w:rPr>
        <w:t>260.</w:t>
      </w:r>
      <w:r w:rsidRPr="008B4E3F">
        <w:rPr>
          <w:lang w:val="fr-BE"/>
        </w:rPr>
        <w:tab/>
        <w:t xml:space="preserve">Cheun TJ, Jayakumar L, Sideman MJ, Ferrer L, Mitromaras C, Miserlis D, et al. </w:t>
      </w:r>
      <w:r w:rsidRPr="008B4E3F">
        <w:rPr>
          <w:lang w:val="en-US"/>
        </w:rPr>
        <w:t xml:space="preserve">Short-term contemporary outcomes for staged versus primary lower limb amputation  in diabetic foot disease. J Vasc Surg. 2019 Dec 31; </w:t>
      </w:r>
    </w:p>
    <w:p w14:paraId="7E2801FD" w14:textId="77777777" w:rsidR="00A57D03" w:rsidRPr="008B4E3F" w:rsidRDefault="00A57D03" w:rsidP="00A57D03">
      <w:pPr>
        <w:pStyle w:val="Bibliography"/>
        <w:rPr>
          <w:lang w:val="en-US"/>
        </w:rPr>
      </w:pPr>
      <w:r w:rsidRPr="008B4E3F">
        <w:rPr>
          <w:lang w:val="en-US"/>
        </w:rPr>
        <w:t>261.</w:t>
      </w:r>
      <w:r w:rsidRPr="008B4E3F">
        <w:rPr>
          <w:lang w:val="en-US"/>
        </w:rPr>
        <w:tab/>
        <w:t xml:space="preserve">Elsherif M, Tawfick W, Canning P, Hynes N, Sultan S. Quality of time spent without symptoms of disease or toxicity of treatment for transmetatarsal amputation versus digital amputation in diabetic patients with digital gangrene. Vascular. 2018 Apr;26(2):142–50. </w:t>
      </w:r>
    </w:p>
    <w:p w14:paraId="5FE13641" w14:textId="77777777" w:rsidR="00A57D03" w:rsidRPr="008B4E3F" w:rsidRDefault="00A57D03" w:rsidP="00A57D03">
      <w:pPr>
        <w:pStyle w:val="Bibliography"/>
        <w:rPr>
          <w:lang w:val="en-US"/>
        </w:rPr>
      </w:pPr>
      <w:r w:rsidRPr="008B4E3F">
        <w:rPr>
          <w:lang w:val="en-US"/>
        </w:rPr>
        <w:t>262.</w:t>
      </w:r>
      <w:r w:rsidRPr="008B4E3F">
        <w:rPr>
          <w:lang w:val="en-US"/>
        </w:rPr>
        <w:tab/>
        <w:t xml:space="preserve">Suh YC, Kushida-Contreras BH, Suh HP, Lee HS, Lee WJ, Lee SH, et al. Is Reconstruction Preserving the First Ray or First Two Rays Better Than Full Transmetatarsal Amputation in Diabetic Foot? Plast Reconstr Surg. 2019;143(1):294–305. </w:t>
      </w:r>
    </w:p>
    <w:p w14:paraId="5DEB3274" w14:textId="77777777" w:rsidR="00A57D03" w:rsidRPr="008B4E3F" w:rsidRDefault="00A57D03" w:rsidP="00A57D03">
      <w:pPr>
        <w:pStyle w:val="Bibliography"/>
        <w:rPr>
          <w:lang w:val="en-US"/>
        </w:rPr>
      </w:pPr>
      <w:r w:rsidRPr="008B4E3F">
        <w:rPr>
          <w:lang w:val="en-US"/>
        </w:rPr>
        <w:t>263.</w:t>
      </w:r>
      <w:r w:rsidRPr="008B4E3F">
        <w:rPr>
          <w:lang w:val="en-US"/>
        </w:rPr>
        <w:tab/>
        <w:t xml:space="preserve">Kalantar Motamedi A, Ansari M. Comparison of Metatarsal Head Resection Versus Conservative Care in Treatment of Neuropathic Diabetic Foot Ulcers. J Foot Ankle Surg Off Publ Am Coll Foot Ankle Surg. 2017 Jun;56(3):428–33. </w:t>
      </w:r>
    </w:p>
    <w:p w14:paraId="22FB79FD" w14:textId="77777777" w:rsidR="00A57D03" w:rsidRPr="008B4E3F" w:rsidRDefault="00A57D03" w:rsidP="00A57D03">
      <w:pPr>
        <w:pStyle w:val="Bibliography"/>
        <w:rPr>
          <w:lang w:val="en-US"/>
        </w:rPr>
      </w:pPr>
      <w:r w:rsidRPr="008B4E3F">
        <w:rPr>
          <w:lang w:val="en-US"/>
        </w:rPr>
        <w:t>264.</w:t>
      </w:r>
      <w:r w:rsidRPr="008B4E3F">
        <w:rPr>
          <w:lang w:val="en-US"/>
        </w:rPr>
        <w:tab/>
        <w:t xml:space="preserve">Lew E, Nicolosi N, McKee P. Evaluation of Hallux Interphalangeal Joint Arthroplasty Compared With Nonoperative Treatment of Recalcitrant Hallux Ulceration. J Foot Ankle Surg Off Publ Am Coll Foot Ankle Surg. 2015 Aug;54(4):541–8. </w:t>
      </w:r>
    </w:p>
    <w:p w14:paraId="24839D54" w14:textId="77777777" w:rsidR="00A57D03" w:rsidRPr="008B4E3F" w:rsidRDefault="00A57D03" w:rsidP="00A57D03">
      <w:pPr>
        <w:pStyle w:val="Bibliography"/>
        <w:rPr>
          <w:lang w:val="en-US"/>
        </w:rPr>
      </w:pPr>
      <w:r w:rsidRPr="008B4E3F">
        <w:rPr>
          <w:lang w:val="en-US"/>
        </w:rPr>
        <w:t>265.</w:t>
      </w:r>
      <w:r w:rsidRPr="008B4E3F">
        <w:rPr>
          <w:lang w:val="en-US"/>
        </w:rPr>
        <w:tab/>
        <w:t xml:space="preserve">Vanlerberghe B, Devemy F, Duhamel A, Guerreschi P, Torabi D. [Conservative surgical treatment for diabetic foot ulcers under the metatarsal heads. A retrospective case-control study]. Ann Chir Plast Esthet. 2014 Jun;59(3):161–9. </w:t>
      </w:r>
    </w:p>
    <w:p w14:paraId="68375EC1" w14:textId="77777777" w:rsidR="00A57D03" w:rsidRPr="008B4E3F" w:rsidRDefault="00A57D03" w:rsidP="00A57D03">
      <w:pPr>
        <w:pStyle w:val="Bibliography"/>
        <w:rPr>
          <w:lang w:val="en-US"/>
        </w:rPr>
      </w:pPr>
      <w:r w:rsidRPr="008B4E3F">
        <w:rPr>
          <w:lang w:val="en-US"/>
        </w:rPr>
        <w:t>266.</w:t>
      </w:r>
      <w:r w:rsidRPr="008B4E3F">
        <w:rPr>
          <w:lang w:val="en-US"/>
        </w:rPr>
        <w:tab/>
        <w:t xml:space="preserve">Tardáguila-García A, Sanz-Corbalán I, Molines-Barroso RJ, Álvaro-Afonso FJ, García-Álvarez Y, Lázaro-Martínez JL. Complications associated with the approach to metatarsal head resection in diabetic foot osteomyelitis. Int Wound J. 2019 Apr;16(2):467–72. </w:t>
      </w:r>
    </w:p>
    <w:p w14:paraId="2F3AF7A4" w14:textId="77777777" w:rsidR="00A57D03" w:rsidRPr="008B4E3F" w:rsidRDefault="00A57D03" w:rsidP="00A57D03">
      <w:pPr>
        <w:pStyle w:val="Bibliography"/>
        <w:rPr>
          <w:lang w:val="en-US"/>
        </w:rPr>
      </w:pPr>
      <w:r w:rsidRPr="008B4E3F">
        <w:rPr>
          <w:lang w:val="en-US"/>
        </w:rPr>
        <w:t>267.</w:t>
      </w:r>
      <w:r w:rsidRPr="008B4E3F">
        <w:rPr>
          <w:lang w:val="en-US"/>
        </w:rPr>
        <w:tab/>
        <w:t xml:space="preserve">Maldonado-Rodríguez M, Cajigas-Feliciano Y, Torres-Torres N. Outcomes of osteomyelitis in patients with diabetes: conservative vs. combined surgical management in a community hospital in Puerto Rico. P R Health Sci J. 2011 Jun;30(2):51–7. </w:t>
      </w:r>
    </w:p>
    <w:p w14:paraId="043B2D24" w14:textId="77777777" w:rsidR="00A57D03" w:rsidRPr="008B4E3F" w:rsidRDefault="00A57D03" w:rsidP="00A57D03">
      <w:pPr>
        <w:pStyle w:val="Bibliography"/>
        <w:rPr>
          <w:lang w:val="en-US"/>
        </w:rPr>
      </w:pPr>
      <w:r w:rsidRPr="008B4E3F">
        <w:rPr>
          <w:lang w:val="en-US"/>
        </w:rPr>
        <w:t>268.</w:t>
      </w:r>
      <w:r w:rsidRPr="008B4E3F">
        <w:rPr>
          <w:lang w:val="en-US"/>
        </w:rPr>
        <w:tab/>
        <w:t xml:space="preserve">Dallimore SM, Kaminski MR. Tendon lengthening and fascia release for healing and preventing diabetic foot ulcers: a systematic review and meta-analysis. J Foot Ankle Res. 2015;8:33. </w:t>
      </w:r>
    </w:p>
    <w:p w14:paraId="6D3F7A65" w14:textId="77777777" w:rsidR="00A57D03" w:rsidRPr="008B4E3F" w:rsidRDefault="00A57D03" w:rsidP="00A57D03">
      <w:pPr>
        <w:pStyle w:val="Bibliography"/>
        <w:rPr>
          <w:lang w:val="en-US"/>
        </w:rPr>
      </w:pPr>
      <w:r w:rsidRPr="008B4E3F">
        <w:rPr>
          <w:lang w:val="en-US"/>
        </w:rPr>
        <w:t>269.</w:t>
      </w:r>
      <w:r w:rsidRPr="008B4E3F">
        <w:rPr>
          <w:lang w:val="en-US"/>
        </w:rPr>
        <w:tab/>
        <w:t xml:space="preserve">Colen LB, Kim CJ, Grant WP, Yeh JT, Hind B. Achilles tendon lengthening:  friend or foe in the diabetic foot? Plast Reconstr Surg. 2013 Jan;131(1):37e–43e. </w:t>
      </w:r>
    </w:p>
    <w:p w14:paraId="37475700" w14:textId="77777777" w:rsidR="00A57D03" w:rsidRPr="008B4E3F" w:rsidRDefault="00A57D03" w:rsidP="00A57D03">
      <w:pPr>
        <w:pStyle w:val="Bibliography"/>
        <w:rPr>
          <w:lang w:val="en-US"/>
        </w:rPr>
      </w:pPr>
      <w:r w:rsidRPr="008B4E3F">
        <w:rPr>
          <w:lang w:val="en-US"/>
        </w:rPr>
        <w:t>270.</w:t>
      </w:r>
      <w:r w:rsidRPr="008B4E3F">
        <w:rPr>
          <w:lang w:val="en-US"/>
        </w:rPr>
        <w:tab/>
        <w:t xml:space="preserve">Lin J.H., Brunson A., Romano P.S., Pevec W.C., Humphries M.D. Endovascular first treatment is associated with improved amputation-free survival in patients with critical limb ischemia. J Vasc Surg. 2018;67(6):e145. </w:t>
      </w:r>
    </w:p>
    <w:p w14:paraId="46E15A77" w14:textId="77777777" w:rsidR="00A57D03" w:rsidRPr="008B4E3F" w:rsidRDefault="00A57D03" w:rsidP="00A57D03">
      <w:pPr>
        <w:pStyle w:val="Bibliography"/>
        <w:rPr>
          <w:lang w:val="fr-BE"/>
        </w:rPr>
      </w:pPr>
      <w:r w:rsidRPr="008B4E3F">
        <w:rPr>
          <w:lang w:val="en-US"/>
        </w:rPr>
        <w:t>271.</w:t>
      </w:r>
      <w:r w:rsidRPr="008B4E3F">
        <w:rPr>
          <w:lang w:val="en-US"/>
        </w:rPr>
        <w:tab/>
        <w:t xml:space="preserve">Lo Z.J., Lin Z., Pua U., Quek L.H.H., Tan B.P., Punamiya S., et al. Diabetic foot limb salvage-a series of 809 attempts and predictors for endovascular failure. </w:t>
      </w:r>
      <w:r w:rsidRPr="008B4E3F">
        <w:rPr>
          <w:lang w:val="fr-BE"/>
        </w:rPr>
        <w:t xml:space="preserve">Vascular. 2016;24(1):61–2. </w:t>
      </w:r>
    </w:p>
    <w:p w14:paraId="4E585B4D" w14:textId="77777777" w:rsidR="00A57D03" w:rsidRPr="008B4E3F" w:rsidRDefault="00A57D03" w:rsidP="00A57D03">
      <w:pPr>
        <w:pStyle w:val="Bibliography"/>
        <w:rPr>
          <w:lang w:val="fr-BE"/>
        </w:rPr>
      </w:pPr>
      <w:r w:rsidRPr="008B4E3F">
        <w:rPr>
          <w:lang w:val="fr-BE"/>
        </w:rPr>
        <w:t>272.</w:t>
      </w:r>
      <w:r w:rsidRPr="008B4E3F">
        <w:rPr>
          <w:lang w:val="fr-BE"/>
        </w:rPr>
        <w:tab/>
        <w:t xml:space="preserve">Butt T, Lilja E, Elgzyri T, Apelqvist J, Gottsater A, Engstrom G, et al. </w:t>
      </w:r>
      <w:r w:rsidRPr="008B4E3F">
        <w:rPr>
          <w:lang w:val="en-US"/>
        </w:rPr>
        <w:t xml:space="preserve">Amputation-free survival in patients with diabetic foot ulcer and peripheral arterial disease: Endovascular versus open surgery in a propensity score adjusted analysis. </w:t>
      </w:r>
      <w:r w:rsidRPr="008B4E3F">
        <w:rPr>
          <w:lang w:val="fr-BE"/>
        </w:rPr>
        <w:t xml:space="preserve">J Diabetes Complications. 2020 Feb 6;107551. </w:t>
      </w:r>
    </w:p>
    <w:p w14:paraId="2EB36B2C" w14:textId="77777777" w:rsidR="00A57D03" w:rsidRPr="008B4E3F" w:rsidRDefault="00A57D03" w:rsidP="00A57D03">
      <w:pPr>
        <w:pStyle w:val="Bibliography"/>
        <w:rPr>
          <w:lang w:val="en-US"/>
        </w:rPr>
      </w:pPr>
      <w:r w:rsidRPr="008B4E3F">
        <w:rPr>
          <w:lang w:val="fr-BE"/>
        </w:rPr>
        <w:t>273.</w:t>
      </w:r>
      <w:r w:rsidRPr="008B4E3F">
        <w:rPr>
          <w:lang w:val="fr-BE"/>
        </w:rPr>
        <w:tab/>
        <w:t xml:space="preserve">Hsu H., Chang C.-H., Lee C.-Y., Huang C.-C., Mark Chiu C.-H., Lin C.-M., et al. </w:t>
      </w:r>
      <w:r w:rsidRPr="008B4E3F">
        <w:rPr>
          <w:lang w:val="en-US"/>
        </w:rPr>
        <w:t xml:space="preserve">A comparison between combined open bypass revascularization and free tissue transfer versus endovascular revascularization and free tissue transfer for lower limb preservation. Microsurgery. 2015 Oct;35(7):518–27. </w:t>
      </w:r>
    </w:p>
    <w:p w14:paraId="3423346D" w14:textId="77777777" w:rsidR="00A57D03" w:rsidRPr="008B4E3F" w:rsidRDefault="00A57D03" w:rsidP="00A57D03">
      <w:pPr>
        <w:pStyle w:val="Bibliography"/>
        <w:rPr>
          <w:lang w:val="en-US"/>
        </w:rPr>
      </w:pPr>
      <w:r w:rsidRPr="008B4E3F">
        <w:rPr>
          <w:lang w:val="en-US"/>
        </w:rPr>
        <w:t>274.</w:t>
      </w:r>
      <w:r w:rsidRPr="008B4E3F">
        <w:rPr>
          <w:lang w:val="en-US"/>
        </w:rPr>
        <w:tab/>
        <w:t xml:space="preserve">Gentile F, Lundberg G, Hultgren R. Outcome for Endovascular and Open Procedures in Infrapopliteal Lesions for Critical Limb Ischemia: Registry Based Single Center Study. Eur J Vasc Endovasc Surg Off J Eur Soc Vasc Surg. 2016 Nov;52(5):643–9. </w:t>
      </w:r>
    </w:p>
    <w:p w14:paraId="459F1157" w14:textId="77777777" w:rsidR="00A57D03" w:rsidRPr="008B4E3F" w:rsidRDefault="00A57D03" w:rsidP="00A57D03">
      <w:pPr>
        <w:pStyle w:val="Bibliography"/>
        <w:rPr>
          <w:lang w:val="en-US"/>
        </w:rPr>
      </w:pPr>
      <w:r w:rsidRPr="008B4E3F">
        <w:rPr>
          <w:lang w:val="en-US"/>
        </w:rPr>
        <w:t>275.</w:t>
      </w:r>
      <w:r w:rsidRPr="008B4E3F">
        <w:rPr>
          <w:lang w:val="en-US"/>
        </w:rPr>
        <w:tab/>
        <w:t xml:space="preserve">Hicks C.W., Najafian A., Farber A., Menard M.T., Malas M.B., Black J.H., et al. Below-knee endovascular interventions have better outcomes compared to open bypass for patients with critical limb ischemia. Vasc Med U K. 2017;22(1):28–34. </w:t>
      </w:r>
    </w:p>
    <w:p w14:paraId="026904FC" w14:textId="77777777" w:rsidR="00A57D03" w:rsidRPr="008B4E3F" w:rsidRDefault="00A57D03" w:rsidP="00A57D03">
      <w:pPr>
        <w:pStyle w:val="Bibliography"/>
        <w:rPr>
          <w:lang w:val="en-US"/>
        </w:rPr>
      </w:pPr>
      <w:r w:rsidRPr="008B4E3F">
        <w:rPr>
          <w:lang w:val="en-US"/>
        </w:rPr>
        <w:t>276.</w:t>
      </w:r>
      <w:r w:rsidRPr="008B4E3F">
        <w:rPr>
          <w:lang w:val="en-US"/>
        </w:rPr>
        <w:tab/>
        <w:t xml:space="preserve">Liistro F, Porto I, Angioli P, Grotti S, Ricci L, Ducci K, et al. Drug-eluting balloon in peripheral intervention for below the knee angioplasty evaluation (DEBATE-BTK): a randomized trial in diabetic patients with critical limb ischemia. Circulation. 2013 Aug 6;128(6):615–21. </w:t>
      </w:r>
    </w:p>
    <w:p w14:paraId="11F0EAE0" w14:textId="77777777" w:rsidR="00A57D03" w:rsidRPr="008B4E3F" w:rsidRDefault="00A57D03" w:rsidP="00A57D03">
      <w:pPr>
        <w:pStyle w:val="Bibliography"/>
        <w:rPr>
          <w:lang w:val="en-US"/>
        </w:rPr>
      </w:pPr>
      <w:r w:rsidRPr="008B4E3F">
        <w:rPr>
          <w:lang w:val="en-US"/>
        </w:rPr>
        <w:t>277.</w:t>
      </w:r>
      <w:r w:rsidRPr="008B4E3F">
        <w:rPr>
          <w:lang w:val="en-US"/>
        </w:rPr>
        <w:tab/>
        <w:t xml:space="preserve">Liang P, Soden PA, Zettervall SL, Shean KE, Deery SE, Guzman RJ, et al. Treatment outcomes in diabetic patients with chronic limb-threatening ischemia. J Vasc Surg. 2018;68(2):487–94. </w:t>
      </w:r>
    </w:p>
    <w:p w14:paraId="626F571C" w14:textId="77777777" w:rsidR="00A57D03" w:rsidRPr="008B4E3F" w:rsidRDefault="00A57D03" w:rsidP="00A57D03">
      <w:pPr>
        <w:pStyle w:val="Bibliography"/>
        <w:rPr>
          <w:lang w:val="en-US"/>
        </w:rPr>
      </w:pPr>
      <w:r w:rsidRPr="008B4E3F">
        <w:rPr>
          <w:lang w:val="en-US"/>
        </w:rPr>
        <w:t>278.</w:t>
      </w:r>
      <w:r w:rsidRPr="008B4E3F">
        <w:rPr>
          <w:lang w:val="en-US"/>
        </w:rPr>
        <w:tab/>
        <w:t xml:space="preserve">Deutsch A.J., Jain C.C., Blumenthal K.G., Dickinson M.W., Neilan A.M. Decision-Making in Critical Limb Ischemia: A Markov Simulation. Ann Vasc Surg. 2017;45((Deutsch A.J.; Jain C.C.; Dickinson M.W.) Division of General Internal Medicine, Department of Medicine, Massachusetts General Hospital, Boston, MA, United States):1–9. </w:t>
      </w:r>
    </w:p>
    <w:p w14:paraId="646DC5CE" w14:textId="77777777" w:rsidR="00A57D03" w:rsidRPr="008B4E3F" w:rsidRDefault="00A57D03" w:rsidP="00A57D03">
      <w:pPr>
        <w:pStyle w:val="Bibliography"/>
        <w:rPr>
          <w:lang w:val="en-US"/>
        </w:rPr>
      </w:pPr>
      <w:r w:rsidRPr="008B4E3F">
        <w:rPr>
          <w:lang w:val="en-US"/>
        </w:rPr>
        <w:t>279.</w:t>
      </w:r>
      <w:r w:rsidRPr="008B4E3F">
        <w:rPr>
          <w:lang w:val="en-US"/>
        </w:rPr>
        <w:tab/>
        <w:t xml:space="preserve">Butt T, Lilja E, Örneholm H, Apelqvist J, Gottsäter A, Eneroth M, et al. Amputation-Free Survival in Patients With Diabetes Mellitus and Peripheral Arterial Disease With Heel Ulcer: Open Versus Endovascular Surgery. Vasc Endovascular Surg. 2019 Feb;53(2):118–25. </w:t>
      </w:r>
    </w:p>
    <w:p w14:paraId="624A5A9B" w14:textId="77777777" w:rsidR="00A57D03" w:rsidRPr="008B4E3F" w:rsidRDefault="00A57D03" w:rsidP="00A57D03">
      <w:pPr>
        <w:pStyle w:val="Bibliography"/>
        <w:rPr>
          <w:lang w:val="en-US"/>
        </w:rPr>
      </w:pPr>
      <w:r w:rsidRPr="008B4E3F">
        <w:rPr>
          <w:lang w:val="en-US"/>
        </w:rPr>
        <w:t>280.</w:t>
      </w:r>
      <w:r w:rsidRPr="008B4E3F">
        <w:rPr>
          <w:lang w:val="en-US"/>
        </w:rPr>
        <w:tab/>
        <w:t xml:space="preserve">Špillerová K, Settembre N, Biancari F, Albäck A, Venermo M. Angiosome Targeted PTA is More Important in Endovascular Revascularisation than in Surgical Revascularisation: Analysis of 545 Patients with Ischaemic Tissue Lesions. Eur J Vasc Endovasc Surg Off J Eur Soc Vasc Surg. 2017 Apr;53(4):567–75. </w:t>
      </w:r>
    </w:p>
    <w:p w14:paraId="5982E64A" w14:textId="77777777" w:rsidR="00A57D03" w:rsidRPr="008B4E3F" w:rsidRDefault="00A57D03" w:rsidP="00A57D03">
      <w:pPr>
        <w:pStyle w:val="Bibliography"/>
        <w:rPr>
          <w:lang w:val="en-US"/>
        </w:rPr>
      </w:pPr>
      <w:r>
        <w:t>281.</w:t>
      </w:r>
      <w:r>
        <w:tab/>
        <w:t xml:space="preserve">Alexandrescu VA, Brochier S, Limgba A, Balthazar S, Khelifa H, De Vreese P, et al. </w:t>
      </w:r>
      <w:r w:rsidRPr="008B4E3F">
        <w:rPr>
          <w:lang w:val="en-US"/>
        </w:rPr>
        <w:t xml:space="preserve">Healing of Diabetic Neuroischemic Foot Wounds With vs Without Wound-Targeted Revascularization: Preliminary Observations From an 8-Year Prospective Dual-Center Registry. J Endovasc Ther Off J Int Soc Endovasc Spec. 2020 Feb;27(1):20–30. </w:t>
      </w:r>
    </w:p>
    <w:p w14:paraId="0DC99A00" w14:textId="77777777" w:rsidR="00A57D03" w:rsidRPr="008B4E3F" w:rsidRDefault="00A57D03" w:rsidP="00A57D03">
      <w:pPr>
        <w:pStyle w:val="Bibliography"/>
        <w:rPr>
          <w:lang w:val="en-US"/>
        </w:rPr>
      </w:pPr>
      <w:r w:rsidRPr="008B4E3F">
        <w:rPr>
          <w:lang w:val="en-US"/>
        </w:rPr>
        <w:t>282.</w:t>
      </w:r>
      <w:r w:rsidRPr="008B4E3F">
        <w:rPr>
          <w:lang w:val="en-US"/>
        </w:rPr>
        <w:tab/>
        <w:t xml:space="preserve">Ambler GK, Stimpson AL, Wardle BG, Bosanquet DC, Hanif UK, Germain S, et al. Infrapopliteal angioplasty using a combined angiosomal reperfusion strategy. PloS One. 2017;12(2):e0172023. </w:t>
      </w:r>
    </w:p>
    <w:p w14:paraId="0A25A1CF" w14:textId="77777777" w:rsidR="00A57D03" w:rsidRPr="008B4E3F" w:rsidRDefault="00A57D03" w:rsidP="00A57D03">
      <w:pPr>
        <w:pStyle w:val="Bibliography"/>
        <w:rPr>
          <w:lang w:val="en-US"/>
        </w:rPr>
      </w:pPr>
      <w:r w:rsidRPr="008B4E3F">
        <w:rPr>
          <w:lang w:val="en-US"/>
        </w:rPr>
        <w:t>283.</w:t>
      </w:r>
      <w:r w:rsidRPr="008B4E3F">
        <w:rPr>
          <w:lang w:val="en-US"/>
        </w:rPr>
        <w:tab/>
        <w:t xml:space="preserve">Chae KJ, Shin JY. Is Angiosome-Targeted Angioplasty Effective for Limb Salvage and Wound Healing in Diabetic Foot? : A Meta-Analysis. PloS One. 2016;11(7):e0159523. </w:t>
      </w:r>
    </w:p>
    <w:p w14:paraId="60BD3154" w14:textId="77777777" w:rsidR="00A57D03" w:rsidRPr="008B4E3F" w:rsidRDefault="00A57D03" w:rsidP="00A57D03">
      <w:pPr>
        <w:pStyle w:val="Bibliography"/>
        <w:rPr>
          <w:lang w:val="en-US"/>
        </w:rPr>
      </w:pPr>
      <w:r w:rsidRPr="008B4E3F">
        <w:rPr>
          <w:lang w:val="en-US"/>
        </w:rPr>
        <w:t>284.</w:t>
      </w:r>
      <w:r w:rsidRPr="008B4E3F">
        <w:rPr>
          <w:lang w:val="en-US"/>
        </w:rPr>
        <w:tab/>
        <w:t xml:space="preserve">Alexandrescu V., Vincent G., Azdad K., Hubermont G., Ledent G., Ngongang C., et al. A reliable approach to diabetic neuroischemic foot wounds: Below-the-knee angiosome-oriented angioplasty. J Endovasc Ther. 2011;18(3):376–87. </w:t>
      </w:r>
    </w:p>
    <w:p w14:paraId="551A4705" w14:textId="77777777" w:rsidR="00A57D03" w:rsidRPr="008B4E3F" w:rsidRDefault="00A57D03" w:rsidP="00A57D03">
      <w:pPr>
        <w:pStyle w:val="Bibliography"/>
        <w:rPr>
          <w:lang w:val="fr-BE"/>
        </w:rPr>
      </w:pPr>
      <w:r w:rsidRPr="008B4E3F">
        <w:rPr>
          <w:lang w:val="en-US"/>
        </w:rPr>
        <w:t>285.</w:t>
      </w:r>
      <w:r w:rsidRPr="008B4E3F">
        <w:rPr>
          <w:lang w:val="en-US"/>
        </w:rPr>
        <w:tab/>
        <w:t xml:space="preserve">Ji D. Evaluation of angiosome-targeted infrapopliteal angioplasty in diabetic critical limb ischemia. </w:t>
      </w:r>
      <w:r w:rsidRPr="008B4E3F">
        <w:rPr>
          <w:lang w:val="fr-BE"/>
        </w:rPr>
        <w:t xml:space="preserve">Vascular. 2016;24(1):60. </w:t>
      </w:r>
    </w:p>
    <w:p w14:paraId="6C236D0C" w14:textId="77777777" w:rsidR="00A57D03" w:rsidRPr="008B4E3F" w:rsidRDefault="00A57D03" w:rsidP="00A57D03">
      <w:pPr>
        <w:pStyle w:val="Bibliography"/>
        <w:rPr>
          <w:lang w:val="en-US"/>
        </w:rPr>
      </w:pPr>
      <w:r w:rsidRPr="008B4E3F">
        <w:rPr>
          <w:lang w:val="fr-BE"/>
        </w:rPr>
        <w:t>286.</w:t>
      </w:r>
      <w:r w:rsidRPr="008B4E3F">
        <w:rPr>
          <w:lang w:val="fr-BE"/>
        </w:rPr>
        <w:tab/>
        <w:t xml:space="preserve">Fossaceca R, Guzzardi G, Cerini P, Cusaro C, Stecco A, Parziale G, et al. </w:t>
      </w:r>
      <w:r w:rsidRPr="008B4E3F">
        <w:rPr>
          <w:lang w:val="en-US"/>
        </w:rPr>
        <w:t xml:space="preserve">Endovascular treatment of diabetic foot in a selected population of patients with below-the-knee disease: is the angiosome model effective? Cardiovasc Intervent Radiol. 2013 Jun;36(3):637–44. </w:t>
      </w:r>
    </w:p>
    <w:p w14:paraId="261B4438" w14:textId="77777777" w:rsidR="00A57D03" w:rsidRPr="008B4E3F" w:rsidRDefault="00A57D03" w:rsidP="00A57D03">
      <w:pPr>
        <w:pStyle w:val="Bibliography"/>
        <w:rPr>
          <w:lang w:val="en-US"/>
        </w:rPr>
      </w:pPr>
      <w:r w:rsidRPr="008B4E3F">
        <w:rPr>
          <w:lang w:val="en-US"/>
        </w:rPr>
        <w:t>287.</w:t>
      </w:r>
      <w:r w:rsidRPr="008B4E3F">
        <w:rPr>
          <w:lang w:val="en-US"/>
        </w:rPr>
        <w:tab/>
        <w:t xml:space="preserve">Söderström M, Albäck A, Biancari F, Lappalainen K, Lepäntalo M, Venermo M. Angiosome-targeted infrapopliteal endovascular revascularization for treatment of diabetic foot ulcers. J Vasc Surg. 2013 Feb;57(2):427–35. </w:t>
      </w:r>
    </w:p>
    <w:p w14:paraId="7F14F0AE" w14:textId="77777777" w:rsidR="00A57D03" w:rsidRPr="008B4E3F" w:rsidRDefault="00A57D03" w:rsidP="00A57D03">
      <w:pPr>
        <w:pStyle w:val="Bibliography"/>
        <w:rPr>
          <w:lang w:val="en-US"/>
        </w:rPr>
      </w:pPr>
      <w:r w:rsidRPr="008B4E3F">
        <w:rPr>
          <w:lang w:val="en-US"/>
        </w:rPr>
        <w:t>288.</w:t>
      </w:r>
      <w:r w:rsidRPr="008B4E3F">
        <w:rPr>
          <w:lang w:val="en-US"/>
        </w:rPr>
        <w:tab/>
        <w:t xml:space="preserve">Khor BYC, Price P. The comparative efficacy of angiosome-directed and indirect revascularisation strategies to aid healing of chronic foot wounds in patients with co-morbid diabetes mellitus and critical limb ischaemia: a literature review. J Foot Ankle Res. 2017;10:26. </w:t>
      </w:r>
    </w:p>
    <w:p w14:paraId="61624955" w14:textId="77777777" w:rsidR="00A57D03" w:rsidRPr="008B4E3F" w:rsidRDefault="00A57D03" w:rsidP="00A57D03">
      <w:pPr>
        <w:pStyle w:val="Bibliography"/>
        <w:rPr>
          <w:lang w:val="en-US"/>
        </w:rPr>
      </w:pPr>
      <w:r w:rsidRPr="008B4E3F">
        <w:rPr>
          <w:lang w:val="en-US"/>
        </w:rPr>
        <w:t>289.</w:t>
      </w:r>
      <w:r w:rsidRPr="008B4E3F">
        <w:rPr>
          <w:lang w:val="en-US"/>
        </w:rPr>
        <w:tab/>
        <w:t xml:space="preserve">Jeon EY, Cho YK, Yoon DY, Kim DJ, Woo JJ. Clinical outcome of angiosome-oriented infrapopliteal percutaneous transluminal angioplasty for isolated infrapopliteal lesions in patients with critical limb ischemia. Diagn Interv Radiol Ank Turk. 2016 Feb;22(1):52–8. </w:t>
      </w:r>
    </w:p>
    <w:p w14:paraId="12A4211E" w14:textId="77777777" w:rsidR="00A57D03" w:rsidRPr="008B4E3F" w:rsidRDefault="00A57D03" w:rsidP="00A57D03">
      <w:pPr>
        <w:pStyle w:val="Bibliography"/>
        <w:rPr>
          <w:lang w:val="en-US"/>
        </w:rPr>
      </w:pPr>
      <w:r w:rsidRPr="008B4E3F">
        <w:rPr>
          <w:lang w:val="en-US"/>
        </w:rPr>
        <w:t>290.</w:t>
      </w:r>
      <w:r w:rsidRPr="008B4E3F">
        <w:rPr>
          <w:lang w:val="en-US"/>
        </w:rPr>
        <w:tab/>
        <w:t xml:space="preserve">Healy A, Farmer S, Pandyan A, Chockalingam N. A systematic review of randomised controlled trials assessing effectiveness of prosthetic and orthotic interventions. PloS One. 2018;13(3):e0192094. </w:t>
      </w:r>
    </w:p>
    <w:p w14:paraId="3D972A34" w14:textId="77777777" w:rsidR="00A57D03" w:rsidRPr="008B4E3F" w:rsidRDefault="00A57D03" w:rsidP="00A57D03">
      <w:pPr>
        <w:pStyle w:val="Bibliography"/>
        <w:rPr>
          <w:lang w:val="en-US"/>
        </w:rPr>
      </w:pPr>
      <w:r w:rsidRPr="008B4E3F">
        <w:rPr>
          <w:lang w:val="en-US"/>
        </w:rPr>
        <w:t>291.</w:t>
      </w:r>
      <w:r w:rsidRPr="008B4E3F">
        <w:rPr>
          <w:lang w:val="en-US"/>
        </w:rPr>
        <w:tab/>
        <w:t xml:space="preserve">Health Quality Ontario. Fibreglass Total Contact Casting, Removable Cast Walkers, and Irremovable Cast Walkers to Treat Diabetic Neuropathic Foot Ulcers: A Health Technology Assessment. Ont Health Technol Assess Ser. 2017;17(12):1–124. </w:t>
      </w:r>
    </w:p>
    <w:p w14:paraId="6B3AF078" w14:textId="77777777" w:rsidR="00A57D03" w:rsidRPr="008B4E3F" w:rsidRDefault="00A57D03" w:rsidP="00A57D03">
      <w:pPr>
        <w:pStyle w:val="Bibliography"/>
        <w:rPr>
          <w:lang w:val="fr-BE"/>
        </w:rPr>
      </w:pPr>
      <w:r w:rsidRPr="008B4E3F">
        <w:rPr>
          <w:lang w:val="en-US"/>
        </w:rPr>
        <w:t>292.</w:t>
      </w:r>
      <w:r w:rsidRPr="008B4E3F">
        <w:rPr>
          <w:lang w:val="en-US"/>
        </w:rPr>
        <w:tab/>
        <w:t xml:space="preserve">Najafi B, Grewal GS, Bharara M, Menzies R, Talal TK, Armstrong DG. Can’t Stand the Pressure: The Association Between Unprotected Standing, Walking, and Wound Healing in People With Diabetes. </w:t>
      </w:r>
      <w:r w:rsidRPr="008B4E3F">
        <w:rPr>
          <w:lang w:val="fr-BE"/>
        </w:rPr>
        <w:t xml:space="preserve">J Diabetes Sci Technol. 2017;11(4):657–67. </w:t>
      </w:r>
    </w:p>
    <w:p w14:paraId="4F2814CB" w14:textId="77777777" w:rsidR="00A57D03" w:rsidRPr="008B4E3F" w:rsidRDefault="00A57D03" w:rsidP="00A57D03">
      <w:pPr>
        <w:pStyle w:val="Bibliography"/>
        <w:rPr>
          <w:lang w:val="en-US"/>
        </w:rPr>
      </w:pPr>
      <w:r w:rsidRPr="008B4E3F">
        <w:rPr>
          <w:lang w:val="fr-BE"/>
        </w:rPr>
        <w:t>293.</w:t>
      </w:r>
      <w:r w:rsidRPr="008B4E3F">
        <w:rPr>
          <w:lang w:val="fr-BE"/>
        </w:rPr>
        <w:tab/>
        <w:t xml:space="preserve">Lavery LA, Higgins KR, La Fontaine J, Zamorano RG, Constantinides GP, Kim PJ. </w:t>
      </w:r>
      <w:r w:rsidRPr="008B4E3F">
        <w:rPr>
          <w:lang w:val="en-US"/>
        </w:rPr>
        <w:t xml:space="preserve">Randomised clinical trial to compare total contact casts, healing sandals and a shear-reducing removable boot to heal diabetic foot ulcers. Int Wound J. 2015 Dec;12(6):710–5. </w:t>
      </w:r>
    </w:p>
    <w:p w14:paraId="4FB28A7C" w14:textId="77777777" w:rsidR="00A57D03" w:rsidRPr="008B4E3F" w:rsidRDefault="00A57D03" w:rsidP="00A57D03">
      <w:pPr>
        <w:pStyle w:val="Bibliography"/>
        <w:rPr>
          <w:lang w:val="en-US"/>
        </w:rPr>
      </w:pPr>
      <w:r w:rsidRPr="008B4E3F">
        <w:rPr>
          <w:lang w:val="en-US"/>
        </w:rPr>
        <w:t>294.</w:t>
      </w:r>
      <w:r w:rsidRPr="008B4E3F">
        <w:rPr>
          <w:lang w:val="en-US"/>
        </w:rPr>
        <w:tab/>
        <w:t xml:space="preserve">Lewis J, Lipp A. Pressure-relieving interventions for treating diabetic foot ulcers. Cochrane Database Syst Rev. 2013 Jan 31;(1):CD002302. </w:t>
      </w:r>
    </w:p>
    <w:p w14:paraId="0F778F9E" w14:textId="77777777" w:rsidR="00A57D03" w:rsidRPr="008B4E3F" w:rsidRDefault="00A57D03" w:rsidP="00A57D03">
      <w:pPr>
        <w:pStyle w:val="Bibliography"/>
        <w:rPr>
          <w:lang w:val="en-US"/>
        </w:rPr>
      </w:pPr>
      <w:r w:rsidRPr="008B4E3F">
        <w:rPr>
          <w:lang w:val="en-US"/>
        </w:rPr>
        <w:t>295.</w:t>
      </w:r>
      <w:r w:rsidRPr="008B4E3F">
        <w:rPr>
          <w:lang w:val="en-US"/>
        </w:rPr>
        <w:tab/>
        <w:t xml:space="preserve">Morona JK, Buckley ES, Jones S, Reddin EA, Merlin TL. Comparison of the clinical effectiveness of different off-loading devices for the treatment of neuropathic foot ulcers in patients with diabetes: a systematic review and meta-analysis. Diabetes Metab Res Rev. 2013 Mar;29(3):183–93. </w:t>
      </w:r>
    </w:p>
    <w:p w14:paraId="78CD4855" w14:textId="77777777" w:rsidR="00A57D03" w:rsidRPr="008B4E3F" w:rsidRDefault="00A57D03" w:rsidP="00A57D03">
      <w:pPr>
        <w:pStyle w:val="Bibliography"/>
        <w:rPr>
          <w:lang w:val="en-US"/>
        </w:rPr>
      </w:pPr>
      <w:r w:rsidRPr="008B4E3F">
        <w:rPr>
          <w:lang w:val="en-US"/>
        </w:rPr>
        <w:t>296.</w:t>
      </w:r>
      <w:r w:rsidRPr="008B4E3F">
        <w:rPr>
          <w:lang w:val="en-US"/>
        </w:rPr>
        <w:tab/>
        <w:t xml:space="preserve">Elraiyah T, Prutsky G, Domecq JP, Tsapas A, Nabhan M, Frykberg RG, et al. A systematic review and meta-analysis of off-loading methods for diabetic foot ulcers. J Vasc Surg. 2016 Feb;63(2 Suppl):59S-68S.e1-2. </w:t>
      </w:r>
    </w:p>
    <w:p w14:paraId="765CDDF6" w14:textId="77777777" w:rsidR="00A57D03" w:rsidRPr="008B4E3F" w:rsidRDefault="00A57D03" w:rsidP="00A57D03">
      <w:pPr>
        <w:pStyle w:val="Bibliography"/>
        <w:rPr>
          <w:lang w:val="en-US"/>
        </w:rPr>
      </w:pPr>
      <w:r w:rsidRPr="008B4E3F">
        <w:rPr>
          <w:lang w:val="en-US"/>
        </w:rPr>
        <w:t>297.</w:t>
      </w:r>
      <w:r w:rsidRPr="008B4E3F">
        <w:rPr>
          <w:lang w:val="en-US"/>
        </w:rPr>
        <w:tab/>
        <w:t xml:space="preserve">Piaggesi A, Goretti C, Iacopi E, Clerici G, Romagnoli F, Toscanella F, et al. Comparison of Removable and Irremovable Walking Boot to Total Contact Casting in Offloading the Neuropathic Diabetic Foot Ulceration. Foot Ankle Int. 2016 Aug;37(8):855–61. </w:t>
      </w:r>
    </w:p>
    <w:p w14:paraId="63BC1496" w14:textId="77777777" w:rsidR="00A57D03" w:rsidRPr="008B4E3F" w:rsidRDefault="00A57D03" w:rsidP="00A57D03">
      <w:pPr>
        <w:pStyle w:val="Bibliography"/>
        <w:rPr>
          <w:lang w:val="en-US"/>
        </w:rPr>
      </w:pPr>
      <w:r w:rsidRPr="008B4E3F">
        <w:rPr>
          <w:lang w:val="en-US"/>
        </w:rPr>
        <w:t>298.</w:t>
      </w:r>
      <w:r w:rsidRPr="008B4E3F">
        <w:rPr>
          <w:lang w:val="en-US"/>
        </w:rPr>
        <w:tab/>
        <w:t xml:space="preserve">Gutekunst DJ, Hastings MK, Bohnert KL, Strube MJ, Sinacore DR. Removable cast walker boots yield greater forefoot off-loading than total contact casts. Clin Biomech Bristol Avon. 2011 Jul;26(6):649–54. </w:t>
      </w:r>
    </w:p>
    <w:p w14:paraId="416E9FD3" w14:textId="77777777" w:rsidR="00A57D03" w:rsidRPr="008B4E3F" w:rsidRDefault="00A57D03" w:rsidP="00A57D03">
      <w:pPr>
        <w:pStyle w:val="Bibliography"/>
        <w:rPr>
          <w:lang w:val="en-US"/>
        </w:rPr>
      </w:pPr>
      <w:r w:rsidRPr="008B4E3F">
        <w:rPr>
          <w:lang w:val="en-US"/>
        </w:rPr>
        <w:t>299.</w:t>
      </w:r>
      <w:r w:rsidRPr="008B4E3F">
        <w:rPr>
          <w:lang w:val="en-US"/>
        </w:rPr>
        <w:tab/>
        <w:t xml:space="preserve">Bus SA, van Netten JJ, Kottink AI, Manning EA, Spraul M, Woittiez AJ, et al. The efficacy of removable devices to offload and heal neuropathic plantar forefoot ulcers in people with diabetes: a single-blinded multicentre randomised controlled trial. Int Wound J. 2018 Feb;15(1):65–74. </w:t>
      </w:r>
    </w:p>
    <w:p w14:paraId="4BF6399E" w14:textId="77777777" w:rsidR="00A57D03" w:rsidRPr="008B4E3F" w:rsidRDefault="00A57D03" w:rsidP="00A57D03">
      <w:pPr>
        <w:pStyle w:val="Bibliography"/>
        <w:rPr>
          <w:lang w:val="en-US"/>
        </w:rPr>
      </w:pPr>
      <w:r w:rsidRPr="008B4E3F">
        <w:rPr>
          <w:lang w:val="en-US"/>
        </w:rPr>
        <w:t>300.</w:t>
      </w:r>
      <w:r w:rsidRPr="008B4E3F">
        <w:rPr>
          <w:lang w:val="en-US"/>
        </w:rPr>
        <w:tab/>
        <w:t>Potier L, François M, Dardari D. Comparison of a new versus standard removable offloading device in patients with neuropathic diabetic foot ulcers: a French national, multicentre, open-label randomized, controlled trial - NCT01956162. https://clinicaltrials.gov/show/NCT01956162 [Internet]. 2020; Available from: https://www.cochranelibrary.com/central/doi/10.1002/central/CN-02036608/full</w:t>
      </w:r>
    </w:p>
    <w:p w14:paraId="400D45AE" w14:textId="77777777" w:rsidR="00A57D03" w:rsidRPr="008B4E3F" w:rsidRDefault="00A57D03" w:rsidP="00A57D03">
      <w:pPr>
        <w:pStyle w:val="Bibliography"/>
        <w:rPr>
          <w:lang w:val="en-US"/>
        </w:rPr>
      </w:pPr>
      <w:r w:rsidRPr="008B4E3F">
        <w:rPr>
          <w:lang w:val="en-US"/>
        </w:rPr>
        <w:t>301.</w:t>
      </w:r>
      <w:r w:rsidRPr="008B4E3F">
        <w:rPr>
          <w:lang w:val="en-US"/>
        </w:rPr>
        <w:tab/>
        <w:t xml:space="preserve">Chakraborty P.P., Ray S., Biswas D., Baidya A., Bhattacharjee R., Mukhopadhyay P., et al. A comparative study between total contact cast and pressure-relieving ankle foot orthosis in diabetic neuropathic foot ulcers. J Diabetes Sci Technol. 2015 Mar;9(2):302–8. </w:t>
      </w:r>
    </w:p>
    <w:p w14:paraId="5836F189" w14:textId="77777777" w:rsidR="00A57D03" w:rsidRPr="008B4E3F" w:rsidRDefault="00A57D03" w:rsidP="00A57D03">
      <w:pPr>
        <w:pStyle w:val="Bibliography"/>
        <w:rPr>
          <w:lang w:val="en-US"/>
        </w:rPr>
      </w:pPr>
      <w:r w:rsidRPr="008B4E3F">
        <w:rPr>
          <w:lang w:val="en-US"/>
        </w:rPr>
        <w:t>302.</w:t>
      </w:r>
      <w:r w:rsidRPr="008B4E3F">
        <w:rPr>
          <w:lang w:val="en-US"/>
        </w:rPr>
        <w:tab/>
        <w:t xml:space="preserve">Crawford F, Nicolson DJ, Amanna AE, Martin A, Gupta S, Leese GP, et al. Preventing foot ulceration in diabetes: systematic review and meta-analyses of RCT data. Diabetologia. 2020 Jan;63(1):49–64. </w:t>
      </w:r>
    </w:p>
    <w:p w14:paraId="4EDCFFFE" w14:textId="77777777" w:rsidR="00A57D03" w:rsidRPr="008B4E3F" w:rsidRDefault="00A57D03" w:rsidP="00A57D03">
      <w:pPr>
        <w:pStyle w:val="Bibliography"/>
        <w:rPr>
          <w:lang w:val="en-US"/>
        </w:rPr>
      </w:pPr>
      <w:r w:rsidRPr="008B4E3F">
        <w:rPr>
          <w:lang w:val="en-US"/>
        </w:rPr>
        <w:t>303.</w:t>
      </w:r>
      <w:r w:rsidRPr="008B4E3F">
        <w:rPr>
          <w:lang w:val="en-US"/>
        </w:rPr>
        <w:tab/>
        <w:t xml:space="preserve">Adiewere P, Gillis RB, Imran Jiwani S, Meal A, Shaw I, Adams GG. A systematic review and meta-analysis of patient education in preventing and reducing the incidence or recurrence of adult diabetes foot ulcers (DFU). Heliyon. 2018 May;4(5):e00614. </w:t>
      </w:r>
    </w:p>
    <w:p w14:paraId="0F558A58" w14:textId="77777777" w:rsidR="00A57D03" w:rsidRPr="008B4E3F" w:rsidRDefault="00A57D03" w:rsidP="00A57D03">
      <w:pPr>
        <w:pStyle w:val="Bibliography"/>
        <w:rPr>
          <w:lang w:val="en-US"/>
        </w:rPr>
      </w:pPr>
      <w:r w:rsidRPr="008B4E3F">
        <w:rPr>
          <w:lang w:val="en-US"/>
        </w:rPr>
        <w:t>304.</w:t>
      </w:r>
      <w:r w:rsidRPr="008B4E3F">
        <w:rPr>
          <w:lang w:val="en-US"/>
        </w:rPr>
        <w:tab/>
        <w:t xml:space="preserve">Jiménez S, Rubio JA, Álvarez J, Lázaro-Martínez JL. Analysis of recurrent ulcerations at a multidisciplinary diabetic Foot unit after implementation of a comprehensive Foot care program. Endocrinol Diabetes Nutr. 2018 Oct;65(8):438.e1-438.e10. </w:t>
      </w:r>
    </w:p>
    <w:p w14:paraId="5FA907FE" w14:textId="77777777" w:rsidR="00A57D03" w:rsidRPr="008B4E3F" w:rsidRDefault="00A57D03" w:rsidP="00A57D03">
      <w:pPr>
        <w:pStyle w:val="Bibliography"/>
        <w:rPr>
          <w:lang w:val="fr-BE"/>
        </w:rPr>
      </w:pPr>
      <w:r w:rsidRPr="008B4E3F">
        <w:rPr>
          <w:lang w:val="en-US"/>
        </w:rPr>
        <w:t>305.</w:t>
      </w:r>
      <w:r w:rsidRPr="008B4E3F">
        <w:rPr>
          <w:lang w:val="en-US"/>
        </w:rPr>
        <w:tab/>
        <w:t xml:space="preserve">Monami M, Zannoni S, Gaias M, Nreu B, Marchionni N, Mannucci E. Effects of a Short Educational Program for the Prevention of Foot Ulcers in High-Risk Patients: A Randomized Controlled Trial. </w:t>
      </w:r>
      <w:r w:rsidRPr="008B4E3F">
        <w:rPr>
          <w:lang w:val="fr-BE"/>
        </w:rPr>
        <w:t xml:space="preserve">Int J Endocrinol. 2015;2015:615680. </w:t>
      </w:r>
    </w:p>
    <w:p w14:paraId="72A473B0" w14:textId="77777777" w:rsidR="00A57D03" w:rsidRPr="008B4E3F" w:rsidRDefault="00A57D03" w:rsidP="00A57D03">
      <w:pPr>
        <w:pStyle w:val="Bibliography"/>
        <w:rPr>
          <w:lang w:val="en-US"/>
        </w:rPr>
      </w:pPr>
      <w:r w:rsidRPr="008B4E3F">
        <w:rPr>
          <w:lang w:val="fr-BE"/>
        </w:rPr>
        <w:t>306.</w:t>
      </w:r>
      <w:r w:rsidRPr="008B4E3F">
        <w:rPr>
          <w:lang w:val="fr-BE"/>
        </w:rPr>
        <w:tab/>
        <w:t xml:space="preserve">Ren M, Yang C, Lin DZ, Xiao HS, Mai LF, Guo YC, et al. </w:t>
      </w:r>
      <w:r w:rsidRPr="008B4E3F">
        <w:rPr>
          <w:lang w:val="en-US"/>
        </w:rPr>
        <w:t xml:space="preserve">Effect of intensive nursing education on the prevention of diabetic foot ulceration among patients with high-risk diabetic foot: a follow-up analysis. Diabetes Technol Ther. 2014 Sep;16(9):576–81. </w:t>
      </w:r>
    </w:p>
    <w:p w14:paraId="29F70DAA" w14:textId="77777777" w:rsidR="00A57D03" w:rsidRPr="008B4E3F" w:rsidRDefault="00A57D03" w:rsidP="00A57D03">
      <w:pPr>
        <w:pStyle w:val="Bibliography"/>
        <w:rPr>
          <w:lang w:val="en-US"/>
        </w:rPr>
      </w:pPr>
      <w:r w:rsidRPr="008B4E3F">
        <w:rPr>
          <w:lang w:val="en-US"/>
        </w:rPr>
        <w:t>307.</w:t>
      </w:r>
      <w:r w:rsidRPr="008B4E3F">
        <w:rPr>
          <w:lang w:val="en-US"/>
        </w:rPr>
        <w:tab/>
        <w:t xml:space="preserve">Gershater MA, Pilhammar E, Apelqvist J, Alm-Roijer C. Patient education for the prevention of diabetic foot ulcers...Interim analysis of a randomised controlled trial due to morbidity and mortality of participants. Eur Diabetes Nurs. 2011 Sep;8(3):102–107b. </w:t>
      </w:r>
    </w:p>
    <w:p w14:paraId="05D40DCD" w14:textId="77777777" w:rsidR="00A57D03" w:rsidRPr="008B4E3F" w:rsidRDefault="00A57D03" w:rsidP="00A57D03">
      <w:pPr>
        <w:pStyle w:val="Bibliography"/>
        <w:rPr>
          <w:lang w:val="en-US"/>
        </w:rPr>
      </w:pPr>
      <w:r w:rsidRPr="008B4E3F">
        <w:rPr>
          <w:lang w:val="en-US"/>
        </w:rPr>
        <w:t>308.</w:t>
      </w:r>
      <w:r w:rsidRPr="008B4E3F">
        <w:rPr>
          <w:lang w:val="en-US"/>
        </w:rPr>
        <w:tab/>
        <w:t xml:space="preserve">Adib-Hajbaghery M, Alinaqipoor T. Comparing the effects of two teaching methods on healing of diabetic foot ulcer. J Caring Sci. 2012 May;1(1):17–24. </w:t>
      </w:r>
    </w:p>
    <w:p w14:paraId="33221930" w14:textId="77777777" w:rsidR="00A57D03" w:rsidRPr="008B4E3F" w:rsidRDefault="00A57D03" w:rsidP="00A57D03">
      <w:pPr>
        <w:pStyle w:val="Bibliography"/>
        <w:rPr>
          <w:lang w:val="en-US"/>
        </w:rPr>
      </w:pPr>
      <w:r w:rsidRPr="008B4E3F">
        <w:rPr>
          <w:lang w:val="en-US"/>
        </w:rPr>
        <w:t>309.</w:t>
      </w:r>
      <w:r w:rsidRPr="008B4E3F">
        <w:rPr>
          <w:lang w:val="en-US"/>
        </w:rPr>
        <w:tab/>
        <w:t xml:space="preserve">Hemmati Maslakpak M., Shahbaz A., Parizad N., Ghafourifard M. Preventing and managing diabetic foot ulcers: application of Orem’s self-care model. Int J Diabetes Dev Ctries. 2018;38(2):165–72. </w:t>
      </w:r>
    </w:p>
    <w:p w14:paraId="3E2D0441" w14:textId="77777777" w:rsidR="00A57D03" w:rsidRPr="008B4E3F" w:rsidRDefault="00A57D03" w:rsidP="00A57D03">
      <w:pPr>
        <w:pStyle w:val="Bibliography"/>
        <w:rPr>
          <w:lang w:val="en-US"/>
        </w:rPr>
      </w:pPr>
      <w:r w:rsidRPr="008B4E3F">
        <w:rPr>
          <w:lang w:val="en-US"/>
        </w:rPr>
        <w:t>310.</w:t>
      </w:r>
      <w:r w:rsidRPr="008B4E3F">
        <w:rPr>
          <w:lang w:val="en-US"/>
        </w:rPr>
        <w:tab/>
        <w:t xml:space="preserve">Mao X., Mao Q. Effect of motivational interviewing and phased intervention on the self-nursing ability and QOL of patients with a diabetic foot. Int J Clin Exp Med. 2020;13(1):96–103. </w:t>
      </w:r>
    </w:p>
    <w:p w14:paraId="600905D5" w14:textId="77777777" w:rsidR="00A57D03" w:rsidRPr="008B4E3F" w:rsidRDefault="00A57D03" w:rsidP="00A57D03">
      <w:pPr>
        <w:pStyle w:val="Bibliography"/>
        <w:rPr>
          <w:lang w:val="en-US"/>
        </w:rPr>
      </w:pPr>
      <w:r w:rsidRPr="008B4E3F">
        <w:rPr>
          <w:lang w:val="en-US"/>
        </w:rPr>
        <w:t>311.</w:t>
      </w:r>
      <w:r w:rsidRPr="008B4E3F">
        <w:rPr>
          <w:lang w:val="en-US"/>
        </w:rPr>
        <w:tab/>
        <w:t xml:space="preserve">Sonal Sekhar M., Unnikrishnan M.K., Vijayanarayana K., Rodrigues G.S. Impact of patient-education on health related quality of life of diabetic foot ulcer patients: A randomized study. Clin Epidemiol Glob Health. 2019;7(3):382–8. </w:t>
      </w:r>
    </w:p>
    <w:p w14:paraId="55319C83" w14:textId="77777777" w:rsidR="00A57D03" w:rsidRPr="008B4E3F" w:rsidRDefault="00A57D03" w:rsidP="00A57D03">
      <w:pPr>
        <w:pStyle w:val="Bibliography"/>
        <w:rPr>
          <w:lang w:val="en-US"/>
        </w:rPr>
      </w:pPr>
      <w:r w:rsidRPr="008B4E3F">
        <w:rPr>
          <w:lang w:val="en-US"/>
        </w:rPr>
        <w:t>312.</w:t>
      </w:r>
      <w:r w:rsidRPr="008B4E3F">
        <w:rPr>
          <w:lang w:val="en-US"/>
        </w:rPr>
        <w:tab/>
        <w:t xml:space="preserve">Jiang L, Mendame Ehya RE. Effectiveness of a Collaborative Nursing Care Model for the Treatment of Patients with Diabetic Foot Disease by Transverse Tibial Bone Transport Technique: A Pilot Study. J Perianesthesia Nurs Off J Am Soc PeriAnesthesia Nurses. 2020 Feb;35(1):60–6. </w:t>
      </w:r>
    </w:p>
    <w:p w14:paraId="6B4E2926" w14:textId="77777777" w:rsidR="00A57D03" w:rsidRPr="008B4E3F" w:rsidRDefault="00A57D03" w:rsidP="00A57D03">
      <w:pPr>
        <w:pStyle w:val="Bibliography"/>
        <w:rPr>
          <w:lang w:val="en-US"/>
        </w:rPr>
      </w:pPr>
      <w:r w:rsidRPr="008B4E3F">
        <w:rPr>
          <w:lang w:val="en-US"/>
        </w:rPr>
        <w:t>313.</w:t>
      </w:r>
      <w:r w:rsidRPr="008B4E3F">
        <w:rPr>
          <w:lang w:val="en-US"/>
        </w:rPr>
        <w:tab/>
        <w:t xml:space="preserve">Fernandez MLG, Lozano RM, Diaz MIGQ, Jurado MAG, Hernandez DM, Montesinos JVB. How effective is orthotic treatment in patients with recurrent diabetic foot ulcers? J Am Podiatr Med Assoc. 2013 Aug;103(4):281–90. </w:t>
      </w:r>
    </w:p>
    <w:p w14:paraId="308D95A9" w14:textId="77777777" w:rsidR="00A57D03" w:rsidRPr="008B4E3F" w:rsidRDefault="00A57D03" w:rsidP="00A57D03">
      <w:pPr>
        <w:pStyle w:val="Bibliography"/>
        <w:rPr>
          <w:lang w:val="en-US"/>
        </w:rPr>
      </w:pPr>
      <w:r w:rsidRPr="008B4E3F">
        <w:rPr>
          <w:lang w:val="en-US"/>
        </w:rPr>
        <w:t>314.</w:t>
      </w:r>
      <w:r w:rsidRPr="008B4E3F">
        <w:rPr>
          <w:lang w:val="en-US"/>
        </w:rPr>
        <w:tab/>
        <w:t xml:space="preserve">Rizzo L, Tedeschi A, Fallani E, Coppelli A, Vallini V, Iacopi E, et al. Custom-made orthesis and shoes in a structured follow-up program reduces the incidence of neuropathic ulcers in high-risk diabetic foot patients. Int J Low Extrem Wounds. 2012 Mar;11(1):59–64. </w:t>
      </w:r>
    </w:p>
    <w:p w14:paraId="42B33BCD" w14:textId="77777777" w:rsidR="00A57D03" w:rsidRPr="008B4E3F" w:rsidRDefault="00A57D03" w:rsidP="00A57D03">
      <w:pPr>
        <w:pStyle w:val="Bibliography"/>
        <w:rPr>
          <w:lang w:val="en-US"/>
        </w:rPr>
      </w:pPr>
      <w:r w:rsidRPr="008B4E3F">
        <w:rPr>
          <w:lang w:val="en-US"/>
        </w:rPr>
        <w:t>315.</w:t>
      </w:r>
      <w:r w:rsidRPr="008B4E3F">
        <w:rPr>
          <w:lang w:val="en-US"/>
        </w:rPr>
        <w:tab/>
        <w:t xml:space="preserve">Lavery LA, LaFontaine J, Higgins KR, Lanctot DR, Constantinides G. Shear-reducing insoles to prevent foot ulceration in high-risk diabetic patients. Adv Skin Wound Care. 2012 Nov;25(11):519–24; quiz 525–6. </w:t>
      </w:r>
    </w:p>
    <w:p w14:paraId="710A0548" w14:textId="77777777" w:rsidR="00A57D03" w:rsidRPr="008B4E3F" w:rsidRDefault="00A57D03" w:rsidP="00A57D03">
      <w:pPr>
        <w:pStyle w:val="Bibliography"/>
        <w:rPr>
          <w:lang w:val="fr-BE"/>
        </w:rPr>
      </w:pPr>
      <w:r w:rsidRPr="008B4E3F">
        <w:rPr>
          <w:lang w:val="en-US"/>
        </w:rPr>
        <w:t>316.</w:t>
      </w:r>
      <w:r w:rsidRPr="008B4E3F">
        <w:rPr>
          <w:lang w:val="en-US"/>
        </w:rPr>
        <w:tab/>
        <w:t xml:space="preserve">Paton J, Bruce G, Jones R, Stenhouse E. Effectiveness of insoles used for the prevention of ulceration in the neuropathic diabetic foot: a systematic review. </w:t>
      </w:r>
      <w:r w:rsidRPr="008B4E3F">
        <w:rPr>
          <w:lang w:val="fr-BE"/>
        </w:rPr>
        <w:t xml:space="preserve">J Diabetes Complications. 2011 Feb;25(1):52–62. </w:t>
      </w:r>
    </w:p>
    <w:p w14:paraId="287984E2" w14:textId="77777777" w:rsidR="00A57D03" w:rsidRPr="008B4E3F" w:rsidRDefault="00A57D03" w:rsidP="00A57D03">
      <w:pPr>
        <w:pStyle w:val="Bibliography"/>
        <w:rPr>
          <w:lang w:val="en-US"/>
        </w:rPr>
      </w:pPr>
      <w:r w:rsidRPr="008B4E3F">
        <w:rPr>
          <w:lang w:val="fr-BE"/>
        </w:rPr>
        <w:t>317.</w:t>
      </w:r>
      <w:r w:rsidRPr="008B4E3F">
        <w:rPr>
          <w:lang w:val="fr-BE"/>
        </w:rPr>
        <w:tab/>
        <w:t xml:space="preserve">Ulbrecht JS, Hurley T, Mauger DT, Cavanagh PR. </w:t>
      </w:r>
      <w:r w:rsidRPr="008B4E3F">
        <w:rPr>
          <w:lang w:val="en-US"/>
        </w:rPr>
        <w:t xml:space="preserve">Prevention of recurrent foot ulcers with plantar pressure-based in-shoe orthoses: the CareFUL prevention multicenter randomized controlled trial. Diabetes Care. 2014 Jul;37(7):1982–9. </w:t>
      </w:r>
    </w:p>
    <w:p w14:paraId="58EB90F7" w14:textId="77777777" w:rsidR="00A57D03" w:rsidRDefault="00A57D03" w:rsidP="00A57D03">
      <w:pPr>
        <w:pStyle w:val="Bibliography"/>
      </w:pPr>
      <w:r w:rsidRPr="008B4E3F">
        <w:rPr>
          <w:lang w:val="en-US"/>
        </w:rPr>
        <w:t>318.</w:t>
      </w:r>
      <w:r w:rsidRPr="008B4E3F">
        <w:rPr>
          <w:lang w:val="en-US"/>
        </w:rPr>
        <w:tab/>
        <w:t xml:space="preserve">Lopez-Moral M, Lazaro-Martinez JL, Garcia-Morales E, Garcia-Alvarez Y, Alvaro-Afonso FJ, Molines-Barroso RJ. Clinical efficacy of therapeutic footwear with a rigid rocker sole in the prevention of recurrence in patients with diabetes mellitus and diabetic polineuropathy: A randomized clinical trial. </w:t>
      </w:r>
      <w:r>
        <w:t xml:space="preserve">PloS One. 2019;14(7):e0219537. </w:t>
      </w:r>
    </w:p>
    <w:p w14:paraId="60253CC7" w14:textId="77777777" w:rsidR="00A57D03" w:rsidRPr="008B4E3F" w:rsidRDefault="00A57D03" w:rsidP="00A57D03">
      <w:pPr>
        <w:pStyle w:val="Bibliography"/>
        <w:rPr>
          <w:lang w:val="en-US"/>
        </w:rPr>
      </w:pPr>
      <w:r>
        <w:t>319.</w:t>
      </w:r>
      <w:r>
        <w:tab/>
        <w:t xml:space="preserve">Bus SA, Waaijman R, Arts M, de Haart M, Busch-Westbroek T, van Baal J, et al. </w:t>
      </w:r>
      <w:r w:rsidRPr="008B4E3F">
        <w:rPr>
          <w:lang w:val="en-US"/>
        </w:rPr>
        <w:t xml:space="preserve">Effect of custom-made footwear on foot ulcer recurrence in diabetes: a multicenter randomized controlled trial. Diabetes Care. 2013 Dec;36(12):4109–16. </w:t>
      </w:r>
    </w:p>
    <w:p w14:paraId="0F999176" w14:textId="77777777" w:rsidR="00A57D03" w:rsidRPr="008B4E3F" w:rsidRDefault="00A57D03" w:rsidP="00A57D03">
      <w:pPr>
        <w:pStyle w:val="Bibliography"/>
        <w:rPr>
          <w:lang w:val="en-US"/>
        </w:rPr>
      </w:pPr>
      <w:r w:rsidRPr="008B4E3F">
        <w:rPr>
          <w:lang w:val="en-US"/>
        </w:rPr>
        <w:t>320.</w:t>
      </w:r>
      <w:r w:rsidRPr="008B4E3F">
        <w:rPr>
          <w:lang w:val="en-US"/>
        </w:rPr>
        <w:tab/>
        <w:t xml:space="preserve">Cheng Q., Lazzarini P.A., Gibb M., Derhy P.H., Kinnear E.M., Burn E., et al. A cost-effectiveness analysis of optimal care for diabetic foot ulcers in Australia. Int Wound J. 2017 Aug;14(4):616–28. </w:t>
      </w:r>
    </w:p>
    <w:p w14:paraId="116E1650" w14:textId="77777777" w:rsidR="00A57D03" w:rsidRPr="00A57D03" w:rsidRDefault="00A57D03" w:rsidP="00A57D03">
      <w:pPr>
        <w:pStyle w:val="Bibliography"/>
        <w:rPr>
          <w:lang w:val="en-US"/>
        </w:rPr>
      </w:pPr>
      <w:r w:rsidRPr="00A57D03">
        <w:rPr>
          <w:lang w:val="en-US"/>
        </w:rPr>
        <w:t>321.</w:t>
      </w:r>
      <w:r w:rsidRPr="00A57D03">
        <w:rPr>
          <w:lang w:val="en-US"/>
        </w:rPr>
        <w:tab/>
        <w:t xml:space="preserve">Wu B, Wan X, Ma J. Cost-effectiveness of prevention and management of diabetic foot ulcer and amputation in a health resource-limited setting. J Diabetes. 2018 Apr;10(4):320–7. </w:t>
      </w:r>
    </w:p>
    <w:p w14:paraId="475AC89D" w14:textId="77777777" w:rsidR="00A57D03" w:rsidRDefault="00A57D03" w:rsidP="00A57D03">
      <w:pPr>
        <w:pStyle w:val="Bibliography"/>
      </w:pPr>
      <w:r w:rsidRPr="00A57D03">
        <w:rPr>
          <w:lang w:val="en-US"/>
        </w:rPr>
        <w:t>322.</w:t>
      </w:r>
      <w:r w:rsidRPr="00A57D03">
        <w:rPr>
          <w:lang w:val="en-US"/>
        </w:rPr>
        <w:tab/>
        <w:t xml:space="preserve">Cárdenas MK, Mirelman AJ, Galvin CJ, Lazo-Porras M, Pinto M, Miranda JJ, et al. The cost of illness attributable to diabetic foot and cost-effectiveness of secondary prevention in Peru. </w:t>
      </w:r>
      <w:r>
        <w:t xml:space="preserve">BMC Health Serv Res. 2015 Oct 26;15:483. </w:t>
      </w:r>
    </w:p>
    <w:p w14:paraId="70BF63E3" w14:textId="00CF08CE" w:rsidR="00220533" w:rsidRDefault="00220533" w:rsidP="007508B6">
      <w:pPr>
        <w:spacing w:line="240" w:lineRule="auto"/>
        <w:jc w:val="left"/>
        <w:rPr>
          <w:u w:val="single"/>
          <w:lang w:val="en-US"/>
        </w:rPr>
      </w:pPr>
      <w:r>
        <w:rPr>
          <w:b/>
          <w:lang w:val="en-US"/>
        </w:rPr>
        <w:fldChar w:fldCharType="end"/>
      </w:r>
      <w:r w:rsidR="00E252E0" w:rsidRPr="007D1A43">
        <w:rPr>
          <w:u w:val="single"/>
          <w:lang w:val="en-US"/>
        </w:rPr>
        <w:t xml:space="preserve"> </w:t>
      </w:r>
    </w:p>
    <w:p w14:paraId="7967E1E3" w14:textId="77777777" w:rsidR="007D1A43" w:rsidRDefault="007D1A43" w:rsidP="007508B6">
      <w:pPr>
        <w:spacing w:line="240" w:lineRule="auto"/>
        <w:jc w:val="left"/>
        <w:rPr>
          <w:u w:val="single"/>
          <w:lang w:val="en-US"/>
        </w:rPr>
      </w:pPr>
    </w:p>
    <w:p w14:paraId="2151CD5C" w14:textId="77777777" w:rsidR="007D1A43" w:rsidRPr="007D1A43" w:rsidRDefault="007D1A43" w:rsidP="007508B6">
      <w:pPr>
        <w:spacing w:line="240" w:lineRule="auto"/>
        <w:jc w:val="left"/>
        <w:rPr>
          <w:u w:val="single"/>
          <w:lang w:val="en-US"/>
        </w:rPr>
      </w:pPr>
    </w:p>
    <w:sectPr w:rsidR="007D1A43" w:rsidRPr="007D1A43" w:rsidSect="0075319C">
      <w:footerReference w:type="default" r:id="rId8"/>
      <w:footerReference w:type="first" r:id="rId9"/>
      <w:endnotePr>
        <w:numFmt w:val="decimal"/>
      </w:endnotePr>
      <w:pgSz w:w="11906" w:h="16838"/>
      <w:pgMar w:top="1418"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E1B99" w14:textId="77777777" w:rsidR="004B1A5D" w:rsidRPr="00D362ED" w:rsidRDefault="004B1A5D" w:rsidP="00035449">
      <w:pPr>
        <w:spacing w:line="14" w:lineRule="auto"/>
        <w:rPr>
          <w:lang w:val="nl-NL"/>
        </w:rPr>
      </w:pPr>
    </w:p>
  </w:endnote>
  <w:endnote w:type="continuationSeparator" w:id="0">
    <w:p w14:paraId="7BD097BC" w14:textId="77777777" w:rsidR="004B1A5D" w:rsidRPr="0043189D" w:rsidRDefault="004B1A5D" w:rsidP="00035449">
      <w:pPr>
        <w:spacing w:line="14" w:lineRule="auto"/>
        <w:rPr>
          <w:lang w:val="nl-N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6161543"/>
      <w:docPartObj>
        <w:docPartGallery w:val="Page Numbers (Bottom of Page)"/>
        <w:docPartUnique/>
      </w:docPartObj>
    </w:sdtPr>
    <w:sdtEndPr>
      <w:rPr>
        <w:noProof/>
      </w:rPr>
    </w:sdtEndPr>
    <w:sdtContent>
      <w:p w14:paraId="6E6CE8F0" w14:textId="194A3028" w:rsidR="00F14F06" w:rsidRDefault="00F14F06">
        <w:pPr>
          <w:pStyle w:val="Footer"/>
          <w:jc w:val="right"/>
        </w:pPr>
        <w:r>
          <w:fldChar w:fldCharType="begin"/>
        </w:r>
        <w:r>
          <w:instrText xml:space="preserve"> PAGE   \* MERGEFORMAT </w:instrText>
        </w:r>
        <w:r>
          <w:fldChar w:fldCharType="separate"/>
        </w:r>
        <w:r w:rsidR="00166EC2">
          <w:rPr>
            <w:noProof/>
          </w:rPr>
          <w:t>28</w:t>
        </w:r>
        <w:r>
          <w:rPr>
            <w:noProof/>
          </w:rPr>
          <w:fldChar w:fldCharType="end"/>
        </w:r>
      </w:p>
    </w:sdtContent>
  </w:sdt>
  <w:p w14:paraId="38AE591A" w14:textId="77777777" w:rsidR="00F14F06" w:rsidRDefault="00F1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750266"/>
      <w:docPartObj>
        <w:docPartGallery w:val="Page Numbers (Bottom of Page)"/>
        <w:docPartUnique/>
      </w:docPartObj>
    </w:sdtPr>
    <w:sdtEndPr>
      <w:rPr>
        <w:noProof/>
      </w:rPr>
    </w:sdtEndPr>
    <w:sdtContent>
      <w:p w14:paraId="22B08A6A" w14:textId="29B21A3F" w:rsidR="00F14F06" w:rsidRDefault="00F14F06">
        <w:pPr>
          <w:pStyle w:val="Footer"/>
          <w:jc w:val="right"/>
        </w:pPr>
        <w:r>
          <w:fldChar w:fldCharType="begin"/>
        </w:r>
        <w:r>
          <w:instrText xml:space="preserve"> PAGE   \* MERGEFORMAT </w:instrText>
        </w:r>
        <w:r>
          <w:fldChar w:fldCharType="separate"/>
        </w:r>
        <w:r w:rsidR="00166EC2">
          <w:rPr>
            <w:noProof/>
          </w:rPr>
          <w:t>1</w:t>
        </w:r>
        <w:r>
          <w:rPr>
            <w:noProof/>
          </w:rPr>
          <w:fldChar w:fldCharType="end"/>
        </w:r>
      </w:p>
    </w:sdtContent>
  </w:sdt>
  <w:p w14:paraId="0D44C7C5" w14:textId="77777777" w:rsidR="00F14F06" w:rsidRDefault="00F1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26F19" w14:textId="77777777" w:rsidR="004B1A5D" w:rsidRDefault="004B1A5D" w:rsidP="00300B6C">
      <w:pPr>
        <w:spacing w:line="240" w:lineRule="auto"/>
      </w:pPr>
      <w:r>
        <w:separator/>
      </w:r>
    </w:p>
  </w:footnote>
  <w:footnote w:type="continuationSeparator" w:id="0">
    <w:p w14:paraId="07B6746F" w14:textId="77777777" w:rsidR="004B1A5D" w:rsidRDefault="004B1A5D" w:rsidP="00300B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2FAA88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30AB85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F974A2E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95E7BF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6807A1E"/>
    <w:multiLevelType w:val="multilevel"/>
    <w:tmpl w:val="F2F420E0"/>
    <w:styleLink w:val="ScienscanoListNumbers"/>
    <w:lvl w:ilvl="0">
      <w:start w:val="1"/>
      <w:numFmt w:val="decimal"/>
      <w:pStyle w:val="ListNumber"/>
      <w:lvlText w:val="%1."/>
      <w:lvlJc w:val="left"/>
      <w:pPr>
        <w:ind w:left="363" w:hanging="363"/>
      </w:pPr>
      <w:rPr>
        <w:rFonts w:ascii="Arial" w:hAnsi="Arial" w:hint="default"/>
        <w:b/>
        <w:i w:val="0"/>
        <w:color w:val="BCCF00"/>
      </w:rPr>
    </w:lvl>
    <w:lvl w:ilvl="1">
      <w:start w:val="1"/>
      <w:numFmt w:val="decimal"/>
      <w:pStyle w:val="ListNumber2"/>
      <w:lvlText w:val="%1.%2."/>
      <w:lvlJc w:val="left"/>
      <w:pPr>
        <w:ind w:left="680" w:hanging="538"/>
      </w:pPr>
      <w:rPr>
        <w:rFonts w:ascii="Arial" w:hAnsi="Arial" w:hint="default"/>
        <w:color w:val="58595B"/>
      </w:rPr>
    </w:lvl>
    <w:lvl w:ilvl="2">
      <w:start w:val="1"/>
      <w:numFmt w:val="decimal"/>
      <w:pStyle w:val="ListNumber3"/>
      <w:lvlText w:val="%1.%2.%3."/>
      <w:lvlJc w:val="left"/>
      <w:pPr>
        <w:ind w:left="1089" w:hanging="805"/>
      </w:pPr>
      <w:rPr>
        <w:rFonts w:ascii="Arial" w:hAnsi="Arial" w:hint="default"/>
        <w:color w:val="58595B"/>
      </w:rPr>
    </w:lvl>
    <w:lvl w:ilvl="3">
      <w:start w:val="1"/>
      <w:numFmt w:val="decimal"/>
      <w:lvlText w:val="%4."/>
      <w:lvlJc w:val="left"/>
      <w:pPr>
        <w:ind w:left="568" w:hanging="142"/>
      </w:pPr>
      <w:rPr>
        <w:rFonts w:hint="default"/>
      </w:rPr>
    </w:lvl>
    <w:lvl w:ilvl="4">
      <w:start w:val="1"/>
      <w:numFmt w:val="lowerLetter"/>
      <w:lvlText w:val="%5."/>
      <w:lvlJc w:val="left"/>
      <w:pPr>
        <w:ind w:left="710" w:hanging="142"/>
      </w:pPr>
      <w:rPr>
        <w:rFonts w:hint="default"/>
      </w:rPr>
    </w:lvl>
    <w:lvl w:ilvl="5">
      <w:start w:val="1"/>
      <w:numFmt w:val="lowerRoman"/>
      <w:lvlText w:val="%6."/>
      <w:lvlJc w:val="right"/>
      <w:pPr>
        <w:ind w:left="852" w:hanging="142"/>
      </w:pPr>
      <w:rPr>
        <w:rFonts w:hint="default"/>
      </w:rPr>
    </w:lvl>
    <w:lvl w:ilvl="6">
      <w:start w:val="1"/>
      <w:numFmt w:val="decimal"/>
      <w:lvlText w:val="%7."/>
      <w:lvlJc w:val="left"/>
      <w:pPr>
        <w:ind w:left="994" w:hanging="142"/>
      </w:pPr>
      <w:rPr>
        <w:rFonts w:hint="default"/>
      </w:rPr>
    </w:lvl>
    <w:lvl w:ilvl="7">
      <w:start w:val="1"/>
      <w:numFmt w:val="lowerLetter"/>
      <w:lvlText w:val="%8."/>
      <w:lvlJc w:val="left"/>
      <w:pPr>
        <w:ind w:left="1136" w:hanging="142"/>
      </w:pPr>
      <w:rPr>
        <w:rFonts w:hint="default"/>
      </w:rPr>
    </w:lvl>
    <w:lvl w:ilvl="8">
      <w:start w:val="1"/>
      <w:numFmt w:val="lowerRoman"/>
      <w:lvlText w:val="%9."/>
      <w:lvlJc w:val="right"/>
      <w:pPr>
        <w:ind w:left="1278" w:hanging="142"/>
      </w:pPr>
      <w:rPr>
        <w:rFonts w:hint="default"/>
      </w:rPr>
    </w:lvl>
  </w:abstractNum>
  <w:abstractNum w:abstractNumId="5" w15:restartNumberingAfterBreak="0">
    <w:nsid w:val="06D42CA1"/>
    <w:multiLevelType w:val="multilevel"/>
    <w:tmpl w:val="97C008F8"/>
    <w:styleLink w:val="SciensanoListBullets"/>
    <w:lvl w:ilvl="0">
      <w:start w:val="1"/>
      <w:numFmt w:val="bullet"/>
      <w:pStyle w:val="ListBullet"/>
      <w:lvlText w:val=""/>
      <w:lvlJc w:val="left"/>
      <w:pPr>
        <w:tabs>
          <w:tab w:val="num" w:pos="363"/>
        </w:tabs>
        <w:ind w:left="363" w:hanging="363"/>
      </w:pPr>
      <w:rPr>
        <w:rFonts w:ascii="Symbol" w:hAnsi="Symbol" w:hint="default"/>
        <w:color w:val="BCCF00"/>
        <w:sz w:val="20"/>
      </w:rPr>
    </w:lvl>
    <w:lvl w:ilvl="1">
      <w:start w:val="1"/>
      <w:numFmt w:val="bullet"/>
      <w:pStyle w:val="ListBullet2"/>
      <w:lvlText w:val="•"/>
      <w:lvlJc w:val="left"/>
      <w:pPr>
        <w:tabs>
          <w:tab w:val="num" w:pos="505"/>
        </w:tabs>
        <w:ind w:left="505" w:hanging="363"/>
      </w:pPr>
      <w:rPr>
        <w:rFonts w:ascii="Arial" w:hAnsi="Arial" w:hint="default"/>
        <w:color w:val="58595B"/>
      </w:rPr>
    </w:lvl>
    <w:lvl w:ilvl="2">
      <w:start w:val="1"/>
      <w:numFmt w:val="bullet"/>
      <w:pStyle w:val="ListBullet3"/>
      <w:lvlText w:val="-"/>
      <w:lvlJc w:val="left"/>
      <w:pPr>
        <w:tabs>
          <w:tab w:val="num" w:pos="646"/>
        </w:tabs>
        <w:ind w:left="646" w:hanging="362"/>
      </w:pPr>
      <w:rPr>
        <w:rFonts w:ascii="Calibri" w:hAnsi="Calibri" w:hint="default"/>
        <w:color w:val="58595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22F5B9E"/>
    <w:multiLevelType w:val="multilevel"/>
    <w:tmpl w:val="F2F420E0"/>
    <w:numStyleLink w:val="ScienscanoListNumbers"/>
  </w:abstractNum>
  <w:abstractNum w:abstractNumId="7" w15:restartNumberingAfterBreak="0">
    <w:nsid w:val="1B4903CA"/>
    <w:multiLevelType w:val="hybridMultilevel"/>
    <w:tmpl w:val="EA7AF15C"/>
    <w:lvl w:ilvl="0" w:tplc="FC644CF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E471E"/>
    <w:multiLevelType w:val="hybridMultilevel"/>
    <w:tmpl w:val="B1EAFD7A"/>
    <w:lvl w:ilvl="0" w:tplc="46B60C3A">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6746DB0"/>
    <w:multiLevelType w:val="multilevel"/>
    <w:tmpl w:val="F2F420E0"/>
    <w:numStyleLink w:val="ScienscanoListNumbers"/>
  </w:abstractNum>
  <w:abstractNum w:abstractNumId="10" w15:restartNumberingAfterBreak="0">
    <w:nsid w:val="2ED73006"/>
    <w:multiLevelType w:val="hybridMultilevel"/>
    <w:tmpl w:val="DEA88EE6"/>
    <w:lvl w:ilvl="0" w:tplc="687A9508">
      <w:start w:val="5"/>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8AA3321"/>
    <w:multiLevelType w:val="multilevel"/>
    <w:tmpl w:val="891460F6"/>
    <w:lvl w:ilvl="0">
      <w:start w:val="1"/>
      <w:numFmt w:val="none"/>
      <w:pStyle w:val="Heading1"/>
      <w:suff w:val="nothing"/>
      <w:lvlText w:val=""/>
      <w:lvlJc w:val="left"/>
      <w:pPr>
        <w:ind w:left="357" w:hanging="357"/>
      </w:pPr>
      <w:rPr>
        <w:rFonts w:hint="default"/>
      </w:rPr>
    </w:lvl>
    <w:lvl w:ilvl="1">
      <w:start w:val="1"/>
      <w:numFmt w:val="decimal"/>
      <w:pStyle w:val="Heading2"/>
      <w:suff w:val="space"/>
      <w:lvlText w:val="%2."/>
      <w:lvlJc w:val="left"/>
      <w:pPr>
        <w:ind w:left="357" w:hanging="357"/>
      </w:pPr>
      <w:rPr>
        <w:rFonts w:hint="default"/>
      </w:rPr>
    </w:lvl>
    <w:lvl w:ilvl="2">
      <w:start w:val="1"/>
      <w:numFmt w:val="decimal"/>
      <w:pStyle w:val="Heading3"/>
      <w:suff w:val="space"/>
      <w:lvlText w:val="%2.%3."/>
      <w:lvlJc w:val="left"/>
      <w:pPr>
        <w:ind w:left="357" w:hanging="357"/>
      </w:pPr>
      <w:rPr>
        <w:rFonts w:hint="default"/>
      </w:rPr>
    </w:lvl>
    <w:lvl w:ilvl="3">
      <w:start w:val="1"/>
      <w:numFmt w:val="decimal"/>
      <w:pStyle w:val="Heading4"/>
      <w:suff w:val="space"/>
      <w:lvlText w:val="%2.%3.%4."/>
      <w:lvlJc w:val="left"/>
      <w:pPr>
        <w:ind w:left="357" w:hanging="357"/>
      </w:pPr>
      <w:rPr>
        <w:rFonts w:hint="default"/>
      </w:rPr>
    </w:lvl>
    <w:lvl w:ilvl="4">
      <w:start w:val="1"/>
      <w:numFmt w:val="decimal"/>
      <w:pStyle w:val="Heading5"/>
      <w:suff w:val="space"/>
      <w:lvlText w:val="%2.%3.%4.%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2" w15:restartNumberingAfterBreak="0">
    <w:nsid w:val="5EC14EDE"/>
    <w:multiLevelType w:val="hybridMultilevel"/>
    <w:tmpl w:val="BDDEA006"/>
    <w:lvl w:ilvl="0" w:tplc="E5E07AC0">
      <w:start w:val="1"/>
      <w:numFmt w:val="bullet"/>
      <w:lvlText w:val=""/>
      <w:lvlJc w:val="left"/>
      <w:pPr>
        <w:ind w:left="720" w:hanging="360"/>
      </w:pPr>
      <w:rPr>
        <w:rFonts w:ascii="Symbol" w:hAnsi="Symbol" w:hint="default"/>
        <w:color w:val="BCCF5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01D7BC4"/>
    <w:multiLevelType w:val="hybridMultilevel"/>
    <w:tmpl w:val="C156858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6C736AB"/>
    <w:multiLevelType w:val="multilevel"/>
    <w:tmpl w:val="F2F420E0"/>
    <w:numStyleLink w:val="ScienscanoListNumbers"/>
  </w:abstractNum>
  <w:abstractNum w:abstractNumId="15" w15:restartNumberingAfterBreak="0">
    <w:nsid w:val="6F851D86"/>
    <w:multiLevelType w:val="multilevel"/>
    <w:tmpl w:val="F2F420E0"/>
    <w:numStyleLink w:val="ScienscanoListNumbers"/>
  </w:abstractNum>
  <w:abstractNum w:abstractNumId="16" w15:restartNumberingAfterBreak="0">
    <w:nsid w:val="735D1621"/>
    <w:multiLevelType w:val="multilevel"/>
    <w:tmpl w:val="8BCCBBB0"/>
    <w:lvl w:ilvl="0">
      <w:start w:val="1"/>
      <w:numFmt w:val="none"/>
      <w:suff w:val="nothing"/>
      <w:lvlText w:val=""/>
      <w:lvlJc w:val="left"/>
      <w:pPr>
        <w:ind w:left="357" w:hanging="357"/>
      </w:pPr>
      <w:rPr>
        <w:rFonts w:hint="default"/>
      </w:rPr>
    </w:lvl>
    <w:lvl w:ilvl="1">
      <w:start w:val="1"/>
      <w:numFmt w:val="decimal"/>
      <w:suff w:val="space"/>
      <w:lvlText w:val="%2."/>
      <w:lvlJc w:val="left"/>
      <w:pPr>
        <w:ind w:left="357" w:hanging="357"/>
      </w:pPr>
      <w:rPr>
        <w:rFonts w:hint="default"/>
      </w:rPr>
    </w:lvl>
    <w:lvl w:ilvl="2">
      <w:start w:val="1"/>
      <w:numFmt w:val="decimal"/>
      <w:suff w:val="space"/>
      <w:lvlText w:val="%2.%3."/>
      <w:lvlJc w:val="left"/>
      <w:pPr>
        <w:ind w:left="357" w:hanging="357"/>
      </w:pPr>
      <w:rPr>
        <w:rFonts w:hint="default"/>
      </w:rPr>
    </w:lvl>
    <w:lvl w:ilvl="3">
      <w:start w:val="1"/>
      <w:numFmt w:val="decimal"/>
      <w:suff w:val="space"/>
      <w:lvlText w:val="%2.%3.%4."/>
      <w:lvlJc w:val="left"/>
      <w:pPr>
        <w:ind w:left="357" w:hanging="357"/>
      </w:pPr>
      <w:rPr>
        <w:rFonts w:hint="default"/>
      </w:rPr>
    </w:lvl>
    <w:lvl w:ilvl="4">
      <w:start w:val="1"/>
      <w:numFmt w:val="decimal"/>
      <w:suff w:val="space"/>
      <w:lvlText w:val="%2.%3.%4.%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7" w15:restartNumberingAfterBreak="0">
    <w:nsid w:val="75A80DC9"/>
    <w:multiLevelType w:val="multilevel"/>
    <w:tmpl w:val="97C008F8"/>
    <w:numStyleLink w:val="SciensanoListBullets"/>
  </w:abstractNum>
  <w:abstractNum w:abstractNumId="18" w15:restartNumberingAfterBreak="0">
    <w:nsid w:val="7ACC4A42"/>
    <w:multiLevelType w:val="multilevel"/>
    <w:tmpl w:val="F2F420E0"/>
    <w:numStyleLink w:val="ScienscanoListNumbers"/>
  </w:abstractNum>
  <w:num w:numId="1">
    <w:abstractNumId w:val="5"/>
  </w:num>
  <w:num w:numId="2">
    <w:abstractNumId w:val="4"/>
  </w:num>
  <w:num w:numId="3">
    <w:abstractNumId w:val="11"/>
  </w:num>
  <w:num w:numId="4">
    <w:abstractNumId w:val="17"/>
  </w:num>
  <w:num w:numId="5">
    <w:abstractNumId w:val="15"/>
  </w:num>
  <w:num w:numId="6">
    <w:abstractNumId w:val="9"/>
  </w:num>
  <w:num w:numId="7">
    <w:abstractNumId w:val="14"/>
  </w:num>
  <w:num w:numId="8">
    <w:abstractNumId w:val="18"/>
  </w:num>
  <w:num w:numId="9">
    <w:abstractNumId w:val="6"/>
  </w:num>
  <w:num w:numId="10">
    <w:abstractNumId w:val="3"/>
  </w:num>
  <w:num w:numId="11">
    <w:abstractNumId w:val="2"/>
  </w:num>
  <w:num w:numId="12">
    <w:abstractNumId w:val="1"/>
  </w:num>
  <w:num w:numId="13">
    <w:abstractNumId w:val="0"/>
  </w:num>
  <w:num w:numId="14">
    <w:abstractNumId w:val="7"/>
  </w:num>
  <w:num w:numId="15">
    <w:abstractNumId w:val="11"/>
  </w:num>
  <w:num w:numId="16">
    <w:abstractNumId w:val="16"/>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2"/>
  </w:num>
  <w:num w:numId="20">
    <w:abstractNumId w:val="8"/>
  </w:num>
  <w:num w:numId="2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819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51"/>
    <w:rsid w:val="00000122"/>
    <w:rsid w:val="000001F8"/>
    <w:rsid w:val="000008D2"/>
    <w:rsid w:val="00001531"/>
    <w:rsid w:val="00001DB1"/>
    <w:rsid w:val="00001E61"/>
    <w:rsid w:val="00002164"/>
    <w:rsid w:val="0000291B"/>
    <w:rsid w:val="00003493"/>
    <w:rsid w:val="00003753"/>
    <w:rsid w:val="0000388D"/>
    <w:rsid w:val="000038F1"/>
    <w:rsid w:val="000042EA"/>
    <w:rsid w:val="00004493"/>
    <w:rsid w:val="0000493C"/>
    <w:rsid w:val="00004A8F"/>
    <w:rsid w:val="00004CB5"/>
    <w:rsid w:val="00004DF5"/>
    <w:rsid w:val="00004F40"/>
    <w:rsid w:val="00005BD0"/>
    <w:rsid w:val="0000626C"/>
    <w:rsid w:val="0000628D"/>
    <w:rsid w:val="0000750D"/>
    <w:rsid w:val="0000755B"/>
    <w:rsid w:val="000076E8"/>
    <w:rsid w:val="00010657"/>
    <w:rsid w:val="0001065B"/>
    <w:rsid w:val="0001065F"/>
    <w:rsid w:val="000115C6"/>
    <w:rsid w:val="00011771"/>
    <w:rsid w:val="000118CE"/>
    <w:rsid w:val="00011A4C"/>
    <w:rsid w:val="00011B75"/>
    <w:rsid w:val="000126BC"/>
    <w:rsid w:val="0001283D"/>
    <w:rsid w:val="000129B0"/>
    <w:rsid w:val="00012A60"/>
    <w:rsid w:val="00013815"/>
    <w:rsid w:val="00013D97"/>
    <w:rsid w:val="000140EC"/>
    <w:rsid w:val="000142A4"/>
    <w:rsid w:val="000144C5"/>
    <w:rsid w:val="000149DC"/>
    <w:rsid w:val="00014BA4"/>
    <w:rsid w:val="00015EB9"/>
    <w:rsid w:val="00016BB2"/>
    <w:rsid w:val="00016CB9"/>
    <w:rsid w:val="000177B7"/>
    <w:rsid w:val="00017AEF"/>
    <w:rsid w:val="00017B5C"/>
    <w:rsid w:val="00017D5A"/>
    <w:rsid w:val="000200DE"/>
    <w:rsid w:val="000201AB"/>
    <w:rsid w:val="0002149B"/>
    <w:rsid w:val="0002188C"/>
    <w:rsid w:val="00021D81"/>
    <w:rsid w:val="0002270C"/>
    <w:rsid w:val="00022AA9"/>
    <w:rsid w:val="00022AC4"/>
    <w:rsid w:val="00022B5D"/>
    <w:rsid w:val="00022F57"/>
    <w:rsid w:val="0002310A"/>
    <w:rsid w:val="00024395"/>
    <w:rsid w:val="000243C7"/>
    <w:rsid w:val="0002490B"/>
    <w:rsid w:val="00024C3E"/>
    <w:rsid w:val="00024E67"/>
    <w:rsid w:val="00025780"/>
    <w:rsid w:val="00025E01"/>
    <w:rsid w:val="00026A35"/>
    <w:rsid w:val="00026FF4"/>
    <w:rsid w:val="000273F9"/>
    <w:rsid w:val="000277A9"/>
    <w:rsid w:val="00027A6C"/>
    <w:rsid w:val="00027E76"/>
    <w:rsid w:val="00030D12"/>
    <w:rsid w:val="00030F1D"/>
    <w:rsid w:val="000310E8"/>
    <w:rsid w:val="00031273"/>
    <w:rsid w:val="0003163A"/>
    <w:rsid w:val="00031A66"/>
    <w:rsid w:val="00031A82"/>
    <w:rsid w:val="00031CB5"/>
    <w:rsid w:val="00031E33"/>
    <w:rsid w:val="00031FE9"/>
    <w:rsid w:val="0003222B"/>
    <w:rsid w:val="000324A0"/>
    <w:rsid w:val="00032EB4"/>
    <w:rsid w:val="000330D1"/>
    <w:rsid w:val="00033282"/>
    <w:rsid w:val="000334F8"/>
    <w:rsid w:val="00033A93"/>
    <w:rsid w:val="00033DC3"/>
    <w:rsid w:val="00034444"/>
    <w:rsid w:val="00034454"/>
    <w:rsid w:val="00034977"/>
    <w:rsid w:val="00034A04"/>
    <w:rsid w:val="00034D03"/>
    <w:rsid w:val="00034DE5"/>
    <w:rsid w:val="00035210"/>
    <w:rsid w:val="00035449"/>
    <w:rsid w:val="000355CF"/>
    <w:rsid w:val="0003585C"/>
    <w:rsid w:val="00035ADE"/>
    <w:rsid w:val="0003640B"/>
    <w:rsid w:val="00036773"/>
    <w:rsid w:val="00036937"/>
    <w:rsid w:val="00036B29"/>
    <w:rsid w:val="000377F2"/>
    <w:rsid w:val="00037D19"/>
    <w:rsid w:val="00037F1C"/>
    <w:rsid w:val="0004083A"/>
    <w:rsid w:val="000410F0"/>
    <w:rsid w:val="00041A77"/>
    <w:rsid w:val="000422FE"/>
    <w:rsid w:val="0004239D"/>
    <w:rsid w:val="00042790"/>
    <w:rsid w:val="0004288A"/>
    <w:rsid w:val="00042995"/>
    <w:rsid w:val="00042E41"/>
    <w:rsid w:val="000430DA"/>
    <w:rsid w:val="00043844"/>
    <w:rsid w:val="00043A2D"/>
    <w:rsid w:val="00043CF0"/>
    <w:rsid w:val="00043E80"/>
    <w:rsid w:val="00044177"/>
    <w:rsid w:val="000449CF"/>
    <w:rsid w:val="00044DE1"/>
    <w:rsid w:val="00045368"/>
    <w:rsid w:val="000457F3"/>
    <w:rsid w:val="00045887"/>
    <w:rsid w:val="00045C50"/>
    <w:rsid w:val="00045DEE"/>
    <w:rsid w:val="00045E8C"/>
    <w:rsid w:val="00045F78"/>
    <w:rsid w:val="0004601A"/>
    <w:rsid w:val="00047447"/>
    <w:rsid w:val="00047584"/>
    <w:rsid w:val="00047700"/>
    <w:rsid w:val="00047B2B"/>
    <w:rsid w:val="00047EBA"/>
    <w:rsid w:val="00050694"/>
    <w:rsid w:val="00050AF0"/>
    <w:rsid w:val="00050B6A"/>
    <w:rsid w:val="00051727"/>
    <w:rsid w:val="000520D7"/>
    <w:rsid w:val="000530C9"/>
    <w:rsid w:val="00053D46"/>
    <w:rsid w:val="000546F5"/>
    <w:rsid w:val="0005583B"/>
    <w:rsid w:val="000559D8"/>
    <w:rsid w:val="00057C10"/>
    <w:rsid w:val="00057C3F"/>
    <w:rsid w:val="00057D38"/>
    <w:rsid w:val="00060137"/>
    <w:rsid w:val="00060A4E"/>
    <w:rsid w:val="00060E8D"/>
    <w:rsid w:val="00061076"/>
    <w:rsid w:val="00061175"/>
    <w:rsid w:val="00061396"/>
    <w:rsid w:val="000619E2"/>
    <w:rsid w:val="000623B9"/>
    <w:rsid w:val="00062B69"/>
    <w:rsid w:val="00062D49"/>
    <w:rsid w:val="00062DB2"/>
    <w:rsid w:val="00062F27"/>
    <w:rsid w:val="0006379D"/>
    <w:rsid w:val="00063C53"/>
    <w:rsid w:val="00063C77"/>
    <w:rsid w:val="00063CE4"/>
    <w:rsid w:val="0006435C"/>
    <w:rsid w:val="00064A28"/>
    <w:rsid w:val="00064B4D"/>
    <w:rsid w:val="00064D12"/>
    <w:rsid w:val="000652EA"/>
    <w:rsid w:val="00065333"/>
    <w:rsid w:val="00065505"/>
    <w:rsid w:val="00065ACD"/>
    <w:rsid w:val="00065D0E"/>
    <w:rsid w:val="000667FF"/>
    <w:rsid w:val="000669E3"/>
    <w:rsid w:val="000669F9"/>
    <w:rsid w:val="00066D95"/>
    <w:rsid w:val="00067526"/>
    <w:rsid w:val="00067602"/>
    <w:rsid w:val="000679DC"/>
    <w:rsid w:val="0007082E"/>
    <w:rsid w:val="00070FB1"/>
    <w:rsid w:val="00071119"/>
    <w:rsid w:val="000711BA"/>
    <w:rsid w:val="00071DAC"/>
    <w:rsid w:val="00071E6C"/>
    <w:rsid w:val="00073255"/>
    <w:rsid w:val="000733E3"/>
    <w:rsid w:val="00073442"/>
    <w:rsid w:val="00073A51"/>
    <w:rsid w:val="00073E5D"/>
    <w:rsid w:val="0007474E"/>
    <w:rsid w:val="00074BC7"/>
    <w:rsid w:val="000757C8"/>
    <w:rsid w:val="00076B5F"/>
    <w:rsid w:val="00076C53"/>
    <w:rsid w:val="000779E7"/>
    <w:rsid w:val="00077FB7"/>
    <w:rsid w:val="00080A29"/>
    <w:rsid w:val="00080BD6"/>
    <w:rsid w:val="0008104F"/>
    <w:rsid w:val="0008108A"/>
    <w:rsid w:val="00081921"/>
    <w:rsid w:val="00081C32"/>
    <w:rsid w:val="0008256A"/>
    <w:rsid w:val="00082983"/>
    <w:rsid w:val="00083074"/>
    <w:rsid w:val="000830F2"/>
    <w:rsid w:val="00083A47"/>
    <w:rsid w:val="00083DD8"/>
    <w:rsid w:val="0008407F"/>
    <w:rsid w:val="00084945"/>
    <w:rsid w:val="00084BA1"/>
    <w:rsid w:val="00084BC8"/>
    <w:rsid w:val="00084CF6"/>
    <w:rsid w:val="00084E49"/>
    <w:rsid w:val="0008508C"/>
    <w:rsid w:val="000854C5"/>
    <w:rsid w:val="00085878"/>
    <w:rsid w:val="00085BB4"/>
    <w:rsid w:val="000860DC"/>
    <w:rsid w:val="00086BC2"/>
    <w:rsid w:val="00086BF2"/>
    <w:rsid w:val="0008756B"/>
    <w:rsid w:val="00090217"/>
    <w:rsid w:val="00090585"/>
    <w:rsid w:val="000905D9"/>
    <w:rsid w:val="000907FB"/>
    <w:rsid w:val="00090986"/>
    <w:rsid w:val="000919E8"/>
    <w:rsid w:val="00091BD6"/>
    <w:rsid w:val="00091F8A"/>
    <w:rsid w:val="000922E1"/>
    <w:rsid w:val="00092CE3"/>
    <w:rsid w:val="00093374"/>
    <w:rsid w:val="000936EB"/>
    <w:rsid w:val="0009386F"/>
    <w:rsid w:val="000940D4"/>
    <w:rsid w:val="00094197"/>
    <w:rsid w:val="00094221"/>
    <w:rsid w:val="00094370"/>
    <w:rsid w:val="000946C6"/>
    <w:rsid w:val="0009491A"/>
    <w:rsid w:val="00094EF7"/>
    <w:rsid w:val="00095614"/>
    <w:rsid w:val="00095774"/>
    <w:rsid w:val="000958F8"/>
    <w:rsid w:val="00096CB7"/>
    <w:rsid w:val="000973BD"/>
    <w:rsid w:val="0009790A"/>
    <w:rsid w:val="00097E25"/>
    <w:rsid w:val="000A04DF"/>
    <w:rsid w:val="000A050A"/>
    <w:rsid w:val="000A08DD"/>
    <w:rsid w:val="000A0F2E"/>
    <w:rsid w:val="000A115E"/>
    <w:rsid w:val="000A19A2"/>
    <w:rsid w:val="000A1C7B"/>
    <w:rsid w:val="000A1F17"/>
    <w:rsid w:val="000A1F60"/>
    <w:rsid w:val="000A2170"/>
    <w:rsid w:val="000A2AD8"/>
    <w:rsid w:val="000A2DD2"/>
    <w:rsid w:val="000A2F9F"/>
    <w:rsid w:val="000A37BA"/>
    <w:rsid w:val="000A3831"/>
    <w:rsid w:val="000A3934"/>
    <w:rsid w:val="000A394F"/>
    <w:rsid w:val="000A4660"/>
    <w:rsid w:val="000A4D1D"/>
    <w:rsid w:val="000A53D1"/>
    <w:rsid w:val="000A6146"/>
    <w:rsid w:val="000A63A1"/>
    <w:rsid w:val="000A657E"/>
    <w:rsid w:val="000A6998"/>
    <w:rsid w:val="000A7064"/>
    <w:rsid w:val="000A770A"/>
    <w:rsid w:val="000A7C2A"/>
    <w:rsid w:val="000B0389"/>
    <w:rsid w:val="000B0F32"/>
    <w:rsid w:val="000B1464"/>
    <w:rsid w:val="000B1DA2"/>
    <w:rsid w:val="000B1F42"/>
    <w:rsid w:val="000B219C"/>
    <w:rsid w:val="000B2BD0"/>
    <w:rsid w:val="000B2F5D"/>
    <w:rsid w:val="000B30F9"/>
    <w:rsid w:val="000B354D"/>
    <w:rsid w:val="000B36B3"/>
    <w:rsid w:val="000B38CF"/>
    <w:rsid w:val="000B50C0"/>
    <w:rsid w:val="000B5671"/>
    <w:rsid w:val="000B5729"/>
    <w:rsid w:val="000B6FDD"/>
    <w:rsid w:val="000B6FF3"/>
    <w:rsid w:val="000B733B"/>
    <w:rsid w:val="000B74F7"/>
    <w:rsid w:val="000B771A"/>
    <w:rsid w:val="000B7816"/>
    <w:rsid w:val="000C051E"/>
    <w:rsid w:val="000C05FF"/>
    <w:rsid w:val="000C0BD3"/>
    <w:rsid w:val="000C0EEA"/>
    <w:rsid w:val="000C1DCB"/>
    <w:rsid w:val="000C1E22"/>
    <w:rsid w:val="000C1E5A"/>
    <w:rsid w:val="000C29B5"/>
    <w:rsid w:val="000C29DD"/>
    <w:rsid w:val="000C2FC1"/>
    <w:rsid w:val="000C3544"/>
    <w:rsid w:val="000C35F5"/>
    <w:rsid w:val="000C37A8"/>
    <w:rsid w:val="000C4474"/>
    <w:rsid w:val="000C4A8B"/>
    <w:rsid w:val="000C4A8D"/>
    <w:rsid w:val="000C4AB6"/>
    <w:rsid w:val="000C4B1A"/>
    <w:rsid w:val="000C4C5B"/>
    <w:rsid w:val="000C5595"/>
    <w:rsid w:val="000C5A9F"/>
    <w:rsid w:val="000C5B57"/>
    <w:rsid w:val="000C5E1B"/>
    <w:rsid w:val="000C6268"/>
    <w:rsid w:val="000C627D"/>
    <w:rsid w:val="000C631E"/>
    <w:rsid w:val="000C6A2A"/>
    <w:rsid w:val="000C6EA7"/>
    <w:rsid w:val="000C707A"/>
    <w:rsid w:val="000C78E5"/>
    <w:rsid w:val="000C7DF8"/>
    <w:rsid w:val="000C7E3D"/>
    <w:rsid w:val="000D07BC"/>
    <w:rsid w:val="000D0EEB"/>
    <w:rsid w:val="000D126F"/>
    <w:rsid w:val="000D16CB"/>
    <w:rsid w:val="000D18B0"/>
    <w:rsid w:val="000D1D6E"/>
    <w:rsid w:val="000D2031"/>
    <w:rsid w:val="000D3AA6"/>
    <w:rsid w:val="000D3C90"/>
    <w:rsid w:val="000D40FF"/>
    <w:rsid w:val="000D4348"/>
    <w:rsid w:val="000D49B5"/>
    <w:rsid w:val="000D502A"/>
    <w:rsid w:val="000D6125"/>
    <w:rsid w:val="000D62FB"/>
    <w:rsid w:val="000D646A"/>
    <w:rsid w:val="000D6E9C"/>
    <w:rsid w:val="000D71D4"/>
    <w:rsid w:val="000D724B"/>
    <w:rsid w:val="000D73E5"/>
    <w:rsid w:val="000D7C13"/>
    <w:rsid w:val="000D7D28"/>
    <w:rsid w:val="000D7D3C"/>
    <w:rsid w:val="000D7E9E"/>
    <w:rsid w:val="000D7EDB"/>
    <w:rsid w:val="000D7F7F"/>
    <w:rsid w:val="000E00C9"/>
    <w:rsid w:val="000E00EC"/>
    <w:rsid w:val="000E03FC"/>
    <w:rsid w:val="000E0676"/>
    <w:rsid w:val="000E08E9"/>
    <w:rsid w:val="000E13D4"/>
    <w:rsid w:val="000E13DA"/>
    <w:rsid w:val="000E14E4"/>
    <w:rsid w:val="000E15E4"/>
    <w:rsid w:val="000E16C3"/>
    <w:rsid w:val="000E18AE"/>
    <w:rsid w:val="000E1FC1"/>
    <w:rsid w:val="000E266B"/>
    <w:rsid w:val="000E2CD7"/>
    <w:rsid w:val="000E2F2C"/>
    <w:rsid w:val="000E3273"/>
    <w:rsid w:val="000E346D"/>
    <w:rsid w:val="000E36A0"/>
    <w:rsid w:val="000E36F7"/>
    <w:rsid w:val="000E39F5"/>
    <w:rsid w:val="000E3ADB"/>
    <w:rsid w:val="000E46CD"/>
    <w:rsid w:val="000E4742"/>
    <w:rsid w:val="000E4B03"/>
    <w:rsid w:val="000E5057"/>
    <w:rsid w:val="000E5392"/>
    <w:rsid w:val="000E53E9"/>
    <w:rsid w:val="000E5618"/>
    <w:rsid w:val="000E5939"/>
    <w:rsid w:val="000E5E6D"/>
    <w:rsid w:val="000E66A3"/>
    <w:rsid w:val="000E66E9"/>
    <w:rsid w:val="000E6BE1"/>
    <w:rsid w:val="000E70E8"/>
    <w:rsid w:val="000E738A"/>
    <w:rsid w:val="000E7A74"/>
    <w:rsid w:val="000F0C8B"/>
    <w:rsid w:val="000F2610"/>
    <w:rsid w:val="000F3322"/>
    <w:rsid w:val="000F3595"/>
    <w:rsid w:val="000F491E"/>
    <w:rsid w:val="000F4EAC"/>
    <w:rsid w:val="000F6766"/>
    <w:rsid w:val="000F6FE6"/>
    <w:rsid w:val="000F7129"/>
    <w:rsid w:val="000F7146"/>
    <w:rsid w:val="000F7464"/>
    <w:rsid w:val="000F74CA"/>
    <w:rsid w:val="001001B4"/>
    <w:rsid w:val="00100808"/>
    <w:rsid w:val="00100B20"/>
    <w:rsid w:val="00100FA2"/>
    <w:rsid w:val="0010110E"/>
    <w:rsid w:val="0010131D"/>
    <w:rsid w:val="001013F1"/>
    <w:rsid w:val="0010150F"/>
    <w:rsid w:val="0010179C"/>
    <w:rsid w:val="00101BEC"/>
    <w:rsid w:val="00101EC3"/>
    <w:rsid w:val="00102109"/>
    <w:rsid w:val="0010298A"/>
    <w:rsid w:val="00102E40"/>
    <w:rsid w:val="001030BE"/>
    <w:rsid w:val="001031B9"/>
    <w:rsid w:val="001039E3"/>
    <w:rsid w:val="00103C52"/>
    <w:rsid w:val="001047F1"/>
    <w:rsid w:val="00104805"/>
    <w:rsid w:val="0010498A"/>
    <w:rsid w:val="00104CDF"/>
    <w:rsid w:val="001059A9"/>
    <w:rsid w:val="00105E32"/>
    <w:rsid w:val="00106516"/>
    <w:rsid w:val="001067C2"/>
    <w:rsid w:val="00106906"/>
    <w:rsid w:val="00106A3B"/>
    <w:rsid w:val="00106CB3"/>
    <w:rsid w:val="00107530"/>
    <w:rsid w:val="001078A0"/>
    <w:rsid w:val="0010794A"/>
    <w:rsid w:val="0011010A"/>
    <w:rsid w:val="001113CA"/>
    <w:rsid w:val="0011140B"/>
    <w:rsid w:val="00111E9A"/>
    <w:rsid w:val="0011241B"/>
    <w:rsid w:val="00112CB4"/>
    <w:rsid w:val="00112EC4"/>
    <w:rsid w:val="00113180"/>
    <w:rsid w:val="00113A57"/>
    <w:rsid w:val="00115A34"/>
    <w:rsid w:val="00115E79"/>
    <w:rsid w:val="00116005"/>
    <w:rsid w:val="00116902"/>
    <w:rsid w:val="0011759A"/>
    <w:rsid w:val="001175BC"/>
    <w:rsid w:val="00117C6D"/>
    <w:rsid w:val="00117E65"/>
    <w:rsid w:val="00120078"/>
    <w:rsid w:val="00120581"/>
    <w:rsid w:val="00120724"/>
    <w:rsid w:val="0012088A"/>
    <w:rsid w:val="00120B1C"/>
    <w:rsid w:val="00120D93"/>
    <w:rsid w:val="0012174B"/>
    <w:rsid w:val="0012179E"/>
    <w:rsid w:val="00121AB5"/>
    <w:rsid w:val="00122776"/>
    <w:rsid w:val="001228E2"/>
    <w:rsid w:val="00123047"/>
    <w:rsid w:val="0012338F"/>
    <w:rsid w:val="001235A1"/>
    <w:rsid w:val="00123BAB"/>
    <w:rsid w:val="00123D1E"/>
    <w:rsid w:val="00123E2A"/>
    <w:rsid w:val="001240FD"/>
    <w:rsid w:val="00124AE9"/>
    <w:rsid w:val="00125CF0"/>
    <w:rsid w:val="00125D1E"/>
    <w:rsid w:val="00126546"/>
    <w:rsid w:val="0012691B"/>
    <w:rsid w:val="00126FDD"/>
    <w:rsid w:val="001270B7"/>
    <w:rsid w:val="00127512"/>
    <w:rsid w:val="00130300"/>
    <w:rsid w:val="00131085"/>
    <w:rsid w:val="0013162A"/>
    <w:rsid w:val="00131E81"/>
    <w:rsid w:val="00131E92"/>
    <w:rsid w:val="00132721"/>
    <w:rsid w:val="00133752"/>
    <w:rsid w:val="00133CA3"/>
    <w:rsid w:val="00133F18"/>
    <w:rsid w:val="00134150"/>
    <w:rsid w:val="0013424E"/>
    <w:rsid w:val="00134455"/>
    <w:rsid w:val="00134561"/>
    <w:rsid w:val="0013470A"/>
    <w:rsid w:val="00136177"/>
    <w:rsid w:val="00136261"/>
    <w:rsid w:val="00136DA9"/>
    <w:rsid w:val="00137083"/>
    <w:rsid w:val="0013745A"/>
    <w:rsid w:val="0013768D"/>
    <w:rsid w:val="001378F0"/>
    <w:rsid w:val="00137A9C"/>
    <w:rsid w:val="00137E09"/>
    <w:rsid w:val="0014009E"/>
    <w:rsid w:val="00140332"/>
    <w:rsid w:val="0014159C"/>
    <w:rsid w:val="00142271"/>
    <w:rsid w:val="0014246B"/>
    <w:rsid w:val="00142BAA"/>
    <w:rsid w:val="0014320D"/>
    <w:rsid w:val="00143298"/>
    <w:rsid w:val="00143366"/>
    <w:rsid w:val="001434B0"/>
    <w:rsid w:val="00143C91"/>
    <w:rsid w:val="00143C9B"/>
    <w:rsid w:val="001442EC"/>
    <w:rsid w:val="00144640"/>
    <w:rsid w:val="0014477F"/>
    <w:rsid w:val="00144857"/>
    <w:rsid w:val="001448FD"/>
    <w:rsid w:val="00145510"/>
    <w:rsid w:val="00145E9B"/>
    <w:rsid w:val="00146485"/>
    <w:rsid w:val="00146994"/>
    <w:rsid w:val="001469CB"/>
    <w:rsid w:val="00146E94"/>
    <w:rsid w:val="0014726D"/>
    <w:rsid w:val="00147367"/>
    <w:rsid w:val="00147611"/>
    <w:rsid w:val="001478C0"/>
    <w:rsid w:val="001479FC"/>
    <w:rsid w:val="00147C3B"/>
    <w:rsid w:val="001506FC"/>
    <w:rsid w:val="00150E5A"/>
    <w:rsid w:val="00151096"/>
    <w:rsid w:val="0015163C"/>
    <w:rsid w:val="00151CF8"/>
    <w:rsid w:val="00152103"/>
    <w:rsid w:val="00152971"/>
    <w:rsid w:val="0015300D"/>
    <w:rsid w:val="00153469"/>
    <w:rsid w:val="00153BAB"/>
    <w:rsid w:val="0015412C"/>
    <w:rsid w:val="00154315"/>
    <w:rsid w:val="001544CA"/>
    <w:rsid w:val="0015476E"/>
    <w:rsid w:val="00154EE7"/>
    <w:rsid w:val="00155350"/>
    <w:rsid w:val="00155A92"/>
    <w:rsid w:val="00155C91"/>
    <w:rsid w:val="00155DB4"/>
    <w:rsid w:val="00156032"/>
    <w:rsid w:val="0015615A"/>
    <w:rsid w:val="0015644F"/>
    <w:rsid w:val="00156519"/>
    <w:rsid w:val="00156CBF"/>
    <w:rsid w:val="00157962"/>
    <w:rsid w:val="00157CF7"/>
    <w:rsid w:val="00160754"/>
    <w:rsid w:val="00160818"/>
    <w:rsid w:val="00160A33"/>
    <w:rsid w:val="00160BCB"/>
    <w:rsid w:val="00160E3E"/>
    <w:rsid w:val="001613B7"/>
    <w:rsid w:val="00161819"/>
    <w:rsid w:val="001620B5"/>
    <w:rsid w:val="00162144"/>
    <w:rsid w:val="00162D01"/>
    <w:rsid w:val="001650BD"/>
    <w:rsid w:val="001650DD"/>
    <w:rsid w:val="001659B6"/>
    <w:rsid w:val="00166EC2"/>
    <w:rsid w:val="00166F96"/>
    <w:rsid w:val="00167005"/>
    <w:rsid w:val="00167039"/>
    <w:rsid w:val="00167665"/>
    <w:rsid w:val="00167674"/>
    <w:rsid w:val="001676A1"/>
    <w:rsid w:val="001676F6"/>
    <w:rsid w:val="00167BDA"/>
    <w:rsid w:val="00167EEB"/>
    <w:rsid w:val="00167F25"/>
    <w:rsid w:val="0017043B"/>
    <w:rsid w:val="00170569"/>
    <w:rsid w:val="0017073D"/>
    <w:rsid w:val="00170E7C"/>
    <w:rsid w:val="001710FE"/>
    <w:rsid w:val="00171651"/>
    <w:rsid w:val="00171BD8"/>
    <w:rsid w:val="001721BD"/>
    <w:rsid w:val="00172350"/>
    <w:rsid w:val="0017239C"/>
    <w:rsid w:val="00172E51"/>
    <w:rsid w:val="0017328E"/>
    <w:rsid w:val="001740A1"/>
    <w:rsid w:val="001740DA"/>
    <w:rsid w:val="001748D8"/>
    <w:rsid w:val="00174E51"/>
    <w:rsid w:val="001750BD"/>
    <w:rsid w:val="00175619"/>
    <w:rsid w:val="001756FE"/>
    <w:rsid w:val="001758F8"/>
    <w:rsid w:val="00176032"/>
    <w:rsid w:val="001760AF"/>
    <w:rsid w:val="0017613D"/>
    <w:rsid w:val="001761C0"/>
    <w:rsid w:val="001773E3"/>
    <w:rsid w:val="00177462"/>
    <w:rsid w:val="00177BB0"/>
    <w:rsid w:val="00180798"/>
    <w:rsid w:val="00180DA1"/>
    <w:rsid w:val="0018106C"/>
    <w:rsid w:val="001813BE"/>
    <w:rsid w:val="00181A0E"/>
    <w:rsid w:val="00181C0F"/>
    <w:rsid w:val="0018224C"/>
    <w:rsid w:val="001828A1"/>
    <w:rsid w:val="001829C9"/>
    <w:rsid w:val="0018324A"/>
    <w:rsid w:val="001832EA"/>
    <w:rsid w:val="0018364F"/>
    <w:rsid w:val="00183DA1"/>
    <w:rsid w:val="00183FFE"/>
    <w:rsid w:val="0018454D"/>
    <w:rsid w:val="001855AF"/>
    <w:rsid w:val="00185837"/>
    <w:rsid w:val="00185E02"/>
    <w:rsid w:val="00185F0B"/>
    <w:rsid w:val="00185FE5"/>
    <w:rsid w:val="001868B5"/>
    <w:rsid w:val="0018703E"/>
    <w:rsid w:val="0018717B"/>
    <w:rsid w:val="0018720C"/>
    <w:rsid w:val="00187ADC"/>
    <w:rsid w:val="0019096E"/>
    <w:rsid w:val="00190AEA"/>
    <w:rsid w:val="00190EA7"/>
    <w:rsid w:val="00190F0E"/>
    <w:rsid w:val="00191628"/>
    <w:rsid w:val="00191762"/>
    <w:rsid w:val="00191E19"/>
    <w:rsid w:val="00192BA5"/>
    <w:rsid w:val="00192EBB"/>
    <w:rsid w:val="00193268"/>
    <w:rsid w:val="001938B7"/>
    <w:rsid w:val="00193923"/>
    <w:rsid w:val="00193AF9"/>
    <w:rsid w:val="00193B7A"/>
    <w:rsid w:val="00194D88"/>
    <w:rsid w:val="001953A4"/>
    <w:rsid w:val="00195C61"/>
    <w:rsid w:val="00195F1C"/>
    <w:rsid w:val="00195FB0"/>
    <w:rsid w:val="001962E1"/>
    <w:rsid w:val="00196A35"/>
    <w:rsid w:val="00196C44"/>
    <w:rsid w:val="00196CB1"/>
    <w:rsid w:val="00197549"/>
    <w:rsid w:val="0019785C"/>
    <w:rsid w:val="001979F7"/>
    <w:rsid w:val="001A0212"/>
    <w:rsid w:val="001A0575"/>
    <w:rsid w:val="001A107C"/>
    <w:rsid w:val="001A12B2"/>
    <w:rsid w:val="001A1649"/>
    <w:rsid w:val="001A1CCA"/>
    <w:rsid w:val="001A1CED"/>
    <w:rsid w:val="001A2005"/>
    <w:rsid w:val="001A25CF"/>
    <w:rsid w:val="001A2639"/>
    <w:rsid w:val="001A26B8"/>
    <w:rsid w:val="001A2849"/>
    <w:rsid w:val="001A316E"/>
    <w:rsid w:val="001A32D6"/>
    <w:rsid w:val="001A348A"/>
    <w:rsid w:val="001A3F20"/>
    <w:rsid w:val="001A4A52"/>
    <w:rsid w:val="001A6082"/>
    <w:rsid w:val="001A60E9"/>
    <w:rsid w:val="001A6575"/>
    <w:rsid w:val="001A6C05"/>
    <w:rsid w:val="001A70D9"/>
    <w:rsid w:val="001B0770"/>
    <w:rsid w:val="001B0CF3"/>
    <w:rsid w:val="001B184D"/>
    <w:rsid w:val="001B1C85"/>
    <w:rsid w:val="001B239E"/>
    <w:rsid w:val="001B2AF0"/>
    <w:rsid w:val="001B2BBC"/>
    <w:rsid w:val="001B2FC8"/>
    <w:rsid w:val="001B3151"/>
    <w:rsid w:val="001B32FD"/>
    <w:rsid w:val="001B3311"/>
    <w:rsid w:val="001B4218"/>
    <w:rsid w:val="001B52E8"/>
    <w:rsid w:val="001B580D"/>
    <w:rsid w:val="001B5EEF"/>
    <w:rsid w:val="001B61A4"/>
    <w:rsid w:val="001B6437"/>
    <w:rsid w:val="001B64AF"/>
    <w:rsid w:val="001B64E1"/>
    <w:rsid w:val="001B6ECE"/>
    <w:rsid w:val="001B6FBD"/>
    <w:rsid w:val="001B71BA"/>
    <w:rsid w:val="001B74C9"/>
    <w:rsid w:val="001B7957"/>
    <w:rsid w:val="001B79BF"/>
    <w:rsid w:val="001C0596"/>
    <w:rsid w:val="001C09E5"/>
    <w:rsid w:val="001C0CFC"/>
    <w:rsid w:val="001C0D65"/>
    <w:rsid w:val="001C118A"/>
    <w:rsid w:val="001C149C"/>
    <w:rsid w:val="001C1580"/>
    <w:rsid w:val="001C1B28"/>
    <w:rsid w:val="001C25C6"/>
    <w:rsid w:val="001C482D"/>
    <w:rsid w:val="001C4A23"/>
    <w:rsid w:val="001C4E90"/>
    <w:rsid w:val="001C518E"/>
    <w:rsid w:val="001C5917"/>
    <w:rsid w:val="001C5B39"/>
    <w:rsid w:val="001C5CD0"/>
    <w:rsid w:val="001C611A"/>
    <w:rsid w:val="001C66D3"/>
    <w:rsid w:val="001C679C"/>
    <w:rsid w:val="001C6E7D"/>
    <w:rsid w:val="001C6F38"/>
    <w:rsid w:val="001C766E"/>
    <w:rsid w:val="001C7D3B"/>
    <w:rsid w:val="001D00F7"/>
    <w:rsid w:val="001D0101"/>
    <w:rsid w:val="001D0306"/>
    <w:rsid w:val="001D04B6"/>
    <w:rsid w:val="001D0F1C"/>
    <w:rsid w:val="001D130F"/>
    <w:rsid w:val="001D1693"/>
    <w:rsid w:val="001D1EB1"/>
    <w:rsid w:val="001D1F81"/>
    <w:rsid w:val="001D1FDE"/>
    <w:rsid w:val="001D2726"/>
    <w:rsid w:val="001D2C89"/>
    <w:rsid w:val="001D2D98"/>
    <w:rsid w:val="001D391C"/>
    <w:rsid w:val="001D3E53"/>
    <w:rsid w:val="001D3FA0"/>
    <w:rsid w:val="001D4B6C"/>
    <w:rsid w:val="001D4EFE"/>
    <w:rsid w:val="001D4F9D"/>
    <w:rsid w:val="001D5417"/>
    <w:rsid w:val="001D55D3"/>
    <w:rsid w:val="001D586E"/>
    <w:rsid w:val="001D5B99"/>
    <w:rsid w:val="001D6153"/>
    <w:rsid w:val="001D6916"/>
    <w:rsid w:val="001D6983"/>
    <w:rsid w:val="001D6B2B"/>
    <w:rsid w:val="001D6FD1"/>
    <w:rsid w:val="001D7252"/>
    <w:rsid w:val="001E0250"/>
    <w:rsid w:val="001E046E"/>
    <w:rsid w:val="001E0515"/>
    <w:rsid w:val="001E0925"/>
    <w:rsid w:val="001E0AD7"/>
    <w:rsid w:val="001E1593"/>
    <w:rsid w:val="001E16AD"/>
    <w:rsid w:val="001E17D0"/>
    <w:rsid w:val="001E1B5F"/>
    <w:rsid w:val="001E1B9C"/>
    <w:rsid w:val="001E1FBF"/>
    <w:rsid w:val="001E2312"/>
    <w:rsid w:val="001E2941"/>
    <w:rsid w:val="001E2B93"/>
    <w:rsid w:val="001E2F20"/>
    <w:rsid w:val="001E319A"/>
    <w:rsid w:val="001E36CF"/>
    <w:rsid w:val="001E36FD"/>
    <w:rsid w:val="001E3ACD"/>
    <w:rsid w:val="001E3DDF"/>
    <w:rsid w:val="001E4874"/>
    <w:rsid w:val="001E4996"/>
    <w:rsid w:val="001E4B77"/>
    <w:rsid w:val="001E519E"/>
    <w:rsid w:val="001E537A"/>
    <w:rsid w:val="001E64B0"/>
    <w:rsid w:val="001E7399"/>
    <w:rsid w:val="001E785A"/>
    <w:rsid w:val="001F02F9"/>
    <w:rsid w:val="001F0428"/>
    <w:rsid w:val="001F0F7B"/>
    <w:rsid w:val="001F1077"/>
    <w:rsid w:val="001F151B"/>
    <w:rsid w:val="001F15B5"/>
    <w:rsid w:val="001F16D1"/>
    <w:rsid w:val="001F27D7"/>
    <w:rsid w:val="001F2BCB"/>
    <w:rsid w:val="001F2FF1"/>
    <w:rsid w:val="001F356E"/>
    <w:rsid w:val="001F3867"/>
    <w:rsid w:val="001F3C5D"/>
    <w:rsid w:val="001F3EDB"/>
    <w:rsid w:val="001F4754"/>
    <w:rsid w:val="001F50F6"/>
    <w:rsid w:val="001F54D4"/>
    <w:rsid w:val="001F6644"/>
    <w:rsid w:val="001F6907"/>
    <w:rsid w:val="001F7468"/>
    <w:rsid w:val="001F7FB1"/>
    <w:rsid w:val="002001AB"/>
    <w:rsid w:val="002017E0"/>
    <w:rsid w:val="00201D29"/>
    <w:rsid w:val="00202EF9"/>
    <w:rsid w:val="00203298"/>
    <w:rsid w:val="00203A14"/>
    <w:rsid w:val="00203A29"/>
    <w:rsid w:val="00203EFE"/>
    <w:rsid w:val="00204185"/>
    <w:rsid w:val="00204528"/>
    <w:rsid w:val="00204DE8"/>
    <w:rsid w:val="002052AA"/>
    <w:rsid w:val="00205953"/>
    <w:rsid w:val="0020614E"/>
    <w:rsid w:val="002065E0"/>
    <w:rsid w:val="00206BD5"/>
    <w:rsid w:val="002070CD"/>
    <w:rsid w:val="0020761F"/>
    <w:rsid w:val="00207D95"/>
    <w:rsid w:val="00207E48"/>
    <w:rsid w:val="00210127"/>
    <w:rsid w:val="002109E1"/>
    <w:rsid w:val="00210A62"/>
    <w:rsid w:val="00210AF6"/>
    <w:rsid w:val="00210FBC"/>
    <w:rsid w:val="00211039"/>
    <w:rsid w:val="00211DD2"/>
    <w:rsid w:val="00211DF8"/>
    <w:rsid w:val="00211FB5"/>
    <w:rsid w:val="00213256"/>
    <w:rsid w:val="002143BB"/>
    <w:rsid w:val="002149A6"/>
    <w:rsid w:val="00214E5E"/>
    <w:rsid w:val="0021500B"/>
    <w:rsid w:val="00215D42"/>
    <w:rsid w:val="0021757B"/>
    <w:rsid w:val="00217BD5"/>
    <w:rsid w:val="00217F6D"/>
    <w:rsid w:val="00220533"/>
    <w:rsid w:val="0022083E"/>
    <w:rsid w:val="00220B3D"/>
    <w:rsid w:val="00220E3F"/>
    <w:rsid w:val="0022136F"/>
    <w:rsid w:val="00221A80"/>
    <w:rsid w:val="00221FEF"/>
    <w:rsid w:val="0022227E"/>
    <w:rsid w:val="00224528"/>
    <w:rsid w:val="00224890"/>
    <w:rsid w:val="00224B15"/>
    <w:rsid w:val="00225775"/>
    <w:rsid w:val="00226A15"/>
    <w:rsid w:val="00226CA5"/>
    <w:rsid w:val="0022700A"/>
    <w:rsid w:val="00227D93"/>
    <w:rsid w:val="002300A9"/>
    <w:rsid w:val="002304B1"/>
    <w:rsid w:val="00230AE2"/>
    <w:rsid w:val="00230C24"/>
    <w:rsid w:val="00231202"/>
    <w:rsid w:val="00231325"/>
    <w:rsid w:val="002318FF"/>
    <w:rsid w:val="00231B78"/>
    <w:rsid w:val="00231F3C"/>
    <w:rsid w:val="0023256D"/>
    <w:rsid w:val="002325A0"/>
    <w:rsid w:val="002325E8"/>
    <w:rsid w:val="002327AE"/>
    <w:rsid w:val="002327DD"/>
    <w:rsid w:val="00232938"/>
    <w:rsid w:val="00232AE8"/>
    <w:rsid w:val="00232F94"/>
    <w:rsid w:val="002334CD"/>
    <w:rsid w:val="00233806"/>
    <w:rsid w:val="00233C2A"/>
    <w:rsid w:val="00233DED"/>
    <w:rsid w:val="00233E7F"/>
    <w:rsid w:val="002341C2"/>
    <w:rsid w:val="00235290"/>
    <w:rsid w:val="002352D7"/>
    <w:rsid w:val="00235D53"/>
    <w:rsid w:val="00235D62"/>
    <w:rsid w:val="002361BC"/>
    <w:rsid w:val="00236AB9"/>
    <w:rsid w:val="00236C4C"/>
    <w:rsid w:val="00236F59"/>
    <w:rsid w:val="00237D60"/>
    <w:rsid w:val="00240993"/>
    <w:rsid w:val="00240DFC"/>
    <w:rsid w:val="0024134E"/>
    <w:rsid w:val="002416BB"/>
    <w:rsid w:val="00242BDB"/>
    <w:rsid w:val="00242BFE"/>
    <w:rsid w:val="00242D3E"/>
    <w:rsid w:val="002432B5"/>
    <w:rsid w:val="002435CD"/>
    <w:rsid w:val="0024379D"/>
    <w:rsid w:val="00243BB6"/>
    <w:rsid w:val="00243D8C"/>
    <w:rsid w:val="00243DF2"/>
    <w:rsid w:val="00243EE9"/>
    <w:rsid w:val="00244209"/>
    <w:rsid w:val="002447A4"/>
    <w:rsid w:val="00244A4D"/>
    <w:rsid w:val="0024513F"/>
    <w:rsid w:val="00245236"/>
    <w:rsid w:val="0024636B"/>
    <w:rsid w:val="00246609"/>
    <w:rsid w:val="00246851"/>
    <w:rsid w:val="00246A32"/>
    <w:rsid w:val="00247589"/>
    <w:rsid w:val="00247864"/>
    <w:rsid w:val="0024789B"/>
    <w:rsid w:val="00247C0C"/>
    <w:rsid w:val="00250234"/>
    <w:rsid w:val="0025035F"/>
    <w:rsid w:val="002506C0"/>
    <w:rsid w:val="00250842"/>
    <w:rsid w:val="00250C4C"/>
    <w:rsid w:val="002517DE"/>
    <w:rsid w:val="00251C3A"/>
    <w:rsid w:val="00251E6D"/>
    <w:rsid w:val="002522F6"/>
    <w:rsid w:val="002525F3"/>
    <w:rsid w:val="0025281D"/>
    <w:rsid w:val="00252AE6"/>
    <w:rsid w:val="00253F3E"/>
    <w:rsid w:val="00253F95"/>
    <w:rsid w:val="00254237"/>
    <w:rsid w:val="0025434E"/>
    <w:rsid w:val="002547BB"/>
    <w:rsid w:val="002548ED"/>
    <w:rsid w:val="002549F8"/>
    <w:rsid w:val="00254E3E"/>
    <w:rsid w:val="0025568E"/>
    <w:rsid w:val="00255BE5"/>
    <w:rsid w:val="00255EF8"/>
    <w:rsid w:val="00256695"/>
    <w:rsid w:val="002568C9"/>
    <w:rsid w:val="00256A15"/>
    <w:rsid w:val="00256C00"/>
    <w:rsid w:val="00256C5D"/>
    <w:rsid w:val="00257B3C"/>
    <w:rsid w:val="00260169"/>
    <w:rsid w:val="0026049B"/>
    <w:rsid w:val="002604F2"/>
    <w:rsid w:val="00260A61"/>
    <w:rsid w:val="00260B1C"/>
    <w:rsid w:val="00260C70"/>
    <w:rsid w:val="002611A6"/>
    <w:rsid w:val="002613CC"/>
    <w:rsid w:val="00261A9F"/>
    <w:rsid w:val="00262331"/>
    <w:rsid w:val="0026236B"/>
    <w:rsid w:val="0026249A"/>
    <w:rsid w:val="002625C9"/>
    <w:rsid w:val="00262905"/>
    <w:rsid w:val="00262B4A"/>
    <w:rsid w:val="00262CA3"/>
    <w:rsid w:val="00262CA4"/>
    <w:rsid w:val="00263654"/>
    <w:rsid w:val="00263C27"/>
    <w:rsid w:val="002641A5"/>
    <w:rsid w:val="002649B1"/>
    <w:rsid w:val="00264C05"/>
    <w:rsid w:val="0026580D"/>
    <w:rsid w:val="00265821"/>
    <w:rsid w:val="00265938"/>
    <w:rsid w:val="00266256"/>
    <w:rsid w:val="0026690F"/>
    <w:rsid w:val="00267101"/>
    <w:rsid w:val="00267211"/>
    <w:rsid w:val="00267A56"/>
    <w:rsid w:val="00267A5A"/>
    <w:rsid w:val="0027000C"/>
    <w:rsid w:val="002707EB"/>
    <w:rsid w:val="00270FEF"/>
    <w:rsid w:val="0027110E"/>
    <w:rsid w:val="00271A16"/>
    <w:rsid w:val="00271A70"/>
    <w:rsid w:val="00271B7F"/>
    <w:rsid w:val="00272123"/>
    <w:rsid w:val="0027227F"/>
    <w:rsid w:val="0027307A"/>
    <w:rsid w:val="00273775"/>
    <w:rsid w:val="00273AB8"/>
    <w:rsid w:val="002740B3"/>
    <w:rsid w:val="00274121"/>
    <w:rsid w:val="00274372"/>
    <w:rsid w:val="00275480"/>
    <w:rsid w:val="002756CF"/>
    <w:rsid w:val="00275A92"/>
    <w:rsid w:val="00275ACF"/>
    <w:rsid w:val="00275F60"/>
    <w:rsid w:val="00276012"/>
    <w:rsid w:val="0027623F"/>
    <w:rsid w:val="0027632C"/>
    <w:rsid w:val="00276453"/>
    <w:rsid w:val="002766BB"/>
    <w:rsid w:val="0027690C"/>
    <w:rsid w:val="00276EBF"/>
    <w:rsid w:val="00276F24"/>
    <w:rsid w:val="002807AD"/>
    <w:rsid w:val="002807E4"/>
    <w:rsid w:val="0028160B"/>
    <w:rsid w:val="00281D68"/>
    <w:rsid w:val="00282418"/>
    <w:rsid w:val="002826B5"/>
    <w:rsid w:val="00282814"/>
    <w:rsid w:val="0028298C"/>
    <w:rsid w:val="00282A52"/>
    <w:rsid w:val="00282A8F"/>
    <w:rsid w:val="002832DF"/>
    <w:rsid w:val="0028352D"/>
    <w:rsid w:val="002838F4"/>
    <w:rsid w:val="00283AB4"/>
    <w:rsid w:val="00283E29"/>
    <w:rsid w:val="0028532E"/>
    <w:rsid w:val="00285921"/>
    <w:rsid w:val="00285E7A"/>
    <w:rsid w:val="0028671A"/>
    <w:rsid w:val="00286A7D"/>
    <w:rsid w:val="002876C2"/>
    <w:rsid w:val="00287AFB"/>
    <w:rsid w:val="00287C4F"/>
    <w:rsid w:val="0029034E"/>
    <w:rsid w:val="00290408"/>
    <w:rsid w:val="00290514"/>
    <w:rsid w:val="00290925"/>
    <w:rsid w:val="00292358"/>
    <w:rsid w:val="0029258C"/>
    <w:rsid w:val="00293941"/>
    <w:rsid w:val="0029394D"/>
    <w:rsid w:val="00293E4B"/>
    <w:rsid w:val="00293EC4"/>
    <w:rsid w:val="0029492E"/>
    <w:rsid w:val="00294EA9"/>
    <w:rsid w:val="00295A41"/>
    <w:rsid w:val="002964D1"/>
    <w:rsid w:val="00296907"/>
    <w:rsid w:val="002972BC"/>
    <w:rsid w:val="00297479"/>
    <w:rsid w:val="002A038E"/>
    <w:rsid w:val="002A041D"/>
    <w:rsid w:val="002A0685"/>
    <w:rsid w:val="002A0858"/>
    <w:rsid w:val="002A0A91"/>
    <w:rsid w:val="002A110A"/>
    <w:rsid w:val="002A1165"/>
    <w:rsid w:val="002A1D17"/>
    <w:rsid w:val="002A1F3A"/>
    <w:rsid w:val="002A2262"/>
    <w:rsid w:val="002A2C5C"/>
    <w:rsid w:val="002A2C87"/>
    <w:rsid w:val="002A40A6"/>
    <w:rsid w:val="002A47FF"/>
    <w:rsid w:val="002A4EB8"/>
    <w:rsid w:val="002A5174"/>
    <w:rsid w:val="002A5204"/>
    <w:rsid w:val="002A55F7"/>
    <w:rsid w:val="002A5612"/>
    <w:rsid w:val="002A5AE0"/>
    <w:rsid w:val="002A6503"/>
    <w:rsid w:val="002A681D"/>
    <w:rsid w:val="002A6B50"/>
    <w:rsid w:val="002A6C17"/>
    <w:rsid w:val="002A7586"/>
    <w:rsid w:val="002A76C2"/>
    <w:rsid w:val="002A7750"/>
    <w:rsid w:val="002B0289"/>
    <w:rsid w:val="002B067F"/>
    <w:rsid w:val="002B12D7"/>
    <w:rsid w:val="002B1499"/>
    <w:rsid w:val="002B1A09"/>
    <w:rsid w:val="002B227D"/>
    <w:rsid w:val="002B2AE2"/>
    <w:rsid w:val="002B2D43"/>
    <w:rsid w:val="002B2D76"/>
    <w:rsid w:val="002B2DCA"/>
    <w:rsid w:val="002B2E55"/>
    <w:rsid w:val="002B3163"/>
    <w:rsid w:val="002B3290"/>
    <w:rsid w:val="002B34BB"/>
    <w:rsid w:val="002B4469"/>
    <w:rsid w:val="002B4671"/>
    <w:rsid w:val="002B4764"/>
    <w:rsid w:val="002B4C08"/>
    <w:rsid w:val="002B4D6D"/>
    <w:rsid w:val="002B543E"/>
    <w:rsid w:val="002B5640"/>
    <w:rsid w:val="002B569C"/>
    <w:rsid w:val="002B5AE1"/>
    <w:rsid w:val="002B5ECF"/>
    <w:rsid w:val="002B62C6"/>
    <w:rsid w:val="002B6440"/>
    <w:rsid w:val="002B6ED5"/>
    <w:rsid w:val="002B7A6E"/>
    <w:rsid w:val="002C00B7"/>
    <w:rsid w:val="002C0151"/>
    <w:rsid w:val="002C0376"/>
    <w:rsid w:val="002C03F6"/>
    <w:rsid w:val="002C07E0"/>
    <w:rsid w:val="002C180C"/>
    <w:rsid w:val="002C18CC"/>
    <w:rsid w:val="002C19B3"/>
    <w:rsid w:val="002C1BFD"/>
    <w:rsid w:val="002C1DAB"/>
    <w:rsid w:val="002C21EA"/>
    <w:rsid w:val="002C22B6"/>
    <w:rsid w:val="002C25A8"/>
    <w:rsid w:val="002C2C52"/>
    <w:rsid w:val="002C3936"/>
    <w:rsid w:val="002C4416"/>
    <w:rsid w:val="002C45E8"/>
    <w:rsid w:val="002C4E06"/>
    <w:rsid w:val="002C5271"/>
    <w:rsid w:val="002C59BA"/>
    <w:rsid w:val="002C5DE0"/>
    <w:rsid w:val="002C6817"/>
    <w:rsid w:val="002C6E0F"/>
    <w:rsid w:val="002C6EFF"/>
    <w:rsid w:val="002C71AA"/>
    <w:rsid w:val="002C71DA"/>
    <w:rsid w:val="002C77E6"/>
    <w:rsid w:val="002C79DA"/>
    <w:rsid w:val="002C7A1B"/>
    <w:rsid w:val="002C7D81"/>
    <w:rsid w:val="002D0801"/>
    <w:rsid w:val="002D0A0A"/>
    <w:rsid w:val="002D12FC"/>
    <w:rsid w:val="002D17F0"/>
    <w:rsid w:val="002D1DC7"/>
    <w:rsid w:val="002D1F9F"/>
    <w:rsid w:val="002D27FF"/>
    <w:rsid w:val="002D2C78"/>
    <w:rsid w:val="002D31BF"/>
    <w:rsid w:val="002D3BC4"/>
    <w:rsid w:val="002D4636"/>
    <w:rsid w:val="002D4861"/>
    <w:rsid w:val="002D4A1C"/>
    <w:rsid w:val="002D4D95"/>
    <w:rsid w:val="002D4E9E"/>
    <w:rsid w:val="002D4F69"/>
    <w:rsid w:val="002D5215"/>
    <w:rsid w:val="002D61D8"/>
    <w:rsid w:val="002D667C"/>
    <w:rsid w:val="002D6696"/>
    <w:rsid w:val="002D69F1"/>
    <w:rsid w:val="002D736D"/>
    <w:rsid w:val="002D79E7"/>
    <w:rsid w:val="002D7ABF"/>
    <w:rsid w:val="002E042B"/>
    <w:rsid w:val="002E13E4"/>
    <w:rsid w:val="002E1999"/>
    <w:rsid w:val="002E1F52"/>
    <w:rsid w:val="002E2DC8"/>
    <w:rsid w:val="002E2E27"/>
    <w:rsid w:val="002E3045"/>
    <w:rsid w:val="002E3101"/>
    <w:rsid w:val="002E3154"/>
    <w:rsid w:val="002E4404"/>
    <w:rsid w:val="002E4C03"/>
    <w:rsid w:val="002E5CEF"/>
    <w:rsid w:val="002E6230"/>
    <w:rsid w:val="002E6254"/>
    <w:rsid w:val="002E630A"/>
    <w:rsid w:val="002E6898"/>
    <w:rsid w:val="002E70BF"/>
    <w:rsid w:val="002E775A"/>
    <w:rsid w:val="002E777A"/>
    <w:rsid w:val="002F0ABE"/>
    <w:rsid w:val="002F12B4"/>
    <w:rsid w:val="002F16E7"/>
    <w:rsid w:val="002F2725"/>
    <w:rsid w:val="002F2960"/>
    <w:rsid w:val="002F30D5"/>
    <w:rsid w:val="002F3713"/>
    <w:rsid w:val="002F4453"/>
    <w:rsid w:val="002F468F"/>
    <w:rsid w:val="002F4AAE"/>
    <w:rsid w:val="002F4B00"/>
    <w:rsid w:val="002F51B0"/>
    <w:rsid w:val="002F529A"/>
    <w:rsid w:val="002F53F2"/>
    <w:rsid w:val="002F56CD"/>
    <w:rsid w:val="002F5E9A"/>
    <w:rsid w:val="002F6296"/>
    <w:rsid w:val="002F6360"/>
    <w:rsid w:val="002F65EC"/>
    <w:rsid w:val="002F661A"/>
    <w:rsid w:val="002F67BA"/>
    <w:rsid w:val="002F6E65"/>
    <w:rsid w:val="002F6E66"/>
    <w:rsid w:val="002F72CF"/>
    <w:rsid w:val="002F7A80"/>
    <w:rsid w:val="002F7C65"/>
    <w:rsid w:val="002F7E07"/>
    <w:rsid w:val="00300018"/>
    <w:rsid w:val="003004C4"/>
    <w:rsid w:val="00300648"/>
    <w:rsid w:val="003007F0"/>
    <w:rsid w:val="00300B6C"/>
    <w:rsid w:val="00300BDE"/>
    <w:rsid w:val="00300F3C"/>
    <w:rsid w:val="00301381"/>
    <w:rsid w:val="00301FB2"/>
    <w:rsid w:val="003023DB"/>
    <w:rsid w:val="003023F0"/>
    <w:rsid w:val="0030240A"/>
    <w:rsid w:val="003027BF"/>
    <w:rsid w:val="00302A69"/>
    <w:rsid w:val="00302C40"/>
    <w:rsid w:val="0030318A"/>
    <w:rsid w:val="003035D6"/>
    <w:rsid w:val="00304913"/>
    <w:rsid w:val="00304E11"/>
    <w:rsid w:val="00305784"/>
    <w:rsid w:val="00305853"/>
    <w:rsid w:val="00305A11"/>
    <w:rsid w:val="00305D56"/>
    <w:rsid w:val="00305F3F"/>
    <w:rsid w:val="00305F4A"/>
    <w:rsid w:val="00306213"/>
    <w:rsid w:val="003063B8"/>
    <w:rsid w:val="003064E9"/>
    <w:rsid w:val="00306A53"/>
    <w:rsid w:val="00306B78"/>
    <w:rsid w:val="00306F25"/>
    <w:rsid w:val="00307363"/>
    <w:rsid w:val="0031055E"/>
    <w:rsid w:val="00310759"/>
    <w:rsid w:val="00310CCB"/>
    <w:rsid w:val="003110AF"/>
    <w:rsid w:val="00311222"/>
    <w:rsid w:val="003112C1"/>
    <w:rsid w:val="00311454"/>
    <w:rsid w:val="003115AA"/>
    <w:rsid w:val="003118F6"/>
    <w:rsid w:val="003123F5"/>
    <w:rsid w:val="00312CFE"/>
    <w:rsid w:val="00312D3D"/>
    <w:rsid w:val="0031302F"/>
    <w:rsid w:val="00313C74"/>
    <w:rsid w:val="00313EED"/>
    <w:rsid w:val="00314BF9"/>
    <w:rsid w:val="00315887"/>
    <w:rsid w:val="00316503"/>
    <w:rsid w:val="003165A4"/>
    <w:rsid w:val="003173FD"/>
    <w:rsid w:val="0031756E"/>
    <w:rsid w:val="0031791E"/>
    <w:rsid w:val="00320196"/>
    <w:rsid w:val="00320655"/>
    <w:rsid w:val="00320C26"/>
    <w:rsid w:val="00320D6E"/>
    <w:rsid w:val="00320D89"/>
    <w:rsid w:val="00320F6C"/>
    <w:rsid w:val="00321199"/>
    <w:rsid w:val="0032154B"/>
    <w:rsid w:val="003223F6"/>
    <w:rsid w:val="00322E8A"/>
    <w:rsid w:val="003233F1"/>
    <w:rsid w:val="00323BD5"/>
    <w:rsid w:val="00323FA8"/>
    <w:rsid w:val="00324810"/>
    <w:rsid w:val="003252B8"/>
    <w:rsid w:val="003256D4"/>
    <w:rsid w:val="003256EC"/>
    <w:rsid w:val="00325A58"/>
    <w:rsid w:val="00325C96"/>
    <w:rsid w:val="00325DB2"/>
    <w:rsid w:val="003262FA"/>
    <w:rsid w:val="003266C6"/>
    <w:rsid w:val="0032676D"/>
    <w:rsid w:val="00326849"/>
    <w:rsid w:val="003274DD"/>
    <w:rsid w:val="00327894"/>
    <w:rsid w:val="00330499"/>
    <w:rsid w:val="0033052E"/>
    <w:rsid w:val="00330626"/>
    <w:rsid w:val="003308FC"/>
    <w:rsid w:val="00330CBE"/>
    <w:rsid w:val="00330DFD"/>
    <w:rsid w:val="00330EC5"/>
    <w:rsid w:val="0033120D"/>
    <w:rsid w:val="003314D9"/>
    <w:rsid w:val="00332B2E"/>
    <w:rsid w:val="00332EF1"/>
    <w:rsid w:val="003330A5"/>
    <w:rsid w:val="003339BD"/>
    <w:rsid w:val="00333C35"/>
    <w:rsid w:val="00333F8B"/>
    <w:rsid w:val="003340CF"/>
    <w:rsid w:val="00334704"/>
    <w:rsid w:val="00334A2D"/>
    <w:rsid w:val="00334A50"/>
    <w:rsid w:val="00334DE4"/>
    <w:rsid w:val="0033503D"/>
    <w:rsid w:val="00335633"/>
    <w:rsid w:val="00335BB5"/>
    <w:rsid w:val="00335EAA"/>
    <w:rsid w:val="00335ED6"/>
    <w:rsid w:val="003366B7"/>
    <w:rsid w:val="00336D52"/>
    <w:rsid w:val="0033727C"/>
    <w:rsid w:val="00337797"/>
    <w:rsid w:val="00337C82"/>
    <w:rsid w:val="00340152"/>
    <w:rsid w:val="003408B8"/>
    <w:rsid w:val="00340F71"/>
    <w:rsid w:val="003410E2"/>
    <w:rsid w:val="003412BA"/>
    <w:rsid w:val="003416E6"/>
    <w:rsid w:val="0034184F"/>
    <w:rsid w:val="00341C26"/>
    <w:rsid w:val="00341C3C"/>
    <w:rsid w:val="003420A9"/>
    <w:rsid w:val="003423E9"/>
    <w:rsid w:val="00342F9D"/>
    <w:rsid w:val="0034311F"/>
    <w:rsid w:val="003449B1"/>
    <w:rsid w:val="00344B2E"/>
    <w:rsid w:val="00344FE1"/>
    <w:rsid w:val="003453CC"/>
    <w:rsid w:val="00345613"/>
    <w:rsid w:val="003458BC"/>
    <w:rsid w:val="003459B9"/>
    <w:rsid w:val="00346100"/>
    <w:rsid w:val="0034626A"/>
    <w:rsid w:val="00346CF9"/>
    <w:rsid w:val="003474F1"/>
    <w:rsid w:val="00347FC2"/>
    <w:rsid w:val="00350737"/>
    <w:rsid w:val="003507CA"/>
    <w:rsid w:val="00350F7E"/>
    <w:rsid w:val="0035100B"/>
    <w:rsid w:val="0035182D"/>
    <w:rsid w:val="003518ED"/>
    <w:rsid w:val="00351B85"/>
    <w:rsid w:val="00352097"/>
    <w:rsid w:val="003522C4"/>
    <w:rsid w:val="00352D3F"/>
    <w:rsid w:val="0035341A"/>
    <w:rsid w:val="00353DE8"/>
    <w:rsid w:val="00353F10"/>
    <w:rsid w:val="0035405E"/>
    <w:rsid w:val="003547A6"/>
    <w:rsid w:val="00354CA2"/>
    <w:rsid w:val="00354CA3"/>
    <w:rsid w:val="00354F3C"/>
    <w:rsid w:val="00355395"/>
    <w:rsid w:val="00355E85"/>
    <w:rsid w:val="00356800"/>
    <w:rsid w:val="00356D9A"/>
    <w:rsid w:val="00356FC1"/>
    <w:rsid w:val="003574A4"/>
    <w:rsid w:val="00357D43"/>
    <w:rsid w:val="00360177"/>
    <w:rsid w:val="00360178"/>
    <w:rsid w:val="0036022B"/>
    <w:rsid w:val="00361845"/>
    <w:rsid w:val="00361FA8"/>
    <w:rsid w:val="00362288"/>
    <w:rsid w:val="00362499"/>
    <w:rsid w:val="003624D3"/>
    <w:rsid w:val="0036260F"/>
    <w:rsid w:val="00362782"/>
    <w:rsid w:val="00362FB8"/>
    <w:rsid w:val="0036370B"/>
    <w:rsid w:val="003638B6"/>
    <w:rsid w:val="00364122"/>
    <w:rsid w:val="00364344"/>
    <w:rsid w:val="00364518"/>
    <w:rsid w:val="00364DE7"/>
    <w:rsid w:val="00365034"/>
    <w:rsid w:val="0036570B"/>
    <w:rsid w:val="00365873"/>
    <w:rsid w:val="00365997"/>
    <w:rsid w:val="00365BE2"/>
    <w:rsid w:val="00365C2F"/>
    <w:rsid w:val="0036691B"/>
    <w:rsid w:val="00366C4A"/>
    <w:rsid w:val="00366D02"/>
    <w:rsid w:val="00367438"/>
    <w:rsid w:val="00367439"/>
    <w:rsid w:val="003674D0"/>
    <w:rsid w:val="00367A24"/>
    <w:rsid w:val="00370232"/>
    <w:rsid w:val="00370383"/>
    <w:rsid w:val="00370D75"/>
    <w:rsid w:val="003715CE"/>
    <w:rsid w:val="003715F0"/>
    <w:rsid w:val="00372A95"/>
    <w:rsid w:val="00372FE5"/>
    <w:rsid w:val="00373692"/>
    <w:rsid w:val="00373931"/>
    <w:rsid w:val="00373B62"/>
    <w:rsid w:val="00373BB1"/>
    <w:rsid w:val="00373CDD"/>
    <w:rsid w:val="0037467F"/>
    <w:rsid w:val="0037487D"/>
    <w:rsid w:val="003749DB"/>
    <w:rsid w:val="00374C0B"/>
    <w:rsid w:val="00375F15"/>
    <w:rsid w:val="0037653C"/>
    <w:rsid w:val="00376746"/>
    <w:rsid w:val="00376947"/>
    <w:rsid w:val="00376BD1"/>
    <w:rsid w:val="003772AA"/>
    <w:rsid w:val="003774B1"/>
    <w:rsid w:val="00377592"/>
    <w:rsid w:val="00380AC0"/>
    <w:rsid w:val="00380FDF"/>
    <w:rsid w:val="00381327"/>
    <w:rsid w:val="003817D6"/>
    <w:rsid w:val="00381B88"/>
    <w:rsid w:val="00382073"/>
    <w:rsid w:val="00382B08"/>
    <w:rsid w:val="00382ED9"/>
    <w:rsid w:val="0038312E"/>
    <w:rsid w:val="00383283"/>
    <w:rsid w:val="0038369A"/>
    <w:rsid w:val="0038405B"/>
    <w:rsid w:val="00384116"/>
    <w:rsid w:val="00384F05"/>
    <w:rsid w:val="0038546E"/>
    <w:rsid w:val="003855BB"/>
    <w:rsid w:val="00385BCC"/>
    <w:rsid w:val="00386103"/>
    <w:rsid w:val="00386AA1"/>
    <w:rsid w:val="003871DD"/>
    <w:rsid w:val="00387A69"/>
    <w:rsid w:val="0039051A"/>
    <w:rsid w:val="003905CA"/>
    <w:rsid w:val="003906F9"/>
    <w:rsid w:val="00390A35"/>
    <w:rsid w:val="00390BC4"/>
    <w:rsid w:val="00390C8B"/>
    <w:rsid w:val="0039142C"/>
    <w:rsid w:val="003916E0"/>
    <w:rsid w:val="00391FD8"/>
    <w:rsid w:val="00392753"/>
    <w:rsid w:val="00392D98"/>
    <w:rsid w:val="00392D9B"/>
    <w:rsid w:val="0039377B"/>
    <w:rsid w:val="003937B3"/>
    <w:rsid w:val="00393F0A"/>
    <w:rsid w:val="003941A1"/>
    <w:rsid w:val="00394882"/>
    <w:rsid w:val="00394A31"/>
    <w:rsid w:val="00394AC4"/>
    <w:rsid w:val="00395069"/>
    <w:rsid w:val="0039546A"/>
    <w:rsid w:val="003955F9"/>
    <w:rsid w:val="00395762"/>
    <w:rsid w:val="0039599A"/>
    <w:rsid w:val="00395BEC"/>
    <w:rsid w:val="0039651A"/>
    <w:rsid w:val="00396C6D"/>
    <w:rsid w:val="00396EB7"/>
    <w:rsid w:val="003977D1"/>
    <w:rsid w:val="0039794C"/>
    <w:rsid w:val="00397C6C"/>
    <w:rsid w:val="003A05D0"/>
    <w:rsid w:val="003A09B1"/>
    <w:rsid w:val="003A0A12"/>
    <w:rsid w:val="003A0DE1"/>
    <w:rsid w:val="003A13F5"/>
    <w:rsid w:val="003A149C"/>
    <w:rsid w:val="003A1A41"/>
    <w:rsid w:val="003A1CA7"/>
    <w:rsid w:val="003A273B"/>
    <w:rsid w:val="003A2897"/>
    <w:rsid w:val="003A2CB6"/>
    <w:rsid w:val="003A2DDC"/>
    <w:rsid w:val="003A2E1E"/>
    <w:rsid w:val="003A303C"/>
    <w:rsid w:val="003A3180"/>
    <w:rsid w:val="003A33CC"/>
    <w:rsid w:val="003A3741"/>
    <w:rsid w:val="003A392F"/>
    <w:rsid w:val="003A39D4"/>
    <w:rsid w:val="003A3D6C"/>
    <w:rsid w:val="003A3F31"/>
    <w:rsid w:val="003A4173"/>
    <w:rsid w:val="003A478B"/>
    <w:rsid w:val="003A4B39"/>
    <w:rsid w:val="003A4EDC"/>
    <w:rsid w:val="003A512B"/>
    <w:rsid w:val="003A528E"/>
    <w:rsid w:val="003A53DC"/>
    <w:rsid w:val="003A54C8"/>
    <w:rsid w:val="003A58D7"/>
    <w:rsid w:val="003A59F0"/>
    <w:rsid w:val="003A5CE2"/>
    <w:rsid w:val="003A6125"/>
    <w:rsid w:val="003A6275"/>
    <w:rsid w:val="003A6DFF"/>
    <w:rsid w:val="003A76E0"/>
    <w:rsid w:val="003B0541"/>
    <w:rsid w:val="003B0FDA"/>
    <w:rsid w:val="003B1080"/>
    <w:rsid w:val="003B14A0"/>
    <w:rsid w:val="003B18D4"/>
    <w:rsid w:val="003B1F7C"/>
    <w:rsid w:val="003B20B2"/>
    <w:rsid w:val="003B22C4"/>
    <w:rsid w:val="003B23A5"/>
    <w:rsid w:val="003B25E6"/>
    <w:rsid w:val="003B30E7"/>
    <w:rsid w:val="003B3423"/>
    <w:rsid w:val="003B3F56"/>
    <w:rsid w:val="003B3F5E"/>
    <w:rsid w:val="003B53B1"/>
    <w:rsid w:val="003B5DEF"/>
    <w:rsid w:val="003B5E32"/>
    <w:rsid w:val="003B5E6D"/>
    <w:rsid w:val="003B6D4A"/>
    <w:rsid w:val="003B6DDB"/>
    <w:rsid w:val="003B6E87"/>
    <w:rsid w:val="003B6FF4"/>
    <w:rsid w:val="003B7355"/>
    <w:rsid w:val="003B7FB9"/>
    <w:rsid w:val="003C0418"/>
    <w:rsid w:val="003C1634"/>
    <w:rsid w:val="003C230C"/>
    <w:rsid w:val="003C2480"/>
    <w:rsid w:val="003C2918"/>
    <w:rsid w:val="003C2C76"/>
    <w:rsid w:val="003C3091"/>
    <w:rsid w:val="003C31C2"/>
    <w:rsid w:val="003C3432"/>
    <w:rsid w:val="003C44D5"/>
    <w:rsid w:val="003C464F"/>
    <w:rsid w:val="003C4875"/>
    <w:rsid w:val="003C4A22"/>
    <w:rsid w:val="003C50DF"/>
    <w:rsid w:val="003C52BE"/>
    <w:rsid w:val="003C5ED5"/>
    <w:rsid w:val="003C60E3"/>
    <w:rsid w:val="003C613E"/>
    <w:rsid w:val="003C6405"/>
    <w:rsid w:val="003C673A"/>
    <w:rsid w:val="003C6BD9"/>
    <w:rsid w:val="003C72C1"/>
    <w:rsid w:val="003C77E7"/>
    <w:rsid w:val="003C78B1"/>
    <w:rsid w:val="003C79F8"/>
    <w:rsid w:val="003D0488"/>
    <w:rsid w:val="003D0A13"/>
    <w:rsid w:val="003D0F01"/>
    <w:rsid w:val="003D10DB"/>
    <w:rsid w:val="003D11B5"/>
    <w:rsid w:val="003D1E8A"/>
    <w:rsid w:val="003D31CA"/>
    <w:rsid w:val="003D378F"/>
    <w:rsid w:val="003D3C3A"/>
    <w:rsid w:val="003D3C8F"/>
    <w:rsid w:val="003D436C"/>
    <w:rsid w:val="003D4590"/>
    <w:rsid w:val="003D4922"/>
    <w:rsid w:val="003D4E92"/>
    <w:rsid w:val="003D4F6A"/>
    <w:rsid w:val="003D5349"/>
    <w:rsid w:val="003D59C6"/>
    <w:rsid w:val="003D5C2D"/>
    <w:rsid w:val="003D67E4"/>
    <w:rsid w:val="003D6AD5"/>
    <w:rsid w:val="003D6AF4"/>
    <w:rsid w:val="003D6AF6"/>
    <w:rsid w:val="003D70A8"/>
    <w:rsid w:val="003E04E1"/>
    <w:rsid w:val="003E0944"/>
    <w:rsid w:val="003E0D13"/>
    <w:rsid w:val="003E20E5"/>
    <w:rsid w:val="003E2C06"/>
    <w:rsid w:val="003E443A"/>
    <w:rsid w:val="003E5051"/>
    <w:rsid w:val="003E5074"/>
    <w:rsid w:val="003E6059"/>
    <w:rsid w:val="003E635D"/>
    <w:rsid w:val="003E6A56"/>
    <w:rsid w:val="003E6CF9"/>
    <w:rsid w:val="003E7169"/>
    <w:rsid w:val="003E71C5"/>
    <w:rsid w:val="003E769E"/>
    <w:rsid w:val="003E7ED0"/>
    <w:rsid w:val="003F0069"/>
    <w:rsid w:val="003F080E"/>
    <w:rsid w:val="003F145A"/>
    <w:rsid w:val="003F173F"/>
    <w:rsid w:val="003F180D"/>
    <w:rsid w:val="003F1876"/>
    <w:rsid w:val="003F193C"/>
    <w:rsid w:val="003F19B2"/>
    <w:rsid w:val="003F1A65"/>
    <w:rsid w:val="003F1BFD"/>
    <w:rsid w:val="003F23BA"/>
    <w:rsid w:val="003F23BC"/>
    <w:rsid w:val="003F2863"/>
    <w:rsid w:val="003F2E15"/>
    <w:rsid w:val="003F2E17"/>
    <w:rsid w:val="003F303F"/>
    <w:rsid w:val="003F32C5"/>
    <w:rsid w:val="003F3795"/>
    <w:rsid w:val="003F395C"/>
    <w:rsid w:val="003F396D"/>
    <w:rsid w:val="003F3998"/>
    <w:rsid w:val="003F3AEF"/>
    <w:rsid w:val="003F3BF0"/>
    <w:rsid w:val="003F40D0"/>
    <w:rsid w:val="003F4A10"/>
    <w:rsid w:val="003F4A7D"/>
    <w:rsid w:val="003F4FAE"/>
    <w:rsid w:val="003F51BA"/>
    <w:rsid w:val="003F5C88"/>
    <w:rsid w:val="003F5CD7"/>
    <w:rsid w:val="003F5E43"/>
    <w:rsid w:val="003F5F97"/>
    <w:rsid w:val="003F60B6"/>
    <w:rsid w:val="003F6534"/>
    <w:rsid w:val="003F6BAE"/>
    <w:rsid w:val="003F6C89"/>
    <w:rsid w:val="003F6DF9"/>
    <w:rsid w:val="003F7701"/>
    <w:rsid w:val="003F777E"/>
    <w:rsid w:val="003F7E5C"/>
    <w:rsid w:val="004017D5"/>
    <w:rsid w:val="00401AAD"/>
    <w:rsid w:val="004021B6"/>
    <w:rsid w:val="004021BF"/>
    <w:rsid w:val="00402CB0"/>
    <w:rsid w:val="00403262"/>
    <w:rsid w:val="00403665"/>
    <w:rsid w:val="00403706"/>
    <w:rsid w:val="00403AC4"/>
    <w:rsid w:val="00403F4D"/>
    <w:rsid w:val="004040E3"/>
    <w:rsid w:val="00404731"/>
    <w:rsid w:val="004049B4"/>
    <w:rsid w:val="00404AB5"/>
    <w:rsid w:val="00404EA6"/>
    <w:rsid w:val="004051A5"/>
    <w:rsid w:val="00405713"/>
    <w:rsid w:val="00405B19"/>
    <w:rsid w:val="00405CC9"/>
    <w:rsid w:val="0040637E"/>
    <w:rsid w:val="00406781"/>
    <w:rsid w:val="004067D9"/>
    <w:rsid w:val="00406926"/>
    <w:rsid w:val="0040798B"/>
    <w:rsid w:val="0040799E"/>
    <w:rsid w:val="00410004"/>
    <w:rsid w:val="0041065D"/>
    <w:rsid w:val="00410C76"/>
    <w:rsid w:val="004117F0"/>
    <w:rsid w:val="00411DD9"/>
    <w:rsid w:val="00411E46"/>
    <w:rsid w:val="00411EC4"/>
    <w:rsid w:val="004129BD"/>
    <w:rsid w:val="00412BCB"/>
    <w:rsid w:val="00412C44"/>
    <w:rsid w:val="00412EFC"/>
    <w:rsid w:val="00413AAC"/>
    <w:rsid w:val="00413E68"/>
    <w:rsid w:val="00414A4F"/>
    <w:rsid w:val="00415007"/>
    <w:rsid w:val="00415068"/>
    <w:rsid w:val="004154E2"/>
    <w:rsid w:val="004157A1"/>
    <w:rsid w:val="004159C3"/>
    <w:rsid w:val="00415A53"/>
    <w:rsid w:val="00415B74"/>
    <w:rsid w:val="00416DFE"/>
    <w:rsid w:val="00417213"/>
    <w:rsid w:val="004174FA"/>
    <w:rsid w:val="004175D4"/>
    <w:rsid w:val="00417BA6"/>
    <w:rsid w:val="00420204"/>
    <w:rsid w:val="0042050B"/>
    <w:rsid w:val="00420584"/>
    <w:rsid w:val="0042075B"/>
    <w:rsid w:val="004209E3"/>
    <w:rsid w:val="00420BA3"/>
    <w:rsid w:val="00421241"/>
    <w:rsid w:val="00421495"/>
    <w:rsid w:val="00421610"/>
    <w:rsid w:val="00421CB1"/>
    <w:rsid w:val="00422096"/>
    <w:rsid w:val="004233D1"/>
    <w:rsid w:val="00423818"/>
    <w:rsid w:val="00423CB6"/>
    <w:rsid w:val="00424626"/>
    <w:rsid w:val="00425C4C"/>
    <w:rsid w:val="00425CA7"/>
    <w:rsid w:val="004263AF"/>
    <w:rsid w:val="00426781"/>
    <w:rsid w:val="00426F88"/>
    <w:rsid w:val="0042739F"/>
    <w:rsid w:val="00427797"/>
    <w:rsid w:val="004277C2"/>
    <w:rsid w:val="00427DEE"/>
    <w:rsid w:val="004301BC"/>
    <w:rsid w:val="004303A6"/>
    <w:rsid w:val="00430715"/>
    <w:rsid w:val="00430D26"/>
    <w:rsid w:val="00430D92"/>
    <w:rsid w:val="0043189D"/>
    <w:rsid w:val="00431F7A"/>
    <w:rsid w:val="00432206"/>
    <w:rsid w:val="00432297"/>
    <w:rsid w:val="00432616"/>
    <w:rsid w:val="0043295D"/>
    <w:rsid w:val="004330C9"/>
    <w:rsid w:val="00433600"/>
    <w:rsid w:val="00433999"/>
    <w:rsid w:val="00434664"/>
    <w:rsid w:val="00434682"/>
    <w:rsid w:val="00434ACA"/>
    <w:rsid w:val="004353C7"/>
    <w:rsid w:val="004356F7"/>
    <w:rsid w:val="00435863"/>
    <w:rsid w:val="00435D4B"/>
    <w:rsid w:val="004361FA"/>
    <w:rsid w:val="00437347"/>
    <w:rsid w:val="00437594"/>
    <w:rsid w:val="00437886"/>
    <w:rsid w:val="00437CD7"/>
    <w:rsid w:val="0044021A"/>
    <w:rsid w:val="00440948"/>
    <w:rsid w:val="00440B39"/>
    <w:rsid w:val="004411A9"/>
    <w:rsid w:val="004412C6"/>
    <w:rsid w:val="00441C80"/>
    <w:rsid w:val="00442415"/>
    <w:rsid w:val="004426D8"/>
    <w:rsid w:val="0044271D"/>
    <w:rsid w:val="00442DE2"/>
    <w:rsid w:val="00443C90"/>
    <w:rsid w:val="0044425D"/>
    <w:rsid w:val="004444D2"/>
    <w:rsid w:val="004445AF"/>
    <w:rsid w:val="00444759"/>
    <w:rsid w:val="00445466"/>
    <w:rsid w:val="00445BE3"/>
    <w:rsid w:val="00446A8D"/>
    <w:rsid w:val="00446AF3"/>
    <w:rsid w:val="00446C16"/>
    <w:rsid w:val="00446C3F"/>
    <w:rsid w:val="00447C54"/>
    <w:rsid w:val="0045057D"/>
    <w:rsid w:val="0045087F"/>
    <w:rsid w:val="004508C9"/>
    <w:rsid w:val="0045099F"/>
    <w:rsid w:val="00450AB1"/>
    <w:rsid w:val="00450BAB"/>
    <w:rsid w:val="0045118D"/>
    <w:rsid w:val="004515CF"/>
    <w:rsid w:val="00451A17"/>
    <w:rsid w:val="00452161"/>
    <w:rsid w:val="004529F7"/>
    <w:rsid w:val="004535CC"/>
    <w:rsid w:val="00453792"/>
    <w:rsid w:val="00453846"/>
    <w:rsid w:val="004538DE"/>
    <w:rsid w:val="00453B4D"/>
    <w:rsid w:val="0045438C"/>
    <w:rsid w:val="00454D65"/>
    <w:rsid w:val="004555DB"/>
    <w:rsid w:val="00455DA7"/>
    <w:rsid w:val="00456183"/>
    <w:rsid w:val="0045648B"/>
    <w:rsid w:val="00456968"/>
    <w:rsid w:val="004569C9"/>
    <w:rsid w:val="00456C2C"/>
    <w:rsid w:val="00457C6C"/>
    <w:rsid w:val="0046033E"/>
    <w:rsid w:val="00460491"/>
    <w:rsid w:val="00460647"/>
    <w:rsid w:val="00461545"/>
    <w:rsid w:val="0046157A"/>
    <w:rsid w:val="00461CBD"/>
    <w:rsid w:val="00461D7C"/>
    <w:rsid w:val="00461EAE"/>
    <w:rsid w:val="00461F68"/>
    <w:rsid w:val="00463980"/>
    <w:rsid w:val="004646C1"/>
    <w:rsid w:val="00464A80"/>
    <w:rsid w:val="00464D72"/>
    <w:rsid w:val="00464DE7"/>
    <w:rsid w:val="00464E3E"/>
    <w:rsid w:val="0046511F"/>
    <w:rsid w:val="00465618"/>
    <w:rsid w:val="00465718"/>
    <w:rsid w:val="00465984"/>
    <w:rsid w:val="00465A02"/>
    <w:rsid w:val="00465D9B"/>
    <w:rsid w:val="00465DB7"/>
    <w:rsid w:val="0046633C"/>
    <w:rsid w:val="00466C1E"/>
    <w:rsid w:val="00466E86"/>
    <w:rsid w:val="00466FB8"/>
    <w:rsid w:val="004670ED"/>
    <w:rsid w:val="0047085F"/>
    <w:rsid w:val="0047192F"/>
    <w:rsid w:val="00472543"/>
    <w:rsid w:val="00472B40"/>
    <w:rsid w:val="0047334F"/>
    <w:rsid w:val="004733B3"/>
    <w:rsid w:val="00473EE9"/>
    <w:rsid w:val="0047478E"/>
    <w:rsid w:val="00474E76"/>
    <w:rsid w:val="00475E16"/>
    <w:rsid w:val="0047618F"/>
    <w:rsid w:val="00476BBC"/>
    <w:rsid w:val="00476FE1"/>
    <w:rsid w:val="004770AC"/>
    <w:rsid w:val="0047741D"/>
    <w:rsid w:val="00477D52"/>
    <w:rsid w:val="00477DAC"/>
    <w:rsid w:val="00477FDD"/>
    <w:rsid w:val="004800D2"/>
    <w:rsid w:val="00480C26"/>
    <w:rsid w:val="0048114E"/>
    <w:rsid w:val="0048149F"/>
    <w:rsid w:val="004814FA"/>
    <w:rsid w:val="004825C5"/>
    <w:rsid w:val="00482AE4"/>
    <w:rsid w:val="00483169"/>
    <w:rsid w:val="0048432C"/>
    <w:rsid w:val="00484468"/>
    <w:rsid w:val="0048465B"/>
    <w:rsid w:val="004847C7"/>
    <w:rsid w:val="004860A5"/>
    <w:rsid w:val="00486DBB"/>
    <w:rsid w:val="00487019"/>
    <w:rsid w:val="00487114"/>
    <w:rsid w:val="00487BEB"/>
    <w:rsid w:val="00490322"/>
    <w:rsid w:val="00490641"/>
    <w:rsid w:val="00490807"/>
    <w:rsid w:val="00490888"/>
    <w:rsid w:val="0049112B"/>
    <w:rsid w:val="004917D1"/>
    <w:rsid w:val="00491AEB"/>
    <w:rsid w:val="00491DF3"/>
    <w:rsid w:val="004920E0"/>
    <w:rsid w:val="00492A25"/>
    <w:rsid w:val="00492ABB"/>
    <w:rsid w:val="0049372F"/>
    <w:rsid w:val="00493D87"/>
    <w:rsid w:val="00493E5E"/>
    <w:rsid w:val="00493F84"/>
    <w:rsid w:val="004942F5"/>
    <w:rsid w:val="004949EA"/>
    <w:rsid w:val="0049549A"/>
    <w:rsid w:val="0049694C"/>
    <w:rsid w:val="00496B69"/>
    <w:rsid w:val="00496BDB"/>
    <w:rsid w:val="0049705F"/>
    <w:rsid w:val="00497142"/>
    <w:rsid w:val="00497C09"/>
    <w:rsid w:val="00497F3D"/>
    <w:rsid w:val="004A0BBA"/>
    <w:rsid w:val="004A1CCF"/>
    <w:rsid w:val="004A1F76"/>
    <w:rsid w:val="004A1FB3"/>
    <w:rsid w:val="004A2CA1"/>
    <w:rsid w:val="004A396A"/>
    <w:rsid w:val="004A3FE5"/>
    <w:rsid w:val="004A49C3"/>
    <w:rsid w:val="004A4BD6"/>
    <w:rsid w:val="004A4EFC"/>
    <w:rsid w:val="004A5117"/>
    <w:rsid w:val="004A540F"/>
    <w:rsid w:val="004A5598"/>
    <w:rsid w:val="004A58BF"/>
    <w:rsid w:val="004A637A"/>
    <w:rsid w:val="004A6ED7"/>
    <w:rsid w:val="004A7527"/>
    <w:rsid w:val="004A7C0D"/>
    <w:rsid w:val="004A7EFC"/>
    <w:rsid w:val="004B16F2"/>
    <w:rsid w:val="004B1A5D"/>
    <w:rsid w:val="004B1C67"/>
    <w:rsid w:val="004B1FBA"/>
    <w:rsid w:val="004B2AE1"/>
    <w:rsid w:val="004B2B91"/>
    <w:rsid w:val="004B2D5F"/>
    <w:rsid w:val="004B2D63"/>
    <w:rsid w:val="004B3873"/>
    <w:rsid w:val="004B3E9C"/>
    <w:rsid w:val="004B3FD2"/>
    <w:rsid w:val="004B41F5"/>
    <w:rsid w:val="004B4746"/>
    <w:rsid w:val="004B49BF"/>
    <w:rsid w:val="004B5098"/>
    <w:rsid w:val="004B51D8"/>
    <w:rsid w:val="004B5863"/>
    <w:rsid w:val="004B58A9"/>
    <w:rsid w:val="004B5BD6"/>
    <w:rsid w:val="004B5F64"/>
    <w:rsid w:val="004B676B"/>
    <w:rsid w:val="004B6F80"/>
    <w:rsid w:val="004B7195"/>
    <w:rsid w:val="004B7220"/>
    <w:rsid w:val="004C070F"/>
    <w:rsid w:val="004C0852"/>
    <w:rsid w:val="004C0AAB"/>
    <w:rsid w:val="004C194B"/>
    <w:rsid w:val="004C1F8F"/>
    <w:rsid w:val="004C203B"/>
    <w:rsid w:val="004C25DE"/>
    <w:rsid w:val="004C2874"/>
    <w:rsid w:val="004C3506"/>
    <w:rsid w:val="004C3A2B"/>
    <w:rsid w:val="004C3BD4"/>
    <w:rsid w:val="004C3DD6"/>
    <w:rsid w:val="004C4D7F"/>
    <w:rsid w:val="004C632A"/>
    <w:rsid w:val="004C6A6E"/>
    <w:rsid w:val="004C6E26"/>
    <w:rsid w:val="004C7405"/>
    <w:rsid w:val="004D01F8"/>
    <w:rsid w:val="004D05AF"/>
    <w:rsid w:val="004D18C2"/>
    <w:rsid w:val="004D2462"/>
    <w:rsid w:val="004D2F1C"/>
    <w:rsid w:val="004D357D"/>
    <w:rsid w:val="004D37C0"/>
    <w:rsid w:val="004D3C6D"/>
    <w:rsid w:val="004D48DE"/>
    <w:rsid w:val="004D501D"/>
    <w:rsid w:val="004D6B2F"/>
    <w:rsid w:val="004D6BDD"/>
    <w:rsid w:val="004D72F0"/>
    <w:rsid w:val="004D7722"/>
    <w:rsid w:val="004D7B7A"/>
    <w:rsid w:val="004D7DB5"/>
    <w:rsid w:val="004D7F6B"/>
    <w:rsid w:val="004E0091"/>
    <w:rsid w:val="004E009C"/>
    <w:rsid w:val="004E00B0"/>
    <w:rsid w:val="004E04B3"/>
    <w:rsid w:val="004E0501"/>
    <w:rsid w:val="004E09E3"/>
    <w:rsid w:val="004E0EC1"/>
    <w:rsid w:val="004E1116"/>
    <w:rsid w:val="004E12FB"/>
    <w:rsid w:val="004E1480"/>
    <w:rsid w:val="004E2132"/>
    <w:rsid w:val="004E276B"/>
    <w:rsid w:val="004E2967"/>
    <w:rsid w:val="004E2B12"/>
    <w:rsid w:val="004E2F28"/>
    <w:rsid w:val="004E3005"/>
    <w:rsid w:val="004E30A3"/>
    <w:rsid w:val="004E32A7"/>
    <w:rsid w:val="004E36F9"/>
    <w:rsid w:val="004E3DB3"/>
    <w:rsid w:val="004E3F9A"/>
    <w:rsid w:val="004E40DE"/>
    <w:rsid w:val="004E413C"/>
    <w:rsid w:val="004E41B8"/>
    <w:rsid w:val="004E451F"/>
    <w:rsid w:val="004E4612"/>
    <w:rsid w:val="004E4ECF"/>
    <w:rsid w:val="004E53FD"/>
    <w:rsid w:val="004E57EE"/>
    <w:rsid w:val="004E585F"/>
    <w:rsid w:val="004E5C40"/>
    <w:rsid w:val="004E5FDD"/>
    <w:rsid w:val="004E63B9"/>
    <w:rsid w:val="004E6E68"/>
    <w:rsid w:val="004E7435"/>
    <w:rsid w:val="004E76A2"/>
    <w:rsid w:val="004E7D49"/>
    <w:rsid w:val="004F0868"/>
    <w:rsid w:val="004F0AD9"/>
    <w:rsid w:val="004F0BF0"/>
    <w:rsid w:val="004F0CE9"/>
    <w:rsid w:val="004F11C5"/>
    <w:rsid w:val="004F14BD"/>
    <w:rsid w:val="004F16E4"/>
    <w:rsid w:val="004F212D"/>
    <w:rsid w:val="004F29A8"/>
    <w:rsid w:val="004F29D4"/>
    <w:rsid w:val="004F312C"/>
    <w:rsid w:val="004F33BD"/>
    <w:rsid w:val="004F4263"/>
    <w:rsid w:val="004F47AD"/>
    <w:rsid w:val="004F50EA"/>
    <w:rsid w:val="004F5484"/>
    <w:rsid w:val="004F57D4"/>
    <w:rsid w:val="004F5BF9"/>
    <w:rsid w:val="004F5D9D"/>
    <w:rsid w:val="004F5E88"/>
    <w:rsid w:val="004F611A"/>
    <w:rsid w:val="004F64A9"/>
    <w:rsid w:val="004F66DA"/>
    <w:rsid w:val="004F6920"/>
    <w:rsid w:val="004F7E5D"/>
    <w:rsid w:val="0050006A"/>
    <w:rsid w:val="005001B4"/>
    <w:rsid w:val="00500A49"/>
    <w:rsid w:val="00500C7A"/>
    <w:rsid w:val="00500DAA"/>
    <w:rsid w:val="00501559"/>
    <w:rsid w:val="0050298D"/>
    <w:rsid w:val="00502DCB"/>
    <w:rsid w:val="0050316C"/>
    <w:rsid w:val="005037A6"/>
    <w:rsid w:val="00503A35"/>
    <w:rsid w:val="00503E28"/>
    <w:rsid w:val="00503ECA"/>
    <w:rsid w:val="00504E2D"/>
    <w:rsid w:val="00504E98"/>
    <w:rsid w:val="005051F9"/>
    <w:rsid w:val="005054AC"/>
    <w:rsid w:val="005055CF"/>
    <w:rsid w:val="0050591A"/>
    <w:rsid w:val="005059FA"/>
    <w:rsid w:val="00506062"/>
    <w:rsid w:val="0050668A"/>
    <w:rsid w:val="00506F6D"/>
    <w:rsid w:val="00506FBB"/>
    <w:rsid w:val="00507327"/>
    <w:rsid w:val="005073BA"/>
    <w:rsid w:val="00510133"/>
    <w:rsid w:val="0051082C"/>
    <w:rsid w:val="005109A2"/>
    <w:rsid w:val="0051139C"/>
    <w:rsid w:val="00511604"/>
    <w:rsid w:val="005116E4"/>
    <w:rsid w:val="00511969"/>
    <w:rsid w:val="005126D7"/>
    <w:rsid w:val="00512D03"/>
    <w:rsid w:val="00513ADB"/>
    <w:rsid w:val="00513D47"/>
    <w:rsid w:val="00513E0E"/>
    <w:rsid w:val="00513F34"/>
    <w:rsid w:val="00514579"/>
    <w:rsid w:val="005148AB"/>
    <w:rsid w:val="00514EEC"/>
    <w:rsid w:val="00515164"/>
    <w:rsid w:val="00515A9A"/>
    <w:rsid w:val="00515AA6"/>
    <w:rsid w:val="00515EC0"/>
    <w:rsid w:val="005165F5"/>
    <w:rsid w:val="005166E3"/>
    <w:rsid w:val="00516A0B"/>
    <w:rsid w:val="00516F71"/>
    <w:rsid w:val="00516FAF"/>
    <w:rsid w:val="005171CA"/>
    <w:rsid w:val="005178E7"/>
    <w:rsid w:val="00517CE4"/>
    <w:rsid w:val="0052007F"/>
    <w:rsid w:val="005203C1"/>
    <w:rsid w:val="00520EB8"/>
    <w:rsid w:val="00521101"/>
    <w:rsid w:val="005213F2"/>
    <w:rsid w:val="0052187F"/>
    <w:rsid w:val="00521968"/>
    <w:rsid w:val="00521C1F"/>
    <w:rsid w:val="0052214E"/>
    <w:rsid w:val="00522568"/>
    <w:rsid w:val="00522B28"/>
    <w:rsid w:val="00523032"/>
    <w:rsid w:val="005234D7"/>
    <w:rsid w:val="00523512"/>
    <w:rsid w:val="00523548"/>
    <w:rsid w:val="005245CF"/>
    <w:rsid w:val="005249EA"/>
    <w:rsid w:val="00524D1C"/>
    <w:rsid w:val="00524DC6"/>
    <w:rsid w:val="0052507E"/>
    <w:rsid w:val="00525518"/>
    <w:rsid w:val="00525B32"/>
    <w:rsid w:val="00525ED2"/>
    <w:rsid w:val="00526116"/>
    <w:rsid w:val="0052622A"/>
    <w:rsid w:val="00527256"/>
    <w:rsid w:val="00527834"/>
    <w:rsid w:val="005279BF"/>
    <w:rsid w:val="00527D26"/>
    <w:rsid w:val="00530EFC"/>
    <w:rsid w:val="00530FD7"/>
    <w:rsid w:val="00531152"/>
    <w:rsid w:val="00531553"/>
    <w:rsid w:val="00531926"/>
    <w:rsid w:val="0053201F"/>
    <w:rsid w:val="005328F7"/>
    <w:rsid w:val="00532CA2"/>
    <w:rsid w:val="00532EE8"/>
    <w:rsid w:val="0053374B"/>
    <w:rsid w:val="00533793"/>
    <w:rsid w:val="00533AEC"/>
    <w:rsid w:val="0053420E"/>
    <w:rsid w:val="00534C87"/>
    <w:rsid w:val="0053554A"/>
    <w:rsid w:val="0053586F"/>
    <w:rsid w:val="00535FC6"/>
    <w:rsid w:val="005360A1"/>
    <w:rsid w:val="00536452"/>
    <w:rsid w:val="0053664B"/>
    <w:rsid w:val="005367DC"/>
    <w:rsid w:val="00536CF3"/>
    <w:rsid w:val="005373EE"/>
    <w:rsid w:val="005374B7"/>
    <w:rsid w:val="0053798A"/>
    <w:rsid w:val="005379AD"/>
    <w:rsid w:val="00537F04"/>
    <w:rsid w:val="0054058C"/>
    <w:rsid w:val="005407D8"/>
    <w:rsid w:val="00541710"/>
    <w:rsid w:val="00541EB2"/>
    <w:rsid w:val="00541FF7"/>
    <w:rsid w:val="005422BE"/>
    <w:rsid w:val="00542460"/>
    <w:rsid w:val="005428DE"/>
    <w:rsid w:val="00542DBB"/>
    <w:rsid w:val="0054304F"/>
    <w:rsid w:val="00543C5D"/>
    <w:rsid w:val="00543F7F"/>
    <w:rsid w:val="0054449E"/>
    <w:rsid w:val="00545257"/>
    <w:rsid w:val="00545747"/>
    <w:rsid w:val="00545C5D"/>
    <w:rsid w:val="005465A3"/>
    <w:rsid w:val="00546703"/>
    <w:rsid w:val="005469FB"/>
    <w:rsid w:val="00546B77"/>
    <w:rsid w:val="005470F8"/>
    <w:rsid w:val="0054710D"/>
    <w:rsid w:val="005471F8"/>
    <w:rsid w:val="0054724B"/>
    <w:rsid w:val="005473A3"/>
    <w:rsid w:val="005479DD"/>
    <w:rsid w:val="00547D92"/>
    <w:rsid w:val="00547E7F"/>
    <w:rsid w:val="00550B54"/>
    <w:rsid w:val="005518DA"/>
    <w:rsid w:val="00551C46"/>
    <w:rsid w:val="00551E26"/>
    <w:rsid w:val="00552E77"/>
    <w:rsid w:val="00553202"/>
    <w:rsid w:val="005532EE"/>
    <w:rsid w:val="00553B33"/>
    <w:rsid w:val="005540A5"/>
    <w:rsid w:val="0055418A"/>
    <w:rsid w:val="00554569"/>
    <w:rsid w:val="00554B14"/>
    <w:rsid w:val="005553D6"/>
    <w:rsid w:val="00555627"/>
    <w:rsid w:val="005558D8"/>
    <w:rsid w:val="00555C39"/>
    <w:rsid w:val="00555E1A"/>
    <w:rsid w:val="00555E1B"/>
    <w:rsid w:val="005568F7"/>
    <w:rsid w:val="00556CF5"/>
    <w:rsid w:val="00557868"/>
    <w:rsid w:val="00557B3D"/>
    <w:rsid w:val="00557D6D"/>
    <w:rsid w:val="00560305"/>
    <w:rsid w:val="005608E0"/>
    <w:rsid w:val="00560AE6"/>
    <w:rsid w:val="00560E50"/>
    <w:rsid w:val="00561113"/>
    <w:rsid w:val="005611E0"/>
    <w:rsid w:val="005611E8"/>
    <w:rsid w:val="0056123B"/>
    <w:rsid w:val="005616DD"/>
    <w:rsid w:val="005620E5"/>
    <w:rsid w:val="0056225B"/>
    <w:rsid w:val="0056255B"/>
    <w:rsid w:val="005627C5"/>
    <w:rsid w:val="0056292D"/>
    <w:rsid w:val="00562E95"/>
    <w:rsid w:val="00563D55"/>
    <w:rsid w:val="00564C78"/>
    <w:rsid w:val="00565047"/>
    <w:rsid w:val="0056516E"/>
    <w:rsid w:val="005657DB"/>
    <w:rsid w:val="00565B50"/>
    <w:rsid w:val="00565BA0"/>
    <w:rsid w:val="0056668F"/>
    <w:rsid w:val="00566CC7"/>
    <w:rsid w:val="00567142"/>
    <w:rsid w:val="005671D9"/>
    <w:rsid w:val="00567391"/>
    <w:rsid w:val="00567503"/>
    <w:rsid w:val="005676A8"/>
    <w:rsid w:val="00567AB5"/>
    <w:rsid w:val="005700C8"/>
    <w:rsid w:val="005702E5"/>
    <w:rsid w:val="00570357"/>
    <w:rsid w:val="00570782"/>
    <w:rsid w:val="00571000"/>
    <w:rsid w:val="0057101E"/>
    <w:rsid w:val="0057125D"/>
    <w:rsid w:val="00571275"/>
    <w:rsid w:val="005716F2"/>
    <w:rsid w:val="00571889"/>
    <w:rsid w:val="00571E73"/>
    <w:rsid w:val="00572AF5"/>
    <w:rsid w:val="00573440"/>
    <w:rsid w:val="0057352A"/>
    <w:rsid w:val="00573B5F"/>
    <w:rsid w:val="00573D5B"/>
    <w:rsid w:val="00573F5C"/>
    <w:rsid w:val="005745C2"/>
    <w:rsid w:val="0057462B"/>
    <w:rsid w:val="00574750"/>
    <w:rsid w:val="00574B69"/>
    <w:rsid w:val="00575233"/>
    <w:rsid w:val="00575A67"/>
    <w:rsid w:val="00576271"/>
    <w:rsid w:val="0057645D"/>
    <w:rsid w:val="005766BD"/>
    <w:rsid w:val="00577437"/>
    <w:rsid w:val="0057765D"/>
    <w:rsid w:val="00577E1D"/>
    <w:rsid w:val="00577ECC"/>
    <w:rsid w:val="00577FC7"/>
    <w:rsid w:val="00580089"/>
    <w:rsid w:val="00581928"/>
    <w:rsid w:val="00581A74"/>
    <w:rsid w:val="00581E53"/>
    <w:rsid w:val="00582212"/>
    <w:rsid w:val="0058255B"/>
    <w:rsid w:val="00582901"/>
    <w:rsid w:val="00582F74"/>
    <w:rsid w:val="005830E9"/>
    <w:rsid w:val="0058331F"/>
    <w:rsid w:val="00583A61"/>
    <w:rsid w:val="00583D8E"/>
    <w:rsid w:val="00583F67"/>
    <w:rsid w:val="0058451F"/>
    <w:rsid w:val="00584568"/>
    <w:rsid w:val="00584D92"/>
    <w:rsid w:val="00584E0C"/>
    <w:rsid w:val="00584E14"/>
    <w:rsid w:val="00584F6A"/>
    <w:rsid w:val="00584F6E"/>
    <w:rsid w:val="0058502D"/>
    <w:rsid w:val="00585653"/>
    <w:rsid w:val="00585665"/>
    <w:rsid w:val="00586016"/>
    <w:rsid w:val="00586463"/>
    <w:rsid w:val="0058652A"/>
    <w:rsid w:val="0058718C"/>
    <w:rsid w:val="00587468"/>
    <w:rsid w:val="005878B4"/>
    <w:rsid w:val="005879D9"/>
    <w:rsid w:val="00587C0F"/>
    <w:rsid w:val="005908FB"/>
    <w:rsid w:val="005908FC"/>
    <w:rsid w:val="005910CC"/>
    <w:rsid w:val="00592454"/>
    <w:rsid w:val="0059329C"/>
    <w:rsid w:val="00593912"/>
    <w:rsid w:val="00593AB8"/>
    <w:rsid w:val="00593C07"/>
    <w:rsid w:val="00593E98"/>
    <w:rsid w:val="00594F56"/>
    <w:rsid w:val="00595534"/>
    <w:rsid w:val="00595730"/>
    <w:rsid w:val="00595AD7"/>
    <w:rsid w:val="00596944"/>
    <w:rsid w:val="0059771D"/>
    <w:rsid w:val="00597C9E"/>
    <w:rsid w:val="005A02B2"/>
    <w:rsid w:val="005A06C3"/>
    <w:rsid w:val="005A072C"/>
    <w:rsid w:val="005A08C9"/>
    <w:rsid w:val="005A1C65"/>
    <w:rsid w:val="005A2565"/>
    <w:rsid w:val="005A2BE8"/>
    <w:rsid w:val="005A2D51"/>
    <w:rsid w:val="005A36A1"/>
    <w:rsid w:val="005A37F9"/>
    <w:rsid w:val="005A3C71"/>
    <w:rsid w:val="005A3DF0"/>
    <w:rsid w:val="005A4056"/>
    <w:rsid w:val="005A488D"/>
    <w:rsid w:val="005A5288"/>
    <w:rsid w:val="005A589E"/>
    <w:rsid w:val="005A58A6"/>
    <w:rsid w:val="005A5A5F"/>
    <w:rsid w:val="005A60EA"/>
    <w:rsid w:val="005A67FE"/>
    <w:rsid w:val="005A7D40"/>
    <w:rsid w:val="005A7E40"/>
    <w:rsid w:val="005B09E1"/>
    <w:rsid w:val="005B0A0A"/>
    <w:rsid w:val="005B0C92"/>
    <w:rsid w:val="005B2095"/>
    <w:rsid w:val="005B258B"/>
    <w:rsid w:val="005B2719"/>
    <w:rsid w:val="005B2905"/>
    <w:rsid w:val="005B2D4C"/>
    <w:rsid w:val="005B3252"/>
    <w:rsid w:val="005B3FC4"/>
    <w:rsid w:val="005B4136"/>
    <w:rsid w:val="005B456C"/>
    <w:rsid w:val="005B476F"/>
    <w:rsid w:val="005B4C01"/>
    <w:rsid w:val="005B4EDE"/>
    <w:rsid w:val="005B55D8"/>
    <w:rsid w:val="005B5B38"/>
    <w:rsid w:val="005B5B7C"/>
    <w:rsid w:val="005B5D2B"/>
    <w:rsid w:val="005B6258"/>
    <w:rsid w:val="005B69CD"/>
    <w:rsid w:val="005B6C96"/>
    <w:rsid w:val="005B7521"/>
    <w:rsid w:val="005B7BE4"/>
    <w:rsid w:val="005C0808"/>
    <w:rsid w:val="005C0856"/>
    <w:rsid w:val="005C0B24"/>
    <w:rsid w:val="005C10A3"/>
    <w:rsid w:val="005C10B0"/>
    <w:rsid w:val="005C10D8"/>
    <w:rsid w:val="005C156B"/>
    <w:rsid w:val="005C1939"/>
    <w:rsid w:val="005C1DD2"/>
    <w:rsid w:val="005C2235"/>
    <w:rsid w:val="005C223A"/>
    <w:rsid w:val="005C2C66"/>
    <w:rsid w:val="005C2CCC"/>
    <w:rsid w:val="005C2DCB"/>
    <w:rsid w:val="005C3677"/>
    <w:rsid w:val="005C3E5A"/>
    <w:rsid w:val="005C4463"/>
    <w:rsid w:val="005C4469"/>
    <w:rsid w:val="005C446F"/>
    <w:rsid w:val="005C4481"/>
    <w:rsid w:val="005C493A"/>
    <w:rsid w:val="005C50EB"/>
    <w:rsid w:val="005C522D"/>
    <w:rsid w:val="005C54F7"/>
    <w:rsid w:val="005C5576"/>
    <w:rsid w:val="005C586C"/>
    <w:rsid w:val="005C5D14"/>
    <w:rsid w:val="005C6B33"/>
    <w:rsid w:val="005C7519"/>
    <w:rsid w:val="005C7BA5"/>
    <w:rsid w:val="005C7D01"/>
    <w:rsid w:val="005C7E76"/>
    <w:rsid w:val="005D00C7"/>
    <w:rsid w:val="005D0A8D"/>
    <w:rsid w:val="005D151A"/>
    <w:rsid w:val="005D1F83"/>
    <w:rsid w:val="005D1F8A"/>
    <w:rsid w:val="005D2219"/>
    <w:rsid w:val="005D25B8"/>
    <w:rsid w:val="005D27C0"/>
    <w:rsid w:val="005D3480"/>
    <w:rsid w:val="005D4303"/>
    <w:rsid w:val="005D4915"/>
    <w:rsid w:val="005D49E3"/>
    <w:rsid w:val="005D4DA5"/>
    <w:rsid w:val="005D5829"/>
    <w:rsid w:val="005D58E4"/>
    <w:rsid w:val="005D5DEB"/>
    <w:rsid w:val="005D5E91"/>
    <w:rsid w:val="005D62D2"/>
    <w:rsid w:val="005D6321"/>
    <w:rsid w:val="005D64BF"/>
    <w:rsid w:val="005D66E3"/>
    <w:rsid w:val="005D67E6"/>
    <w:rsid w:val="005D6BBB"/>
    <w:rsid w:val="005D6D53"/>
    <w:rsid w:val="005D753E"/>
    <w:rsid w:val="005D7AEF"/>
    <w:rsid w:val="005D7BEA"/>
    <w:rsid w:val="005E0132"/>
    <w:rsid w:val="005E0463"/>
    <w:rsid w:val="005E0BA3"/>
    <w:rsid w:val="005E0D7E"/>
    <w:rsid w:val="005E149E"/>
    <w:rsid w:val="005E160C"/>
    <w:rsid w:val="005E16A2"/>
    <w:rsid w:val="005E18E7"/>
    <w:rsid w:val="005E1F79"/>
    <w:rsid w:val="005E20EF"/>
    <w:rsid w:val="005E2792"/>
    <w:rsid w:val="005E2ED4"/>
    <w:rsid w:val="005E2FBE"/>
    <w:rsid w:val="005E33A0"/>
    <w:rsid w:val="005E3B7E"/>
    <w:rsid w:val="005E3CCA"/>
    <w:rsid w:val="005E432A"/>
    <w:rsid w:val="005E446B"/>
    <w:rsid w:val="005E4A5E"/>
    <w:rsid w:val="005E5707"/>
    <w:rsid w:val="005E5ABE"/>
    <w:rsid w:val="005E5BC4"/>
    <w:rsid w:val="005E64DA"/>
    <w:rsid w:val="005E66F8"/>
    <w:rsid w:val="005E7425"/>
    <w:rsid w:val="005F026A"/>
    <w:rsid w:val="005F07D0"/>
    <w:rsid w:val="005F0964"/>
    <w:rsid w:val="005F1CAD"/>
    <w:rsid w:val="005F1EFB"/>
    <w:rsid w:val="005F1EFD"/>
    <w:rsid w:val="005F2C7F"/>
    <w:rsid w:val="005F2D2E"/>
    <w:rsid w:val="005F3016"/>
    <w:rsid w:val="005F3357"/>
    <w:rsid w:val="005F38A9"/>
    <w:rsid w:val="005F43CC"/>
    <w:rsid w:val="005F507E"/>
    <w:rsid w:val="005F51C3"/>
    <w:rsid w:val="005F54D5"/>
    <w:rsid w:val="005F5A22"/>
    <w:rsid w:val="005F5EDB"/>
    <w:rsid w:val="005F62FA"/>
    <w:rsid w:val="005F6319"/>
    <w:rsid w:val="005F66D6"/>
    <w:rsid w:val="005F6A61"/>
    <w:rsid w:val="005F7386"/>
    <w:rsid w:val="005F7996"/>
    <w:rsid w:val="005F7DB6"/>
    <w:rsid w:val="005F7F76"/>
    <w:rsid w:val="005F7FC6"/>
    <w:rsid w:val="006002F8"/>
    <w:rsid w:val="006003C4"/>
    <w:rsid w:val="00600445"/>
    <w:rsid w:val="00600823"/>
    <w:rsid w:val="00600AF5"/>
    <w:rsid w:val="00601346"/>
    <w:rsid w:val="006013B5"/>
    <w:rsid w:val="00602388"/>
    <w:rsid w:val="00602923"/>
    <w:rsid w:val="00602AB8"/>
    <w:rsid w:val="00602E97"/>
    <w:rsid w:val="006040F9"/>
    <w:rsid w:val="00605AE8"/>
    <w:rsid w:val="00605B1A"/>
    <w:rsid w:val="00605B4B"/>
    <w:rsid w:val="006061C8"/>
    <w:rsid w:val="006064B3"/>
    <w:rsid w:val="006070F8"/>
    <w:rsid w:val="006074D5"/>
    <w:rsid w:val="006079D0"/>
    <w:rsid w:val="006101B0"/>
    <w:rsid w:val="00610CA2"/>
    <w:rsid w:val="00610DB8"/>
    <w:rsid w:val="00610DC7"/>
    <w:rsid w:val="0061173F"/>
    <w:rsid w:val="00611AC4"/>
    <w:rsid w:val="00611ED6"/>
    <w:rsid w:val="00612F85"/>
    <w:rsid w:val="0061339A"/>
    <w:rsid w:val="00613521"/>
    <w:rsid w:val="00613585"/>
    <w:rsid w:val="006135E4"/>
    <w:rsid w:val="006136B6"/>
    <w:rsid w:val="00613BCB"/>
    <w:rsid w:val="00614281"/>
    <w:rsid w:val="006147BA"/>
    <w:rsid w:val="00614A5E"/>
    <w:rsid w:val="00614AA8"/>
    <w:rsid w:val="00614C2C"/>
    <w:rsid w:val="00614D3F"/>
    <w:rsid w:val="00614E08"/>
    <w:rsid w:val="00614E9D"/>
    <w:rsid w:val="006152C6"/>
    <w:rsid w:val="00615538"/>
    <w:rsid w:val="0061584F"/>
    <w:rsid w:val="00615C09"/>
    <w:rsid w:val="00615C4D"/>
    <w:rsid w:val="00615F5C"/>
    <w:rsid w:val="00616124"/>
    <w:rsid w:val="0061672F"/>
    <w:rsid w:val="00616AAE"/>
    <w:rsid w:val="00616C71"/>
    <w:rsid w:val="0061792B"/>
    <w:rsid w:val="00617AEF"/>
    <w:rsid w:val="0062090F"/>
    <w:rsid w:val="00620F73"/>
    <w:rsid w:val="00621287"/>
    <w:rsid w:val="00621792"/>
    <w:rsid w:val="006220EF"/>
    <w:rsid w:val="006222DB"/>
    <w:rsid w:val="006226FB"/>
    <w:rsid w:val="00622E00"/>
    <w:rsid w:val="0062312A"/>
    <w:rsid w:val="006232DD"/>
    <w:rsid w:val="006240E0"/>
    <w:rsid w:val="0062426E"/>
    <w:rsid w:val="0062435E"/>
    <w:rsid w:val="00624ABA"/>
    <w:rsid w:val="00624AD8"/>
    <w:rsid w:val="006253CB"/>
    <w:rsid w:val="006256DE"/>
    <w:rsid w:val="00625807"/>
    <w:rsid w:val="0062654A"/>
    <w:rsid w:val="00626D61"/>
    <w:rsid w:val="0062762C"/>
    <w:rsid w:val="006277C0"/>
    <w:rsid w:val="006278CF"/>
    <w:rsid w:val="00627966"/>
    <w:rsid w:val="00627E9A"/>
    <w:rsid w:val="00630068"/>
    <w:rsid w:val="0063143C"/>
    <w:rsid w:val="006319D0"/>
    <w:rsid w:val="00631CE5"/>
    <w:rsid w:val="00632108"/>
    <w:rsid w:val="0063245D"/>
    <w:rsid w:val="0063386B"/>
    <w:rsid w:val="00633B89"/>
    <w:rsid w:val="00634221"/>
    <w:rsid w:val="00634874"/>
    <w:rsid w:val="00634D77"/>
    <w:rsid w:val="00634FE5"/>
    <w:rsid w:val="00635246"/>
    <w:rsid w:val="00635516"/>
    <w:rsid w:val="00635586"/>
    <w:rsid w:val="0063628F"/>
    <w:rsid w:val="006365E4"/>
    <w:rsid w:val="00636DD5"/>
    <w:rsid w:val="00636F98"/>
    <w:rsid w:val="00637127"/>
    <w:rsid w:val="00637754"/>
    <w:rsid w:val="00637883"/>
    <w:rsid w:val="00637EAE"/>
    <w:rsid w:val="0064019E"/>
    <w:rsid w:val="00640684"/>
    <w:rsid w:val="00640AB2"/>
    <w:rsid w:val="00640E27"/>
    <w:rsid w:val="00640E89"/>
    <w:rsid w:val="0064106D"/>
    <w:rsid w:val="00641A58"/>
    <w:rsid w:val="00641BFD"/>
    <w:rsid w:val="0064234C"/>
    <w:rsid w:val="006440C0"/>
    <w:rsid w:val="00644251"/>
    <w:rsid w:val="006446B5"/>
    <w:rsid w:val="00644CE5"/>
    <w:rsid w:val="00645530"/>
    <w:rsid w:val="006457DF"/>
    <w:rsid w:val="006464FC"/>
    <w:rsid w:val="00646569"/>
    <w:rsid w:val="006465BC"/>
    <w:rsid w:val="006466DD"/>
    <w:rsid w:val="00646880"/>
    <w:rsid w:val="00646D09"/>
    <w:rsid w:val="00646D50"/>
    <w:rsid w:val="00646F92"/>
    <w:rsid w:val="00647903"/>
    <w:rsid w:val="00650054"/>
    <w:rsid w:val="00650469"/>
    <w:rsid w:val="00650EE8"/>
    <w:rsid w:val="006510FA"/>
    <w:rsid w:val="00651113"/>
    <w:rsid w:val="00651B9B"/>
    <w:rsid w:val="00651EDF"/>
    <w:rsid w:val="0065202C"/>
    <w:rsid w:val="006527F0"/>
    <w:rsid w:val="006529B8"/>
    <w:rsid w:val="00652A78"/>
    <w:rsid w:val="00652BD0"/>
    <w:rsid w:val="00653921"/>
    <w:rsid w:val="00653AF8"/>
    <w:rsid w:val="006541AF"/>
    <w:rsid w:val="006543F2"/>
    <w:rsid w:val="006544F6"/>
    <w:rsid w:val="006549C8"/>
    <w:rsid w:val="00654DD7"/>
    <w:rsid w:val="00655183"/>
    <w:rsid w:val="006565FF"/>
    <w:rsid w:val="006566E9"/>
    <w:rsid w:val="00656DE4"/>
    <w:rsid w:val="00657101"/>
    <w:rsid w:val="00657841"/>
    <w:rsid w:val="00657B6B"/>
    <w:rsid w:val="00657E4F"/>
    <w:rsid w:val="006603EC"/>
    <w:rsid w:val="00660573"/>
    <w:rsid w:val="006606C5"/>
    <w:rsid w:val="00661FA7"/>
    <w:rsid w:val="0066261F"/>
    <w:rsid w:val="0066323B"/>
    <w:rsid w:val="006635FC"/>
    <w:rsid w:val="00663EF9"/>
    <w:rsid w:val="006643BE"/>
    <w:rsid w:val="00664B89"/>
    <w:rsid w:val="00664E41"/>
    <w:rsid w:val="006651E7"/>
    <w:rsid w:val="006655A5"/>
    <w:rsid w:val="006658FE"/>
    <w:rsid w:val="00666657"/>
    <w:rsid w:val="0066669F"/>
    <w:rsid w:val="00666927"/>
    <w:rsid w:val="00666A07"/>
    <w:rsid w:val="00667265"/>
    <w:rsid w:val="00667473"/>
    <w:rsid w:val="006678A5"/>
    <w:rsid w:val="00667B81"/>
    <w:rsid w:val="006706E1"/>
    <w:rsid w:val="006709C8"/>
    <w:rsid w:val="00670D5C"/>
    <w:rsid w:val="00670F9A"/>
    <w:rsid w:val="006722ED"/>
    <w:rsid w:val="00672452"/>
    <w:rsid w:val="00672747"/>
    <w:rsid w:val="0067295D"/>
    <w:rsid w:val="006729D9"/>
    <w:rsid w:val="00672D07"/>
    <w:rsid w:val="0067373E"/>
    <w:rsid w:val="006739F8"/>
    <w:rsid w:val="006744BF"/>
    <w:rsid w:val="00675628"/>
    <w:rsid w:val="00675F87"/>
    <w:rsid w:val="006761C6"/>
    <w:rsid w:val="00676458"/>
    <w:rsid w:val="00676511"/>
    <w:rsid w:val="00676D84"/>
    <w:rsid w:val="006779D3"/>
    <w:rsid w:val="00677FE2"/>
    <w:rsid w:val="0068049C"/>
    <w:rsid w:val="0068059D"/>
    <w:rsid w:val="006811B8"/>
    <w:rsid w:val="0068125C"/>
    <w:rsid w:val="00681618"/>
    <w:rsid w:val="006817C7"/>
    <w:rsid w:val="00681FBA"/>
    <w:rsid w:val="00682273"/>
    <w:rsid w:val="00682367"/>
    <w:rsid w:val="006823A8"/>
    <w:rsid w:val="006823D2"/>
    <w:rsid w:val="00682816"/>
    <w:rsid w:val="006832B2"/>
    <w:rsid w:val="00684D8F"/>
    <w:rsid w:val="006853F8"/>
    <w:rsid w:val="00685C38"/>
    <w:rsid w:val="00685C4C"/>
    <w:rsid w:val="00686F1B"/>
    <w:rsid w:val="006871DC"/>
    <w:rsid w:val="006873AF"/>
    <w:rsid w:val="00687598"/>
    <w:rsid w:val="006876E1"/>
    <w:rsid w:val="00691C4B"/>
    <w:rsid w:val="00691E36"/>
    <w:rsid w:val="00692A1A"/>
    <w:rsid w:val="00692C40"/>
    <w:rsid w:val="0069351A"/>
    <w:rsid w:val="00693802"/>
    <w:rsid w:val="006944DA"/>
    <w:rsid w:val="00694512"/>
    <w:rsid w:val="0069465A"/>
    <w:rsid w:val="0069494D"/>
    <w:rsid w:val="00694FBD"/>
    <w:rsid w:val="00694FFA"/>
    <w:rsid w:val="0069513F"/>
    <w:rsid w:val="00695817"/>
    <w:rsid w:val="006964CA"/>
    <w:rsid w:val="00696660"/>
    <w:rsid w:val="00696A3D"/>
    <w:rsid w:val="00696BC3"/>
    <w:rsid w:val="0069727E"/>
    <w:rsid w:val="0069785E"/>
    <w:rsid w:val="00697B88"/>
    <w:rsid w:val="006A0865"/>
    <w:rsid w:val="006A09A9"/>
    <w:rsid w:val="006A11D4"/>
    <w:rsid w:val="006A1366"/>
    <w:rsid w:val="006A1466"/>
    <w:rsid w:val="006A1DA1"/>
    <w:rsid w:val="006A2617"/>
    <w:rsid w:val="006A2B32"/>
    <w:rsid w:val="006A2B35"/>
    <w:rsid w:val="006A2F9A"/>
    <w:rsid w:val="006A30AC"/>
    <w:rsid w:val="006A371D"/>
    <w:rsid w:val="006A470F"/>
    <w:rsid w:val="006A529C"/>
    <w:rsid w:val="006A5404"/>
    <w:rsid w:val="006A5427"/>
    <w:rsid w:val="006A5735"/>
    <w:rsid w:val="006A58B0"/>
    <w:rsid w:val="006A5FEF"/>
    <w:rsid w:val="006A6184"/>
    <w:rsid w:val="006A6DFE"/>
    <w:rsid w:val="006A6F28"/>
    <w:rsid w:val="006A74B3"/>
    <w:rsid w:val="006A7530"/>
    <w:rsid w:val="006A7538"/>
    <w:rsid w:val="006A7A91"/>
    <w:rsid w:val="006A7B9A"/>
    <w:rsid w:val="006B0094"/>
    <w:rsid w:val="006B0B1B"/>
    <w:rsid w:val="006B119D"/>
    <w:rsid w:val="006B1285"/>
    <w:rsid w:val="006B14EA"/>
    <w:rsid w:val="006B18B3"/>
    <w:rsid w:val="006B2AE0"/>
    <w:rsid w:val="006B3483"/>
    <w:rsid w:val="006B3B3B"/>
    <w:rsid w:val="006B3EB7"/>
    <w:rsid w:val="006B41CE"/>
    <w:rsid w:val="006B4951"/>
    <w:rsid w:val="006B4C63"/>
    <w:rsid w:val="006B5251"/>
    <w:rsid w:val="006B5325"/>
    <w:rsid w:val="006B539B"/>
    <w:rsid w:val="006B5576"/>
    <w:rsid w:val="006B6DEF"/>
    <w:rsid w:val="006B74A3"/>
    <w:rsid w:val="006C0046"/>
    <w:rsid w:val="006C03D5"/>
    <w:rsid w:val="006C03E1"/>
    <w:rsid w:val="006C0544"/>
    <w:rsid w:val="006C05EC"/>
    <w:rsid w:val="006C0A7F"/>
    <w:rsid w:val="006C11F9"/>
    <w:rsid w:val="006C1854"/>
    <w:rsid w:val="006C1D52"/>
    <w:rsid w:val="006C1F53"/>
    <w:rsid w:val="006C3381"/>
    <w:rsid w:val="006C3985"/>
    <w:rsid w:val="006C3EF3"/>
    <w:rsid w:val="006C41D1"/>
    <w:rsid w:val="006C44DC"/>
    <w:rsid w:val="006C492E"/>
    <w:rsid w:val="006C5357"/>
    <w:rsid w:val="006C5C1D"/>
    <w:rsid w:val="006C5CDA"/>
    <w:rsid w:val="006C6370"/>
    <w:rsid w:val="006C64B0"/>
    <w:rsid w:val="006C6712"/>
    <w:rsid w:val="006C72E8"/>
    <w:rsid w:val="006D0183"/>
    <w:rsid w:val="006D19BE"/>
    <w:rsid w:val="006D1C54"/>
    <w:rsid w:val="006D1EAD"/>
    <w:rsid w:val="006D251D"/>
    <w:rsid w:val="006D2AE9"/>
    <w:rsid w:val="006D2C7D"/>
    <w:rsid w:val="006D307C"/>
    <w:rsid w:val="006D3226"/>
    <w:rsid w:val="006D3715"/>
    <w:rsid w:val="006D3CDC"/>
    <w:rsid w:val="006D3E19"/>
    <w:rsid w:val="006D3F2E"/>
    <w:rsid w:val="006D3F63"/>
    <w:rsid w:val="006D41D1"/>
    <w:rsid w:val="006D4440"/>
    <w:rsid w:val="006D51EC"/>
    <w:rsid w:val="006D57D6"/>
    <w:rsid w:val="006D6343"/>
    <w:rsid w:val="006D6C86"/>
    <w:rsid w:val="006D7230"/>
    <w:rsid w:val="006D74FA"/>
    <w:rsid w:val="006D758A"/>
    <w:rsid w:val="006E0B26"/>
    <w:rsid w:val="006E0B8C"/>
    <w:rsid w:val="006E1056"/>
    <w:rsid w:val="006E1165"/>
    <w:rsid w:val="006E1183"/>
    <w:rsid w:val="006E13E8"/>
    <w:rsid w:val="006E17AC"/>
    <w:rsid w:val="006E1815"/>
    <w:rsid w:val="006E1942"/>
    <w:rsid w:val="006E1DE9"/>
    <w:rsid w:val="006E1F79"/>
    <w:rsid w:val="006E2008"/>
    <w:rsid w:val="006E2B1C"/>
    <w:rsid w:val="006E33A6"/>
    <w:rsid w:val="006E3642"/>
    <w:rsid w:val="006E41DB"/>
    <w:rsid w:val="006E4252"/>
    <w:rsid w:val="006E49EC"/>
    <w:rsid w:val="006E4B1C"/>
    <w:rsid w:val="006E53A7"/>
    <w:rsid w:val="006E5459"/>
    <w:rsid w:val="006E58ED"/>
    <w:rsid w:val="006E5920"/>
    <w:rsid w:val="006E6C80"/>
    <w:rsid w:val="006E6E5B"/>
    <w:rsid w:val="006E7122"/>
    <w:rsid w:val="006E749C"/>
    <w:rsid w:val="006E7D6E"/>
    <w:rsid w:val="006F0211"/>
    <w:rsid w:val="006F0552"/>
    <w:rsid w:val="006F0569"/>
    <w:rsid w:val="006F0889"/>
    <w:rsid w:val="006F089E"/>
    <w:rsid w:val="006F098B"/>
    <w:rsid w:val="006F0EB9"/>
    <w:rsid w:val="006F13BD"/>
    <w:rsid w:val="006F159B"/>
    <w:rsid w:val="006F1722"/>
    <w:rsid w:val="006F1AFE"/>
    <w:rsid w:val="006F1BAC"/>
    <w:rsid w:val="006F1C16"/>
    <w:rsid w:val="006F258B"/>
    <w:rsid w:val="006F288E"/>
    <w:rsid w:val="006F40C7"/>
    <w:rsid w:val="006F4A04"/>
    <w:rsid w:val="006F4E31"/>
    <w:rsid w:val="006F4F44"/>
    <w:rsid w:val="006F6016"/>
    <w:rsid w:val="006F658D"/>
    <w:rsid w:val="006F6CEA"/>
    <w:rsid w:val="006F7448"/>
    <w:rsid w:val="006F7518"/>
    <w:rsid w:val="006F7557"/>
    <w:rsid w:val="006F78B1"/>
    <w:rsid w:val="006F7CF6"/>
    <w:rsid w:val="007001A6"/>
    <w:rsid w:val="007003C5"/>
    <w:rsid w:val="007004D1"/>
    <w:rsid w:val="00700CEF"/>
    <w:rsid w:val="0070104E"/>
    <w:rsid w:val="00701726"/>
    <w:rsid w:val="007019B0"/>
    <w:rsid w:val="00701B40"/>
    <w:rsid w:val="007020BD"/>
    <w:rsid w:val="00702C31"/>
    <w:rsid w:val="00702D9D"/>
    <w:rsid w:val="00702DC9"/>
    <w:rsid w:val="00703027"/>
    <w:rsid w:val="007037B9"/>
    <w:rsid w:val="00703859"/>
    <w:rsid w:val="00703C58"/>
    <w:rsid w:val="007043BC"/>
    <w:rsid w:val="00704A7F"/>
    <w:rsid w:val="00704D31"/>
    <w:rsid w:val="00704DBD"/>
    <w:rsid w:val="0070591D"/>
    <w:rsid w:val="00705B79"/>
    <w:rsid w:val="00705D67"/>
    <w:rsid w:val="007062F6"/>
    <w:rsid w:val="00706388"/>
    <w:rsid w:val="007078A1"/>
    <w:rsid w:val="007078FA"/>
    <w:rsid w:val="00710B09"/>
    <w:rsid w:val="00710BEA"/>
    <w:rsid w:val="00711267"/>
    <w:rsid w:val="007112DB"/>
    <w:rsid w:val="00711532"/>
    <w:rsid w:val="00711A30"/>
    <w:rsid w:val="00711E15"/>
    <w:rsid w:val="00712280"/>
    <w:rsid w:val="007123E9"/>
    <w:rsid w:val="00713A38"/>
    <w:rsid w:val="00713F76"/>
    <w:rsid w:val="007145D8"/>
    <w:rsid w:val="007148EF"/>
    <w:rsid w:val="0071519A"/>
    <w:rsid w:val="007155CA"/>
    <w:rsid w:val="00715789"/>
    <w:rsid w:val="00715A98"/>
    <w:rsid w:val="00715D68"/>
    <w:rsid w:val="00716114"/>
    <w:rsid w:val="00716A3C"/>
    <w:rsid w:val="00716B11"/>
    <w:rsid w:val="00717410"/>
    <w:rsid w:val="007176F1"/>
    <w:rsid w:val="00717731"/>
    <w:rsid w:val="0072032D"/>
    <w:rsid w:val="00720BD9"/>
    <w:rsid w:val="00721804"/>
    <w:rsid w:val="0072190F"/>
    <w:rsid w:val="00722143"/>
    <w:rsid w:val="00722198"/>
    <w:rsid w:val="007229B6"/>
    <w:rsid w:val="00722A43"/>
    <w:rsid w:val="0072314F"/>
    <w:rsid w:val="00723368"/>
    <w:rsid w:val="00723811"/>
    <w:rsid w:val="00723900"/>
    <w:rsid w:val="00723E8E"/>
    <w:rsid w:val="00724A3D"/>
    <w:rsid w:val="00724E21"/>
    <w:rsid w:val="0072549A"/>
    <w:rsid w:val="00725C19"/>
    <w:rsid w:val="00725C85"/>
    <w:rsid w:val="00725E05"/>
    <w:rsid w:val="00725EA8"/>
    <w:rsid w:val="00725FA8"/>
    <w:rsid w:val="007268DF"/>
    <w:rsid w:val="007269C5"/>
    <w:rsid w:val="00726CEE"/>
    <w:rsid w:val="0072724E"/>
    <w:rsid w:val="0072734D"/>
    <w:rsid w:val="0072794F"/>
    <w:rsid w:val="0072799A"/>
    <w:rsid w:val="007302B1"/>
    <w:rsid w:val="00730D9E"/>
    <w:rsid w:val="00731551"/>
    <w:rsid w:val="00731842"/>
    <w:rsid w:val="00731C2F"/>
    <w:rsid w:val="00731D45"/>
    <w:rsid w:val="00731E7D"/>
    <w:rsid w:val="007327DC"/>
    <w:rsid w:val="007329C9"/>
    <w:rsid w:val="00732B0A"/>
    <w:rsid w:val="00732DE7"/>
    <w:rsid w:val="00733510"/>
    <w:rsid w:val="007337F7"/>
    <w:rsid w:val="0073427F"/>
    <w:rsid w:val="007346B2"/>
    <w:rsid w:val="00734AE1"/>
    <w:rsid w:val="00734D79"/>
    <w:rsid w:val="007358CB"/>
    <w:rsid w:val="00735C5C"/>
    <w:rsid w:val="0073660A"/>
    <w:rsid w:val="007371AD"/>
    <w:rsid w:val="007377C9"/>
    <w:rsid w:val="00737899"/>
    <w:rsid w:val="00737D9D"/>
    <w:rsid w:val="007405A7"/>
    <w:rsid w:val="0074073F"/>
    <w:rsid w:val="00740B30"/>
    <w:rsid w:val="00741239"/>
    <w:rsid w:val="00741480"/>
    <w:rsid w:val="007418A0"/>
    <w:rsid w:val="00741AED"/>
    <w:rsid w:val="00741D40"/>
    <w:rsid w:val="00741FC0"/>
    <w:rsid w:val="00742B7A"/>
    <w:rsid w:val="00742F3D"/>
    <w:rsid w:val="00743799"/>
    <w:rsid w:val="007438A1"/>
    <w:rsid w:val="007440C2"/>
    <w:rsid w:val="007444E9"/>
    <w:rsid w:val="007445D5"/>
    <w:rsid w:val="00744C05"/>
    <w:rsid w:val="00745A19"/>
    <w:rsid w:val="00745D3F"/>
    <w:rsid w:val="00745FF5"/>
    <w:rsid w:val="007463D9"/>
    <w:rsid w:val="00746B27"/>
    <w:rsid w:val="00746CA0"/>
    <w:rsid w:val="00746E5F"/>
    <w:rsid w:val="007503E3"/>
    <w:rsid w:val="007503EC"/>
    <w:rsid w:val="007503EF"/>
    <w:rsid w:val="007508B6"/>
    <w:rsid w:val="00750EE2"/>
    <w:rsid w:val="007517B0"/>
    <w:rsid w:val="00751CB1"/>
    <w:rsid w:val="00751DDF"/>
    <w:rsid w:val="0075249D"/>
    <w:rsid w:val="00752779"/>
    <w:rsid w:val="0075319C"/>
    <w:rsid w:val="0075369B"/>
    <w:rsid w:val="00753A56"/>
    <w:rsid w:val="00753D0B"/>
    <w:rsid w:val="00753D65"/>
    <w:rsid w:val="007540E1"/>
    <w:rsid w:val="00754143"/>
    <w:rsid w:val="00754395"/>
    <w:rsid w:val="00755414"/>
    <w:rsid w:val="00755773"/>
    <w:rsid w:val="0075580A"/>
    <w:rsid w:val="0075581B"/>
    <w:rsid w:val="00755B6F"/>
    <w:rsid w:val="00755E78"/>
    <w:rsid w:val="0075607B"/>
    <w:rsid w:val="00756199"/>
    <w:rsid w:val="0075759B"/>
    <w:rsid w:val="007576F1"/>
    <w:rsid w:val="00757B16"/>
    <w:rsid w:val="00757FB5"/>
    <w:rsid w:val="0076037A"/>
    <w:rsid w:val="00760C18"/>
    <w:rsid w:val="00760C77"/>
    <w:rsid w:val="0076109F"/>
    <w:rsid w:val="007614E1"/>
    <w:rsid w:val="0076156C"/>
    <w:rsid w:val="00761797"/>
    <w:rsid w:val="00761B6A"/>
    <w:rsid w:val="00761E89"/>
    <w:rsid w:val="0076246C"/>
    <w:rsid w:val="00762ACE"/>
    <w:rsid w:val="00762FFA"/>
    <w:rsid w:val="007631C5"/>
    <w:rsid w:val="00763824"/>
    <w:rsid w:val="007638D5"/>
    <w:rsid w:val="0076393C"/>
    <w:rsid w:val="00763AED"/>
    <w:rsid w:val="00763E80"/>
    <w:rsid w:val="0076425F"/>
    <w:rsid w:val="00764375"/>
    <w:rsid w:val="00764668"/>
    <w:rsid w:val="00764A1F"/>
    <w:rsid w:val="00764DBD"/>
    <w:rsid w:val="00764E73"/>
    <w:rsid w:val="0076511D"/>
    <w:rsid w:val="007651D6"/>
    <w:rsid w:val="00765CAD"/>
    <w:rsid w:val="00765EEB"/>
    <w:rsid w:val="00766119"/>
    <w:rsid w:val="00766B41"/>
    <w:rsid w:val="00766F33"/>
    <w:rsid w:val="0076713E"/>
    <w:rsid w:val="00767677"/>
    <w:rsid w:val="007679CF"/>
    <w:rsid w:val="00767BF4"/>
    <w:rsid w:val="007717F9"/>
    <w:rsid w:val="00771FB1"/>
    <w:rsid w:val="00772A89"/>
    <w:rsid w:val="00772BBD"/>
    <w:rsid w:val="00773080"/>
    <w:rsid w:val="007730F8"/>
    <w:rsid w:val="007733FA"/>
    <w:rsid w:val="007736C5"/>
    <w:rsid w:val="00773AA4"/>
    <w:rsid w:val="00773AAA"/>
    <w:rsid w:val="00773ECA"/>
    <w:rsid w:val="00774239"/>
    <w:rsid w:val="007743FB"/>
    <w:rsid w:val="00774957"/>
    <w:rsid w:val="00774C8F"/>
    <w:rsid w:val="00775623"/>
    <w:rsid w:val="00775CFE"/>
    <w:rsid w:val="007767D2"/>
    <w:rsid w:val="00776988"/>
    <w:rsid w:val="00776B05"/>
    <w:rsid w:val="00776C10"/>
    <w:rsid w:val="00776F65"/>
    <w:rsid w:val="007771CA"/>
    <w:rsid w:val="00777AC7"/>
    <w:rsid w:val="0078134B"/>
    <w:rsid w:val="007814DE"/>
    <w:rsid w:val="00781B62"/>
    <w:rsid w:val="007821E2"/>
    <w:rsid w:val="0078265B"/>
    <w:rsid w:val="00782740"/>
    <w:rsid w:val="00782789"/>
    <w:rsid w:val="00783CE5"/>
    <w:rsid w:val="0078448F"/>
    <w:rsid w:val="00784BF4"/>
    <w:rsid w:val="00784C7B"/>
    <w:rsid w:val="007859E4"/>
    <w:rsid w:val="00785A83"/>
    <w:rsid w:val="00785F46"/>
    <w:rsid w:val="00786124"/>
    <w:rsid w:val="0078639E"/>
    <w:rsid w:val="00787136"/>
    <w:rsid w:val="007878AE"/>
    <w:rsid w:val="007879B2"/>
    <w:rsid w:val="00787AAE"/>
    <w:rsid w:val="00787E39"/>
    <w:rsid w:val="0079017F"/>
    <w:rsid w:val="007903F1"/>
    <w:rsid w:val="00790A1B"/>
    <w:rsid w:val="00791811"/>
    <w:rsid w:val="007919D9"/>
    <w:rsid w:val="00791BE2"/>
    <w:rsid w:val="00791E3F"/>
    <w:rsid w:val="0079225C"/>
    <w:rsid w:val="007929EE"/>
    <w:rsid w:val="00792E29"/>
    <w:rsid w:val="007936B9"/>
    <w:rsid w:val="00793FDA"/>
    <w:rsid w:val="007946C8"/>
    <w:rsid w:val="00794AB1"/>
    <w:rsid w:val="007955EE"/>
    <w:rsid w:val="00795682"/>
    <w:rsid w:val="00795A5E"/>
    <w:rsid w:val="00795C8C"/>
    <w:rsid w:val="00796058"/>
    <w:rsid w:val="0079654B"/>
    <w:rsid w:val="007966C7"/>
    <w:rsid w:val="007970F1"/>
    <w:rsid w:val="00797169"/>
    <w:rsid w:val="007A05CB"/>
    <w:rsid w:val="007A0829"/>
    <w:rsid w:val="007A09F8"/>
    <w:rsid w:val="007A0D15"/>
    <w:rsid w:val="007A0E87"/>
    <w:rsid w:val="007A0EEA"/>
    <w:rsid w:val="007A1538"/>
    <w:rsid w:val="007A16F4"/>
    <w:rsid w:val="007A182B"/>
    <w:rsid w:val="007A1C38"/>
    <w:rsid w:val="007A24DB"/>
    <w:rsid w:val="007A271C"/>
    <w:rsid w:val="007A2E87"/>
    <w:rsid w:val="007A3651"/>
    <w:rsid w:val="007A3B1D"/>
    <w:rsid w:val="007A41EE"/>
    <w:rsid w:val="007A4B26"/>
    <w:rsid w:val="007A4F2C"/>
    <w:rsid w:val="007A4F75"/>
    <w:rsid w:val="007A5650"/>
    <w:rsid w:val="007A592A"/>
    <w:rsid w:val="007A5C9A"/>
    <w:rsid w:val="007A5CEC"/>
    <w:rsid w:val="007A5F5E"/>
    <w:rsid w:val="007A6676"/>
    <w:rsid w:val="007A6807"/>
    <w:rsid w:val="007A6927"/>
    <w:rsid w:val="007A6A74"/>
    <w:rsid w:val="007A6EBD"/>
    <w:rsid w:val="007A70AF"/>
    <w:rsid w:val="007A7ADF"/>
    <w:rsid w:val="007B01F4"/>
    <w:rsid w:val="007B0324"/>
    <w:rsid w:val="007B090B"/>
    <w:rsid w:val="007B0A72"/>
    <w:rsid w:val="007B0FF3"/>
    <w:rsid w:val="007B12E0"/>
    <w:rsid w:val="007B213B"/>
    <w:rsid w:val="007B248A"/>
    <w:rsid w:val="007B24F2"/>
    <w:rsid w:val="007B2D50"/>
    <w:rsid w:val="007B3471"/>
    <w:rsid w:val="007B377D"/>
    <w:rsid w:val="007B3CF6"/>
    <w:rsid w:val="007B4448"/>
    <w:rsid w:val="007B49C2"/>
    <w:rsid w:val="007B4A88"/>
    <w:rsid w:val="007B4D27"/>
    <w:rsid w:val="007B5506"/>
    <w:rsid w:val="007B56E2"/>
    <w:rsid w:val="007B6214"/>
    <w:rsid w:val="007B6536"/>
    <w:rsid w:val="007B6A89"/>
    <w:rsid w:val="007B6B8F"/>
    <w:rsid w:val="007B7088"/>
    <w:rsid w:val="007B73EC"/>
    <w:rsid w:val="007B78FE"/>
    <w:rsid w:val="007C0CCE"/>
    <w:rsid w:val="007C135D"/>
    <w:rsid w:val="007C247F"/>
    <w:rsid w:val="007C277F"/>
    <w:rsid w:val="007C2925"/>
    <w:rsid w:val="007C2967"/>
    <w:rsid w:val="007C2F3F"/>
    <w:rsid w:val="007C3744"/>
    <w:rsid w:val="007C396E"/>
    <w:rsid w:val="007C412D"/>
    <w:rsid w:val="007C42AF"/>
    <w:rsid w:val="007C4B9A"/>
    <w:rsid w:val="007C4CCB"/>
    <w:rsid w:val="007C5180"/>
    <w:rsid w:val="007C545A"/>
    <w:rsid w:val="007C5A4F"/>
    <w:rsid w:val="007C65AD"/>
    <w:rsid w:val="007C66E5"/>
    <w:rsid w:val="007C760A"/>
    <w:rsid w:val="007C76A3"/>
    <w:rsid w:val="007C778F"/>
    <w:rsid w:val="007D0171"/>
    <w:rsid w:val="007D01C3"/>
    <w:rsid w:val="007D071A"/>
    <w:rsid w:val="007D0DA0"/>
    <w:rsid w:val="007D157C"/>
    <w:rsid w:val="007D16D6"/>
    <w:rsid w:val="007D1A43"/>
    <w:rsid w:val="007D1C32"/>
    <w:rsid w:val="007D1E56"/>
    <w:rsid w:val="007D2626"/>
    <w:rsid w:val="007D26B0"/>
    <w:rsid w:val="007D27B2"/>
    <w:rsid w:val="007D29FC"/>
    <w:rsid w:val="007D3169"/>
    <w:rsid w:val="007D38E2"/>
    <w:rsid w:val="007D390E"/>
    <w:rsid w:val="007D3A3A"/>
    <w:rsid w:val="007D3DE2"/>
    <w:rsid w:val="007D3F54"/>
    <w:rsid w:val="007D4174"/>
    <w:rsid w:val="007D4419"/>
    <w:rsid w:val="007D44AF"/>
    <w:rsid w:val="007D4B75"/>
    <w:rsid w:val="007D4FE3"/>
    <w:rsid w:val="007D5318"/>
    <w:rsid w:val="007D5862"/>
    <w:rsid w:val="007D5AA0"/>
    <w:rsid w:val="007D5C2A"/>
    <w:rsid w:val="007D5DD6"/>
    <w:rsid w:val="007D61F0"/>
    <w:rsid w:val="007D6A24"/>
    <w:rsid w:val="007D6B84"/>
    <w:rsid w:val="007D6BCB"/>
    <w:rsid w:val="007D722B"/>
    <w:rsid w:val="007D73D1"/>
    <w:rsid w:val="007D79E8"/>
    <w:rsid w:val="007D7D5A"/>
    <w:rsid w:val="007E0021"/>
    <w:rsid w:val="007E0405"/>
    <w:rsid w:val="007E0732"/>
    <w:rsid w:val="007E0B3A"/>
    <w:rsid w:val="007E0D23"/>
    <w:rsid w:val="007E1561"/>
    <w:rsid w:val="007E1B3D"/>
    <w:rsid w:val="007E20C0"/>
    <w:rsid w:val="007E21C7"/>
    <w:rsid w:val="007E24FC"/>
    <w:rsid w:val="007E268F"/>
    <w:rsid w:val="007E2EF3"/>
    <w:rsid w:val="007E33DE"/>
    <w:rsid w:val="007E3525"/>
    <w:rsid w:val="007E3A44"/>
    <w:rsid w:val="007E3CA4"/>
    <w:rsid w:val="007E3E9A"/>
    <w:rsid w:val="007E3FDD"/>
    <w:rsid w:val="007E42C5"/>
    <w:rsid w:val="007E47BF"/>
    <w:rsid w:val="007E49C1"/>
    <w:rsid w:val="007E4F58"/>
    <w:rsid w:val="007E5243"/>
    <w:rsid w:val="007E54D3"/>
    <w:rsid w:val="007E5689"/>
    <w:rsid w:val="007E5CFD"/>
    <w:rsid w:val="007E5D75"/>
    <w:rsid w:val="007E64A5"/>
    <w:rsid w:val="007E6F80"/>
    <w:rsid w:val="007E71AE"/>
    <w:rsid w:val="007E78EC"/>
    <w:rsid w:val="007E7906"/>
    <w:rsid w:val="007E7E84"/>
    <w:rsid w:val="007F0683"/>
    <w:rsid w:val="007F0EC5"/>
    <w:rsid w:val="007F135D"/>
    <w:rsid w:val="007F1B49"/>
    <w:rsid w:val="007F2550"/>
    <w:rsid w:val="007F2CD5"/>
    <w:rsid w:val="007F35B6"/>
    <w:rsid w:val="007F36E6"/>
    <w:rsid w:val="007F3E5F"/>
    <w:rsid w:val="007F4919"/>
    <w:rsid w:val="007F4C4B"/>
    <w:rsid w:val="007F507A"/>
    <w:rsid w:val="007F5927"/>
    <w:rsid w:val="007F5BFA"/>
    <w:rsid w:val="007F64A8"/>
    <w:rsid w:val="007F6BBC"/>
    <w:rsid w:val="007F712D"/>
    <w:rsid w:val="007F71F2"/>
    <w:rsid w:val="007F77A5"/>
    <w:rsid w:val="007F7911"/>
    <w:rsid w:val="007F7AE0"/>
    <w:rsid w:val="007F7F2D"/>
    <w:rsid w:val="00800204"/>
    <w:rsid w:val="008006CA"/>
    <w:rsid w:val="00800FF9"/>
    <w:rsid w:val="008011B8"/>
    <w:rsid w:val="0080152F"/>
    <w:rsid w:val="0080167F"/>
    <w:rsid w:val="00801C2F"/>
    <w:rsid w:val="0080220B"/>
    <w:rsid w:val="00802421"/>
    <w:rsid w:val="008026C0"/>
    <w:rsid w:val="0080312D"/>
    <w:rsid w:val="008037EF"/>
    <w:rsid w:val="008039D9"/>
    <w:rsid w:val="00803DC9"/>
    <w:rsid w:val="00803ECB"/>
    <w:rsid w:val="0080483F"/>
    <w:rsid w:val="00804C89"/>
    <w:rsid w:val="008050D5"/>
    <w:rsid w:val="00805468"/>
    <w:rsid w:val="008054AC"/>
    <w:rsid w:val="008058A3"/>
    <w:rsid w:val="008061F1"/>
    <w:rsid w:val="0080775F"/>
    <w:rsid w:val="008104FE"/>
    <w:rsid w:val="00810D0F"/>
    <w:rsid w:val="00810DA6"/>
    <w:rsid w:val="00810EBB"/>
    <w:rsid w:val="00811332"/>
    <w:rsid w:val="008113BA"/>
    <w:rsid w:val="00811DF0"/>
    <w:rsid w:val="00811E9A"/>
    <w:rsid w:val="00811F08"/>
    <w:rsid w:val="0081237A"/>
    <w:rsid w:val="0081241C"/>
    <w:rsid w:val="0081390D"/>
    <w:rsid w:val="0081399A"/>
    <w:rsid w:val="00813B51"/>
    <w:rsid w:val="00814067"/>
    <w:rsid w:val="008142FC"/>
    <w:rsid w:val="00814429"/>
    <w:rsid w:val="00815A91"/>
    <w:rsid w:val="008162F9"/>
    <w:rsid w:val="00816991"/>
    <w:rsid w:val="00816CDA"/>
    <w:rsid w:val="00816EA2"/>
    <w:rsid w:val="008175E9"/>
    <w:rsid w:val="008177B8"/>
    <w:rsid w:val="00820118"/>
    <w:rsid w:val="008205F1"/>
    <w:rsid w:val="0082071A"/>
    <w:rsid w:val="00820864"/>
    <w:rsid w:val="0082113F"/>
    <w:rsid w:val="00821BFD"/>
    <w:rsid w:val="00822174"/>
    <w:rsid w:val="00822434"/>
    <w:rsid w:val="008224E6"/>
    <w:rsid w:val="00822BDB"/>
    <w:rsid w:val="0082308B"/>
    <w:rsid w:val="00823185"/>
    <w:rsid w:val="008232A5"/>
    <w:rsid w:val="00823531"/>
    <w:rsid w:val="00823927"/>
    <w:rsid w:val="00823984"/>
    <w:rsid w:val="00823D85"/>
    <w:rsid w:val="0082445B"/>
    <w:rsid w:val="0082452C"/>
    <w:rsid w:val="008245B7"/>
    <w:rsid w:val="0082488E"/>
    <w:rsid w:val="00825392"/>
    <w:rsid w:val="00825446"/>
    <w:rsid w:val="008256DE"/>
    <w:rsid w:val="00825A76"/>
    <w:rsid w:val="00825C3C"/>
    <w:rsid w:val="00826180"/>
    <w:rsid w:val="00826191"/>
    <w:rsid w:val="008267DD"/>
    <w:rsid w:val="00826852"/>
    <w:rsid w:val="00826BE6"/>
    <w:rsid w:val="00826C50"/>
    <w:rsid w:val="00826E0E"/>
    <w:rsid w:val="008278F7"/>
    <w:rsid w:val="00827997"/>
    <w:rsid w:val="00830241"/>
    <w:rsid w:val="00830CB3"/>
    <w:rsid w:val="00830E8D"/>
    <w:rsid w:val="00831CA5"/>
    <w:rsid w:val="0083215F"/>
    <w:rsid w:val="00832488"/>
    <w:rsid w:val="008328F1"/>
    <w:rsid w:val="00832AE4"/>
    <w:rsid w:val="00832E2E"/>
    <w:rsid w:val="00833AB8"/>
    <w:rsid w:val="00834B87"/>
    <w:rsid w:val="00834FCA"/>
    <w:rsid w:val="00835457"/>
    <w:rsid w:val="00835FDD"/>
    <w:rsid w:val="00836227"/>
    <w:rsid w:val="0083640E"/>
    <w:rsid w:val="00836504"/>
    <w:rsid w:val="008370BF"/>
    <w:rsid w:val="008371AC"/>
    <w:rsid w:val="008371F8"/>
    <w:rsid w:val="008373D4"/>
    <w:rsid w:val="0083760B"/>
    <w:rsid w:val="00837755"/>
    <w:rsid w:val="00837BEA"/>
    <w:rsid w:val="00837C8E"/>
    <w:rsid w:val="00837DD0"/>
    <w:rsid w:val="00837E28"/>
    <w:rsid w:val="00837E95"/>
    <w:rsid w:val="00837FB8"/>
    <w:rsid w:val="008404CE"/>
    <w:rsid w:val="0084062F"/>
    <w:rsid w:val="00840FF1"/>
    <w:rsid w:val="00841232"/>
    <w:rsid w:val="00841AF3"/>
    <w:rsid w:val="008422FA"/>
    <w:rsid w:val="00842598"/>
    <w:rsid w:val="008426ED"/>
    <w:rsid w:val="008429FC"/>
    <w:rsid w:val="00842C53"/>
    <w:rsid w:val="008430E0"/>
    <w:rsid w:val="008434AE"/>
    <w:rsid w:val="00843978"/>
    <w:rsid w:val="00844295"/>
    <w:rsid w:val="00845508"/>
    <w:rsid w:val="00846214"/>
    <w:rsid w:val="00846333"/>
    <w:rsid w:val="008466D8"/>
    <w:rsid w:val="00846A2F"/>
    <w:rsid w:val="00847E2A"/>
    <w:rsid w:val="00847E42"/>
    <w:rsid w:val="00847E4E"/>
    <w:rsid w:val="0085051A"/>
    <w:rsid w:val="008506E0"/>
    <w:rsid w:val="0085081B"/>
    <w:rsid w:val="00850EEE"/>
    <w:rsid w:val="00851544"/>
    <w:rsid w:val="00851A0A"/>
    <w:rsid w:val="00851DB0"/>
    <w:rsid w:val="00851DDE"/>
    <w:rsid w:val="008526B7"/>
    <w:rsid w:val="008529B6"/>
    <w:rsid w:val="00852BB1"/>
    <w:rsid w:val="008532D8"/>
    <w:rsid w:val="008548BA"/>
    <w:rsid w:val="00854B57"/>
    <w:rsid w:val="00854D01"/>
    <w:rsid w:val="00855203"/>
    <w:rsid w:val="00857325"/>
    <w:rsid w:val="00857732"/>
    <w:rsid w:val="00860279"/>
    <w:rsid w:val="008603E0"/>
    <w:rsid w:val="00860415"/>
    <w:rsid w:val="008605A1"/>
    <w:rsid w:val="00860668"/>
    <w:rsid w:val="00860E18"/>
    <w:rsid w:val="008618A4"/>
    <w:rsid w:val="00862253"/>
    <w:rsid w:val="00862338"/>
    <w:rsid w:val="00862942"/>
    <w:rsid w:val="0086369C"/>
    <w:rsid w:val="00863A29"/>
    <w:rsid w:val="00864403"/>
    <w:rsid w:val="00864A13"/>
    <w:rsid w:val="008651C9"/>
    <w:rsid w:val="008652FC"/>
    <w:rsid w:val="00865B95"/>
    <w:rsid w:val="00865BA7"/>
    <w:rsid w:val="0086626A"/>
    <w:rsid w:val="00866616"/>
    <w:rsid w:val="00866A61"/>
    <w:rsid w:val="00866ECB"/>
    <w:rsid w:val="00867061"/>
    <w:rsid w:val="00867437"/>
    <w:rsid w:val="00867D5C"/>
    <w:rsid w:val="00867D9A"/>
    <w:rsid w:val="00870FEC"/>
    <w:rsid w:val="00871CAD"/>
    <w:rsid w:val="0087212B"/>
    <w:rsid w:val="008728C3"/>
    <w:rsid w:val="0087298B"/>
    <w:rsid w:val="00872B0D"/>
    <w:rsid w:val="00873225"/>
    <w:rsid w:val="008737C3"/>
    <w:rsid w:val="0087394D"/>
    <w:rsid w:val="00873990"/>
    <w:rsid w:val="00873A4F"/>
    <w:rsid w:val="008740C2"/>
    <w:rsid w:val="008747BA"/>
    <w:rsid w:val="008748AE"/>
    <w:rsid w:val="008749BB"/>
    <w:rsid w:val="00874E33"/>
    <w:rsid w:val="008756BE"/>
    <w:rsid w:val="008759E3"/>
    <w:rsid w:val="0087668E"/>
    <w:rsid w:val="00876DE9"/>
    <w:rsid w:val="00877F58"/>
    <w:rsid w:val="0088033B"/>
    <w:rsid w:val="00880519"/>
    <w:rsid w:val="00880C7D"/>
    <w:rsid w:val="00881B82"/>
    <w:rsid w:val="00881B97"/>
    <w:rsid w:val="00881F35"/>
    <w:rsid w:val="008827C6"/>
    <w:rsid w:val="00882E3C"/>
    <w:rsid w:val="00883024"/>
    <w:rsid w:val="00883089"/>
    <w:rsid w:val="0088343E"/>
    <w:rsid w:val="0088368C"/>
    <w:rsid w:val="00883941"/>
    <w:rsid w:val="008842FF"/>
    <w:rsid w:val="0088494E"/>
    <w:rsid w:val="008853BB"/>
    <w:rsid w:val="00885921"/>
    <w:rsid w:val="00885A2B"/>
    <w:rsid w:val="00885A3C"/>
    <w:rsid w:val="00885EC5"/>
    <w:rsid w:val="00885F4C"/>
    <w:rsid w:val="00886040"/>
    <w:rsid w:val="0088684E"/>
    <w:rsid w:val="00886A82"/>
    <w:rsid w:val="00886ECC"/>
    <w:rsid w:val="0088705C"/>
    <w:rsid w:val="0088778E"/>
    <w:rsid w:val="0088799E"/>
    <w:rsid w:val="00890437"/>
    <w:rsid w:val="00890728"/>
    <w:rsid w:val="0089078E"/>
    <w:rsid w:val="00890C67"/>
    <w:rsid w:val="00890DFE"/>
    <w:rsid w:val="00890FBA"/>
    <w:rsid w:val="00891126"/>
    <w:rsid w:val="008913E1"/>
    <w:rsid w:val="00891492"/>
    <w:rsid w:val="00891747"/>
    <w:rsid w:val="0089180D"/>
    <w:rsid w:val="0089185D"/>
    <w:rsid w:val="00891970"/>
    <w:rsid w:val="00891A55"/>
    <w:rsid w:val="00891AF4"/>
    <w:rsid w:val="00891B40"/>
    <w:rsid w:val="00892435"/>
    <w:rsid w:val="00892EAF"/>
    <w:rsid w:val="0089358E"/>
    <w:rsid w:val="00893604"/>
    <w:rsid w:val="00894178"/>
    <w:rsid w:val="00894219"/>
    <w:rsid w:val="008946E9"/>
    <w:rsid w:val="00894873"/>
    <w:rsid w:val="00895CC7"/>
    <w:rsid w:val="00896209"/>
    <w:rsid w:val="00896260"/>
    <w:rsid w:val="00896871"/>
    <w:rsid w:val="00896FD4"/>
    <w:rsid w:val="00897401"/>
    <w:rsid w:val="00897985"/>
    <w:rsid w:val="00897B8C"/>
    <w:rsid w:val="00897E41"/>
    <w:rsid w:val="008A066D"/>
    <w:rsid w:val="008A0901"/>
    <w:rsid w:val="008A1051"/>
    <w:rsid w:val="008A1307"/>
    <w:rsid w:val="008A1C63"/>
    <w:rsid w:val="008A1D07"/>
    <w:rsid w:val="008A2170"/>
    <w:rsid w:val="008A2A09"/>
    <w:rsid w:val="008A2CF9"/>
    <w:rsid w:val="008A319D"/>
    <w:rsid w:val="008A3A00"/>
    <w:rsid w:val="008A402F"/>
    <w:rsid w:val="008A4A86"/>
    <w:rsid w:val="008A4DE2"/>
    <w:rsid w:val="008A4EA8"/>
    <w:rsid w:val="008A5023"/>
    <w:rsid w:val="008A56D2"/>
    <w:rsid w:val="008A585F"/>
    <w:rsid w:val="008A5EC6"/>
    <w:rsid w:val="008A60EC"/>
    <w:rsid w:val="008A6492"/>
    <w:rsid w:val="008A65EB"/>
    <w:rsid w:val="008A67C1"/>
    <w:rsid w:val="008A7652"/>
    <w:rsid w:val="008A76F5"/>
    <w:rsid w:val="008B0686"/>
    <w:rsid w:val="008B0A89"/>
    <w:rsid w:val="008B0D2B"/>
    <w:rsid w:val="008B0D81"/>
    <w:rsid w:val="008B0FF9"/>
    <w:rsid w:val="008B1AE2"/>
    <w:rsid w:val="008B20D5"/>
    <w:rsid w:val="008B2124"/>
    <w:rsid w:val="008B243E"/>
    <w:rsid w:val="008B2707"/>
    <w:rsid w:val="008B2C50"/>
    <w:rsid w:val="008B2EA3"/>
    <w:rsid w:val="008B35A1"/>
    <w:rsid w:val="008B3AC4"/>
    <w:rsid w:val="008B3B0E"/>
    <w:rsid w:val="008B48E6"/>
    <w:rsid w:val="008B4976"/>
    <w:rsid w:val="008B4D0A"/>
    <w:rsid w:val="008B4D7C"/>
    <w:rsid w:val="008B4E3F"/>
    <w:rsid w:val="008B4EFF"/>
    <w:rsid w:val="008B4FB7"/>
    <w:rsid w:val="008B52BD"/>
    <w:rsid w:val="008B59D9"/>
    <w:rsid w:val="008B5A8D"/>
    <w:rsid w:val="008B6179"/>
    <w:rsid w:val="008B62D7"/>
    <w:rsid w:val="008B69A8"/>
    <w:rsid w:val="008B6B2E"/>
    <w:rsid w:val="008B754F"/>
    <w:rsid w:val="008B772A"/>
    <w:rsid w:val="008B7ADD"/>
    <w:rsid w:val="008C0443"/>
    <w:rsid w:val="008C0479"/>
    <w:rsid w:val="008C05DC"/>
    <w:rsid w:val="008C07CD"/>
    <w:rsid w:val="008C0B90"/>
    <w:rsid w:val="008C0D81"/>
    <w:rsid w:val="008C0D8F"/>
    <w:rsid w:val="008C0ECC"/>
    <w:rsid w:val="008C1483"/>
    <w:rsid w:val="008C159D"/>
    <w:rsid w:val="008C27FD"/>
    <w:rsid w:val="008C295F"/>
    <w:rsid w:val="008C3EF8"/>
    <w:rsid w:val="008C5444"/>
    <w:rsid w:val="008C5A56"/>
    <w:rsid w:val="008C5E44"/>
    <w:rsid w:val="008C672B"/>
    <w:rsid w:val="008C6B72"/>
    <w:rsid w:val="008C6F90"/>
    <w:rsid w:val="008C7ED7"/>
    <w:rsid w:val="008D0177"/>
    <w:rsid w:val="008D020B"/>
    <w:rsid w:val="008D0403"/>
    <w:rsid w:val="008D07E8"/>
    <w:rsid w:val="008D0B55"/>
    <w:rsid w:val="008D0F73"/>
    <w:rsid w:val="008D12A5"/>
    <w:rsid w:val="008D14C1"/>
    <w:rsid w:val="008D196F"/>
    <w:rsid w:val="008D1BB9"/>
    <w:rsid w:val="008D1DF6"/>
    <w:rsid w:val="008D253E"/>
    <w:rsid w:val="008D2580"/>
    <w:rsid w:val="008D2A97"/>
    <w:rsid w:val="008D2E58"/>
    <w:rsid w:val="008D44D4"/>
    <w:rsid w:val="008D45A0"/>
    <w:rsid w:val="008D460F"/>
    <w:rsid w:val="008D4D67"/>
    <w:rsid w:val="008D513B"/>
    <w:rsid w:val="008D5176"/>
    <w:rsid w:val="008D57C4"/>
    <w:rsid w:val="008D595E"/>
    <w:rsid w:val="008D67F5"/>
    <w:rsid w:val="008D6F06"/>
    <w:rsid w:val="008D7861"/>
    <w:rsid w:val="008E009B"/>
    <w:rsid w:val="008E063C"/>
    <w:rsid w:val="008E0BD3"/>
    <w:rsid w:val="008E0D66"/>
    <w:rsid w:val="008E22C8"/>
    <w:rsid w:val="008E4199"/>
    <w:rsid w:val="008E5038"/>
    <w:rsid w:val="008E50CB"/>
    <w:rsid w:val="008E5D2C"/>
    <w:rsid w:val="008E6319"/>
    <w:rsid w:val="008E6802"/>
    <w:rsid w:val="008E6861"/>
    <w:rsid w:val="008E6F2D"/>
    <w:rsid w:val="008E7224"/>
    <w:rsid w:val="008E7532"/>
    <w:rsid w:val="008E770E"/>
    <w:rsid w:val="008E77BD"/>
    <w:rsid w:val="008E78FC"/>
    <w:rsid w:val="008E7BD6"/>
    <w:rsid w:val="008E7FC9"/>
    <w:rsid w:val="008F0B2A"/>
    <w:rsid w:val="008F148F"/>
    <w:rsid w:val="008F1703"/>
    <w:rsid w:val="008F23DA"/>
    <w:rsid w:val="008F25AB"/>
    <w:rsid w:val="008F2B69"/>
    <w:rsid w:val="008F2F9A"/>
    <w:rsid w:val="008F332A"/>
    <w:rsid w:val="008F5383"/>
    <w:rsid w:val="008F5769"/>
    <w:rsid w:val="008F5945"/>
    <w:rsid w:val="008F6164"/>
    <w:rsid w:val="008F6279"/>
    <w:rsid w:val="008F6612"/>
    <w:rsid w:val="008F6930"/>
    <w:rsid w:val="008F6D70"/>
    <w:rsid w:val="008F6EF8"/>
    <w:rsid w:val="008F722A"/>
    <w:rsid w:val="008F799C"/>
    <w:rsid w:val="008F7ADA"/>
    <w:rsid w:val="0090009F"/>
    <w:rsid w:val="00901205"/>
    <w:rsid w:val="0090144F"/>
    <w:rsid w:val="00901626"/>
    <w:rsid w:val="00901697"/>
    <w:rsid w:val="00901827"/>
    <w:rsid w:val="009019E8"/>
    <w:rsid w:val="00902652"/>
    <w:rsid w:val="009027DC"/>
    <w:rsid w:val="009028FE"/>
    <w:rsid w:val="009034A6"/>
    <w:rsid w:val="0090359F"/>
    <w:rsid w:val="009042D3"/>
    <w:rsid w:val="0090478E"/>
    <w:rsid w:val="009048DF"/>
    <w:rsid w:val="00904D8B"/>
    <w:rsid w:val="0090585D"/>
    <w:rsid w:val="00905A94"/>
    <w:rsid w:val="009061B5"/>
    <w:rsid w:val="00906BFB"/>
    <w:rsid w:val="00906F9A"/>
    <w:rsid w:val="0090711B"/>
    <w:rsid w:val="009074AB"/>
    <w:rsid w:val="00907E9A"/>
    <w:rsid w:val="009100EF"/>
    <w:rsid w:val="009101FD"/>
    <w:rsid w:val="00910473"/>
    <w:rsid w:val="009107C2"/>
    <w:rsid w:val="00910C7B"/>
    <w:rsid w:val="009113BD"/>
    <w:rsid w:val="009115B2"/>
    <w:rsid w:val="0091169A"/>
    <w:rsid w:val="00911866"/>
    <w:rsid w:val="0091194E"/>
    <w:rsid w:val="00911A3F"/>
    <w:rsid w:val="00911C9C"/>
    <w:rsid w:val="00912A8B"/>
    <w:rsid w:val="00913440"/>
    <w:rsid w:val="009139D7"/>
    <w:rsid w:val="00913A55"/>
    <w:rsid w:val="00914002"/>
    <w:rsid w:val="0091410A"/>
    <w:rsid w:val="009142EE"/>
    <w:rsid w:val="00914849"/>
    <w:rsid w:val="0091491D"/>
    <w:rsid w:val="00914B96"/>
    <w:rsid w:val="00914FB0"/>
    <w:rsid w:val="00915219"/>
    <w:rsid w:val="00915470"/>
    <w:rsid w:val="00915E24"/>
    <w:rsid w:val="00915E64"/>
    <w:rsid w:val="009162C1"/>
    <w:rsid w:val="00916439"/>
    <w:rsid w:val="0091656E"/>
    <w:rsid w:val="0091662C"/>
    <w:rsid w:val="009168D7"/>
    <w:rsid w:val="009169A5"/>
    <w:rsid w:val="00916D79"/>
    <w:rsid w:val="0091786C"/>
    <w:rsid w:val="00917896"/>
    <w:rsid w:val="009178B2"/>
    <w:rsid w:val="00917D51"/>
    <w:rsid w:val="00917DF0"/>
    <w:rsid w:val="00917E44"/>
    <w:rsid w:val="009201E4"/>
    <w:rsid w:val="00920822"/>
    <w:rsid w:val="00920E4B"/>
    <w:rsid w:val="0092103D"/>
    <w:rsid w:val="009216A5"/>
    <w:rsid w:val="00921806"/>
    <w:rsid w:val="009218D1"/>
    <w:rsid w:val="009218F8"/>
    <w:rsid w:val="00921BA4"/>
    <w:rsid w:val="00921C16"/>
    <w:rsid w:val="00921C4E"/>
    <w:rsid w:val="00922676"/>
    <w:rsid w:val="00922D06"/>
    <w:rsid w:val="00922D3F"/>
    <w:rsid w:val="0092349C"/>
    <w:rsid w:val="00923A8B"/>
    <w:rsid w:val="00923AF4"/>
    <w:rsid w:val="00923B55"/>
    <w:rsid w:val="00923D14"/>
    <w:rsid w:val="009241A3"/>
    <w:rsid w:val="0092482A"/>
    <w:rsid w:val="0092498B"/>
    <w:rsid w:val="00924B0D"/>
    <w:rsid w:val="00924FC3"/>
    <w:rsid w:val="009259C2"/>
    <w:rsid w:val="00925B32"/>
    <w:rsid w:val="00925DD8"/>
    <w:rsid w:val="009269F3"/>
    <w:rsid w:val="00926B1E"/>
    <w:rsid w:val="00926F00"/>
    <w:rsid w:val="00927217"/>
    <w:rsid w:val="00927299"/>
    <w:rsid w:val="0092762E"/>
    <w:rsid w:val="00927A08"/>
    <w:rsid w:val="00927CC1"/>
    <w:rsid w:val="00927EED"/>
    <w:rsid w:val="00927F1C"/>
    <w:rsid w:val="0093032C"/>
    <w:rsid w:val="00930859"/>
    <w:rsid w:val="0093091A"/>
    <w:rsid w:val="009312EF"/>
    <w:rsid w:val="00931D96"/>
    <w:rsid w:val="00932089"/>
    <w:rsid w:val="0093245B"/>
    <w:rsid w:val="0093303E"/>
    <w:rsid w:val="009333DF"/>
    <w:rsid w:val="009336DD"/>
    <w:rsid w:val="00933D6A"/>
    <w:rsid w:val="00934109"/>
    <w:rsid w:val="00934387"/>
    <w:rsid w:val="0093487C"/>
    <w:rsid w:val="00935F8E"/>
    <w:rsid w:val="009362CA"/>
    <w:rsid w:val="0093648B"/>
    <w:rsid w:val="009366C3"/>
    <w:rsid w:val="0093737C"/>
    <w:rsid w:val="009374D4"/>
    <w:rsid w:val="009378E3"/>
    <w:rsid w:val="0094042B"/>
    <w:rsid w:val="009406E8"/>
    <w:rsid w:val="009407C6"/>
    <w:rsid w:val="00941809"/>
    <w:rsid w:val="00941813"/>
    <w:rsid w:val="00941858"/>
    <w:rsid w:val="009420C5"/>
    <w:rsid w:val="009425BF"/>
    <w:rsid w:val="00942747"/>
    <w:rsid w:val="00942FDC"/>
    <w:rsid w:val="00942FF0"/>
    <w:rsid w:val="0094309F"/>
    <w:rsid w:val="009430DC"/>
    <w:rsid w:val="009430ED"/>
    <w:rsid w:val="00943388"/>
    <w:rsid w:val="009435DB"/>
    <w:rsid w:val="00943764"/>
    <w:rsid w:val="00943B85"/>
    <w:rsid w:val="00944238"/>
    <w:rsid w:val="00944267"/>
    <w:rsid w:val="009444A0"/>
    <w:rsid w:val="00944C4D"/>
    <w:rsid w:val="00945111"/>
    <w:rsid w:val="009451E9"/>
    <w:rsid w:val="00945362"/>
    <w:rsid w:val="00945C83"/>
    <w:rsid w:val="00946206"/>
    <w:rsid w:val="009469FE"/>
    <w:rsid w:val="00947074"/>
    <w:rsid w:val="0094708F"/>
    <w:rsid w:val="00947594"/>
    <w:rsid w:val="0094787F"/>
    <w:rsid w:val="00947CC7"/>
    <w:rsid w:val="00950873"/>
    <w:rsid w:val="00950930"/>
    <w:rsid w:val="00951828"/>
    <w:rsid w:val="00951A85"/>
    <w:rsid w:val="00951D99"/>
    <w:rsid w:val="009528F7"/>
    <w:rsid w:val="00952BFF"/>
    <w:rsid w:val="00952E60"/>
    <w:rsid w:val="00953B2F"/>
    <w:rsid w:val="00953E81"/>
    <w:rsid w:val="00954402"/>
    <w:rsid w:val="00954CF0"/>
    <w:rsid w:val="00954D77"/>
    <w:rsid w:val="00954F06"/>
    <w:rsid w:val="009552EA"/>
    <w:rsid w:val="00955790"/>
    <w:rsid w:val="00955BFA"/>
    <w:rsid w:val="00955E9B"/>
    <w:rsid w:val="009560DA"/>
    <w:rsid w:val="009561E7"/>
    <w:rsid w:val="0095664D"/>
    <w:rsid w:val="00956774"/>
    <w:rsid w:val="00956825"/>
    <w:rsid w:val="00956DEF"/>
    <w:rsid w:val="00957EE7"/>
    <w:rsid w:val="009600C5"/>
    <w:rsid w:val="009601BA"/>
    <w:rsid w:val="0096073D"/>
    <w:rsid w:val="00960F19"/>
    <w:rsid w:val="0096154B"/>
    <w:rsid w:val="00961CE9"/>
    <w:rsid w:val="0096241A"/>
    <w:rsid w:val="009624B0"/>
    <w:rsid w:val="009625B0"/>
    <w:rsid w:val="009625C1"/>
    <w:rsid w:val="0096271B"/>
    <w:rsid w:val="009627E8"/>
    <w:rsid w:val="009629A0"/>
    <w:rsid w:val="00962F3F"/>
    <w:rsid w:val="00963780"/>
    <w:rsid w:val="00963891"/>
    <w:rsid w:val="00964900"/>
    <w:rsid w:val="00964D2A"/>
    <w:rsid w:val="009650F9"/>
    <w:rsid w:val="00965E2D"/>
    <w:rsid w:val="00966E13"/>
    <w:rsid w:val="00967BBD"/>
    <w:rsid w:val="00967E6D"/>
    <w:rsid w:val="00970011"/>
    <w:rsid w:val="009700D2"/>
    <w:rsid w:val="009707EC"/>
    <w:rsid w:val="00970D65"/>
    <w:rsid w:val="00971844"/>
    <w:rsid w:val="00971B9B"/>
    <w:rsid w:val="00971D61"/>
    <w:rsid w:val="00971E0B"/>
    <w:rsid w:val="00971FD4"/>
    <w:rsid w:val="0097270B"/>
    <w:rsid w:val="00973273"/>
    <w:rsid w:val="009732F7"/>
    <w:rsid w:val="00973342"/>
    <w:rsid w:val="009735CA"/>
    <w:rsid w:val="0097378E"/>
    <w:rsid w:val="00973D09"/>
    <w:rsid w:val="00974F51"/>
    <w:rsid w:val="0097535B"/>
    <w:rsid w:val="009762CA"/>
    <w:rsid w:val="00976E7C"/>
    <w:rsid w:val="0097708E"/>
    <w:rsid w:val="00977430"/>
    <w:rsid w:val="00977A15"/>
    <w:rsid w:val="009803C8"/>
    <w:rsid w:val="009805EE"/>
    <w:rsid w:val="00980ECD"/>
    <w:rsid w:val="00980FF6"/>
    <w:rsid w:val="009810CA"/>
    <w:rsid w:val="00981124"/>
    <w:rsid w:val="00981C17"/>
    <w:rsid w:val="00982808"/>
    <w:rsid w:val="00983090"/>
    <w:rsid w:val="009832AC"/>
    <w:rsid w:val="00983905"/>
    <w:rsid w:val="00983DCF"/>
    <w:rsid w:val="00984760"/>
    <w:rsid w:val="009848BB"/>
    <w:rsid w:val="00984B5F"/>
    <w:rsid w:val="00984F11"/>
    <w:rsid w:val="009853C5"/>
    <w:rsid w:val="009854CD"/>
    <w:rsid w:val="00985B6E"/>
    <w:rsid w:val="00985CEF"/>
    <w:rsid w:val="0098626E"/>
    <w:rsid w:val="00986BFF"/>
    <w:rsid w:val="0098737F"/>
    <w:rsid w:val="0098769C"/>
    <w:rsid w:val="009878ED"/>
    <w:rsid w:val="00987CEF"/>
    <w:rsid w:val="00987ECA"/>
    <w:rsid w:val="00987EEF"/>
    <w:rsid w:val="0099021D"/>
    <w:rsid w:val="00990280"/>
    <w:rsid w:val="00990327"/>
    <w:rsid w:val="00990C5E"/>
    <w:rsid w:val="00991FEE"/>
    <w:rsid w:val="00992448"/>
    <w:rsid w:val="009926A0"/>
    <w:rsid w:val="00992787"/>
    <w:rsid w:val="00992877"/>
    <w:rsid w:val="00992A36"/>
    <w:rsid w:val="00992B01"/>
    <w:rsid w:val="00992DB9"/>
    <w:rsid w:val="00992E2E"/>
    <w:rsid w:val="00993CB0"/>
    <w:rsid w:val="00994375"/>
    <w:rsid w:val="009944F5"/>
    <w:rsid w:val="00994CCA"/>
    <w:rsid w:val="00995445"/>
    <w:rsid w:val="0099558E"/>
    <w:rsid w:val="009958CE"/>
    <w:rsid w:val="00995D9C"/>
    <w:rsid w:val="00995EC9"/>
    <w:rsid w:val="009966AF"/>
    <w:rsid w:val="00996ADF"/>
    <w:rsid w:val="00997129"/>
    <w:rsid w:val="0099727F"/>
    <w:rsid w:val="00997916"/>
    <w:rsid w:val="00997F99"/>
    <w:rsid w:val="009A00EF"/>
    <w:rsid w:val="009A0690"/>
    <w:rsid w:val="009A114E"/>
    <w:rsid w:val="009A1361"/>
    <w:rsid w:val="009A1617"/>
    <w:rsid w:val="009A18F1"/>
    <w:rsid w:val="009A1F1D"/>
    <w:rsid w:val="009A2082"/>
    <w:rsid w:val="009A2277"/>
    <w:rsid w:val="009A269F"/>
    <w:rsid w:val="009A2833"/>
    <w:rsid w:val="009A2BFE"/>
    <w:rsid w:val="009A2CD3"/>
    <w:rsid w:val="009A3119"/>
    <w:rsid w:val="009A354D"/>
    <w:rsid w:val="009A3921"/>
    <w:rsid w:val="009A4534"/>
    <w:rsid w:val="009A5BE7"/>
    <w:rsid w:val="009A6AD9"/>
    <w:rsid w:val="009A6CC5"/>
    <w:rsid w:val="009A7767"/>
    <w:rsid w:val="009A7911"/>
    <w:rsid w:val="009A7991"/>
    <w:rsid w:val="009A7AFD"/>
    <w:rsid w:val="009A7B0A"/>
    <w:rsid w:val="009A7CFF"/>
    <w:rsid w:val="009A7D25"/>
    <w:rsid w:val="009A7EF9"/>
    <w:rsid w:val="009B0080"/>
    <w:rsid w:val="009B0172"/>
    <w:rsid w:val="009B0366"/>
    <w:rsid w:val="009B0A77"/>
    <w:rsid w:val="009B0BAE"/>
    <w:rsid w:val="009B22D9"/>
    <w:rsid w:val="009B28E3"/>
    <w:rsid w:val="009B2927"/>
    <w:rsid w:val="009B3B94"/>
    <w:rsid w:val="009B3C73"/>
    <w:rsid w:val="009B3F0B"/>
    <w:rsid w:val="009B3F63"/>
    <w:rsid w:val="009B4414"/>
    <w:rsid w:val="009B4F1E"/>
    <w:rsid w:val="009B5206"/>
    <w:rsid w:val="009B56CA"/>
    <w:rsid w:val="009B5751"/>
    <w:rsid w:val="009B61FB"/>
    <w:rsid w:val="009B622A"/>
    <w:rsid w:val="009B67B3"/>
    <w:rsid w:val="009B6D3E"/>
    <w:rsid w:val="009B7585"/>
    <w:rsid w:val="009B783D"/>
    <w:rsid w:val="009C0024"/>
    <w:rsid w:val="009C0191"/>
    <w:rsid w:val="009C0493"/>
    <w:rsid w:val="009C0667"/>
    <w:rsid w:val="009C085A"/>
    <w:rsid w:val="009C0E0F"/>
    <w:rsid w:val="009C10AF"/>
    <w:rsid w:val="009C1152"/>
    <w:rsid w:val="009C11BD"/>
    <w:rsid w:val="009C1AD2"/>
    <w:rsid w:val="009C254A"/>
    <w:rsid w:val="009C256F"/>
    <w:rsid w:val="009C2B4E"/>
    <w:rsid w:val="009C2D95"/>
    <w:rsid w:val="009C3713"/>
    <w:rsid w:val="009C3899"/>
    <w:rsid w:val="009C3BBE"/>
    <w:rsid w:val="009C3D61"/>
    <w:rsid w:val="009C3DF2"/>
    <w:rsid w:val="009C3E6A"/>
    <w:rsid w:val="009C3EA7"/>
    <w:rsid w:val="009C3FE1"/>
    <w:rsid w:val="009C4CFA"/>
    <w:rsid w:val="009C5518"/>
    <w:rsid w:val="009C585E"/>
    <w:rsid w:val="009C5D68"/>
    <w:rsid w:val="009C5DC5"/>
    <w:rsid w:val="009C6212"/>
    <w:rsid w:val="009C62CA"/>
    <w:rsid w:val="009C65AA"/>
    <w:rsid w:val="009C6740"/>
    <w:rsid w:val="009C75CA"/>
    <w:rsid w:val="009C777B"/>
    <w:rsid w:val="009D0C0B"/>
    <w:rsid w:val="009D0E44"/>
    <w:rsid w:val="009D0ECF"/>
    <w:rsid w:val="009D1A42"/>
    <w:rsid w:val="009D211D"/>
    <w:rsid w:val="009D247E"/>
    <w:rsid w:val="009D278D"/>
    <w:rsid w:val="009D2840"/>
    <w:rsid w:val="009D2953"/>
    <w:rsid w:val="009D2EEB"/>
    <w:rsid w:val="009D321E"/>
    <w:rsid w:val="009D34B4"/>
    <w:rsid w:val="009D34ED"/>
    <w:rsid w:val="009D3807"/>
    <w:rsid w:val="009D3A6A"/>
    <w:rsid w:val="009D4087"/>
    <w:rsid w:val="009D4CF4"/>
    <w:rsid w:val="009D5127"/>
    <w:rsid w:val="009D5322"/>
    <w:rsid w:val="009D53EC"/>
    <w:rsid w:val="009D5400"/>
    <w:rsid w:val="009D574F"/>
    <w:rsid w:val="009D5842"/>
    <w:rsid w:val="009D63E9"/>
    <w:rsid w:val="009D6490"/>
    <w:rsid w:val="009D6770"/>
    <w:rsid w:val="009D680D"/>
    <w:rsid w:val="009D69C3"/>
    <w:rsid w:val="009D6A0F"/>
    <w:rsid w:val="009D6A6B"/>
    <w:rsid w:val="009D7581"/>
    <w:rsid w:val="009E00FF"/>
    <w:rsid w:val="009E0986"/>
    <w:rsid w:val="009E14E4"/>
    <w:rsid w:val="009E2149"/>
    <w:rsid w:val="009E2403"/>
    <w:rsid w:val="009E2578"/>
    <w:rsid w:val="009E2D98"/>
    <w:rsid w:val="009E3058"/>
    <w:rsid w:val="009E31A9"/>
    <w:rsid w:val="009E33FB"/>
    <w:rsid w:val="009E3703"/>
    <w:rsid w:val="009E3746"/>
    <w:rsid w:val="009E3EE0"/>
    <w:rsid w:val="009E43B8"/>
    <w:rsid w:val="009E43C6"/>
    <w:rsid w:val="009E45CA"/>
    <w:rsid w:val="009E4C33"/>
    <w:rsid w:val="009E5038"/>
    <w:rsid w:val="009E5F66"/>
    <w:rsid w:val="009E78D0"/>
    <w:rsid w:val="009E7A16"/>
    <w:rsid w:val="009E7BF1"/>
    <w:rsid w:val="009E7D8D"/>
    <w:rsid w:val="009E7DB2"/>
    <w:rsid w:val="009E7F09"/>
    <w:rsid w:val="009F01D6"/>
    <w:rsid w:val="009F0438"/>
    <w:rsid w:val="009F0442"/>
    <w:rsid w:val="009F0534"/>
    <w:rsid w:val="009F1545"/>
    <w:rsid w:val="009F1721"/>
    <w:rsid w:val="009F1920"/>
    <w:rsid w:val="009F1B5F"/>
    <w:rsid w:val="009F29DA"/>
    <w:rsid w:val="009F32F0"/>
    <w:rsid w:val="009F34C8"/>
    <w:rsid w:val="009F3684"/>
    <w:rsid w:val="009F3952"/>
    <w:rsid w:val="009F46A2"/>
    <w:rsid w:val="009F4AED"/>
    <w:rsid w:val="009F4E8C"/>
    <w:rsid w:val="009F57D1"/>
    <w:rsid w:val="009F6600"/>
    <w:rsid w:val="009F6B3D"/>
    <w:rsid w:val="009F6BDC"/>
    <w:rsid w:val="009F7111"/>
    <w:rsid w:val="009F781F"/>
    <w:rsid w:val="00A001B5"/>
    <w:rsid w:val="00A00323"/>
    <w:rsid w:val="00A00779"/>
    <w:rsid w:val="00A007A3"/>
    <w:rsid w:val="00A0082B"/>
    <w:rsid w:val="00A009F3"/>
    <w:rsid w:val="00A00ED1"/>
    <w:rsid w:val="00A01A38"/>
    <w:rsid w:val="00A01BC2"/>
    <w:rsid w:val="00A02DE6"/>
    <w:rsid w:val="00A03256"/>
    <w:rsid w:val="00A0384F"/>
    <w:rsid w:val="00A04B1A"/>
    <w:rsid w:val="00A0533E"/>
    <w:rsid w:val="00A05680"/>
    <w:rsid w:val="00A057BF"/>
    <w:rsid w:val="00A05B74"/>
    <w:rsid w:val="00A06261"/>
    <w:rsid w:val="00A07EE7"/>
    <w:rsid w:val="00A10ADD"/>
    <w:rsid w:val="00A11292"/>
    <w:rsid w:val="00A11A2D"/>
    <w:rsid w:val="00A11FA2"/>
    <w:rsid w:val="00A121C6"/>
    <w:rsid w:val="00A123FD"/>
    <w:rsid w:val="00A124CC"/>
    <w:rsid w:val="00A12C63"/>
    <w:rsid w:val="00A133F3"/>
    <w:rsid w:val="00A139F0"/>
    <w:rsid w:val="00A13A3A"/>
    <w:rsid w:val="00A14140"/>
    <w:rsid w:val="00A143FB"/>
    <w:rsid w:val="00A14690"/>
    <w:rsid w:val="00A147B6"/>
    <w:rsid w:val="00A14AD8"/>
    <w:rsid w:val="00A14E39"/>
    <w:rsid w:val="00A15289"/>
    <w:rsid w:val="00A152F6"/>
    <w:rsid w:val="00A154CB"/>
    <w:rsid w:val="00A166CA"/>
    <w:rsid w:val="00A168D4"/>
    <w:rsid w:val="00A16B7A"/>
    <w:rsid w:val="00A17084"/>
    <w:rsid w:val="00A170B6"/>
    <w:rsid w:val="00A17511"/>
    <w:rsid w:val="00A17C1C"/>
    <w:rsid w:val="00A17D95"/>
    <w:rsid w:val="00A17EED"/>
    <w:rsid w:val="00A17F2F"/>
    <w:rsid w:val="00A20A04"/>
    <w:rsid w:val="00A20E72"/>
    <w:rsid w:val="00A212B1"/>
    <w:rsid w:val="00A212BE"/>
    <w:rsid w:val="00A22015"/>
    <w:rsid w:val="00A221AC"/>
    <w:rsid w:val="00A2395A"/>
    <w:rsid w:val="00A23CB6"/>
    <w:rsid w:val="00A243F8"/>
    <w:rsid w:val="00A2523E"/>
    <w:rsid w:val="00A25513"/>
    <w:rsid w:val="00A2571F"/>
    <w:rsid w:val="00A25904"/>
    <w:rsid w:val="00A25CA4"/>
    <w:rsid w:val="00A25E49"/>
    <w:rsid w:val="00A25F64"/>
    <w:rsid w:val="00A26080"/>
    <w:rsid w:val="00A26AA2"/>
    <w:rsid w:val="00A26ADA"/>
    <w:rsid w:val="00A26DD1"/>
    <w:rsid w:val="00A27135"/>
    <w:rsid w:val="00A27237"/>
    <w:rsid w:val="00A272D2"/>
    <w:rsid w:val="00A275A4"/>
    <w:rsid w:val="00A27A75"/>
    <w:rsid w:val="00A27E1F"/>
    <w:rsid w:val="00A30DCB"/>
    <w:rsid w:val="00A32612"/>
    <w:rsid w:val="00A3275F"/>
    <w:rsid w:val="00A32838"/>
    <w:rsid w:val="00A32B33"/>
    <w:rsid w:val="00A33993"/>
    <w:rsid w:val="00A339E0"/>
    <w:rsid w:val="00A33C12"/>
    <w:rsid w:val="00A33DBA"/>
    <w:rsid w:val="00A352B1"/>
    <w:rsid w:val="00A35494"/>
    <w:rsid w:val="00A35F64"/>
    <w:rsid w:val="00A3617F"/>
    <w:rsid w:val="00A361A8"/>
    <w:rsid w:val="00A365DC"/>
    <w:rsid w:val="00A367E7"/>
    <w:rsid w:val="00A36B0C"/>
    <w:rsid w:val="00A36B92"/>
    <w:rsid w:val="00A36DAA"/>
    <w:rsid w:val="00A378DC"/>
    <w:rsid w:val="00A37BA3"/>
    <w:rsid w:val="00A41B78"/>
    <w:rsid w:val="00A41E91"/>
    <w:rsid w:val="00A42672"/>
    <w:rsid w:val="00A42880"/>
    <w:rsid w:val="00A42BCF"/>
    <w:rsid w:val="00A42D11"/>
    <w:rsid w:val="00A430B5"/>
    <w:rsid w:val="00A43242"/>
    <w:rsid w:val="00A43494"/>
    <w:rsid w:val="00A43AB4"/>
    <w:rsid w:val="00A442F9"/>
    <w:rsid w:val="00A445C2"/>
    <w:rsid w:val="00A446AD"/>
    <w:rsid w:val="00A44783"/>
    <w:rsid w:val="00A44ED1"/>
    <w:rsid w:val="00A45444"/>
    <w:rsid w:val="00A45936"/>
    <w:rsid w:val="00A45A75"/>
    <w:rsid w:val="00A4650B"/>
    <w:rsid w:val="00A4688F"/>
    <w:rsid w:val="00A46CEF"/>
    <w:rsid w:val="00A47038"/>
    <w:rsid w:val="00A476EC"/>
    <w:rsid w:val="00A47721"/>
    <w:rsid w:val="00A47D22"/>
    <w:rsid w:val="00A505F1"/>
    <w:rsid w:val="00A512C5"/>
    <w:rsid w:val="00A514AD"/>
    <w:rsid w:val="00A522A6"/>
    <w:rsid w:val="00A527B9"/>
    <w:rsid w:val="00A53148"/>
    <w:rsid w:val="00A5315C"/>
    <w:rsid w:val="00A53453"/>
    <w:rsid w:val="00A53541"/>
    <w:rsid w:val="00A53699"/>
    <w:rsid w:val="00A53B73"/>
    <w:rsid w:val="00A54B88"/>
    <w:rsid w:val="00A5568A"/>
    <w:rsid w:val="00A55E51"/>
    <w:rsid w:val="00A5656F"/>
    <w:rsid w:val="00A56A6A"/>
    <w:rsid w:val="00A56BE9"/>
    <w:rsid w:val="00A56CAE"/>
    <w:rsid w:val="00A56E9B"/>
    <w:rsid w:val="00A575A7"/>
    <w:rsid w:val="00A575E1"/>
    <w:rsid w:val="00A57B2D"/>
    <w:rsid w:val="00A57C2E"/>
    <w:rsid w:val="00A57D03"/>
    <w:rsid w:val="00A60161"/>
    <w:rsid w:val="00A6048A"/>
    <w:rsid w:val="00A607D1"/>
    <w:rsid w:val="00A60990"/>
    <w:rsid w:val="00A60CD9"/>
    <w:rsid w:val="00A60F6B"/>
    <w:rsid w:val="00A61ADB"/>
    <w:rsid w:val="00A61C57"/>
    <w:rsid w:val="00A62018"/>
    <w:rsid w:val="00A62062"/>
    <w:rsid w:val="00A62483"/>
    <w:rsid w:val="00A62671"/>
    <w:rsid w:val="00A62C22"/>
    <w:rsid w:val="00A62CE1"/>
    <w:rsid w:val="00A62F1B"/>
    <w:rsid w:val="00A64030"/>
    <w:rsid w:val="00A641C6"/>
    <w:rsid w:val="00A6421B"/>
    <w:rsid w:val="00A6558D"/>
    <w:rsid w:val="00A65E37"/>
    <w:rsid w:val="00A66482"/>
    <w:rsid w:val="00A66A13"/>
    <w:rsid w:val="00A672EC"/>
    <w:rsid w:val="00A67443"/>
    <w:rsid w:val="00A67E68"/>
    <w:rsid w:val="00A67ED0"/>
    <w:rsid w:val="00A7003D"/>
    <w:rsid w:val="00A70317"/>
    <w:rsid w:val="00A709BF"/>
    <w:rsid w:val="00A70CC3"/>
    <w:rsid w:val="00A70F38"/>
    <w:rsid w:val="00A7166E"/>
    <w:rsid w:val="00A719FC"/>
    <w:rsid w:val="00A71C14"/>
    <w:rsid w:val="00A72906"/>
    <w:rsid w:val="00A729A3"/>
    <w:rsid w:val="00A72D70"/>
    <w:rsid w:val="00A741D8"/>
    <w:rsid w:val="00A74222"/>
    <w:rsid w:val="00A74B19"/>
    <w:rsid w:val="00A74BE7"/>
    <w:rsid w:val="00A74C12"/>
    <w:rsid w:val="00A74FD1"/>
    <w:rsid w:val="00A75118"/>
    <w:rsid w:val="00A7579F"/>
    <w:rsid w:val="00A75DC1"/>
    <w:rsid w:val="00A76947"/>
    <w:rsid w:val="00A76C7C"/>
    <w:rsid w:val="00A77EB0"/>
    <w:rsid w:val="00A8016B"/>
    <w:rsid w:val="00A80B8C"/>
    <w:rsid w:val="00A80FA7"/>
    <w:rsid w:val="00A81634"/>
    <w:rsid w:val="00A81764"/>
    <w:rsid w:val="00A81845"/>
    <w:rsid w:val="00A821B8"/>
    <w:rsid w:val="00A826DB"/>
    <w:rsid w:val="00A82E49"/>
    <w:rsid w:val="00A8335E"/>
    <w:rsid w:val="00A841DD"/>
    <w:rsid w:val="00A842AC"/>
    <w:rsid w:val="00A84357"/>
    <w:rsid w:val="00A84407"/>
    <w:rsid w:val="00A84731"/>
    <w:rsid w:val="00A84C1C"/>
    <w:rsid w:val="00A84E45"/>
    <w:rsid w:val="00A85318"/>
    <w:rsid w:val="00A854FA"/>
    <w:rsid w:val="00A85642"/>
    <w:rsid w:val="00A86383"/>
    <w:rsid w:val="00A86CCB"/>
    <w:rsid w:val="00A90009"/>
    <w:rsid w:val="00A90954"/>
    <w:rsid w:val="00A90B2F"/>
    <w:rsid w:val="00A9170C"/>
    <w:rsid w:val="00A91A29"/>
    <w:rsid w:val="00A91BB4"/>
    <w:rsid w:val="00A91C12"/>
    <w:rsid w:val="00A91DA6"/>
    <w:rsid w:val="00A9294F"/>
    <w:rsid w:val="00A93213"/>
    <w:rsid w:val="00A93EA9"/>
    <w:rsid w:val="00A9404F"/>
    <w:rsid w:val="00A96162"/>
    <w:rsid w:val="00A9668F"/>
    <w:rsid w:val="00A968FE"/>
    <w:rsid w:val="00A96907"/>
    <w:rsid w:val="00A96A88"/>
    <w:rsid w:val="00A96B2C"/>
    <w:rsid w:val="00A96B2D"/>
    <w:rsid w:val="00A96BBA"/>
    <w:rsid w:val="00A96C92"/>
    <w:rsid w:val="00A96C95"/>
    <w:rsid w:val="00A96F15"/>
    <w:rsid w:val="00A9788F"/>
    <w:rsid w:val="00A97BDF"/>
    <w:rsid w:val="00AA0D37"/>
    <w:rsid w:val="00AA1390"/>
    <w:rsid w:val="00AA2478"/>
    <w:rsid w:val="00AA2C6A"/>
    <w:rsid w:val="00AA2DB8"/>
    <w:rsid w:val="00AA37DE"/>
    <w:rsid w:val="00AA41B3"/>
    <w:rsid w:val="00AA4325"/>
    <w:rsid w:val="00AA4DF2"/>
    <w:rsid w:val="00AA5952"/>
    <w:rsid w:val="00AA6AF9"/>
    <w:rsid w:val="00AA6EB3"/>
    <w:rsid w:val="00AA71CE"/>
    <w:rsid w:val="00AA79DE"/>
    <w:rsid w:val="00AA7BFF"/>
    <w:rsid w:val="00AB0139"/>
    <w:rsid w:val="00AB1A4C"/>
    <w:rsid w:val="00AB1B23"/>
    <w:rsid w:val="00AB1D58"/>
    <w:rsid w:val="00AB1F47"/>
    <w:rsid w:val="00AB3C61"/>
    <w:rsid w:val="00AB4004"/>
    <w:rsid w:val="00AB413D"/>
    <w:rsid w:val="00AB4728"/>
    <w:rsid w:val="00AB4A38"/>
    <w:rsid w:val="00AB4CC7"/>
    <w:rsid w:val="00AB5724"/>
    <w:rsid w:val="00AB57EE"/>
    <w:rsid w:val="00AB7D85"/>
    <w:rsid w:val="00AC0C9F"/>
    <w:rsid w:val="00AC0DE7"/>
    <w:rsid w:val="00AC0F8C"/>
    <w:rsid w:val="00AC2DB3"/>
    <w:rsid w:val="00AC3101"/>
    <w:rsid w:val="00AC3259"/>
    <w:rsid w:val="00AC3453"/>
    <w:rsid w:val="00AC3A36"/>
    <w:rsid w:val="00AC3BF2"/>
    <w:rsid w:val="00AC3D02"/>
    <w:rsid w:val="00AC3D72"/>
    <w:rsid w:val="00AC4235"/>
    <w:rsid w:val="00AC440E"/>
    <w:rsid w:val="00AC492A"/>
    <w:rsid w:val="00AC515E"/>
    <w:rsid w:val="00AC540C"/>
    <w:rsid w:val="00AC575A"/>
    <w:rsid w:val="00AC5F43"/>
    <w:rsid w:val="00AC602C"/>
    <w:rsid w:val="00AC61DE"/>
    <w:rsid w:val="00AC68DA"/>
    <w:rsid w:val="00AC6E5B"/>
    <w:rsid w:val="00AC7061"/>
    <w:rsid w:val="00AC7522"/>
    <w:rsid w:val="00AC7EE7"/>
    <w:rsid w:val="00AD0649"/>
    <w:rsid w:val="00AD0EF1"/>
    <w:rsid w:val="00AD1002"/>
    <w:rsid w:val="00AD1629"/>
    <w:rsid w:val="00AD1B8E"/>
    <w:rsid w:val="00AD1E10"/>
    <w:rsid w:val="00AD2689"/>
    <w:rsid w:val="00AD271B"/>
    <w:rsid w:val="00AD2EC1"/>
    <w:rsid w:val="00AD3AB5"/>
    <w:rsid w:val="00AD3DDE"/>
    <w:rsid w:val="00AD3E46"/>
    <w:rsid w:val="00AD3E86"/>
    <w:rsid w:val="00AD41BF"/>
    <w:rsid w:val="00AD45D2"/>
    <w:rsid w:val="00AD46D2"/>
    <w:rsid w:val="00AD4833"/>
    <w:rsid w:val="00AD5127"/>
    <w:rsid w:val="00AD58AC"/>
    <w:rsid w:val="00AD5B2C"/>
    <w:rsid w:val="00AD5F7C"/>
    <w:rsid w:val="00AD6290"/>
    <w:rsid w:val="00AD62DE"/>
    <w:rsid w:val="00AD6581"/>
    <w:rsid w:val="00AD66AB"/>
    <w:rsid w:val="00AD6930"/>
    <w:rsid w:val="00AD6A81"/>
    <w:rsid w:val="00AD6D4D"/>
    <w:rsid w:val="00AD71A0"/>
    <w:rsid w:val="00AD71C5"/>
    <w:rsid w:val="00AD71EF"/>
    <w:rsid w:val="00AD76E0"/>
    <w:rsid w:val="00AD76EA"/>
    <w:rsid w:val="00AD7841"/>
    <w:rsid w:val="00AD790B"/>
    <w:rsid w:val="00AD7C12"/>
    <w:rsid w:val="00AD7E98"/>
    <w:rsid w:val="00AD7F28"/>
    <w:rsid w:val="00AE0E3A"/>
    <w:rsid w:val="00AE0F9E"/>
    <w:rsid w:val="00AE1A49"/>
    <w:rsid w:val="00AE1FA1"/>
    <w:rsid w:val="00AE36D8"/>
    <w:rsid w:val="00AE39B8"/>
    <w:rsid w:val="00AE3F0A"/>
    <w:rsid w:val="00AE40FD"/>
    <w:rsid w:val="00AE4156"/>
    <w:rsid w:val="00AE4579"/>
    <w:rsid w:val="00AE45C6"/>
    <w:rsid w:val="00AE470D"/>
    <w:rsid w:val="00AE4A7A"/>
    <w:rsid w:val="00AE5187"/>
    <w:rsid w:val="00AE55CF"/>
    <w:rsid w:val="00AE5FEC"/>
    <w:rsid w:val="00AE5FFE"/>
    <w:rsid w:val="00AE6D7B"/>
    <w:rsid w:val="00AE7641"/>
    <w:rsid w:val="00AE7EF8"/>
    <w:rsid w:val="00AF018D"/>
    <w:rsid w:val="00AF01DB"/>
    <w:rsid w:val="00AF0DCA"/>
    <w:rsid w:val="00AF1366"/>
    <w:rsid w:val="00AF1657"/>
    <w:rsid w:val="00AF208F"/>
    <w:rsid w:val="00AF22E6"/>
    <w:rsid w:val="00AF2344"/>
    <w:rsid w:val="00AF2B67"/>
    <w:rsid w:val="00AF2CAC"/>
    <w:rsid w:val="00AF3298"/>
    <w:rsid w:val="00AF341E"/>
    <w:rsid w:val="00AF39EA"/>
    <w:rsid w:val="00AF4128"/>
    <w:rsid w:val="00AF455B"/>
    <w:rsid w:val="00AF465D"/>
    <w:rsid w:val="00AF485F"/>
    <w:rsid w:val="00AF4E05"/>
    <w:rsid w:val="00AF52CA"/>
    <w:rsid w:val="00AF542F"/>
    <w:rsid w:val="00AF62C6"/>
    <w:rsid w:val="00AF6536"/>
    <w:rsid w:val="00AF68DD"/>
    <w:rsid w:val="00AF6A7D"/>
    <w:rsid w:val="00AF7133"/>
    <w:rsid w:val="00AF75F2"/>
    <w:rsid w:val="00AF7987"/>
    <w:rsid w:val="00B01145"/>
    <w:rsid w:val="00B0151E"/>
    <w:rsid w:val="00B018FD"/>
    <w:rsid w:val="00B01F98"/>
    <w:rsid w:val="00B02478"/>
    <w:rsid w:val="00B027A6"/>
    <w:rsid w:val="00B028AC"/>
    <w:rsid w:val="00B034AF"/>
    <w:rsid w:val="00B03613"/>
    <w:rsid w:val="00B03614"/>
    <w:rsid w:val="00B03848"/>
    <w:rsid w:val="00B03A0A"/>
    <w:rsid w:val="00B03A33"/>
    <w:rsid w:val="00B03D97"/>
    <w:rsid w:val="00B04052"/>
    <w:rsid w:val="00B04203"/>
    <w:rsid w:val="00B0451A"/>
    <w:rsid w:val="00B04BDA"/>
    <w:rsid w:val="00B04D28"/>
    <w:rsid w:val="00B0505F"/>
    <w:rsid w:val="00B05133"/>
    <w:rsid w:val="00B059C8"/>
    <w:rsid w:val="00B05D2A"/>
    <w:rsid w:val="00B067D9"/>
    <w:rsid w:val="00B06870"/>
    <w:rsid w:val="00B06B64"/>
    <w:rsid w:val="00B06BAA"/>
    <w:rsid w:val="00B07134"/>
    <w:rsid w:val="00B07A35"/>
    <w:rsid w:val="00B07E67"/>
    <w:rsid w:val="00B1062C"/>
    <w:rsid w:val="00B10732"/>
    <w:rsid w:val="00B10A2D"/>
    <w:rsid w:val="00B10F7C"/>
    <w:rsid w:val="00B111D9"/>
    <w:rsid w:val="00B116E4"/>
    <w:rsid w:val="00B117F0"/>
    <w:rsid w:val="00B11C44"/>
    <w:rsid w:val="00B12192"/>
    <w:rsid w:val="00B122C0"/>
    <w:rsid w:val="00B1241E"/>
    <w:rsid w:val="00B12839"/>
    <w:rsid w:val="00B12875"/>
    <w:rsid w:val="00B12DC9"/>
    <w:rsid w:val="00B13072"/>
    <w:rsid w:val="00B1314F"/>
    <w:rsid w:val="00B1342D"/>
    <w:rsid w:val="00B137B3"/>
    <w:rsid w:val="00B137F4"/>
    <w:rsid w:val="00B13916"/>
    <w:rsid w:val="00B13A5D"/>
    <w:rsid w:val="00B14B4B"/>
    <w:rsid w:val="00B15259"/>
    <w:rsid w:val="00B152BB"/>
    <w:rsid w:val="00B15CAD"/>
    <w:rsid w:val="00B15D00"/>
    <w:rsid w:val="00B1617B"/>
    <w:rsid w:val="00B16789"/>
    <w:rsid w:val="00B169DD"/>
    <w:rsid w:val="00B1747F"/>
    <w:rsid w:val="00B17C43"/>
    <w:rsid w:val="00B20ECE"/>
    <w:rsid w:val="00B2152C"/>
    <w:rsid w:val="00B21E6D"/>
    <w:rsid w:val="00B21EC3"/>
    <w:rsid w:val="00B22117"/>
    <w:rsid w:val="00B22E9D"/>
    <w:rsid w:val="00B23081"/>
    <w:rsid w:val="00B239AB"/>
    <w:rsid w:val="00B23B9A"/>
    <w:rsid w:val="00B24150"/>
    <w:rsid w:val="00B245A3"/>
    <w:rsid w:val="00B245DA"/>
    <w:rsid w:val="00B24C13"/>
    <w:rsid w:val="00B24D9E"/>
    <w:rsid w:val="00B2527C"/>
    <w:rsid w:val="00B2532C"/>
    <w:rsid w:val="00B253A6"/>
    <w:rsid w:val="00B25E93"/>
    <w:rsid w:val="00B26514"/>
    <w:rsid w:val="00B26614"/>
    <w:rsid w:val="00B26B85"/>
    <w:rsid w:val="00B27224"/>
    <w:rsid w:val="00B30A29"/>
    <w:rsid w:val="00B30DE2"/>
    <w:rsid w:val="00B30FA9"/>
    <w:rsid w:val="00B30FB6"/>
    <w:rsid w:val="00B3100B"/>
    <w:rsid w:val="00B314E2"/>
    <w:rsid w:val="00B3183C"/>
    <w:rsid w:val="00B31A3D"/>
    <w:rsid w:val="00B31CE2"/>
    <w:rsid w:val="00B3211C"/>
    <w:rsid w:val="00B3216E"/>
    <w:rsid w:val="00B3279C"/>
    <w:rsid w:val="00B32E6B"/>
    <w:rsid w:val="00B33121"/>
    <w:rsid w:val="00B33A13"/>
    <w:rsid w:val="00B33B54"/>
    <w:rsid w:val="00B33D73"/>
    <w:rsid w:val="00B341D9"/>
    <w:rsid w:val="00B34248"/>
    <w:rsid w:val="00B34495"/>
    <w:rsid w:val="00B34550"/>
    <w:rsid w:val="00B34B3B"/>
    <w:rsid w:val="00B35A30"/>
    <w:rsid w:val="00B3693C"/>
    <w:rsid w:val="00B36966"/>
    <w:rsid w:val="00B36DA1"/>
    <w:rsid w:val="00B376CB"/>
    <w:rsid w:val="00B378CF"/>
    <w:rsid w:val="00B378D9"/>
    <w:rsid w:val="00B37A89"/>
    <w:rsid w:val="00B37B03"/>
    <w:rsid w:val="00B4030B"/>
    <w:rsid w:val="00B40A6F"/>
    <w:rsid w:val="00B40FA4"/>
    <w:rsid w:val="00B412AA"/>
    <w:rsid w:val="00B41929"/>
    <w:rsid w:val="00B41D4B"/>
    <w:rsid w:val="00B41F01"/>
    <w:rsid w:val="00B4246D"/>
    <w:rsid w:val="00B42ED9"/>
    <w:rsid w:val="00B43478"/>
    <w:rsid w:val="00B44720"/>
    <w:rsid w:val="00B44ABD"/>
    <w:rsid w:val="00B44E49"/>
    <w:rsid w:val="00B45252"/>
    <w:rsid w:val="00B4628A"/>
    <w:rsid w:val="00B4689A"/>
    <w:rsid w:val="00B471C8"/>
    <w:rsid w:val="00B47B27"/>
    <w:rsid w:val="00B47F89"/>
    <w:rsid w:val="00B51497"/>
    <w:rsid w:val="00B528BF"/>
    <w:rsid w:val="00B52D00"/>
    <w:rsid w:val="00B52FC3"/>
    <w:rsid w:val="00B5350C"/>
    <w:rsid w:val="00B5367A"/>
    <w:rsid w:val="00B5391F"/>
    <w:rsid w:val="00B53BC4"/>
    <w:rsid w:val="00B53BFA"/>
    <w:rsid w:val="00B53EE5"/>
    <w:rsid w:val="00B53FA6"/>
    <w:rsid w:val="00B54996"/>
    <w:rsid w:val="00B54DE9"/>
    <w:rsid w:val="00B54E73"/>
    <w:rsid w:val="00B552CB"/>
    <w:rsid w:val="00B55360"/>
    <w:rsid w:val="00B560E4"/>
    <w:rsid w:val="00B56355"/>
    <w:rsid w:val="00B57154"/>
    <w:rsid w:val="00B57B1A"/>
    <w:rsid w:val="00B57E95"/>
    <w:rsid w:val="00B601AF"/>
    <w:rsid w:val="00B602B6"/>
    <w:rsid w:val="00B602DD"/>
    <w:rsid w:val="00B605F2"/>
    <w:rsid w:val="00B6081B"/>
    <w:rsid w:val="00B60ADA"/>
    <w:rsid w:val="00B60C59"/>
    <w:rsid w:val="00B60D92"/>
    <w:rsid w:val="00B6165E"/>
    <w:rsid w:val="00B617F3"/>
    <w:rsid w:val="00B61EBC"/>
    <w:rsid w:val="00B62057"/>
    <w:rsid w:val="00B626FF"/>
    <w:rsid w:val="00B628CF"/>
    <w:rsid w:val="00B62CD9"/>
    <w:rsid w:val="00B632B6"/>
    <w:rsid w:val="00B63735"/>
    <w:rsid w:val="00B63E5F"/>
    <w:rsid w:val="00B643B7"/>
    <w:rsid w:val="00B65E63"/>
    <w:rsid w:val="00B65F7F"/>
    <w:rsid w:val="00B663EF"/>
    <w:rsid w:val="00B66C31"/>
    <w:rsid w:val="00B672A1"/>
    <w:rsid w:val="00B67EFE"/>
    <w:rsid w:val="00B70391"/>
    <w:rsid w:val="00B70501"/>
    <w:rsid w:val="00B7108F"/>
    <w:rsid w:val="00B71214"/>
    <w:rsid w:val="00B7139F"/>
    <w:rsid w:val="00B71A7A"/>
    <w:rsid w:val="00B71A93"/>
    <w:rsid w:val="00B71AF1"/>
    <w:rsid w:val="00B71F3A"/>
    <w:rsid w:val="00B72802"/>
    <w:rsid w:val="00B728F2"/>
    <w:rsid w:val="00B72F47"/>
    <w:rsid w:val="00B73860"/>
    <w:rsid w:val="00B73E17"/>
    <w:rsid w:val="00B74258"/>
    <w:rsid w:val="00B75551"/>
    <w:rsid w:val="00B75C04"/>
    <w:rsid w:val="00B75D6B"/>
    <w:rsid w:val="00B766E7"/>
    <w:rsid w:val="00B76753"/>
    <w:rsid w:val="00B775C4"/>
    <w:rsid w:val="00B77A4C"/>
    <w:rsid w:val="00B77CF4"/>
    <w:rsid w:val="00B80200"/>
    <w:rsid w:val="00B80273"/>
    <w:rsid w:val="00B80B5A"/>
    <w:rsid w:val="00B80BBE"/>
    <w:rsid w:val="00B814B2"/>
    <w:rsid w:val="00B819C9"/>
    <w:rsid w:val="00B82B6F"/>
    <w:rsid w:val="00B83F91"/>
    <w:rsid w:val="00B844CC"/>
    <w:rsid w:val="00B844FD"/>
    <w:rsid w:val="00B84C09"/>
    <w:rsid w:val="00B84CB4"/>
    <w:rsid w:val="00B8504E"/>
    <w:rsid w:val="00B850CC"/>
    <w:rsid w:val="00B856A8"/>
    <w:rsid w:val="00B859E7"/>
    <w:rsid w:val="00B860AD"/>
    <w:rsid w:val="00B860FE"/>
    <w:rsid w:val="00B8679D"/>
    <w:rsid w:val="00B867E6"/>
    <w:rsid w:val="00B86853"/>
    <w:rsid w:val="00B8695D"/>
    <w:rsid w:val="00B87689"/>
    <w:rsid w:val="00B87B26"/>
    <w:rsid w:val="00B9047F"/>
    <w:rsid w:val="00B90582"/>
    <w:rsid w:val="00B9270C"/>
    <w:rsid w:val="00B927D1"/>
    <w:rsid w:val="00B92989"/>
    <w:rsid w:val="00B92B18"/>
    <w:rsid w:val="00B92F72"/>
    <w:rsid w:val="00B932B9"/>
    <w:rsid w:val="00B939AD"/>
    <w:rsid w:val="00B939E7"/>
    <w:rsid w:val="00B93D46"/>
    <w:rsid w:val="00B93FA3"/>
    <w:rsid w:val="00B9440D"/>
    <w:rsid w:val="00B9451F"/>
    <w:rsid w:val="00B94A3E"/>
    <w:rsid w:val="00B94F56"/>
    <w:rsid w:val="00B9544D"/>
    <w:rsid w:val="00B95D2A"/>
    <w:rsid w:val="00B95E91"/>
    <w:rsid w:val="00B95FE6"/>
    <w:rsid w:val="00B96430"/>
    <w:rsid w:val="00B9667F"/>
    <w:rsid w:val="00B966DA"/>
    <w:rsid w:val="00B96F4C"/>
    <w:rsid w:val="00B977E0"/>
    <w:rsid w:val="00B97B37"/>
    <w:rsid w:val="00BA014F"/>
    <w:rsid w:val="00BA086D"/>
    <w:rsid w:val="00BA0DC0"/>
    <w:rsid w:val="00BA15B4"/>
    <w:rsid w:val="00BA1794"/>
    <w:rsid w:val="00BA19E1"/>
    <w:rsid w:val="00BA224C"/>
    <w:rsid w:val="00BA242A"/>
    <w:rsid w:val="00BA2D7B"/>
    <w:rsid w:val="00BA2FC6"/>
    <w:rsid w:val="00BA4FDA"/>
    <w:rsid w:val="00BA5142"/>
    <w:rsid w:val="00BA51FF"/>
    <w:rsid w:val="00BA52CD"/>
    <w:rsid w:val="00BA6BF5"/>
    <w:rsid w:val="00BA6D4B"/>
    <w:rsid w:val="00BA6D7D"/>
    <w:rsid w:val="00BA71FC"/>
    <w:rsid w:val="00BA77BE"/>
    <w:rsid w:val="00BA77F3"/>
    <w:rsid w:val="00BA78F2"/>
    <w:rsid w:val="00BA7AE2"/>
    <w:rsid w:val="00BA7F20"/>
    <w:rsid w:val="00BB04DF"/>
    <w:rsid w:val="00BB059A"/>
    <w:rsid w:val="00BB0AF7"/>
    <w:rsid w:val="00BB0C0C"/>
    <w:rsid w:val="00BB0C3E"/>
    <w:rsid w:val="00BB110D"/>
    <w:rsid w:val="00BB1757"/>
    <w:rsid w:val="00BB17B8"/>
    <w:rsid w:val="00BB204A"/>
    <w:rsid w:val="00BB281E"/>
    <w:rsid w:val="00BB33D3"/>
    <w:rsid w:val="00BB3FEC"/>
    <w:rsid w:val="00BB4E87"/>
    <w:rsid w:val="00BB5346"/>
    <w:rsid w:val="00BB5348"/>
    <w:rsid w:val="00BB5426"/>
    <w:rsid w:val="00BB542D"/>
    <w:rsid w:val="00BB574A"/>
    <w:rsid w:val="00BB5834"/>
    <w:rsid w:val="00BB5A9A"/>
    <w:rsid w:val="00BB6080"/>
    <w:rsid w:val="00BB6245"/>
    <w:rsid w:val="00BB6A0E"/>
    <w:rsid w:val="00BB6B3E"/>
    <w:rsid w:val="00BB7833"/>
    <w:rsid w:val="00BB7CD8"/>
    <w:rsid w:val="00BC05F4"/>
    <w:rsid w:val="00BC1030"/>
    <w:rsid w:val="00BC1477"/>
    <w:rsid w:val="00BC1829"/>
    <w:rsid w:val="00BC1922"/>
    <w:rsid w:val="00BC1E45"/>
    <w:rsid w:val="00BC21C4"/>
    <w:rsid w:val="00BC2633"/>
    <w:rsid w:val="00BC2753"/>
    <w:rsid w:val="00BC2B71"/>
    <w:rsid w:val="00BC308C"/>
    <w:rsid w:val="00BC36F9"/>
    <w:rsid w:val="00BC4413"/>
    <w:rsid w:val="00BC4AB7"/>
    <w:rsid w:val="00BC4E55"/>
    <w:rsid w:val="00BC52FE"/>
    <w:rsid w:val="00BC5364"/>
    <w:rsid w:val="00BC547E"/>
    <w:rsid w:val="00BC558A"/>
    <w:rsid w:val="00BC6B95"/>
    <w:rsid w:val="00BC7502"/>
    <w:rsid w:val="00BC77D8"/>
    <w:rsid w:val="00BC7987"/>
    <w:rsid w:val="00BC79AE"/>
    <w:rsid w:val="00BC7F3C"/>
    <w:rsid w:val="00BD02CC"/>
    <w:rsid w:val="00BD045F"/>
    <w:rsid w:val="00BD0B81"/>
    <w:rsid w:val="00BD0CE5"/>
    <w:rsid w:val="00BD0F38"/>
    <w:rsid w:val="00BD0FAD"/>
    <w:rsid w:val="00BD12CC"/>
    <w:rsid w:val="00BD12ED"/>
    <w:rsid w:val="00BD16BA"/>
    <w:rsid w:val="00BD1982"/>
    <w:rsid w:val="00BD1AC9"/>
    <w:rsid w:val="00BD1FD3"/>
    <w:rsid w:val="00BD2018"/>
    <w:rsid w:val="00BD2334"/>
    <w:rsid w:val="00BD2416"/>
    <w:rsid w:val="00BD2789"/>
    <w:rsid w:val="00BD28DA"/>
    <w:rsid w:val="00BD2CF4"/>
    <w:rsid w:val="00BD2E8C"/>
    <w:rsid w:val="00BD302A"/>
    <w:rsid w:val="00BD336A"/>
    <w:rsid w:val="00BD36B6"/>
    <w:rsid w:val="00BD3CDB"/>
    <w:rsid w:val="00BD3F18"/>
    <w:rsid w:val="00BD45F8"/>
    <w:rsid w:val="00BD472E"/>
    <w:rsid w:val="00BD4A6F"/>
    <w:rsid w:val="00BD4B8A"/>
    <w:rsid w:val="00BD4BA2"/>
    <w:rsid w:val="00BD54D3"/>
    <w:rsid w:val="00BD55EA"/>
    <w:rsid w:val="00BD5830"/>
    <w:rsid w:val="00BD5FCD"/>
    <w:rsid w:val="00BD67C5"/>
    <w:rsid w:val="00BD74E2"/>
    <w:rsid w:val="00BD779D"/>
    <w:rsid w:val="00BD783D"/>
    <w:rsid w:val="00BE0117"/>
    <w:rsid w:val="00BE0B61"/>
    <w:rsid w:val="00BE0C35"/>
    <w:rsid w:val="00BE0F50"/>
    <w:rsid w:val="00BE11F0"/>
    <w:rsid w:val="00BE186E"/>
    <w:rsid w:val="00BE18B9"/>
    <w:rsid w:val="00BE1CBF"/>
    <w:rsid w:val="00BE2388"/>
    <w:rsid w:val="00BE295E"/>
    <w:rsid w:val="00BE440A"/>
    <w:rsid w:val="00BE44AD"/>
    <w:rsid w:val="00BE48A0"/>
    <w:rsid w:val="00BE4F35"/>
    <w:rsid w:val="00BE51A5"/>
    <w:rsid w:val="00BE5383"/>
    <w:rsid w:val="00BE5487"/>
    <w:rsid w:val="00BE5815"/>
    <w:rsid w:val="00BE598A"/>
    <w:rsid w:val="00BE5B91"/>
    <w:rsid w:val="00BE616D"/>
    <w:rsid w:val="00BE68BB"/>
    <w:rsid w:val="00BE6A1C"/>
    <w:rsid w:val="00BE6F5D"/>
    <w:rsid w:val="00BE6FAF"/>
    <w:rsid w:val="00BE71D3"/>
    <w:rsid w:val="00BE76E0"/>
    <w:rsid w:val="00BE7859"/>
    <w:rsid w:val="00BE7A15"/>
    <w:rsid w:val="00BF031C"/>
    <w:rsid w:val="00BF0768"/>
    <w:rsid w:val="00BF1B6D"/>
    <w:rsid w:val="00BF3402"/>
    <w:rsid w:val="00BF3F9B"/>
    <w:rsid w:val="00BF4C2F"/>
    <w:rsid w:val="00BF52CC"/>
    <w:rsid w:val="00BF6136"/>
    <w:rsid w:val="00BF6ECE"/>
    <w:rsid w:val="00BF77B7"/>
    <w:rsid w:val="00BF7F9F"/>
    <w:rsid w:val="00C00409"/>
    <w:rsid w:val="00C00AC3"/>
    <w:rsid w:val="00C00C4E"/>
    <w:rsid w:val="00C00D56"/>
    <w:rsid w:val="00C01404"/>
    <w:rsid w:val="00C01A12"/>
    <w:rsid w:val="00C0329B"/>
    <w:rsid w:val="00C03DB6"/>
    <w:rsid w:val="00C04396"/>
    <w:rsid w:val="00C04510"/>
    <w:rsid w:val="00C047DB"/>
    <w:rsid w:val="00C0496E"/>
    <w:rsid w:val="00C049D5"/>
    <w:rsid w:val="00C05964"/>
    <w:rsid w:val="00C05A60"/>
    <w:rsid w:val="00C05DC6"/>
    <w:rsid w:val="00C05EB3"/>
    <w:rsid w:val="00C06888"/>
    <w:rsid w:val="00C068D3"/>
    <w:rsid w:val="00C06975"/>
    <w:rsid w:val="00C06BE9"/>
    <w:rsid w:val="00C06D6F"/>
    <w:rsid w:val="00C0779B"/>
    <w:rsid w:val="00C10B0F"/>
    <w:rsid w:val="00C10F45"/>
    <w:rsid w:val="00C1103F"/>
    <w:rsid w:val="00C111E1"/>
    <w:rsid w:val="00C11810"/>
    <w:rsid w:val="00C11BDD"/>
    <w:rsid w:val="00C11DE3"/>
    <w:rsid w:val="00C12078"/>
    <w:rsid w:val="00C121DF"/>
    <w:rsid w:val="00C123F9"/>
    <w:rsid w:val="00C12484"/>
    <w:rsid w:val="00C126F8"/>
    <w:rsid w:val="00C12748"/>
    <w:rsid w:val="00C129C5"/>
    <w:rsid w:val="00C12CBA"/>
    <w:rsid w:val="00C13BB8"/>
    <w:rsid w:val="00C13CD6"/>
    <w:rsid w:val="00C14C99"/>
    <w:rsid w:val="00C14D7A"/>
    <w:rsid w:val="00C15421"/>
    <w:rsid w:val="00C156F7"/>
    <w:rsid w:val="00C157CF"/>
    <w:rsid w:val="00C15D76"/>
    <w:rsid w:val="00C1618B"/>
    <w:rsid w:val="00C1650E"/>
    <w:rsid w:val="00C1672D"/>
    <w:rsid w:val="00C1702C"/>
    <w:rsid w:val="00C171EB"/>
    <w:rsid w:val="00C17530"/>
    <w:rsid w:val="00C178B9"/>
    <w:rsid w:val="00C2000D"/>
    <w:rsid w:val="00C20698"/>
    <w:rsid w:val="00C20B55"/>
    <w:rsid w:val="00C2116C"/>
    <w:rsid w:val="00C21FC4"/>
    <w:rsid w:val="00C22221"/>
    <w:rsid w:val="00C22601"/>
    <w:rsid w:val="00C2282C"/>
    <w:rsid w:val="00C22B96"/>
    <w:rsid w:val="00C22CA2"/>
    <w:rsid w:val="00C231BA"/>
    <w:rsid w:val="00C2334B"/>
    <w:rsid w:val="00C235CA"/>
    <w:rsid w:val="00C23E18"/>
    <w:rsid w:val="00C23FB9"/>
    <w:rsid w:val="00C24A2D"/>
    <w:rsid w:val="00C24B50"/>
    <w:rsid w:val="00C24D5A"/>
    <w:rsid w:val="00C253E3"/>
    <w:rsid w:val="00C25433"/>
    <w:rsid w:val="00C254E3"/>
    <w:rsid w:val="00C25681"/>
    <w:rsid w:val="00C2572F"/>
    <w:rsid w:val="00C257B8"/>
    <w:rsid w:val="00C2598B"/>
    <w:rsid w:val="00C26BE7"/>
    <w:rsid w:val="00C27302"/>
    <w:rsid w:val="00C30210"/>
    <w:rsid w:val="00C30667"/>
    <w:rsid w:val="00C30F81"/>
    <w:rsid w:val="00C3134B"/>
    <w:rsid w:val="00C3199B"/>
    <w:rsid w:val="00C33A46"/>
    <w:rsid w:val="00C33C01"/>
    <w:rsid w:val="00C34632"/>
    <w:rsid w:val="00C35748"/>
    <w:rsid w:val="00C35D6D"/>
    <w:rsid w:val="00C3651A"/>
    <w:rsid w:val="00C3669B"/>
    <w:rsid w:val="00C366DF"/>
    <w:rsid w:val="00C368AB"/>
    <w:rsid w:val="00C368BC"/>
    <w:rsid w:val="00C36AE3"/>
    <w:rsid w:val="00C36D89"/>
    <w:rsid w:val="00C36E07"/>
    <w:rsid w:val="00C371C2"/>
    <w:rsid w:val="00C372F1"/>
    <w:rsid w:val="00C37CB5"/>
    <w:rsid w:val="00C37DC3"/>
    <w:rsid w:val="00C4007E"/>
    <w:rsid w:val="00C40084"/>
    <w:rsid w:val="00C40544"/>
    <w:rsid w:val="00C4065B"/>
    <w:rsid w:val="00C409FC"/>
    <w:rsid w:val="00C40FED"/>
    <w:rsid w:val="00C41073"/>
    <w:rsid w:val="00C41164"/>
    <w:rsid w:val="00C4266C"/>
    <w:rsid w:val="00C43143"/>
    <w:rsid w:val="00C43363"/>
    <w:rsid w:val="00C43F91"/>
    <w:rsid w:val="00C43FE6"/>
    <w:rsid w:val="00C4443E"/>
    <w:rsid w:val="00C445AE"/>
    <w:rsid w:val="00C45324"/>
    <w:rsid w:val="00C4548E"/>
    <w:rsid w:val="00C45603"/>
    <w:rsid w:val="00C45D11"/>
    <w:rsid w:val="00C45F3E"/>
    <w:rsid w:val="00C461FA"/>
    <w:rsid w:val="00C4667C"/>
    <w:rsid w:val="00C46914"/>
    <w:rsid w:val="00C46957"/>
    <w:rsid w:val="00C46A40"/>
    <w:rsid w:val="00C46D6F"/>
    <w:rsid w:val="00C47594"/>
    <w:rsid w:val="00C47785"/>
    <w:rsid w:val="00C47BC6"/>
    <w:rsid w:val="00C503F3"/>
    <w:rsid w:val="00C50530"/>
    <w:rsid w:val="00C50804"/>
    <w:rsid w:val="00C50B4E"/>
    <w:rsid w:val="00C50BE2"/>
    <w:rsid w:val="00C51049"/>
    <w:rsid w:val="00C5108B"/>
    <w:rsid w:val="00C5211A"/>
    <w:rsid w:val="00C52583"/>
    <w:rsid w:val="00C52BA6"/>
    <w:rsid w:val="00C52C9E"/>
    <w:rsid w:val="00C52FF5"/>
    <w:rsid w:val="00C532FF"/>
    <w:rsid w:val="00C538C8"/>
    <w:rsid w:val="00C53ABB"/>
    <w:rsid w:val="00C53F73"/>
    <w:rsid w:val="00C540E9"/>
    <w:rsid w:val="00C5492E"/>
    <w:rsid w:val="00C54FA7"/>
    <w:rsid w:val="00C5518E"/>
    <w:rsid w:val="00C5536E"/>
    <w:rsid w:val="00C55578"/>
    <w:rsid w:val="00C55D2E"/>
    <w:rsid w:val="00C56099"/>
    <w:rsid w:val="00C56502"/>
    <w:rsid w:val="00C565E7"/>
    <w:rsid w:val="00C56630"/>
    <w:rsid w:val="00C5664F"/>
    <w:rsid w:val="00C5666A"/>
    <w:rsid w:val="00C568B0"/>
    <w:rsid w:val="00C57802"/>
    <w:rsid w:val="00C57A9A"/>
    <w:rsid w:val="00C60960"/>
    <w:rsid w:val="00C60B60"/>
    <w:rsid w:val="00C60FFE"/>
    <w:rsid w:val="00C611AA"/>
    <w:rsid w:val="00C61BD2"/>
    <w:rsid w:val="00C621C1"/>
    <w:rsid w:val="00C623F5"/>
    <w:rsid w:val="00C6317A"/>
    <w:rsid w:val="00C632A4"/>
    <w:rsid w:val="00C63878"/>
    <w:rsid w:val="00C640EF"/>
    <w:rsid w:val="00C64177"/>
    <w:rsid w:val="00C64324"/>
    <w:rsid w:val="00C652CA"/>
    <w:rsid w:val="00C6657E"/>
    <w:rsid w:val="00C665DD"/>
    <w:rsid w:val="00C66698"/>
    <w:rsid w:val="00C666A7"/>
    <w:rsid w:val="00C6690C"/>
    <w:rsid w:val="00C66A71"/>
    <w:rsid w:val="00C66A8C"/>
    <w:rsid w:val="00C66F33"/>
    <w:rsid w:val="00C6706C"/>
    <w:rsid w:val="00C6722E"/>
    <w:rsid w:val="00C67292"/>
    <w:rsid w:val="00C6751E"/>
    <w:rsid w:val="00C6763D"/>
    <w:rsid w:val="00C67C60"/>
    <w:rsid w:val="00C67DD1"/>
    <w:rsid w:val="00C67F50"/>
    <w:rsid w:val="00C702F8"/>
    <w:rsid w:val="00C70310"/>
    <w:rsid w:val="00C70631"/>
    <w:rsid w:val="00C70719"/>
    <w:rsid w:val="00C70DB2"/>
    <w:rsid w:val="00C711B1"/>
    <w:rsid w:val="00C71302"/>
    <w:rsid w:val="00C71608"/>
    <w:rsid w:val="00C71C0D"/>
    <w:rsid w:val="00C71EB3"/>
    <w:rsid w:val="00C7251E"/>
    <w:rsid w:val="00C736D8"/>
    <w:rsid w:val="00C73C90"/>
    <w:rsid w:val="00C74AAD"/>
    <w:rsid w:val="00C74AAE"/>
    <w:rsid w:val="00C74DF9"/>
    <w:rsid w:val="00C750A1"/>
    <w:rsid w:val="00C755B5"/>
    <w:rsid w:val="00C7566F"/>
    <w:rsid w:val="00C75F41"/>
    <w:rsid w:val="00C768EE"/>
    <w:rsid w:val="00C7787D"/>
    <w:rsid w:val="00C8073B"/>
    <w:rsid w:val="00C8078F"/>
    <w:rsid w:val="00C809A5"/>
    <w:rsid w:val="00C80AC2"/>
    <w:rsid w:val="00C80C03"/>
    <w:rsid w:val="00C811A1"/>
    <w:rsid w:val="00C8149C"/>
    <w:rsid w:val="00C814BA"/>
    <w:rsid w:val="00C81D23"/>
    <w:rsid w:val="00C81E1F"/>
    <w:rsid w:val="00C820EA"/>
    <w:rsid w:val="00C824FD"/>
    <w:rsid w:val="00C8296A"/>
    <w:rsid w:val="00C835C8"/>
    <w:rsid w:val="00C83A11"/>
    <w:rsid w:val="00C84386"/>
    <w:rsid w:val="00C84832"/>
    <w:rsid w:val="00C85130"/>
    <w:rsid w:val="00C85253"/>
    <w:rsid w:val="00C85283"/>
    <w:rsid w:val="00C856AE"/>
    <w:rsid w:val="00C85FB5"/>
    <w:rsid w:val="00C86E35"/>
    <w:rsid w:val="00C8719D"/>
    <w:rsid w:val="00C8724D"/>
    <w:rsid w:val="00C87C6B"/>
    <w:rsid w:val="00C90E5F"/>
    <w:rsid w:val="00C91511"/>
    <w:rsid w:val="00C9152D"/>
    <w:rsid w:val="00C91758"/>
    <w:rsid w:val="00C9243E"/>
    <w:rsid w:val="00C9293E"/>
    <w:rsid w:val="00C929DD"/>
    <w:rsid w:val="00C93C9B"/>
    <w:rsid w:val="00C942E9"/>
    <w:rsid w:val="00C9440C"/>
    <w:rsid w:val="00C94BAD"/>
    <w:rsid w:val="00C94CAA"/>
    <w:rsid w:val="00C95229"/>
    <w:rsid w:val="00C95842"/>
    <w:rsid w:val="00C9604D"/>
    <w:rsid w:val="00C960CC"/>
    <w:rsid w:val="00C9656D"/>
    <w:rsid w:val="00C96896"/>
    <w:rsid w:val="00C96AF8"/>
    <w:rsid w:val="00C96CA6"/>
    <w:rsid w:val="00C96D4B"/>
    <w:rsid w:val="00C96F23"/>
    <w:rsid w:val="00C96F3E"/>
    <w:rsid w:val="00C972C9"/>
    <w:rsid w:val="00C97E3C"/>
    <w:rsid w:val="00CA0235"/>
    <w:rsid w:val="00CA04E3"/>
    <w:rsid w:val="00CA0930"/>
    <w:rsid w:val="00CA09B9"/>
    <w:rsid w:val="00CA0DC2"/>
    <w:rsid w:val="00CA1048"/>
    <w:rsid w:val="00CA2BAE"/>
    <w:rsid w:val="00CA301D"/>
    <w:rsid w:val="00CA32B9"/>
    <w:rsid w:val="00CA3B07"/>
    <w:rsid w:val="00CA42E4"/>
    <w:rsid w:val="00CA4427"/>
    <w:rsid w:val="00CA4A31"/>
    <w:rsid w:val="00CA540B"/>
    <w:rsid w:val="00CA562B"/>
    <w:rsid w:val="00CA5CFD"/>
    <w:rsid w:val="00CA6277"/>
    <w:rsid w:val="00CA67FD"/>
    <w:rsid w:val="00CA694D"/>
    <w:rsid w:val="00CA6B9A"/>
    <w:rsid w:val="00CA6C0B"/>
    <w:rsid w:val="00CA6C37"/>
    <w:rsid w:val="00CA6CA3"/>
    <w:rsid w:val="00CA720D"/>
    <w:rsid w:val="00CA78A8"/>
    <w:rsid w:val="00CB07AA"/>
    <w:rsid w:val="00CB0C40"/>
    <w:rsid w:val="00CB0CAE"/>
    <w:rsid w:val="00CB0FE0"/>
    <w:rsid w:val="00CB14AD"/>
    <w:rsid w:val="00CB2D64"/>
    <w:rsid w:val="00CB399C"/>
    <w:rsid w:val="00CB4047"/>
    <w:rsid w:val="00CB4504"/>
    <w:rsid w:val="00CB48C4"/>
    <w:rsid w:val="00CB493C"/>
    <w:rsid w:val="00CB4A85"/>
    <w:rsid w:val="00CB4CBB"/>
    <w:rsid w:val="00CB4FB0"/>
    <w:rsid w:val="00CB50C9"/>
    <w:rsid w:val="00CB5303"/>
    <w:rsid w:val="00CB5B09"/>
    <w:rsid w:val="00CB6211"/>
    <w:rsid w:val="00CB6C78"/>
    <w:rsid w:val="00CB71B9"/>
    <w:rsid w:val="00CB74F2"/>
    <w:rsid w:val="00CB77A5"/>
    <w:rsid w:val="00CB7B44"/>
    <w:rsid w:val="00CB7CEC"/>
    <w:rsid w:val="00CC0073"/>
    <w:rsid w:val="00CC008F"/>
    <w:rsid w:val="00CC05B7"/>
    <w:rsid w:val="00CC07D0"/>
    <w:rsid w:val="00CC0C84"/>
    <w:rsid w:val="00CC0D95"/>
    <w:rsid w:val="00CC0EFB"/>
    <w:rsid w:val="00CC124F"/>
    <w:rsid w:val="00CC15CE"/>
    <w:rsid w:val="00CC17C9"/>
    <w:rsid w:val="00CC1B28"/>
    <w:rsid w:val="00CC1FCD"/>
    <w:rsid w:val="00CC25DF"/>
    <w:rsid w:val="00CC39FA"/>
    <w:rsid w:val="00CC407D"/>
    <w:rsid w:val="00CC40FF"/>
    <w:rsid w:val="00CC432C"/>
    <w:rsid w:val="00CC4DFB"/>
    <w:rsid w:val="00CC52A3"/>
    <w:rsid w:val="00CC53BF"/>
    <w:rsid w:val="00CC5E16"/>
    <w:rsid w:val="00CC5E76"/>
    <w:rsid w:val="00CC6616"/>
    <w:rsid w:val="00CC731E"/>
    <w:rsid w:val="00CC7A3B"/>
    <w:rsid w:val="00CD0198"/>
    <w:rsid w:val="00CD0932"/>
    <w:rsid w:val="00CD09BF"/>
    <w:rsid w:val="00CD0E2A"/>
    <w:rsid w:val="00CD0FED"/>
    <w:rsid w:val="00CD10C1"/>
    <w:rsid w:val="00CD129F"/>
    <w:rsid w:val="00CD14B8"/>
    <w:rsid w:val="00CD1D5D"/>
    <w:rsid w:val="00CD1F4D"/>
    <w:rsid w:val="00CD212C"/>
    <w:rsid w:val="00CD28C7"/>
    <w:rsid w:val="00CD2AF3"/>
    <w:rsid w:val="00CD4154"/>
    <w:rsid w:val="00CD455C"/>
    <w:rsid w:val="00CD4696"/>
    <w:rsid w:val="00CD4DEB"/>
    <w:rsid w:val="00CD4FE3"/>
    <w:rsid w:val="00CD51BF"/>
    <w:rsid w:val="00CD572B"/>
    <w:rsid w:val="00CD57D3"/>
    <w:rsid w:val="00CD587B"/>
    <w:rsid w:val="00CD5997"/>
    <w:rsid w:val="00CD6765"/>
    <w:rsid w:val="00CD6C94"/>
    <w:rsid w:val="00CD6EF4"/>
    <w:rsid w:val="00CD71DC"/>
    <w:rsid w:val="00CD79EA"/>
    <w:rsid w:val="00CD7B88"/>
    <w:rsid w:val="00CD7CEC"/>
    <w:rsid w:val="00CD7D33"/>
    <w:rsid w:val="00CD7D86"/>
    <w:rsid w:val="00CD7DCE"/>
    <w:rsid w:val="00CE01E4"/>
    <w:rsid w:val="00CE038F"/>
    <w:rsid w:val="00CE059B"/>
    <w:rsid w:val="00CE0AF4"/>
    <w:rsid w:val="00CE1429"/>
    <w:rsid w:val="00CE1DAE"/>
    <w:rsid w:val="00CE24BE"/>
    <w:rsid w:val="00CE2614"/>
    <w:rsid w:val="00CE2D6B"/>
    <w:rsid w:val="00CE2F79"/>
    <w:rsid w:val="00CE3053"/>
    <w:rsid w:val="00CE3E31"/>
    <w:rsid w:val="00CE3E4B"/>
    <w:rsid w:val="00CE414E"/>
    <w:rsid w:val="00CE4539"/>
    <w:rsid w:val="00CE4962"/>
    <w:rsid w:val="00CE5028"/>
    <w:rsid w:val="00CE571B"/>
    <w:rsid w:val="00CE6ADC"/>
    <w:rsid w:val="00CE7923"/>
    <w:rsid w:val="00CE7989"/>
    <w:rsid w:val="00CE79B5"/>
    <w:rsid w:val="00CE7B0A"/>
    <w:rsid w:val="00CF0425"/>
    <w:rsid w:val="00CF0F48"/>
    <w:rsid w:val="00CF13A7"/>
    <w:rsid w:val="00CF13D7"/>
    <w:rsid w:val="00CF1747"/>
    <w:rsid w:val="00CF17F1"/>
    <w:rsid w:val="00CF1A4F"/>
    <w:rsid w:val="00CF1CD5"/>
    <w:rsid w:val="00CF2431"/>
    <w:rsid w:val="00CF291B"/>
    <w:rsid w:val="00CF2AB2"/>
    <w:rsid w:val="00CF2BAB"/>
    <w:rsid w:val="00CF3186"/>
    <w:rsid w:val="00CF362B"/>
    <w:rsid w:val="00CF3CAD"/>
    <w:rsid w:val="00CF4B12"/>
    <w:rsid w:val="00CF4BA4"/>
    <w:rsid w:val="00CF5166"/>
    <w:rsid w:val="00CF5E8F"/>
    <w:rsid w:val="00CF5E9B"/>
    <w:rsid w:val="00CF61D1"/>
    <w:rsid w:val="00CF6432"/>
    <w:rsid w:val="00CF6AEF"/>
    <w:rsid w:val="00CF7607"/>
    <w:rsid w:val="00CF7754"/>
    <w:rsid w:val="00CF77CC"/>
    <w:rsid w:val="00CF7996"/>
    <w:rsid w:val="00D009CC"/>
    <w:rsid w:val="00D00A70"/>
    <w:rsid w:val="00D00C58"/>
    <w:rsid w:val="00D00EDD"/>
    <w:rsid w:val="00D01305"/>
    <w:rsid w:val="00D0169C"/>
    <w:rsid w:val="00D018E5"/>
    <w:rsid w:val="00D0228E"/>
    <w:rsid w:val="00D022CD"/>
    <w:rsid w:val="00D02433"/>
    <w:rsid w:val="00D03622"/>
    <w:rsid w:val="00D03949"/>
    <w:rsid w:val="00D0402C"/>
    <w:rsid w:val="00D04154"/>
    <w:rsid w:val="00D0416A"/>
    <w:rsid w:val="00D042AA"/>
    <w:rsid w:val="00D043E1"/>
    <w:rsid w:val="00D044BD"/>
    <w:rsid w:val="00D04729"/>
    <w:rsid w:val="00D049CA"/>
    <w:rsid w:val="00D04E4E"/>
    <w:rsid w:val="00D050EB"/>
    <w:rsid w:val="00D053AD"/>
    <w:rsid w:val="00D054D7"/>
    <w:rsid w:val="00D057E0"/>
    <w:rsid w:val="00D05B1E"/>
    <w:rsid w:val="00D06039"/>
    <w:rsid w:val="00D06C5F"/>
    <w:rsid w:val="00D0770C"/>
    <w:rsid w:val="00D077FF"/>
    <w:rsid w:val="00D07F08"/>
    <w:rsid w:val="00D1111D"/>
    <w:rsid w:val="00D11755"/>
    <w:rsid w:val="00D11786"/>
    <w:rsid w:val="00D118BF"/>
    <w:rsid w:val="00D121B5"/>
    <w:rsid w:val="00D12456"/>
    <w:rsid w:val="00D12CB0"/>
    <w:rsid w:val="00D12E6B"/>
    <w:rsid w:val="00D1321E"/>
    <w:rsid w:val="00D13AF4"/>
    <w:rsid w:val="00D14232"/>
    <w:rsid w:val="00D14D11"/>
    <w:rsid w:val="00D14D92"/>
    <w:rsid w:val="00D15188"/>
    <w:rsid w:val="00D15E42"/>
    <w:rsid w:val="00D1734F"/>
    <w:rsid w:val="00D17456"/>
    <w:rsid w:val="00D174B7"/>
    <w:rsid w:val="00D17858"/>
    <w:rsid w:val="00D17E90"/>
    <w:rsid w:val="00D17F0D"/>
    <w:rsid w:val="00D2082B"/>
    <w:rsid w:val="00D2085D"/>
    <w:rsid w:val="00D20B78"/>
    <w:rsid w:val="00D20DA5"/>
    <w:rsid w:val="00D2187B"/>
    <w:rsid w:val="00D223A5"/>
    <w:rsid w:val="00D226CF"/>
    <w:rsid w:val="00D22A6A"/>
    <w:rsid w:val="00D23920"/>
    <w:rsid w:val="00D23949"/>
    <w:rsid w:val="00D23956"/>
    <w:rsid w:val="00D2396B"/>
    <w:rsid w:val="00D24019"/>
    <w:rsid w:val="00D24A9C"/>
    <w:rsid w:val="00D251C0"/>
    <w:rsid w:val="00D255E1"/>
    <w:rsid w:val="00D2687A"/>
    <w:rsid w:val="00D27768"/>
    <w:rsid w:val="00D27BD4"/>
    <w:rsid w:val="00D27E08"/>
    <w:rsid w:val="00D30245"/>
    <w:rsid w:val="00D31067"/>
    <w:rsid w:val="00D3172C"/>
    <w:rsid w:val="00D31D9E"/>
    <w:rsid w:val="00D31EA4"/>
    <w:rsid w:val="00D32566"/>
    <w:rsid w:val="00D3280B"/>
    <w:rsid w:val="00D33415"/>
    <w:rsid w:val="00D3347B"/>
    <w:rsid w:val="00D33768"/>
    <w:rsid w:val="00D33E64"/>
    <w:rsid w:val="00D340D3"/>
    <w:rsid w:val="00D342AE"/>
    <w:rsid w:val="00D347AD"/>
    <w:rsid w:val="00D34963"/>
    <w:rsid w:val="00D351CA"/>
    <w:rsid w:val="00D35404"/>
    <w:rsid w:val="00D359D3"/>
    <w:rsid w:val="00D362ED"/>
    <w:rsid w:val="00D374EB"/>
    <w:rsid w:val="00D37AAF"/>
    <w:rsid w:val="00D4011F"/>
    <w:rsid w:val="00D40508"/>
    <w:rsid w:val="00D40620"/>
    <w:rsid w:val="00D407A6"/>
    <w:rsid w:val="00D40C02"/>
    <w:rsid w:val="00D41BAF"/>
    <w:rsid w:val="00D43482"/>
    <w:rsid w:val="00D43E8D"/>
    <w:rsid w:val="00D4417B"/>
    <w:rsid w:val="00D44197"/>
    <w:rsid w:val="00D44375"/>
    <w:rsid w:val="00D45C08"/>
    <w:rsid w:val="00D45FA1"/>
    <w:rsid w:val="00D4609D"/>
    <w:rsid w:val="00D46FEC"/>
    <w:rsid w:val="00D4752A"/>
    <w:rsid w:val="00D4752B"/>
    <w:rsid w:val="00D478F1"/>
    <w:rsid w:val="00D47A9D"/>
    <w:rsid w:val="00D47C14"/>
    <w:rsid w:val="00D47C29"/>
    <w:rsid w:val="00D507CB"/>
    <w:rsid w:val="00D5081A"/>
    <w:rsid w:val="00D51126"/>
    <w:rsid w:val="00D514FB"/>
    <w:rsid w:val="00D51A71"/>
    <w:rsid w:val="00D51E42"/>
    <w:rsid w:val="00D5224E"/>
    <w:rsid w:val="00D52294"/>
    <w:rsid w:val="00D52EAE"/>
    <w:rsid w:val="00D52EBF"/>
    <w:rsid w:val="00D53510"/>
    <w:rsid w:val="00D53F1F"/>
    <w:rsid w:val="00D54B2C"/>
    <w:rsid w:val="00D55015"/>
    <w:rsid w:val="00D550B4"/>
    <w:rsid w:val="00D55431"/>
    <w:rsid w:val="00D55873"/>
    <w:rsid w:val="00D5599F"/>
    <w:rsid w:val="00D55A18"/>
    <w:rsid w:val="00D55BD5"/>
    <w:rsid w:val="00D55BD9"/>
    <w:rsid w:val="00D55BDB"/>
    <w:rsid w:val="00D55F7A"/>
    <w:rsid w:val="00D56297"/>
    <w:rsid w:val="00D56947"/>
    <w:rsid w:val="00D56978"/>
    <w:rsid w:val="00D56A64"/>
    <w:rsid w:val="00D56F10"/>
    <w:rsid w:val="00D5715E"/>
    <w:rsid w:val="00D578F7"/>
    <w:rsid w:val="00D57ADB"/>
    <w:rsid w:val="00D600C8"/>
    <w:rsid w:val="00D600E0"/>
    <w:rsid w:val="00D600FB"/>
    <w:rsid w:val="00D602B7"/>
    <w:rsid w:val="00D606E1"/>
    <w:rsid w:val="00D608DE"/>
    <w:rsid w:val="00D60BCE"/>
    <w:rsid w:val="00D60C9E"/>
    <w:rsid w:val="00D60F81"/>
    <w:rsid w:val="00D619DB"/>
    <w:rsid w:val="00D61ED7"/>
    <w:rsid w:val="00D62590"/>
    <w:rsid w:val="00D625F2"/>
    <w:rsid w:val="00D628A0"/>
    <w:rsid w:val="00D62CE7"/>
    <w:rsid w:val="00D63E0B"/>
    <w:rsid w:val="00D6409C"/>
    <w:rsid w:val="00D65305"/>
    <w:rsid w:val="00D6566A"/>
    <w:rsid w:val="00D65895"/>
    <w:rsid w:val="00D659D7"/>
    <w:rsid w:val="00D66695"/>
    <w:rsid w:val="00D66803"/>
    <w:rsid w:val="00D66FA4"/>
    <w:rsid w:val="00D671C7"/>
    <w:rsid w:val="00D67418"/>
    <w:rsid w:val="00D67A29"/>
    <w:rsid w:val="00D67BF9"/>
    <w:rsid w:val="00D67CF5"/>
    <w:rsid w:val="00D67F14"/>
    <w:rsid w:val="00D717B1"/>
    <w:rsid w:val="00D71DA5"/>
    <w:rsid w:val="00D71E4B"/>
    <w:rsid w:val="00D71E8D"/>
    <w:rsid w:val="00D71FA9"/>
    <w:rsid w:val="00D729A9"/>
    <w:rsid w:val="00D72D88"/>
    <w:rsid w:val="00D731F6"/>
    <w:rsid w:val="00D73394"/>
    <w:rsid w:val="00D73587"/>
    <w:rsid w:val="00D73631"/>
    <w:rsid w:val="00D7384D"/>
    <w:rsid w:val="00D7391D"/>
    <w:rsid w:val="00D74051"/>
    <w:rsid w:val="00D741AA"/>
    <w:rsid w:val="00D7496E"/>
    <w:rsid w:val="00D749C7"/>
    <w:rsid w:val="00D750E2"/>
    <w:rsid w:val="00D75703"/>
    <w:rsid w:val="00D75C73"/>
    <w:rsid w:val="00D75E72"/>
    <w:rsid w:val="00D7638B"/>
    <w:rsid w:val="00D778E8"/>
    <w:rsid w:val="00D77A1C"/>
    <w:rsid w:val="00D77C1A"/>
    <w:rsid w:val="00D77EAE"/>
    <w:rsid w:val="00D800DC"/>
    <w:rsid w:val="00D80B66"/>
    <w:rsid w:val="00D80CAE"/>
    <w:rsid w:val="00D8113D"/>
    <w:rsid w:val="00D82CF7"/>
    <w:rsid w:val="00D83225"/>
    <w:rsid w:val="00D8334E"/>
    <w:rsid w:val="00D834F3"/>
    <w:rsid w:val="00D8354B"/>
    <w:rsid w:val="00D83560"/>
    <w:rsid w:val="00D83610"/>
    <w:rsid w:val="00D843B3"/>
    <w:rsid w:val="00D846CC"/>
    <w:rsid w:val="00D85753"/>
    <w:rsid w:val="00D85ACF"/>
    <w:rsid w:val="00D85CA5"/>
    <w:rsid w:val="00D86141"/>
    <w:rsid w:val="00D8636C"/>
    <w:rsid w:val="00D8664C"/>
    <w:rsid w:val="00D8703E"/>
    <w:rsid w:val="00D875AD"/>
    <w:rsid w:val="00D87A95"/>
    <w:rsid w:val="00D87B4E"/>
    <w:rsid w:val="00D87E7B"/>
    <w:rsid w:val="00D87F1B"/>
    <w:rsid w:val="00D90CC5"/>
    <w:rsid w:val="00D9137B"/>
    <w:rsid w:val="00D913CD"/>
    <w:rsid w:val="00D91B47"/>
    <w:rsid w:val="00D92233"/>
    <w:rsid w:val="00D9279D"/>
    <w:rsid w:val="00D93548"/>
    <w:rsid w:val="00D93822"/>
    <w:rsid w:val="00D948B9"/>
    <w:rsid w:val="00D95240"/>
    <w:rsid w:val="00D954DB"/>
    <w:rsid w:val="00D966BF"/>
    <w:rsid w:val="00D9675A"/>
    <w:rsid w:val="00D9680B"/>
    <w:rsid w:val="00D9687E"/>
    <w:rsid w:val="00D9694A"/>
    <w:rsid w:val="00D9707C"/>
    <w:rsid w:val="00D974DA"/>
    <w:rsid w:val="00D974DE"/>
    <w:rsid w:val="00D978BD"/>
    <w:rsid w:val="00D97A87"/>
    <w:rsid w:val="00DA031C"/>
    <w:rsid w:val="00DA0D68"/>
    <w:rsid w:val="00DA0D7C"/>
    <w:rsid w:val="00DA16F1"/>
    <w:rsid w:val="00DA1BE6"/>
    <w:rsid w:val="00DA204F"/>
    <w:rsid w:val="00DA2439"/>
    <w:rsid w:val="00DA26EF"/>
    <w:rsid w:val="00DA2E3A"/>
    <w:rsid w:val="00DA3264"/>
    <w:rsid w:val="00DA3E07"/>
    <w:rsid w:val="00DA3E71"/>
    <w:rsid w:val="00DA3F43"/>
    <w:rsid w:val="00DA43F6"/>
    <w:rsid w:val="00DA44FC"/>
    <w:rsid w:val="00DA46B3"/>
    <w:rsid w:val="00DA4A2C"/>
    <w:rsid w:val="00DA4C38"/>
    <w:rsid w:val="00DA4C54"/>
    <w:rsid w:val="00DA59A6"/>
    <w:rsid w:val="00DA5A49"/>
    <w:rsid w:val="00DA5A91"/>
    <w:rsid w:val="00DA5FF4"/>
    <w:rsid w:val="00DA62AC"/>
    <w:rsid w:val="00DA691F"/>
    <w:rsid w:val="00DA6DE0"/>
    <w:rsid w:val="00DA77E3"/>
    <w:rsid w:val="00DA7BFD"/>
    <w:rsid w:val="00DB0715"/>
    <w:rsid w:val="00DB082E"/>
    <w:rsid w:val="00DB0D76"/>
    <w:rsid w:val="00DB1696"/>
    <w:rsid w:val="00DB1F40"/>
    <w:rsid w:val="00DB2311"/>
    <w:rsid w:val="00DB2D2D"/>
    <w:rsid w:val="00DB2F3E"/>
    <w:rsid w:val="00DB3021"/>
    <w:rsid w:val="00DB31A4"/>
    <w:rsid w:val="00DB4431"/>
    <w:rsid w:val="00DB49EC"/>
    <w:rsid w:val="00DB54FB"/>
    <w:rsid w:val="00DB55EB"/>
    <w:rsid w:val="00DB5698"/>
    <w:rsid w:val="00DB5F65"/>
    <w:rsid w:val="00DB6567"/>
    <w:rsid w:val="00DB658E"/>
    <w:rsid w:val="00DB6A05"/>
    <w:rsid w:val="00DB7217"/>
    <w:rsid w:val="00DB7464"/>
    <w:rsid w:val="00DB75F6"/>
    <w:rsid w:val="00DB7A6C"/>
    <w:rsid w:val="00DB7FD1"/>
    <w:rsid w:val="00DC01FA"/>
    <w:rsid w:val="00DC0B8B"/>
    <w:rsid w:val="00DC0F11"/>
    <w:rsid w:val="00DC1062"/>
    <w:rsid w:val="00DC1425"/>
    <w:rsid w:val="00DC153B"/>
    <w:rsid w:val="00DC1C9B"/>
    <w:rsid w:val="00DC208E"/>
    <w:rsid w:val="00DC2161"/>
    <w:rsid w:val="00DC23CC"/>
    <w:rsid w:val="00DC2732"/>
    <w:rsid w:val="00DC2A60"/>
    <w:rsid w:val="00DC3146"/>
    <w:rsid w:val="00DC46C4"/>
    <w:rsid w:val="00DC46EB"/>
    <w:rsid w:val="00DC4798"/>
    <w:rsid w:val="00DC4B31"/>
    <w:rsid w:val="00DC5356"/>
    <w:rsid w:val="00DC53BA"/>
    <w:rsid w:val="00DC5A30"/>
    <w:rsid w:val="00DC5E38"/>
    <w:rsid w:val="00DC6BC3"/>
    <w:rsid w:val="00DC7484"/>
    <w:rsid w:val="00DC75D9"/>
    <w:rsid w:val="00DD01A2"/>
    <w:rsid w:val="00DD030D"/>
    <w:rsid w:val="00DD03F2"/>
    <w:rsid w:val="00DD0ADF"/>
    <w:rsid w:val="00DD0B0E"/>
    <w:rsid w:val="00DD13EC"/>
    <w:rsid w:val="00DD194D"/>
    <w:rsid w:val="00DD2533"/>
    <w:rsid w:val="00DD2869"/>
    <w:rsid w:val="00DD2DA4"/>
    <w:rsid w:val="00DD3875"/>
    <w:rsid w:val="00DD38B4"/>
    <w:rsid w:val="00DD3C59"/>
    <w:rsid w:val="00DD3F53"/>
    <w:rsid w:val="00DD3F7A"/>
    <w:rsid w:val="00DD4464"/>
    <w:rsid w:val="00DD4562"/>
    <w:rsid w:val="00DD4AC9"/>
    <w:rsid w:val="00DD4B5B"/>
    <w:rsid w:val="00DD4C64"/>
    <w:rsid w:val="00DD4F31"/>
    <w:rsid w:val="00DD56EB"/>
    <w:rsid w:val="00DD5773"/>
    <w:rsid w:val="00DD5B6D"/>
    <w:rsid w:val="00DD6335"/>
    <w:rsid w:val="00DD6A5D"/>
    <w:rsid w:val="00DD730D"/>
    <w:rsid w:val="00DD793B"/>
    <w:rsid w:val="00DD7DEF"/>
    <w:rsid w:val="00DE0C68"/>
    <w:rsid w:val="00DE0D39"/>
    <w:rsid w:val="00DE1552"/>
    <w:rsid w:val="00DE16D0"/>
    <w:rsid w:val="00DE1C68"/>
    <w:rsid w:val="00DE28ED"/>
    <w:rsid w:val="00DE3141"/>
    <w:rsid w:val="00DE360F"/>
    <w:rsid w:val="00DE37EF"/>
    <w:rsid w:val="00DE40D7"/>
    <w:rsid w:val="00DE4641"/>
    <w:rsid w:val="00DE5B6E"/>
    <w:rsid w:val="00DE5C6A"/>
    <w:rsid w:val="00DE5D97"/>
    <w:rsid w:val="00DE5DD8"/>
    <w:rsid w:val="00DE5DE0"/>
    <w:rsid w:val="00DE5E3B"/>
    <w:rsid w:val="00DE60B7"/>
    <w:rsid w:val="00DE67F2"/>
    <w:rsid w:val="00DE6CF5"/>
    <w:rsid w:val="00DE705A"/>
    <w:rsid w:val="00DE73ED"/>
    <w:rsid w:val="00DE7DD8"/>
    <w:rsid w:val="00DE7F4B"/>
    <w:rsid w:val="00DF0802"/>
    <w:rsid w:val="00DF0A94"/>
    <w:rsid w:val="00DF0CA9"/>
    <w:rsid w:val="00DF0DE3"/>
    <w:rsid w:val="00DF1079"/>
    <w:rsid w:val="00DF1C3C"/>
    <w:rsid w:val="00DF1D56"/>
    <w:rsid w:val="00DF202B"/>
    <w:rsid w:val="00DF228B"/>
    <w:rsid w:val="00DF254B"/>
    <w:rsid w:val="00DF25D8"/>
    <w:rsid w:val="00DF2810"/>
    <w:rsid w:val="00DF283D"/>
    <w:rsid w:val="00DF29F3"/>
    <w:rsid w:val="00DF387B"/>
    <w:rsid w:val="00DF401D"/>
    <w:rsid w:val="00DF410A"/>
    <w:rsid w:val="00DF438E"/>
    <w:rsid w:val="00DF4D2B"/>
    <w:rsid w:val="00DF4D50"/>
    <w:rsid w:val="00DF500D"/>
    <w:rsid w:val="00DF50DC"/>
    <w:rsid w:val="00DF51D2"/>
    <w:rsid w:val="00DF52E9"/>
    <w:rsid w:val="00DF55C6"/>
    <w:rsid w:val="00DF576B"/>
    <w:rsid w:val="00DF5952"/>
    <w:rsid w:val="00DF5E5E"/>
    <w:rsid w:val="00DF5F98"/>
    <w:rsid w:val="00DF6348"/>
    <w:rsid w:val="00DF649B"/>
    <w:rsid w:val="00DF7188"/>
    <w:rsid w:val="00DF7255"/>
    <w:rsid w:val="00DF787E"/>
    <w:rsid w:val="00DF7972"/>
    <w:rsid w:val="00DF7D4E"/>
    <w:rsid w:val="00E00323"/>
    <w:rsid w:val="00E00475"/>
    <w:rsid w:val="00E0130C"/>
    <w:rsid w:val="00E015ED"/>
    <w:rsid w:val="00E01D49"/>
    <w:rsid w:val="00E01EAA"/>
    <w:rsid w:val="00E01F12"/>
    <w:rsid w:val="00E0295E"/>
    <w:rsid w:val="00E02CB9"/>
    <w:rsid w:val="00E03272"/>
    <w:rsid w:val="00E03AA9"/>
    <w:rsid w:val="00E03FCA"/>
    <w:rsid w:val="00E040C9"/>
    <w:rsid w:val="00E04C33"/>
    <w:rsid w:val="00E0537B"/>
    <w:rsid w:val="00E055C1"/>
    <w:rsid w:val="00E05C11"/>
    <w:rsid w:val="00E05E36"/>
    <w:rsid w:val="00E06260"/>
    <w:rsid w:val="00E06AE8"/>
    <w:rsid w:val="00E072AC"/>
    <w:rsid w:val="00E0767C"/>
    <w:rsid w:val="00E07742"/>
    <w:rsid w:val="00E07A29"/>
    <w:rsid w:val="00E10479"/>
    <w:rsid w:val="00E10AF0"/>
    <w:rsid w:val="00E11662"/>
    <w:rsid w:val="00E11C4F"/>
    <w:rsid w:val="00E11FEF"/>
    <w:rsid w:val="00E12522"/>
    <w:rsid w:val="00E12774"/>
    <w:rsid w:val="00E13225"/>
    <w:rsid w:val="00E138B4"/>
    <w:rsid w:val="00E13FBF"/>
    <w:rsid w:val="00E1432A"/>
    <w:rsid w:val="00E14395"/>
    <w:rsid w:val="00E14550"/>
    <w:rsid w:val="00E14828"/>
    <w:rsid w:val="00E14C07"/>
    <w:rsid w:val="00E15218"/>
    <w:rsid w:val="00E1572B"/>
    <w:rsid w:val="00E15833"/>
    <w:rsid w:val="00E15C63"/>
    <w:rsid w:val="00E1626F"/>
    <w:rsid w:val="00E163A5"/>
    <w:rsid w:val="00E167E5"/>
    <w:rsid w:val="00E16FC2"/>
    <w:rsid w:val="00E173E9"/>
    <w:rsid w:val="00E1756E"/>
    <w:rsid w:val="00E17A81"/>
    <w:rsid w:val="00E17DD0"/>
    <w:rsid w:val="00E209B8"/>
    <w:rsid w:val="00E20EB0"/>
    <w:rsid w:val="00E214F1"/>
    <w:rsid w:val="00E22ED4"/>
    <w:rsid w:val="00E232C5"/>
    <w:rsid w:val="00E23A8B"/>
    <w:rsid w:val="00E2404D"/>
    <w:rsid w:val="00E242CE"/>
    <w:rsid w:val="00E250BC"/>
    <w:rsid w:val="00E252E0"/>
    <w:rsid w:val="00E254A3"/>
    <w:rsid w:val="00E25602"/>
    <w:rsid w:val="00E258D1"/>
    <w:rsid w:val="00E25927"/>
    <w:rsid w:val="00E26A4B"/>
    <w:rsid w:val="00E2767D"/>
    <w:rsid w:val="00E276A3"/>
    <w:rsid w:val="00E2779E"/>
    <w:rsid w:val="00E278A7"/>
    <w:rsid w:val="00E27D18"/>
    <w:rsid w:val="00E305F0"/>
    <w:rsid w:val="00E306AF"/>
    <w:rsid w:val="00E308AC"/>
    <w:rsid w:val="00E31010"/>
    <w:rsid w:val="00E310F9"/>
    <w:rsid w:val="00E31DD9"/>
    <w:rsid w:val="00E31F12"/>
    <w:rsid w:val="00E32011"/>
    <w:rsid w:val="00E320EF"/>
    <w:rsid w:val="00E3216F"/>
    <w:rsid w:val="00E33076"/>
    <w:rsid w:val="00E336C5"/>
    <w:rsid w:val="00E33955"/>
    <w:rsid w:val="00E33AEC"/>
    <w:rsid w:val="00E34265"/>
    <w:rsid w:val="00E3450F"/>
    <w:rsid w:val="00E3516E"/>
    <w:rsid w:val="00E35F4A"/>
    <w:rsid w:val="00E35F8E"/>
    <w:rsid w:val="00E361D3"/>
    <w:rsid w:val="00E3684B"/>
    <w:rsid w:val="00E36A7B"/>
    <w:rsid w:val="00E371CD"/>
    <w:rsid w:val="00E373BC"/>
    <w:rsid w:val="00E374F5"/>
    <w:rsid w:val="00E375D4"/>
    <w:rsid w:val="00E37706"/>
    <w:rsid w:val="00E37835"/>
    <w:rsid w:val="00E37A8F"/>
    <w:rsid w:val="00E4045A"/>
    <w:rsid w:val="00E411D8"/>
    <w:rsid w:val="00E41558"/>
    <w:rsid w:val="00E4171A"/>
    <w:rsid w:val="00E41C12"/>
    <w:rsid w:val="00E41F25"/>
    <w:rsid w:val="00E423C5"/>
    <w:rsid w:val="00E42617"/>
    <w:rsid w:val="00E42BB3"/>
    <w:rsid w:val="00E42C8E"/>
    <w:rsid w:val="00E42E51"/>
    <w:rsid w:val="00E43538"/>
    <w:rsid w:val="00E436C5"/>
    <w:rsid w:val="00E43938"/>
    <w:rsid w:val="00E439C3"/>
    <w:rsid w:val="00E439C7"/>
    <w:rsid w:val="00E43C7D"/>
    <w:rsid w:val="00E43D21"/>
    <w:rsid w:val="00E44E14"/>
    <w:rsid w:val="00E45ECF"/>
    <w:rsid w:val="00E46597"/>
    <w:rsid w:val="00E46CAF"/>
    <w:rsid w:val="00E46F9C"/>
    <w:rsid w:val="00E471CC"/>
    <w:rsid w:val="00E4754F"/>
    <w:rsid w:val="00E4797C"/>
    <w:rsid w:val="00E47F37"/>
    <w:rsid w:val="00E500C3"/>
    <w:rsid w:val="00E518EE"/>
    <w:rsid w:val="00E51BEF"/>
    <w:rsid w:val="00E52367"/>
    <w:rsid w:val="00E52746"/>
    <w:rsid w:val="00E52C4C"/>
    <w:rsid w:val="00E52CAE"/>
    <w:rsid w:val="00E52E13"/>
    <w:rsid w:val="00E532D7"/>
    <w:rsid w:val="00E534AB"/>
    <w:rsid w:val="00E536EE"/>
    <w:rsid w:val="00E53721"/>
    <w:rsid w:val="00E537C8"/>
    <w:rsid w:val="00E541AC"/>
    <w:rsid w:val="00E54540"/>
    <w:rsid w:val="00E54675"/>
    <w:rsid w:val="00E549CC"/>
    <w:rsid w:val="00E54E2B"/>
    <w:rsid w:val="00E5568B"/>
    <w:rsid w:val="00E55F42"/>
    <w:rsid w:val="00E563DA"/>
    <w:rsid w:val="00E56500"/>
    <w:rsid w:val="00E56A79"/>
    <w:rsid w:val="00E57B00"/>
    <w:rsid w:val="00E57F9E"/>
    <w:rsid w:val="00E601F8"/>
    <w:rsid w:val="00E605D7"/>
    <w:rsid w:val="00E60902"/>
    <w:rsid w:val="00E60B97"/>
    <w:rsid w:val="00E60CAF"/>
    <w:rsid w:val="00E60F19"/>
    <w:rsid w:val="00E61383"/>
    <w:rsid w:val="00E6175C"/>
    <w:rsid w:val="00E61EEB"/>
    <w:rsid w:val="00E62355"/>
    <w:rsid w:val="00E634AC"/>
    <w:rsid w:val="00E634DA"/>
    <w:rsid w:val="00E6354F"/>
    <w:rsid w:val="00E64938"/>
    <w:rsid w:val="00E64D75"/>
    <w:rsid w:val="00E65907"/>
    <w:rsid w:val="00E65F7C"/>
    <w:rsid w:val="00E660A4"/>
    <w:rsid w:val="00E664AD"/>
    <w:rsid w:val="00E66612"/>
    <w:rsid w:val="00E669AC"/>
    <w:rsid w:val="00E66B18"/>
    <w:rsid w:val="00E67B1A"/>
    <w:rsid w:val="00E70B46"/>
    <w:rsid w:val="00E71546"/>
    <w:rsid w:val="00E716B0"/>
    <w:rsid w:val="00E71809"/>
    <w:rsid w:val="00E71B5F"/>
    <w:rsid w:val="00E71C14"/>
    <w:rsid w:val="00E7217D"/>
    <w:rsid w:val="00E72579"/>
    <w:rsid w:val="00E725DC"/>
    <w:rsid w:val="00E72999"/>
    <w:rsid w:val="00E73990"/>
    <w:rsid w:val="00E74437"/>
    <w:rsid w:val="00E75195"/>
    <w:rsid w:val="00E7526F"/>
    <w:rsid w:val="00E752ED"/>
    <w:rsid w:val="00E75325"/>
    <w:rsid w:val="00E75551"/>
    <w:rsid w:val="00E75986"/>
    <w:rsid w:val="00E759B4"/>
    <w:rsid w:val="00E75BAE"/>
    <w:rsid w:val="00E76942"/>
    <w:rsid w:val="00E770EB"/>
    <w:rsid w:val="00E777F7"/>
    <w:rsid w:val="00E779D4"/>
    <w:rsid w:val="00E77A03"/>
    <w:rsid w:val="00E77F61"/>
    <w:rsid w:val="00E80300"/>
    <w:rsid w:val="00E808D1"/>
    <w:rsid w:val="00E80A5B"/>
    <w:rsid w:val="00E80D4D"/>
    <w:rsid w:val="00E810FE"/>
    <w:rsid w:val="00E81243"/>
    <w:rsid w:val="00E8130A"/>
    <w:rsid w:val="00E81958"/>
    <w:rsid w:val="00E81E92"/>
    <w:rsid w:val="00E82828"/>
    <w:rsid w:val="00E82FDB"/>
    <w:rsid w:val="00E83261"/>
    <w:rsid w:val="00E84106"/>
    <w:rsid w:val="00E846DD"/>
    <w:rsid w:val="00E84D1C"/>
    <w:rsid w:val="00E854C1"/>
    <w:rsid w:val="00E8569B"/>
    <w:rsid w:val="00E85889"/>
    <w:rsid w:val="00E85FC3"/>
    <w:rsid w:val="00E860F8"/>
    <w:rsid w:val="00E866BC"/>
    <w:rsid w:val="00E86825"/>
    <w:rsid w:val="00E86977"/>
    <w:rsid w:val="00E869B4"/>
    <w:rsid w:val="00E87232"/>
    <w:rsid w:val="00E8744C"/>
    <w:rsid w:val="00E87F55"/>
    <w:rsid w:val="00E90297"/>
    <w:rsid w:val="00E907C9"/>
    <w:rsid w:val="00E90B71"/>
    <w:rsid w:val="00E92100"/>
    <w:rsid w:val="00E92220"/>
    <w:rsid w:val="00E9291B"/>
    <w:rsid w:val="00E93127"/>
    <w:rsid w:val="00E93242"/>
    <w:rsid w:val="00E9335E"/>
    <w:rsid w:val="00E935E6"/>
    <w:rsid w:val="00E936D8"/>
    <w:rsid w:val="00E93A96"/>
    <w:rsid w:val="00E940B8"/>
    <w:rsid w:val="00E9412B"/>
    <w:rsid w:val="00E94169"/>
    <w:rsid w:val="00E9417C"/>
    <w:rsid w:val="00E94336"/>
    <w:rsid w:val="00E94B25"/>
    <w:rsid w:val="00E94FD6"/>
    <w:rsid w:val="00E95657"/>
    <w:rsid w:val="00E95D9A"/>
    <w:rsid w:val="00E95F7D"/>
    <w:rsid w:val="00E96108"/>
    <w:rsid w:val="00E96138"/>
    <w:rsid w:val="00E962B7"/>
    <w:rsid w:val="00E96460"/>
    <w:rsid w:val="00E96502"/>
    <w:rsid w:val="00E96532"/>
    <w:rsid w:val="00E96613"/>
    <w:rsid w:val="00E97601"/>
    <w:rsid w:val="00E97E64"/>
    <w:rsid w:val="00EA0710"/>
    <w:rsid w:val="00EA074D"/>
    <w:rsid w:val="00EA098C"/>
    <w:rsid w:val="00EA0B61"/>
    <w:rsid w:val="00EA0B78"/>
    <w:rsid w:val="00EA0FA7"/>
    <w:rsid w:val="00EA10BA"/>
    <w:rsid w:val="00EA1631"/>
    <w:rsid w:val="00EA1AAF"/>
    <w:rsid w:val="00EA1E4A"/>
    <w:rsid w:val="00EA231A"/>
    <w:rsid w:val="00EA2384"/>
    <w:rsid w:val="00EA30EB"/>
    <w:rsid w:val="00EA3101"/>
    <w:rsid w:val="00EA3593"/>
    <w:rsid w:val="00EA41DE"/>
    <w:rsid w:val="00EA445E"/>
    <w:rsid w:val="00EA49D4"/>
    <w:rsid w:val="00EA4AD2"/>
    <w:rsid w:val="00EA4CC5"/>
    <w:rsid w:val="00EA4D95"/>
    <w:rsid w:val="00EA551C"/>
    <w:rsid w:val="00EA55A5"/>
    <w:rsid w:val="00EA5A5E"/>
    <w:rsid w:val="00EA61AC"/>
    <w:rsid w:val="00EA66C8"/>
    <w:rsid w:val="00EA69E0"/>
    <w:rsid w:val="00EA720F"/>
    <w:rsid w:val="00EA77A3"/>
    <w:rsid w:val="00EA7DDD"/>
    <w:rsid w:val="00EB0EA2"/>
    <w:rsid w:val="00EB0FBD"/>
    <w:rsid w:val="00EB0FC6"/>
    <w:rsid w:val="00EB1165"/>
    <w:rsid w:val="00EB12CD"/>
    <w:rsid w:val="00EB12DB"/>
    <w:rsid w:val="00EB1300"/>
    <w:rsid w:val="00EB249F"/>
    <w:rsid w:val="00EB26E1"/>
    <w:rsid w:val="00EB2CB6"/>
    <w:rsid w:val="00EB2D51"/>
    <w:rsid w:val="00EB2E63"/>
    <w:rsid w:val="00EB3381"/>
    <w:rsid w:val="00EB3522"/>
    <w:rsid w:val="00EB3555"/>
    <w:rsid w:val="00EB3B1F"/>
    <w:rsid w:val="00EB3CEA"/>
    <w:rsid w:val="00EB40E5"/>
    <w:rsid w:val="00EB4421"/>
    <w:rsid w:val="00EB503D"/>
    <w:rsid w:val="00EB62C7"/>
    <w:rsid w:val="00EB68FB"/>
    <w:rsid w:val="00EB6958"/>
    <w:rsid w:val="00EB69C8"/>
    <w:rsid w:val="00EB6B71"/>
    <w:rsid w:val="00EB7054"/>
    <w:rsid w:val="00EB75D9"/>
    <w:rsid w:val="00EB7791"/>
    <w:rsid w:val="00EB7BFB"/>
    <w:rsid w:val="00EB7EF2"/>
    <w:rsid w:val="00EC0E87"/>
    <w:rsid w:val="00EC106D"/>
    <w:rsid w:val="00EC1377"/>
    <w:rsid w:val="00EC1464"/>
    <w:rsid w:val="00EC15EB"/>
    <w:rsid w:val="00EC18E7"/>
    <w:rsid w:val="00EC19B9"/>
    <w:rsid w:val="00EC1B7B"/>
    <w:rsid w:val="00EC2333"/>
    <w:rsid w:val="00EC2BF5"/>
    <w:rsid w:val="00EC2C3A"/>
    <w:rsid w:val="00EC37BC"/>
    <w:rsid w:val="00EC42F2"/>
    <w:rsid w:val="00EC549C"/>
    <w:rsid w:val="00EC58B0"/>
    <w:rsid w:val="00EC5D13"/>
    <w:rsid w:val="00EC649A"/>
    <w:rsid w:val="00EC66B4"/>
    <w:rsid w:val="00EC6AF3"/>
    <w:rsid w:val="00EC6BB6"/>
    <w:rsid w:val="00EC7877"/>
    <w:rsid w:val="00EC790A"/>
    <w:rsid w:val="00ED0082"/>
    <w:rsid w:val="00ED00B5"/>
    <w:rsid w:val="00ED0415"/>
    <w:rsid w:val="00ED0694"/>
    <w:rsid w:val="00ED0958"/>
    <w:rsid w:val="00ED0D84"/>
    <w:rsid w:val="00ED0DB1"/>
    <w:rsid w:val="00ED1879"/>
    <w:rsid w:val="00ED1902"/>
    <w:rsid w:val="00ED2398"/>
    <w:rsid w:val="00ED26D5"/>
    <w:rsid w:val="00ED29E6"/>
    <w:rsid w:val="00ED3CF4"/>
    <w:rsid w:val="00ED45D2"/>
    <w:rsid w:val="00ED4B40"/>
    <w:rsid w:val="00ED4F8B"/>
    <w:rsid w:val="00ED5830"/>
    <w:rsid w:val="00ED59A3"/>
    <w:rsid w:val="00ED5C96"/>
    <w:rsid w:val="00ED5D56"/>
    <w:rsid w:val="00ED65E5"/>
    <w:rsid w:val="00ED67D9"/>
    <w:rsid w:val="00ED6F86"/>
    <w:rsid w:val="00ED7590"/>
    <w:rsid w:val="00ED7688"/>
    <w:rsid w:val="00ED7E71"/>
    <w:rsid w:val="00EE0910"/>
    <w:rsid w:val="00EE09BE"/>
    <w:rsid w:val="00EE1397"/>
    <w:rsid w:val="00EE1653"/>
    <w:rsid w:val="00EE192C"/>
    <w:rsid w:val="00EE1B10"/>
    <w:rsid w:val="00EE1B98"/>
    <w:rsid w:val="00EE1DD9"/>
    <w:rsid w:val="00EE23FE"/>
    <w:rsid w:val="00EE2410"/>
    <w:rsid w:val="00EE2793"/>
    <w:rsid w:val="00EE3283"/>
    <w:rsid w:val="00EE4F4E"/>
    <w:rsid w:val="00EE5644"/>
    <w:rsid w:val="00EE58FE"/>
    <w:rsid w:val="00EE68CA"/>
    <w:rsid w:val="00EE6E04"/>
    <w:rsid w:val="00EE6EB6"/>
    <w:rsid w:val="00EE7258"/>
    <w:rsid w:val="00EE76EB"/>
    <w:rsid w:val="00EF0117"/>
    <w:rsid w:val="00EF08D2"/>
    <w:rsid w:val="00EF105C"/>
    <w:rsid w:val="00EF18A6"/>
    <w:rsid w:val="00EF221F"/>
    <w:rsid w:val="00EF2883"/>
    <w:rsid w:val="00EF2AEB"/>
    <w:rsid w:val="00EF2E8A"/>
    <w:rsid w:val="00EF32AD"/>
    <w:rsid w:val="00EF3407"/>
    <w:rsid w:val="00EF3880"/>
    <w:rsid w:val="00EF43A6"/>
    <w:rsid w:val="00EF4606"/>
    <w:rsid w:val="00EF5306"/>
    <w:rsid w:val="00EF5924"/>
    <w:rsid w:val="00EF6685"/>
    <w:rsid w:val="00EF7F3A"/>
    <w:rsid w:val="00F001FB"/>
    <w:rsid w:val="00F007E2"/>
    <w:rsid w:val="00F00B48"/>
    <w:rsid w:val="00F0110E"/>
    <w:rsid w:val="00F01540"/>
    <w:rsid w:val="00F01678"/>
    <w:rsid w:val="00F01870"/>
    <w:rsid w:val="00F01926"/>
    <w:rsid w:val="00F01D66"/>
    <w:rsid w:val="00F022EB"/>
    <w:rsid w:val="00F023EE"/>
    <w:rsid w:val="00F02E18"/>
    <w:rsid w:val="00F02FDA"/>
    <w:rsid w:val="00F0319A"/>
    <w:rsid w:val="00F033C0"/>
    <w:rsid w:val="00F034FD"/>
    <w:rsid w:val="00F04441"/>
    <w:rsid w:val="00F044F3"/>
    <w:rsid w:val="00F0481E"/>
    <w:rsid w:val="00F04D2F"/>
    <w:rsid w:val="00F06081"/>
    <w:rsid w:val="00F06846"/>
    <w:rsid w:val="00F06D64"/>
    <w:rsid w:val="00F076F8"/>
    <w:rsid w:val="00F10538"/>
    <w:rsid w:val="00F11222"/>
    <w:rsid w:val="00F11BD5"/>
    <w:rsid w:val="00F12AD2"/>
    <w:rsid w:val="00F12B59"/>
    <w:rsid w:val="00F12E17"/>
    <w:rsid w:val="00F135EE"/>
    <w:rsid w:val="00F139FE"/>
    <w:rsid w:val="00F13BBC"/>
    <w:rsid w:val="00F13F2D"/>
    <w:rsid w:val="00F145FE"/>
    <w:rsid w:val="00F14F06"/>
    <w:rsid w:val="00F15C83"/>
    <w:rsid w:val="00F162E9"/>
    <w:rsid w:val="00F16337"/>
    <w:rsid w:val="00F16A65"/>
    <w:rsid w:val="00F17785"/>
    <w:rsid w:val="00F17817"/>
    <w:rsid w:val="00F17A14"/>
    <w:rsid w:val="00F20CF8"/>
    <w:rsid w:val="00F20D96"/>
    <w:rsid w:val="00F213B9"/>
    <w:rsid w:val="00F213CA"/>
    <w:rsid w:val="00F21C0B"/>
    <w:rsid w:val="00F21E4E"/>
    <w:rsid w:val="00F2205A"/>
    <w:rsid w:val="00F220E5"/>
    <w:rsid w:val="00F2251B"/>
    <w:rsid w:val="00F22762"/>
    <w:rsid w:val="00F229D3"/>
    <w:rsid w:val="00F235CE"/>
    <w:rsid w:val="00F2363F"/>
    <w:rsid w:val="00F237EE"/>
    <w:rsid w:val="00F23A0E"/>
    <w:rsid w:val="00F24313"/>
    <w:rsid w:val="00F2478C"/>
    <w:rsid w:val="00F24872"/>
    <w:rsid w:val="00F24B06"/>
    <w:rsid w:val="00F24E0E"/>
    <w:rsid w:val="00F256B7"/>
    <w:rsid w:val="00F259E4"/>
    <w:rsid w:val="00F25AE6"/>
    <w:rsid w:val="00F25BFF"/>
    <w:rsid w:val="00F25E73"/>
    <w:rsid w:val="00F26217"/>
    <w:rsid w:val="00F268AF"/>
    <w:rsid w:val="00F26DB6"/>
    <w:rsid w:val="00F27503"/>
    <w:rsid w:val="00F27C6B"/>
    <w:rsid w:val="00F27CC7"/>
    <w:rsid w:val="00F30A20"/>
    <w:rsid w:val="00F30FE9"/>
    <w:rsid w:val="00F31EBA"/>
    <w:rsid w:val="00F31ECC"/>
    <w:rsid w:val="00F3214D"/>
    <w:rsid w:val="00F3274E"/>
    <w:rsid w:val="00F32FC3"/>
    <w:rsid w:val="00F338B3"/>
    <w:rsid w:val="00F34341"/>
    <w:rsid w:val="00F34842"/>
    <w:rsid w:val="00F34B27"/>
    <w:rsid w:val="00F34B3D"/>
    <w:rsid w:val="00F350B8"/>
    <w:rsid w:val="00F3645F"/>
    <w:rsid w:val="00F3715F"/>
    <w:rsid w:val="00F376F0"/>
    <w:rsid w:val="00F377E2"/>
    <w:rsid w:val="00F40BBF"/>
    <w:rsid w:val="00F41365"/>
    <w:rsid w:val="00F414A0"/>
    <w:rsid w:val="00F41CA8"/>
    <w:rsid w:val="00F41F82"/>
    <w:rsid w:val="00F4213F"/>
    <w:rsid w:val="00F429EA"/>
    <w:rsid w:val="00F42C93"/>
    <w:rsid w:val="00F42FAE"/>
    <w:rsid w:val="00F4355D"/>
    <w:rsid w:val="00F43582"/>
    <w:rsid w:val="00F435A9"/>
    <w:rsid w:val="00F443C0"/>
    <w:rsid w:val="00F444DD"/>
    <w:rsid w:val="00F44FC3"/>
    <w:rsid w:val="00F45E44"/>
    <w:rsid w:val="00F45F34"/>
    <w:rsid w:val="00F46235"/>
    <w:rsid w:val="00F4678D"/>
    <w:rsid w:val="00F469B2"/>
    <w:rsid w:val="00F46DC1"/>
    <w:rsid w:val="00F47CD6"/>
    <w:rsid w:val="00F502EE"/>
    <w:rsid w:val="00F50365"/>
    <w:rsid w:val="00F505FA"/>
    <w:rsid w:val="00F50BD9"/>
    <w:rsid w:val="00F514A4"/>
    <w:rsid w:val="00F51D32"/>
    <w:rsid w:val="00F51E94"/>
    <w:rsid w:val="00F5231A"/>
    <w:rsid w:val="00F52460"/>
    <w:rsid w:val="00F5252D"/>
    <w:rsid w:val="00F52A5A"/>
    <w:rsid w:val="00F52C20"/>
    <w:rsid w:val="00F52E85"/>
    <w:rsid w:val="00F5313A"/>
    <w:rsid w:val="00F53526"/>
    <w:rsid w:val="00F535D4"/>
    <w:rsid w:val="00F536C5"/>
    <w:rsid w:val="00F536D9"/>
    <w:rsid w:val="00F539E4"/>
    <w:rsid w:val="00F53B1B"/>
    <w:rsid w:val="00F547C3"/>
    <w:rsid w:val="00F549CD"/>
    <w:rsid w:val="00F54D10"/>
    <w:rsid w:val="00F54D8B"/>
    <w:rsid w:val="00F55915"/>
    <w:rsid w:val="00F5595E"/>
    <w:rsid w:val="00F55F4D"/>
    <w:rsid w:val="00F5783E"/>
    <w:rsid w:val="00F605F0"/>
    <w:rsid w:val="00F60918"/>
    <w:rsid w:val="00F615C5"/>
    <w:rsid w:val="00F6165D"/>
    <w:rsid w:val="00F61BD5"/>
    <w:rsid w:val="00F61E95"/>
    <w:rsid w:val="00F61EB5"/>
    <w:rsid w:val="00F623B2"/>
    <w:rsid w:val="00F624E3"/>
    <w:rsid w:val="00F62D95"/>
    <w:rsid w:val="00F62FBC"/>
    <w:rsid w:val="00F632D6"/>
    <w:rsid w:val="00F632E9"/>
    <w:rsid w:val="00F64195"/>
    <w:rsid w:val="00F64510"/>
    <w:rsid w:val="00F64A3F"/>
    <w:rsid w:val="00F64C02"/>
    <w:rsid w:val="00F64E96"/>
    <w:rsid w:val="00F65133"/>
    <w:rsid w:val="00F65268"/>
    <w:rsid w:val="00F6547A"/>
    <w:rsid w:val="00F65863"/>
    <w:rsid w:val="00F65F33"/>
    <w:rsid w:val="00F66307"/>
    <w:rsid w:val="00F66327"/>
    <w:rsid w:val="00F664A0"/>
    <w:rsid w:val="00F666A0"/>
    <w:rsid w:val="00F678ED"/>
    <w:rsid w:val="00F67E66"/>
    <w:rsid w:val="00F7090C"/>
    <w:rsid w:val="00F70F15"/>
    <w:rsid w:val="00F7120E"/>
    <w:rsid w:val="00F71316"/>
    <w:rsid w:val="00F71511"/>
    <w:rsid w:val="00F7170F"/>
    <w:rsid w:val="00F7172F"/>
    <w:rsid w:val="00F7195D"/>
    <w:rsid w:val="00F7239B"/>
    <w:rsid w:val="00F723CE"/>
    <w:rsid w:val="00F72CA8"/>
    <w:rsid w:val="00F73258"/>
    <w:rsid w:val="00F73826"/>
    <w:rsid w:val="00F7458A"/>
    <w:rsid w:val="00F74A49"/>
    <w:rsid w:val="00F75089"/>
    <w:rsid w:val="00F75249"/>
    <w:rsid w:val="00F761C7"/>
    <w:rsid w:val="00F762D7"/>
    <w:rsid w:val="00F7647E"/>
    <w:rsid w:val="00F7660E"/>
    <w:rsid w:val="00F77461"/>
    <w:rsid w:val="00F77B99"/>
    <w:rsid w:val="00F77D15"/>
    <w:rsid w:val="00F8046A"/>
    <w:rsid w:val="00F80B61"/>
    <w:rsid w:val="00F80B98"/>
    <w:rsid w:val="00F814E8"/>
    <w:rsid w:val="00F81AF4"/>
    <w:rsid w:val="00F82278"/>
    <w:rsid w:val="00F8253F"/>
    <w:rsid w:val="00F82A17"/>
    <w:rsid w:val="00F82E24"/>
    <w:rsid w:val="00F82EFB"/>
    <w:rsid w:val="00F82F08"/>
    <w:rsid w:val="00F82FA3"/>
    <w:rsid w:val="00F83108"/>
    <w:rsid w:val="00F83BBE"/>
    <w:rsid w:val="00F83D18"/>
    <w:rsid w:val="00F8408C"/>
    <w:rsid w:val="00F84169"/>
    <w:rsid w:val="00F843C7"/>
    <w:rsid w:val="00F8494D"/>
    <w:rsid w:val="00F8499F"/>
    <w:rsid w:val="00F84FFE"/>
    <w:rsid w:val="00F85339"/>
    <w:rsid w:val="00F85F83"/>
    <w:rsid w:val="00F86120"/>
    <w:rsid w:val="00F861DB"/>
    <w:rsid w:val="00F86619"/>
    <w:rsid w:val="00F86D59"/>
    <w:rsid w:val="00F8730A"/>
    <w:rsid w:val="00F87495"/>
    <w:rsid w:val="00F876CA"/>
    <w:rsid w:val="00F90010"/>
    <w:rsid w:val="00F9062B"/>
    <w:rsid w:val="00F90C69"/>
    <w:rsid w:val="00F90E90"/>
    <w:rsid w:val="00F910CC"/>
    <w:rsid w:val="00F911CB"/>
    <w:rsid w:val="00F914D5"/>
    <w:rsid w:val="00F91624"/>
    <w:rsid w:val="00F916D5"/>
    <w:rsid w:val="00F91877"/>
    <w:rsid w:val="00F91AD2"/>
    <w:rsid w:val="00F9221E"/>
    <w:rsid w:val="00F92260"/>
    <w:rsid w:val="00F922AA"/>
    <w:rsid w:val="00F9271D"/>
    <w:rsid w:val="00F929C5"/>
    <w:rsid w:val="00F931B1"/>
    <w:rsid w:val="00F93A90"/>
    <w:rsid w:val="00F93EE0"/>
    <w:rsid w:val="00F93FC4"/>
    <w:rsid w:val="00F94654"/>
    <w:rsid w:val="00F94904"/>
    <w:rsid w:val="00F94971"/>
    <w:rsid w:val="00F94D3C"/>
    <w:rsid w:val="00F95063"/>
    <w:rsid w:val="00F957DF"/>
    <w:rsid w:val="00F964F2"/>
    <w:rsid w:val="00F9756A"/>
    <w:rsid w:val="00FA0117"/>
    <w:rsid w:val="00FA0306"/>
    <w:rsid w:val="00FA04B1"/>
    <w:rsid w:val="00FA0F64"/>
    <w:rsid w:val="00FA1D57"/>
    <w:rsid w:val="00FA2106"/>
    <w:rsid w:val="00FA2C54"/>
    <w:rsid w:val="00FA2D45"/>
    <w:rsid w:val="00FA2DFC"/>
    <w:rsid w:val="00FA31EE"/>
    <w:rsid w:val="00FA33C7"/>
    <w:rsid w:val="00FA340D"/>
    <w:rsid w:val="00FA3502"/>
    <w:rsid w:val="00FA37D8"/>
    <w:rsid w:val="00FA3B90"/>
    <w:rsid w:val="00FA3C4A"/>
    <w:rsid w:val="00FA40E8"/>
    <w:rsid w:val="00FA4558"/>
    <w:rsid w:val="00FA4D42"/>
    <w:rsid w:val="00FA4DF1"/>
    <w:rsid w:val="00FA4F7B"/>
    <w:rsid w:val="00FA522A"/>
    <w:rsid w:val="00FA6103"/>
    <w:rsid w:val="00FA6421"/>
    <w:rsid w:val="00FA6BCF"/>
    <w:rsid w:val="00FA6C78"/>
    <w:rsid w:val="00FA6D8D"/>
    <w:rsid w:val="00FA796F"/>
    <w:rsid w:val="00FB01AF"/>
    <w:rsid w:val="00FB02CF"/>
    <w:rsid w:val="00FB038D"/>
    <w:rsid w:val="00FB0A5F"/>
    <w:rsid w:val="00FB0E52"/>
    <w:rsid w:val="00FB1855"/>
    <w:rsid w:val="00FB1DB9"/>
    <w:rsid w:val="00FB233D"/>
    <w:rsid w:val="00FB2438"/>
    <w:rsid w:val="00FB3053"/>
    <w:rsid w:val="00FB3EB1"/>
    <w:rsid w:val="00FB47DF"/>
    <w:rsid w:val="00FB5A49"/>
    <w:rsid w:val="00FB5C6E"/>
    <w:rsid w:val="00FB651B"/>
    <w:rsid w:val="00FB65A9"/>
    <w:rsid w:val="00FB7116"/>
    <w:rsid w:val="00FB75CC"/>
    <w:rsid w:val="00FB77A4"/>
    <w:rsid w:val="00FB7EC6"/>
    <w:rsid w:val="00FB7EE7"/>
    <w:rsid w:val="00FC03EB"/>
    <w:rsid w:val="00FC0422"/>
    <w:rsid w:val="00FC07E3"/>
    <w:rsid w:val="00FC090E"/>
    <w:rsid w:val="00FC14C1"/>
    <w:rsid w:val="00FC1AD5"/>
    <w:rsid w:val="00FC234F"/>
    <w:rsid w:val="00FC2B65"/>
    <w:rsid w:val="00FC3207"/>
    <w:rsid w:val="00FC376D"/>
    <w:rsid w:val="00FC3943"/>
    <w:rsid w:val="00FC3ED3"/>
    <w:rsid w:val="00FC4B6F"/>
    <w:rsid w:val="00FC53F9"/>
    <w:rsid w:val="00FC5420"/>
    <w:rsid w:val="00FC5445"/>
    <w:rsid w:val="00FC5614"/>
    <w:rsid w:val="00FC57A5"/>
    <w:rsid w:val="00FC5C2A"/>
    <w:rsid w:val="00FC5F78"/>
    <w:rsid w:val="00FC6B8F"/>
    <w:rsid w:val="00FC7253"/>
    <w:rsid w:val="00FC7F35"/>
    <w:rsid w:val="00FD0260"/>
    <w:rsid w:val="00FD07CD"/>
    <w:rsid w:val="00FD0849"/>
    <w:rsid w:val="00FD0855"/>
    <w:rsid w:val="00FD08A2"/>
    <w:rsid w:val="00FD0A14"/>
    <w:rsid w:val="00FD0B01"/>
    <w:rsid w:val="00FD0D9A"/>
    <w:rsid w:val="00FD24A6"/>
    <w:rsid w:val="00FD2969"/>
    <w:rsid w:val="00FD29E3"/>
    <w:rsid w:val="00FD2E22"/>
    <w:rsid w:val="00FD3B1C"/>
    <w:rsid w:val="00FD3DAE"/>
    <w:rsid w:val="00FD403C"/>
    <w:rsid w:val="00FD4AFB"/>
    <w:rsid w:val="00FD4B0A"/>
    <w:rsid w:val="00FD4D0D"/>
    <w:rsid w:val="00FD4F09"/>
    <w:rsid w:val="00FD5A55"/>
    <w:rsid w:val="00FD5DF1"/>
    <w:rsid w:val="00FD5E30"/>
    <w:rsid w:val="00FD6073"/>
    <w:rsid w:val="00FD63CE"/>
    <w:rsid w:val="00FD67A6"/>
    <w:rsid w:val="00FD68A5"/>
    <w:rsid w:val="00FD73A7"/>
    <w:rsid w:val="00FD76C9"/>
    <w:rsid w:val="00FD7BD4"/>
    <w:rsid w:val="00FD7D3F"/>
    <w:rsid w:val="00FD7DCB"/>
    <w:rsid w:val="00FD7F46"/>
    <w:rsid w:val="00FE1079"/>
    <w:rsid w:val="00FE11D9"/>
    <w:rsid w:val="00FE11F8"/>
    <w:rsid w:val="00FE14D2"/>
    <w:rsid w:val="00FE1AD4"/>
    <w:rsid w:val="00FE1F26"/>
    <w:rsid w:val="00FE2271"/>
    <w:rsid w:val="00FE227F"/>
    <w:rsid w:val="00FE27B6"/>
    <w:rsid w:val="00FE2871"/>
    <w:rsid w:val="00FE28EF"/>
    <w:rsid w:val="00FE295E"/>
    <w:rsid w:val="00FE35DC"/>
    <w:rsid w:val="00FE36A4"/>
    <w:rsid w:val="00FE3EB6"/>
    <w:rsid w:val="00FE478D"/>
    <w:rsid w:val="00FE4E6A"/>
    <w:rsid w:val="00FE5022"/>
    <w:rsid w:val="00FE512E"/>
    <w:rsid w:val="00FE5A79"/>
    <w:rsid w:val="00FE6A90"/>
    <w:rsid w:val="00FE6E83"/>
    <w:rsid w:val="00FE70A0"/>
    <w:rsid w:val="00FE733F"/>
    <w:rsid w:val="00FE741C"/>
    <w:rsid w:val="00FE7D17"/>
    <w:rsid w:val="00FF00CC"/>
    <w:rsid w:val="00FF01B4"/>
    <w:rsid w:val="00FF0758"/>
    <w:rsid w:val="00FF08EA"/>
    <w:rsid w:val="00FF093D"/>
    <w:rsid w:val="00FF0B2F"/>
    <w:rsid w:val="00FF0B6A"/>
    <w:rsid w:val="00FF0C8A"/>
    <w:rsid w:val="00FF13A1"/>
    <w:rsid w:val="00FF1DEA"/>
    <w:rsid w:val="00FF1EE9"/>
    <w:rsid w:val="00FF1FE6"/>
    <w:rsid w:val="00FF25A6"/>
    <w:rsid w:val="00FF2877"/>
    <w:rsid w:val="00FF324C"/>
    <w:rsid w:val="00FF34FB"/>
    <w:rsid w:val="00FF36CD"/>
    <w:rsid w:val="00FF385A"/>
    <w:rsid w:val="00FF4234"/>
    <w:rsid w:val="00FF44B0"/>
    <w:rsid w:val="00FF4EB5"/>
    <w:rsid w:val="00FF5381"/>
    <w:rsid w:val="00FF5A67"/>
    <w:rsid w:val="00FF5C04"/>
    <w:rsid w:val="00FF5E1D"/>
    <w:rsid w:val="00FF645D"/>
    <w:rsid w:val="00FF69C0"/>
    <w:rsid w:val="00FF6C86"/>
    <w:rsid w:val="00FF6FDE"/>
    <w:rsid w:val="00FF71F0"/>
    <w:rsid w:val="00FF756A"/>
    <w:rsid w:val="00FF756D"/>
    <w:rsid w:val="00FF77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6FB305"/>
  <w15:chartTrackingRefBased/>
  <w15:docId w15:val="{147BA6EC-CD0A-42E8-8F59-912F5D31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58595B"/>
        <w:szCs w:val="22"/>
        <w:lang w:val="nl-BE"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iPriority="10" w:unhideWhenUsed="1"/>
    <w:lsdException w:name="List Bullet 4" w:semiHidden="1" w:unhideWhenUsed="1"/>
    <w:lsdException w:name="List Bullet 5" w:semiHidden="1" w:unhideWhenUsed="1"/>
    <w:lsdException w:name="List Number 2" w:semiHidden="1" w:uiPriority="11" w:unhideWhenUsed="1"/>
    <w:lsdException w:name="List Number 3" w:semiHidden="1" w:uiPriority="11" w:unhideWhenUsed="1"/>
    <w:lsdException w:name="List Number 4" w:semiHidden="1" w:unhideWhenUsed="1"/>
    <w:lsdException w:name="List Number 5" w:semiHidden="1" w:unhideWhenUsed="1"/>
    <w:lsdException w:name="Title" w:uiPriority="1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A2B32"/>
  </w:style>
  <w:style w:type="paragraph" w:styleId="Heading1">
    <w:name w:val="heading 1"/>
    <w:aliases w:val="T1 Sciensano,T1"/>
    <w:basedOn w:val="Normal"/>
    <w:next w:val="BodySciensano"/>
    <w:link w:val="Heading1Char"/>
    <w:uiPriority w:val="9"/>
    <w:qFormat/>
    <w:rsid w:val="00816CDA"/>
    <w:pPr>
      <w:keepNext/>
      <w:keepLines/>
      <w:numPr>
        <w:numId w:val="3"/>
      </w:numPr>
      <w:suppressAutoHyphens/>
      <w:contextualSpacing/>
      <w:jc w:val="center"/>
      <w:outlineLvl w:val="0"/>
    </w:pPr>
    <w:rPr>
      <w:rFonts w:eastAsiaTheme="majorEastAsia" w:cstheme="majorBidi"/>
      <w:b/>
      <w:bCs/>
      <w:caps/>
      <w:color w:val="3AAA35"/>
      <w:spacing w:val="20"/>
      <w:sz w:val="40"/>
      <w:szCs w:val="28"/>
    </w:rPr>
  </w:style>
  <w:style w:type="paragraph" w:styleId="Heading2">
    <w:name w:val="heading 2"/>
    <w:aliases w:val="T2 Sciensano,T2"/>
    <w:basedOn w:val="Normal"/>
    <w:next w:val="BodySciensano"/>
    <w:link w:val="Heading2Char"/>
    <w:uiPriority w:val="9"/>
    <w:qFormat/>
    <w:rsid w:val="006A2B32"/>
    <w:pPr>
      <w:keepNext/>
      <w:keepLines/>
      <w:numPr>
        <w:ilvl w:val="1"/>
        <w:numId w:val="3"/>
      </w:numPr>
      <w:suppressAutoHyphens/>
      <w:spacing w:before="200" w:after="300" w:line="240" w:lineRule="auto"/>
      <w:contextualSpacing/>
      <w:jc w:val="center"/>
      <w:outlineLvl w:val="1"/>
    </w:pPr>
    <w:rPr>
      <w:rFonts w:eastAsiaTheme="majorEastAsia" w:cstheme="majorBidi"/>
      <w:b/>
      <w:bCs/>
      <w:color w:val="BCCF00"/>
      <w:spacing w:val="20"/>
      <w:sz w:val="36"/>
      <w:szCs w:val="26"/>
    </w:rPr>
  </w:style>
  <w:style w:type="paragraph" w:styleId="Heading3">
    <w:name w:val="heading 3"/>
    <w:aliases w:val="T3 Sciensano,T3"/>
    <w:basedOn w:val="Normal"/>
    <w:next w:val="BodySciensano"/>
    <w:link w:val="Heading3Char"/>
    <w:uiPriority w:val="9"/>
    <w:qFormat/>
    <w:rsid w:val="00B60D92"/>
    <w:pPr>
      <w:keepNext/>
      <w:keepLines/>
      <w:numPr>
        <w:ilvl w:val="2"/>
        <w:numId w:val="3"/>
      </w:numPr>
      <w:suppressAutoHyphens/>
      <w:spacing w:before="200" w:after="100"/>
      <w:contextualSpacing/>
      <w:outlineLvl w:val="2"/>
    </w:pPr>
    <w:rPr>
      <w:rFonts w:eastAsiaTheme="majorEastAsia" w:cstheme="majorBidi"/>
      <w:b/>
      <w:bCs/>
      <w:caps/>
      <w:color w:val="3AAA35"/>
    </w:rPr>
  </w:style>
  <w:style w:type="paragraph" w:styleId="Heading4">
    <w:name w:val="heading 4"/>
    <w:aliases w:val="T4 Sciensano,T4"/>
    <w:basedOn w:val="Normal"/>
    <w:next w:val="BodySciensano"/>
    <w:link w:val="Heading4Char"/>
    <w:uiPriority w:val="9"/>
    <w:qFormat/>
    <w:rsid w:val="002C71DA"/>
    <w:pPr>
      <w:keepNext/>
      <w:keepLines/>
      <w:numPr>
        <w:ilvl w:val="3"/>
        <w:numId w:val="3"/>
      </w:numPr>
      <w:suppressAutoHyphens/>
      <w:spacing w:before="200" w:after="100"/>
      <w:contextualSpacing/>
      <w:outlineLvl w:val="3"/>
    </w:pPr>
    <w:rPr>
      <w:rFonts w:eastAsiaTheme="majorEastAsia" w:cstheme="majorBidi"/>
      <w:b/>
      <w:bCs/>
      <w:iCs/>
      <w:color w:val="BCCF00"/>
    </w:rPr>
  </w:style>
  <w:style w:type="paragraph" w:styleId="Heading5">
    <w:name w:val="heading 5"/>
    <w:aliases w:val="T5 Sciensano,T5"/>
    <w:basedOn w:val="Normal"/>
    <w:next w:val="BodySciensano"/>
    <w:link w:val="Heading5Char"/>
    <w:uiPriority w:val="9"/>
    <w:qFormat/>
    <w:rsid w:val="002C71DA"/>
    <w:pPr>
      <w:keepNext/>
      <w:keepLines/>
      <w:numPr>
        <w:ilvl w:val="4"/>
        <w:numId w:val="3"/>
      </w:numPr>
      <w:suppressAutoHyphens/>
      <w:spacing w:before="200" w:after="100"/>
      <w:contextualSpacing/>
      <w:outlineLvl w:val="4"/>
    </w:pPr>
    <w:rPr>
      <w:rFonts w:eastAsiaTheme="majorEastAsia" w:cstheme="majorBidi"/>
      <w:b/>
      <w:color w:val="006633"/>
    </w:rPr>
  </w:style>
  <w:style w:type="paragraph" w:styleId="Heading6">
    <w:name w:val="heading 6"/>
    <w:basedOn w:val="Normal"/>
    <w:next w:val="Normal"/>
    <w:link w:val="Heading6Char"/>
    <w:uiPriority w:val="9"/>
    <w:semiHidden/>
    <w:qFormat/>
    <w:rsid w:val="00901205"/>
    <w:pPr>
      <w:keepNext/>
      <w:keepLines/>
      <w:spacing w:before="200"/>
      <w:outlineLvl w:val="5"/>
    </w:pPr>
    <w:rPr>
      <w:rFonts w:asciiTheme="majorHAnsi" w:eastAsiaTheme="majorEastAsia" w:hAnsiTheme="majorHAnsi" w:cstheme="majorBidi"/>
      <w:i/>
      <w:iCs/>
      <w:color w:val="1C541A" w:themeColor="accent1" w:themeShade="7F"/>
    </w:rPr>
  </w:style>
  <w:style w:type="paragraph" w:styleId="Heading7">
    <w:name w:val="heading 7"/>
    <w:basedOn w:val="Normal"/>
    <w:next w:val="Normal"/>
    <w:link w:val="Heading7Char"/>
    <w:uiPriority w:val="9"/>
    <w:semiHidden/>
    <w:unhideWhenUsed/>
    <w:qFormat/>
    <w:rsid w:val="00901205"/>
    <w:pPr>
      <w:keepNext/>
      <w:keepLines/>
      <w:spacing w:before="200"/>
      <w:outlineLvl w:val="6"/>
    </w:pPr>
    <w:rPr>
      <w:rFonts w:asciiTheme="majorHAnsi" w:eastAsiaTheme="majorEastAsia" w:hAnsiTheme="majorHAnsi" w:cstheme="majorBidi"/>
      <w:i/>
      <w:iCs/>
      <w:color w:val="808285" w:themeColor="text1" w:themeTint="BF"/>
    </w:rPr>
  </w:style>
  <w:style w:type="paragraph" w:styleId="Heading8">
    <w:name w:val="heading 8"/>
    <w:basedOn w:val="Normal"/>
    <w:next w:val="Normal"/>
    <w:link w:val="Heading8Char"/>
    <w:uiPriority w:val="9"/>
    <w:semiHidden/>
    <w:unhideWhenUsed/>
    <w:qFormat/>
    <w:rsid w:val="00901205"/>
    <w:pPr>
      <w:keepNext/>
      <w:keepLines/>
      <w:spacing w:before="200"/>
      <w:outlineLvl w:val="7"/>
    </w:pPr>
    <w:rPr>
      <w:rFonts w:asciiTheme="majorHAnsi" w:eastAsiaTheme="majorEastAsia" w:hAnsiTheme="majorHAnsi" w:cstheme="majorBidi"/>
      <w:color w:val="808285" w:themeColor="text1" w:themeTint="BF"/>
      <w:szCs w:val="20"/>
    </w:rPr>
  </w:style>
  <w:style w:type="paragraph" w:styleId="Heading9">
    <w:name w:val="heading 9"/>
    <w:basedOn w:val="Normal"/>
    <w:next w:val="Normal"/>
    <w:link w:val="Heading9Char"/>
    <w:uiPriority w:val="9"/>
    <w:semiHidden/>
    <w:unhideWhenUsed/>
    <w:qFormat/>
    <w:rsid w:val="00901205"/>
    <w:pPr>
      <w:keepNext/>
      <w:keepLines/>
      <w:spacing w:before="200"/>
      <w:outlineLvl w:val="8"/>
    </w:pPr>
    <w:rPr>
      <w:rFonts w:asciiTheme="majorHAnsi" w:eastAsiaTheme="majorEastAsia" w:hAnsiTheme="majorHAnsi" w:cstheme="majorBidi"/>
      <w:i/>
      <w:iCs/>
      <w:color w:val="808285"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5068"/>
    <w:pPr>
      <w:spacing w:line="240" w:lineRule="auto"/>
      <w:contextualSpacing/>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068"/>
    <w:rPr>
      <w:rFonts w:ascii="Tahoma" w:hAnsi="Tahoma" w:cs="Tahoma"/>
      <w:sz w:val="16"/>
      <w:szCs w:val="16"/>
      <w:lang w:val="nl-BE"/>
    </w:rPr>
  </w:style>
  <w:style w:type="paragraph" w:customStyle="1" w:styleId="BodySciensano">
    <w:name w:val="Body Sciensano"/>
    <w:basedOn w:val="Normal"/>
    <w:qFormat/>
    <w:rsid w:val="009F3684"/>
    <w:pPr>
      <w:contextualSpacing/>
    </w:pPr>
  </w:style>
  <w:style w:type="paragraph" w:customStyle="1" w:styleId="BodyStrongSciensano">
    <w:name w:val="BodyStrong Sciensano"/>
    <w:basedOn w:val="Normal"/>
    <w:link w:val="BodyStrongSciensanoChar"/>
    <w:uiPriority w:val="17"/>
    <w:qFormat/>
    <w:rsid w:val="00D2082B"/>
    <w:pPr>
      <w:contextualSpacing/>
    </w:pPr>
    <w:rPr>
      <w:b/>
    </w:rPr>
  </w:style>
  <w:style w:type="character" w:customStyle="1" w:styleId="BodyStrongSciensanoChar">
    <w:name w:val="BodyStrong Sciensano Char"/>
    <w:basedOn w:val="DefaultParagraphFont"/>
    <w:link w:val="BodyStrongSciensano"/>
    <w:uiPriority w:val="17"/>
    <w:rsid w:val="004C0852"/>
    <w:rPr>
      <w:b/>
      <w:lang w:val="nl-BE"/>
    </w:rPr>
  </w:style>
  <w:style w:type="character" w:styleId="BookTitle">
    <w:name w:val="Book Title"/>
    <w:basedOn w:val="DefaultParagraphFont"/>
    <w:uiPriority w:val="33"/>
    <w:qFormat/>
    <w:rsid w:val="006510FA"/>
    <w:rPr>
      <w:b/>
      <w:bCs/>
      <w:smallCaps/>
      <w:spacing w:val="5"/>
      <w:lang w:val="nl-BE"/>
    </w:rPr>
  </w:style>
  <w:style w:type="paragraph" w:styleId="Caption">
    <w:name w:val="caption"/>
    <w:aliases w:val="Caption Sciensano"/>
    <w:basedOn w:val="Normal"/>
    <w:next w:val="BodySciensano"/>
    <w:uiPriority w:val="19"/>
    <w:qFormat/>
    <w:rsid w:val="00B03613"/>
    <w:pPr>
      <w:suppressAutoHyphens/>
      <w:contextualSpacing/>
    </w:pPr>
    <w:rPr>
      <w:b/>
      <w:bCs/>
      <w:color w:val="3AAA35"/>
      <w:szCs w:val="18"/>
    </w:rPr>
  </w:style>
  <w:style w:type="paragraph" w:styleId="Footer">
    <w:name w:val="footer"/>
    <w:basedOn w:val="Normal"/>
    <w:link w:val="FooterChar"/>
    <w:uiPriority w:val="99"/>
    <w:rsid w:val="00422096"/>
    <w:pPr>
      <w:tabs>
        <w:tab w:val="center" w:pos="4513"/>
        <w:tab w:val="right" w:pos="9026"/>
      </w:tabs>
      <w:spacing w:line="240" w:lineRule="auto"/>
      <w:contextualSpacing/>
    </w:pPr>
  </w:style>
  <w:style w:type="character" w:customStyle="1" w:styleId="FooterChar">
    <w:name w:val="Footer Char"/>
    <w:basedOn w:val="DefaultParagraphFont"/>
    <w:link w:val="Footer"/>
    <w:uiPriority w:val="99"/>
    <w:rsid w:val="00422096"/>
    <w:rPr>
      <w:lang w:val="nl-BE"/>
    </w:rPr>
  </w:style>
  <w:style w:type="character" w:styleId="FootnoteReference">
    <w:name w:val="footnote reference"/>
    <w:aliases w:val="Footnote Reference Sciensano"/>
    <w:basedOn w:val="DefaultParagraphFont"/>
    <w:uiPriority w:val="18"/>
    <w:rsid w:val="00DF1C3C"/>
    <w:rPr>
      <w:rFonts w:ascii="Arial" w:hAnsi="Arial"/>
      <w:color w:val="3AAA35"/>
      <w:sz w:val="17"/>
      <w:vertAlign w:val="superscript"/>
      <w:lang w:val="nl-BE"/>
    </w:rPr>
  </w:style>
  <w:style w:type="paragraph" w:styleId="FootnoteText">
    <w:name w:val="footnote text"/>
    <w:aliases w:val="Footnote Text Sciensano"/>
    <w:basedOn w:val="Normal"/>
    <w:link w:val="FootnoteTextChar"/>
    <w:uiPriority w:val="18"/>
    <w:rsid w:val="00D2082B"/>
    <w:pPr>
      <w:suppressAutoHyphens/>
      <w:spacing w:line="240" w:lineRule="auto"/>
      <w:contextualSpacing/>
    </w:pPr>
    <w:rPr>
      <w:sz w:val="17"/>
      <w:szCs w:val="20"/>
    </w:rPr>
  </w:style>
  <w:style w:type="character" w:customStyle="1" w:styleId="FootnoteTextChar">
    <w:name w:val="Footnote Text Char"/>
    <w:aliases w:val="Footnote Text Sciensano Char"/>
    <w:basedOn w:val="DefaultParagraphFont"/>
    <w:link w:val="FootnoteText"/>
    <w:uiPriority w:val="18"/>
    <w:rsid w:val="004C0852"/>
    <w:rPr>
      <w:sz w:val="17"/>
      <w:szCs w:val="20"/>
      <w:lang w:val="nl-BE"/>
    </w:rPr>
  </w:style>
  <w:style w:type="table" w:customStyle="1" w:styleId="TableGridLight1">
    <w:name w:val="Table Grid Light1"/>
    <w:basedOn w:val="TableNormal"/>
    <w:uiPriority w:val="40"/>
    <w:rsid w:val="0076109F"/>
    <w:pPr>
      <w:spacing w:line="240" w:lineRule="auto"/>
    </w:pPr>
    <w:tblPr>
      <w:tblBorders>
        <w:top w:val="single" w:sz="4" w:space="0" w:color="7B7B7B" w:themeColor="background1" w:themeShade="BF"/>
        <w:left w:val="single" w:sz="4" w:space="0" w:color="7B7B7B" w:themeColor="background1" w:themeShade="BF"/>
        <w:bottom w:val="single" w:sz="4" w:space="0" w:color="7B7B7B" w:themeColor="background1" w:themeShade="BF"/>
        <w:right w:val="single" w:sz="4" w:space="0" w:color="7B7B7B" w:themeColor="background1" w:themeShade="BF"/>
        <w:insideH w:val="single" w:sz="4" w:space="0" w:color="7B7B7B" w:themeColor="background1" w:themeShade="BF"/>
        <w:insideV w:val="single" w:sz="4" w:space="0" w:color="7B7B7B" w:themeColor="background1" w:themeShade="BF"/>
      </w:tblBorders>
    </w:tblPr>
  </w:style>
  <w:style w:type="paragraph" w:styleId="Header">
    <w:name w:val="header"/>
    <w:basedOn w:val="Normal"/>
    <w:link w:val="HeaderChar"/>
    <w:uiPriority w:val="99"/>
    <w:unhideWhenUsed/>
    <w:rsid w:val="00344B2E"/>
    <w:pPr>
      <w:tabs>
        <w:tab w:val="center" w:pos="4513"/>
        <w:tab w:val="right" w:pos="9026"/>
      </w:tabs>
      <w:spacing w:line="240" w:lineRule="auto"/>
      <w:contextualSpacing/>
    </w:pPr>
  </w:style>
  <w:style w:type="character" w:customStyle="1" w:styleId="HeaderChar">
    <w:name w:val="Header Char"/>
    <w:basedOn w:val="DefaultParagraphFont"/>
    <w:link w:val="Header"/>
    <w:uiPriority w:val="99"/>
    <w:rsid w:val="00344B2E"/>
    <w:rPr>
      <w:lang w:val="nl-BE"/>
    </w:rPr>
  </w:style>
  <w:style w:type="character" w:customStyle="1" w:styleId="Heading1Char">
    <w:name w:val="Heading 1 Char"/>
    <w:aliases w:val="T1 Sciensano Char,T1 Char"/>
    <w:basedOn w:val="DefaultParagraphFont"/>
    <w:link w:val="Heading1"/>
    <w:uiPriority w:val="9"/>
    <w:rsid w:val="00816CDA"/>
    <w:rPr>
      <w:rFonts w:eastAsiaTheme="majorEastAsia" w:cstheme="majorBidi"/>
      <w:b/>
      <w:bCs/>
      <w:caps/>
      <w:color w:val="3AAA35"/>
      <w:spacing w:val="20"/>
      <w:sz w:val="40"/>
      <w:szCs w:val="28"/>
      <w:lang w:val="nl-BE"/>
    </w:rPr>
  </w:style>
  <w:style w:type="character" w:customStyle="1" w:styleId="Heading2Char">
    <w:name w:val="Heading 2 Char"/>
    <w:aliases w:val="T2 Sciensano Char,T2 Char"/>
    <w:basedOn w:val="DefaultParagraphFont"/>
    <w:link w:val="Heading2"/>
    <w:uiPriority w:val="9"/>
    <w:rsid w:val="006A2B32"/>
    <w:rPr>
      <w:rFonts w:eastAsiaTheme="majorEastAsia" w:cstheme="majorBidi"/>
      <w:b/>
      <w:bCs/>
      <w:color w:val="BCCF00"/>
      <w:spacing w:val="20"/>
      <w:sz w:val="36"/>
      <w:szCs w:val="26"/>
      <w:lang w:val="nl-BE"/>
    </w:rPr>
  </w:style>
  <w:style w:type="character" w:customStyle="1" w:styleId="Heading3Char">
    <w:name w:val="Heading 3 Char"/>
    <w:aliases w:val="T3 Sciensano Char,T3 Char"/>
    <w:basedOn w:val="DefaultParagraphFont"/>
    <w:link w:val="Heading3"/>
    <w:uiPriority w:val="9"/>
    <w:rsid w:val="00B60D92"/>
    <w:rPr>
      <w:rFonts w:eastAsiaTheme="majorEastAsia" w:cstheme="majorBidi"/>
      <w:b/>
      <w:bCs/>
      <w:caps/>
      <w:color w:val="3AAA35"/>
      <w:lang w:val="nl-BE"/>
    </w:rPr>
  </w:style>
  <w:style w:type="character" w:customStyle="1" w:styleId="Heading4Char">
    <w:name w:val="Heading 4 Char"/>
    <w:aliases w:val="T4 Sciensano Char,T4 Char"/>
    <w:basedOn w:val="DefaultParagraphFont"/>
    <w:link w:val="Heading4"/>
    <w:uiPriority w:val="9"/>
    <w:rsid w:val="002C71DA"/>
    <w:rPr>
      <w:rFonts w:eastAsiaTheme="majorEastAsia" w:cstheme="majorBidi"/>
      <w:b/>
      <w:bCs/>
      <w:iCs/>
      <w:color w:val="BCCF00"/>
      <w:lang w:val="nl-BE"/>
    </w:rPr>
  </w:style>
  <w:style w:type="character" w:customStyle="1" w:styleId="Heading5Char">
    <w:name w:val="Heading 5 Char"/>
    <w:aliases w:val="T5 Sciensano Char,T5 Char"/>
    <w:basedOn w:val="DefaultParagraphFont"/>
    <w:link w:val="Heading5"/>
    <w:uiPriority w:val="9"/>
    <w:rsid w:val="002C71DA"/>
    <w:rPr>
      <w:rFonts w:eastAsiaTheme="majorEastAsia" w:cstheme="majorBidi"/>
      <w:b/>
      <w:color w:val="006633"/>
      <w:lang w:val="nl-BE"/>
    </w:rPr>
  </w:style>
  <w:style w:type="paragraph" w:customStyle="1" w:styleId="HeadingT2hyphen">
    <w:name w:val="Heading T2 hyphen"/>
    <w:basedOn w:val="Normal"/>
    <w:uiPriority w:val="9"/>
    <w:qFormat/>
    <w:rsid w:val="00A22015"/>
    <w:pPr>
      <w:spacing w:after="360"/>
      <w:contextualSpacing/>
      <w:jc w:val="center"/>
    </w:pPr>
    <w:rPr>
      <w:b/>
      <w:caps/>
      <w:color w:val="BCCF00"/>
      <w:sz w:val="36"/>
    </w:rPr>
  </w:style>
  <w:style w:type="character" w:styleId="Hyperlink">
    <w:name w:val="Hyperlink"/>
    <w:basedOn w:val="DefaultParagraphFont"/>
    <w:uiPriority w:val="99"/>
    <w:unhideWhenUsed/>
    <w:rsid w:val="00811DF0"/>
    <w:rPr>
      <w:color w:val="58595B" w:themeColor="hyperlink"/>
      <w:u w:val="single"/>
      <w:lang w:val="nl-BE"/>
    </w:rPr>
  </w:style>
  <w:style w:type="paragraph" w:styleId="ListBullet">
    <w:name w:val="List Bullet"/>
    <w:aliases w:val="Bullet level 1 Sciensano"/>
    <w:basedOn w:val="Normal"/>
    <w:uiPriority w:val="10"/>
    <w:qFormat/>
    <w:rsid w:val="003023F0"/>
    <w:pPr>
      <w:numPr>
        <w:numId w:val="1"/>
      </w:numPr>
    </w:pPr>
  </w:style>
  <w:style w:type="paragraph" w:styleId="ListBullet2">
    <w:name w:val="List Bullet 2"/>
    <w:aliases w:val="Bullet level 2 Sciensano"/>
    <w:basedOn w:val="Normal"/>
    <w:uiPriority w:val="10"/>
    <w:rsid w:val="003023F0"/>
    <w:pPr>
      <w:numPr>
        <w:ilvl w:val="1"/>
        <w:numId w:val="1"/>
      </w:numPr>
    </w:pPr>
  </w:style>
  <w:style w:type="paragraph" w:styleId="ListBullet3">
    <w:name w:val="List Bullet 3"/>
    <w:aliases w:val="Bullet level 3 Sciensano"/>
    <w:basedOn w:val="Normal"/>
    <w:uiPriority w:val="10"/>
    <w:rsid w:val="003023F0"/>
    <w:pPr>
      <w:numPr>
        <w:ilvl w:val="2"/>
        <w:numId w:val="1"/>
      </w:numPr>
      <w:contextualSpacing/>
    </w:pPr>
  </w:style>
  <w:style w:type="paragraph" w:styleId="ListNumber">
    <w:name w:val="List Number"/>
    <w:aliases w:val="Numbering level 1 Sciensano"/>
    <w:basedOn w:val="Normal"/>
    <w:uiPriority w:val="12"/>
    <w:rsid w:val="00571889"/>
    <w:pPr>
      <w:numPr>
        <w:numId w:val="5"/>
      </w:numPr>
    </w:pPr>
  </w:style>
  <w:style w:type="paragraph" w:styleId="ListNumber2">
    <w:name w:val="List Number 2"/>
    <w:aliases w:val="Numbering level 2 Sciensano"/>
    <w:basedOn w:val="Normal"/>
    <w:uiPriority w:val="13"/>
    <w:rsid w:val="00571889"/>
    <w:pPr>
      <w:numPr>
        <w:ilvl w:val="1"/>
        <w:numId w:val="5"/>
      </w:numPr>
    </w:pPr>
  </w:style>
  <w:style w:type="paragraph" w:styleId="ListNumber3">
    <w:name w:val="List Number 3"/>
    <w:aliases w:val="Numbering level 3 Sciensano"/>
    <w:basedOn w:val="Normal"/>
    <w:uiPriority w:val="13"/>
    <w:rsid w:val="00571889"/>
    <w:pPr>
      <w:numPr>
        <w:ilvl w:val="2"/>
        <w:numId w:val="5"/>
      </w:numPr>
    </w:pPr>
  </w:style>
  <w:style w:type="paragraph" w:styleId="ListParagraph">
    <w:name w:val="List Paragraph"/>
    <w:basedOn w:val="Normal"/>
    <w:uiPriority w:val="34"/>
    <w:qFormat/>
    <w:rsid w:val="009B622A"/>
    <w:pPr>
      <w:ind w:left="720"/>
      <w:contextualSpacing/>
    </w:pPr>
  </w:style>
  <w:style w:type="paragraph" w:styleId="NormalWeb">
    <w:name w:val="Normal (Web)"/>
    <w:basedOn w:val="Normal"/>
    <w:uiPriority w:val="99"/>
    <w:semiHidden/>
    <w:unhideWhenUsed/>
    <w:rsid w:val="00AB4A38"/>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PlaceholderText">
    <w:name w:val="Placeholder Text"/>
    <w:basedOn w:val="DefaultParagraphFont"/>
    <w:uiPriority w:val="99"/>
    <w:semiHidden/>
    <w:rsid w:val="0084062F"/>
    <w:rPr>
      <w:color w:val="808080"/>
      <w:lang w:val="nl-BE"/>
    </w:rPr>
  </w:style>
  <w:style w:type="paragraph" w:customStyle="1" w:styleId="AddressSciensano">
    <w:name w:val="Address Sciensano"/>
    <w:basedOn w:val="Normal"/>
    <w:uiPriority w:val="14"/>
    <w:qFormat/>
    <w:rsid w:val="00F77B99"/>
    <w:pPr>
      <w:tabs>
        <w:tab w:val="left" w:pos="5103"/>
      </w:tabs>
      <w:spacing w:after="120" w:line="240" w:lineRule="auto"/>
      <w:contextualSpacing/>
    </w:pPr>
  </w:style>
  <w:style w:type="numbering" w:customStyle="1" w:styleId="SciensanoListBullets">
    <w:name w:val="Sciensano List Bullets"/>
    <w:uiPriority w:val="99"/>
    <w:rsid w:val="003023F0"/>
    <w:pPr>
      <w:numPr>
        <w:numId w:val="1"/>
      </w:numPr>
    </w:pPr>
  </w:style>
  <w:style w:type="numbering" w:customStyle="1" w:styleId="SciensanoListNumber">
    <w:name w:val="Sciensano List Number"/>
    <w:uiPriority w:val="99"/>
    <w:rsid w:val="00D43E8D"/>
  </w:style>
  <w:style w:type="table" w:customStyle="1" w:styleId="SciensanoTable">
    <w:name w:val="Sciensano Table"/>
    <w:basedOn w:val="TableNormal"/>
    <w:uiPriority w:val="99"/>
    <w:rsid w:val="007733FA"/>
    <w:pPr>
      <w:spacing w:line="240" w:lineRule="auto"/>
      <w:jc w:val="center"/>
    </w:pPr>
    <w:tblPr>
      <w:tblStyleRowBandSize w:val="1"/>
      <w:tblBorders>
        <w:insideH w:val="single" w:sz="4" w:space="0" w:color="BCCF00"/>
      </w:tblBorders>
    </w:tblPr>
    <w:tblStylePr w:type="firstRow">
      <w:rPr>
        <w:rFonts w:ascii="Arial" w:hAnsi="Arial"/>
        <w:b/>
        <w:color w:val="FFFFFF"/>
        <w:sz w:val="20"/>
      </w:rPr>
      <w:tblPr/>
      <w:tcPr>
        <w:shd w:val="clear" w:color="auto" w:fill="3AAA35"/>
      </w:tcPr>
    </w:tblStylePr>
    <w:tblStylePr w:type="lastRow">
      <w:rPr>
        <w:rFonts w:ascii="Arial" w:hAnsi="Arial"/>
        <w:b w:val="0"/>
        <w:i w:val="0"/>
        <w:caps/>
        <w:smallCaps w:val="0"/>
        <w:color w:val="58595B"/>
        <w:sz w:val="20"/>
      </w:rPr>
      <w:tblPr/>
      <w:tcPr>
        <w:shd w:val="clear" w:color="auto" w:fill="BCCF00"/>
      </w:tcPr>
    </w:tblStylePr>
    <w:tblStylePr w:type="firstCol">
      <w:pPr>
        <w:wordWrap/>
        <w:jc w:val="left"/>
      </w:pPr>
    </w:tblStylePr>
    <w:tblStylePr w:type="band1Horz">
      <w:rPr>
        <w:rFonts w:ascii="Arial" w:hAnsi="Arial"/>
        <w:color w:val="58595B"/>
        <w:sz w:val="20"/>
      </w:rPr>
    </w:tblStylePr>
    <w:tblStylePr w:type="band2Horz">
      <w:rPr>
        <w:rFonts w:ascii="Arial" w:hAnsi="Arial"/>
        <w:color w:val="58595B"/>
      </w:rPr>
    </w:tblStylePr>
  </w:style>
  <w:style w:type="paragraph" w:customStyle="1" w:styleId="TableHeaderStyleSciensano">
    <w:name w:val="Table Header Style Sciensano"/>
    <w:basedOn w:val="Normal"/>
    <w:uiPriority w:val="16"/>
    <w:qFormat/>
    <w:rsid w:val="00421CB1"/>
    <w:pPr>
      <w:suppressAutoHyphens/>
      <w:spacing w:line="240" w:lineRule="auto"/>
      <w:contextualSpacing/>
    </w:pPr>
    <w:rPr>
      <w:b/>
      <w:color w:val="A5A5A5" w:themeColor="background1"/>
    </w:rPr>
  </w:style>
  <w:style w:type="numbering" w:customStyle="1" w:styleId="ScienscanoListNumbers">
    <w:name w:val="Scienscano List Numbers"/>
    <w:uiPriority w:val="99"/>
    <w:rsid w:val="00571889"/>
    <w:pPr>
      <w:numPr>
        <w:numId w:val="2"/>
      </w:numPr>
    </w:pPr>
  </w:style>
  <w:style w:type="table" w:styleId="TableGrid">
    <w:name w:val="Table Grid"/>
    <w:basedOn w:val="TableNormal"/>
    <w:uiPriority w:val="59"/>
    <w:rsid w:val="009600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BodySciensano"/>
    <w:uiPriority w:val="99"/>
    <w:unhideWhenUsed/>
    <w:rsid w:val="009528F7"/>
    <w:pPr>
      <w:suppressAutoHyphens/>
      <w:ind w:right="567"/>
      <w:contextualSpacing/>
    </w:pPr>
    <w:rPr>
      <w:sz w:val="18"/>
    </w:rPr>
  </w:style>
  <w:style w:type="paragraph" w:styleId="Title">
    <w:name w:val="Title"/>
    <w:basedOn w:val="Normal"/>
    <w:next w:val="Normal"/>
    <w:link w:val="TitleChar"/>
    <w:uiPriority w:val="19"/>
    <w:unhideWhenUsed/>
    <w:qFormat/>
    <w:rsid w:val="00CD10C1"/>
    <w:pPr>
      <w:pBdr>
        <w:bottom w:val="single" w:sz="8" w:space="4" w:color="3AAA35" w:themeColor="accent1"/>
      </w:pBdr>
      <w:spacing w:after="300" w:line="240" w:lineRule="auto"/>
      <w:contextualSpacing/>
    </w:pPr>
    <w:rPr>
      <w:rFonts w:asciiTheme="majorHAnsi" w:eastAsiaTheme="majorEastAsia" w:hAnsiTheme="majorHAnsi" w:cstheme="majorBidi"/>
      <w:color w:val="004C26" w:themeColor="text2" w:themeShade="BF"/>
      <w:spacing w:val="5"/>
      <w:kern w:val="28"/>
      <w:sz w:val="52"/>
      <w:szCs w:val="52"/>
    </w:rPr>
  </w:style>
  <w:style w:type="character" w:customStyle="1" w:styleId="TitleChar">
    <w:name w:val="Title Char"/>
    <w:basedOn w:val="DefaultParagraphFont"/>
    <w:link w:val="Title"/>
    <w:uiPriority w:val="19"/>
    <w:rsid w:val="006C03D5"/>
    <w:rPr>
      <w:rFonts w:asciiTheme="majorHAnsi" w:eastAsiaTheme="majorEastAsia" w:hAnsiTheme="majorHAnsi" w:cstheme="majorBidi"/>
      <w:color w:val="004C26" w:themeColor="text2" w:themeShade="BF"/>
      <w:spacing w:val="5"/>
      <w:kern w:val="28"/>
      <w:sz w:val="52"/>
      <w:szCs w:val="52"/>
      <w:lang w:val="nl-BE"/>
    </w:rPr>
  </w:style>
  <w:style w:type="paragraph" w:styleId="TOC1">
    <w:name w:val="toc 1"/>
    <w:basedOn w:val="Normal"/>
    <w:next w:val="BodySciensano"/>
    <w:autoRedefine/>
    <w:uiPriority w:val="39"/>
    <w:rsid w:val="00F45F34"/>
    <w:pPr>
      <w:tabs>
        <w:tab w:val="right" w:leader="dot" w:pos="9016"/>
      </w:tabs>
      <w:suppressAutoHyphens/>
      <w:ind w:right="454"/>
      <w:contextualSpacing/>
    </w:pPr>
    <w:rPr>
      <w:b/>
      <w:caps/>
      <w:color w:val="3AAA35"/>
      <w:sz w:val="18"/>
    </w:rPr>
  </w:style>
  <w:style w:type="paragraph" w:styleId="TOC2">
    <w:name w:val="toc 2"/>
    <w:basedOn w:val="Normal"/>
    <w:next w:val="BodySciensano"/>
    <w:autoRedefine/>
    <w:uiPriority w:val="39"/>
    <w:rsid w:val="00FD2969"/>
    <w:pPr>
      <w:tabs>
        <w:tab w:val="right" w:leader="dot" w:pos="9016"/>
      </w:tabs>
      <w:suppressAutoHyphens/>
      <w:spacing w:before="60"/>
      <w:ind w:left="170" w:right="454"/>
      <w:contextualSpacing/>
    </w:pPr>
    <w:rPr>
      <w:b/>
      <w:noProof/>
      <w:sz w:val="18"/>
    </w:rPr>
  </w:style>
  <w:style w:type="paragraph" w:styleId="TOC3">
    <w:name w:val="toc 3"/>
    <w:basedOn w:val="Normal"/>
    <w:next w:val="BodySciensano"/>
    <w:autoRedefine/>
    <w:uiPriority w:val="39"/>
    <w:rsid w:val="00F45F34"/>
    <w:pPr>
      <w:tabs>
        <w:tab w:val="right" w:leader="dot" w:pos="9016"/>
      </w:tabs>
      <w:suppressAutoHyphens/>
      <w:ind w:left="340" w:right="454"/>
      <w:contextualSpacing/>
    </w:pPr>
    <w:rPr>
      <w:noProof/>
      <w:sz w:val="18"/>
    </w:rPr>
  </w:style>
  <w:style w:type="paragraph" w:styleId="TOCHeading">
    <w:name w:val="TOC Heading"/>
    <w:basedOn w:val="Heading1"/>
    <w:next w:val="BodySciensano"/>
    <w:uiPriority w:val="39"/>
    <w:qFormat/>
    <w:rsid w:val="00CF2431"/>
    <w:pPr>
      <w:numPr>
        <w:numId w:val="0"/>
      </w:numPr>
      <w:spacing w:before="480"/>
      <w:contextualSpacing w:val="0"/>
      <w:outlineLvl w:val="9"/>
    </w:pPr>
    <w:rPr>
      <w:lang w:eastAsia="ja-JP"/>
    </w:rPr>
  </w:style>
  <w:style w:type="paragraph" w:styleId="EndnoteText">
    <w:name w:val="endnote text"/>
    <w:aliases w:val="Endnote Text Sciensano"/>
    <w:basedOn w:val="Normal"/>
    <w:link w:val="EndnoteTextChar"/>
    <w:uiPriority w:val="18"/>
    <w:rsid w:val="00370383"/>
    <w:pPr>
      <w:spacing w:line="240" w:lineRule="auto"/>
    </w:pPr>
    <w:rPr>
      <w:sz w:val="17"/>
      <w:szCs w:val="20"/>
    </w:rPr>
  </w:style>
  <w:style w:type="character" w:customStyle="1" w:styleId="EndnoteTextChar">
    <w:name w:val="Endnote Text Char"/>
    <w:aliases w:val="Endnote Text Sciensano Char"/>
    <w:basedOn w:val="DefaultParagraphFont"/>
    <w:link w:val="EndnoteText"/>
    <w:uiPriority w:val="18"/>
    <w:rsid w:val="004C0852"/>
    <w:rPr>
      <w:sz w:val="17"/>
      <w:szCs w:val="20"/>
      <w:lang w:val="nl-BE"/>
    </w:rPr>
  </w:style>
  <w:style w:type="character" w:styleId="EndnoteReference">
    <w:name w:val="endnote reference"/>
    <w:basedOn w:val="DefaultParagraphFont"/>
    <w:uiPriority w:val="18"/>
    <w:semiHidden/>
    <w:rsid w:val="00E173E9"/>
    <w:rPr>
      <w:vertAlign w:val="superscript"/>
      <w:lang w:val="nl-BE"/>
    </w:rPr>
  </w:style>
  <w:style w:type="paragraph" w:styleId="NoSpacing">
    <w:name w:val="No Spacing"/>
    <w:uiPriority w:val="17"/>
    <w:semiHidden/>
    <w:qFormat/>
    <w:rsid w:val="00034DE5"/>
    <w:pPr>
      <w:spacing w:line="240" w:lineRule="auto"/>
    </w:pPr>
  </w:style>
  <w:style w:type="character" w:styleId="SubtleEmphasis">
    <w:name w:val="Subtle Emphasis"/>
    <w:basedOn w:val="DefaultParagraphFont"/>
    <w:uiPriority w:val="19"/>
    <w:qFormat/>
    <w:rsid w:val="00034DE5"/>
    <w:rPr>
      <w:i/>
      <w:iCs/>
      <w:color w:val="ABACAE" w:themeColor="text1" w:themeTint="7F"/>
      <w:lang w:val="nl-BE"/>
    </w:rPr>
  </w:style>
  <w:style w:type="paragraph" w:customStyle="1" w:styleId="HeadingT2HyphenNoSpacing">
    <w:name w:val="Heading T2 Hyphen No Spacing"/>
    <w:basedOn w:val="HeadingT2hyphen"/>
    <w:next w:val="BodySciensano"/>
    <w:qFormat/>
    <w:rsid w:val="00891126"/>
    <w:pPr>
      <w:spacing w:after="0"/>
    </w:pPr>
  </w:style>
  <w:style w:type="paragraph" w:customStyle="1" w:styleId="ChapterHeaderSciensano">
    <w:name w:val="Chapter Header Sciensano"/>
    <w:basedOn w:val="BodySciensano"/>
    <w:uiPriority w:val="14"/>
    <w:qFormat/>
    <w:rsid w:val="009D2953"/>
    <w:pPr>
      <w:jc w:val="center"/>
    </w:pPr>
    <w:rPr>
      <w:caps/>
      <w:color w:val="A5A5A5"/>
    </w:rPr>
  </w:style>
  <w:style w:type="paragraph" w:customStyle="1" w:styleId="AbbreviationsSciensano">
    <w:name w:val="Abbreviations Sciensano"/>
    <w:basedOn w:val="BodySciensano"/>
    <w:next w:val="BodySciensano"/>
    <w:uiPriority w:val="17"/>
    <w:qFormat/>
    <w:rsid w:val="00B36DA1"/>
    <w:rPr>
      <w:b/>
      <w:color w:val="3AAA35"/>
    </w:rPr>
  </w:style>
  <w:style w:type="paragraph" w:customStyle="1" w:styleId="CaptionAnnexesSciensano">
    <w:name w:val="Caption Annexes Sciensano"/>
    <w:basedOn w:val="Caption"/>
    <w:next w:val="BodySciensano"/>
    <w:uiPriority w:val="19"/>
    <w:qFormat/>
    <w:rsid w:val="004E4ECF"/>
    <w:pPr>
      <w:jc w:val="center"/>
    </w:pPr>
  </w:style>
  <w:style w:type="paragraph" w:styleId="Bibliography">
    <w:name w:val="Bibliography"/>
    <w:basedOn w:val="Normal"/>
    <w:next w:val="Normal"/>
    <w:uiPriority w:val="37"/>
    <w:unhideWhenUsed/>
    <w:rsid w:val="00901205"/>
    <w:pPr>
      <w:tabs>
        <w:tab w:val="left" w:pos="264"/>
      </w:tabs>
      <w:spacing w:after="240" w:line="240" w:lineRule="auto"/>
      <w:ind w:left="264" w:hanging="264"/>
    </w:pPr>
  </w:style>
  <w:style w:type="paragraph" w:styleId="BlockText">
    <w:name w:val="Block Text"/>
    <w:basedOn w:val="Normal"/>
    <w:uiPriority w:val="99"/>
    <w:semiHidden/>
    <w:unhideWhenUsed/>
    <w:rsid w:val="00901205"/>
    <w:pPr>
      <w:pBdr>
        <w:top w:val="single" w:sz="2" w:space="10" w:color="3AAA35" w:themeColor="accent1" w:shadow="1" w:frame="1"/>
        <w:left w:val="single" w:sz="2" w:space="10" w:color="3AAA35" w:themeColor="accent1" w:shadow="1" w:frame="1"/>
        <w:bottom w:val="single" w:sz="2" w:space="10" w:color="3AAA35" w:themeColor="accent1" w:shadow="1" w:frame="1"/>
        <w:right w:val="single" w:sz="2" w:space="10" w:color="3AAA35" w:themeColor="accent1" w:shadow="1" w:frame="1"/>
      </w:pBdr>
      <w:ind w:left="1152" w:right="1152"/>
    </w:pPr>
    <w:rPr>
      <w:rFonts w:eastAsiaTheme="minorEastAsia"/>
      <w:i/>
      <w:iCs/>
      <w:color w:val="3AAA35" w:themeColor="accent1"/>
    </w:rPr>
  </w:style>
  <w:style w:type="paragraph" w:styleId="BodyText">
    <w:name w:val="Body Text"/>
    <w:basedOn w:val="Normal"/>
    <w:link w:val="BodyTextChar"/>
    <w:uiPriority w:val="99"/>
    <w:semiHidden/>
    <w:unhideWhenUsed/>
    <w:rsid w:val="00901205"/>
    <w:pPr>
      <w:spacing w:after="120"/>
    </w:pPr>
  </w:style>
  <w:style w:type="character" w:customStyle="1" w:styleId="BodyTextChar">
    <w:name w:val="Body Text Char"/>
    <w:basedOn w:val="DefaultParagraphFont"/>
    <w:link w:val="BodyText"/>
    <w:uiPriority w:val="99"/>
    <w:semiHidden/>
    <w:rsid w:val="00901205"/>
    <w:rPr>
      <w:lang w:val="nl-BE"/>
    </w:rPr>
  </w:style>
  <w:style w:type="paragraph" w:styleId="BodyText2">
    <w:name w:val="Body Text 2"/>
    <w:basedOn w:val="Normal"/>
    <w:link w:val="BodyText2Char"/>
    <w:uiPriority w:val="99"/>
    <w:semiHidden/>
    <w:unhideWhenUsed/>
    <w:rsid w:val="00901205"/>
    <w:pPr>
      <w:spacing w:after="120" w:line="480" w:lineRule="auto"/>
    </w:pPr>
  </w:style>
  <w:style w:type="character" w:customStyle="1" w:styleId="BodyText2Char">
    <w:name w:val="Body Text 2 Char"/>
    <w:basedOn w:val="DefaultParagraphFont"/>
    <w:link w:val="BodyText2"/>
    <w:uiPriority w:val="99"/>
    <w:semiHidden/>
    <w:rsid w:val="00901205"/>
    <w:rPr>
      <w:lang w:val="nl-BE"/>
    </w:rPr>
  </w:style>
  <w:style w:type="paragraph" w:styleId="BodyText3">
    <w:name w:val="Body Text 3"/>
    <w:basedOn w:val="Normal"/>
    <w:link w:val="BodyText3Char"/>
    <w:uiPriority w:val="99"/>
    <w:semiHidden/>
    <w:unhideWhenUsed/>
    <w:rsid w:val="00901205"/>
    <w:pPr>
      <w:spacing w:after="120"/>
    </w:pPr>
    <w:rPr>
      <w:sz w:val="16"/>
      <w:szCs w:val="16"/>
    </w:rPr>
  </w:style>
  <w:style w:type="character" w:customStyle="1" w:styleId="BodyText3Char">
    <w:name w:val="Body Text 3 Char"/>
    <w:basedOn w:val="DefaultParagraphFont"/>
    <w:link w:val="BodyText3"/>
    <w:uiPriority w:val="99"/>
    <w:semiHidden/>
    <w:rsid w:val="00901205"/>
    <w:rPr>
      <w:sz w:val="16"/>
      <w:szCs w:val="16"/>
      <w:lang w:val="nl-BE"/>
    </w:rPr>
  </w:style>
  <w:style w:type="paragraph" w:styleId="BodyTextFirstIndent">
    <w:name w:val="Body Text First Indent"/>
    <w:basedOn w:val="BodyText"/>
    <w:link w:val="BodyTextFirstIndentChar"/>
    <w:uiPriority w:val="99"/>
    <w:semiHidden/>
    <w:unhideWhenUsed/>
    <w:rsid w:val="00901205"/>
    <w:pPr>
      <w:spacing w:after="0"/>
      <w:ind w:firstLine="360"/>
    </w:pPr>
  </w:style>
  <w:style w:type="character" w:customStyle="1" w:styleId="BodyTextFirstIndentChar">
    <w:name w:val="Body Text First Indent Char"/>
    <w:basedOn w:val="BodyTextChar"/>
    <w:link w:val="BodyTextFirstIndent"/>
    <w:uiPriority w:val="99"/>
    <w:semiHidden/>
    <w:rsid w:val="00901205"/>
    <w:rPr>
      <w:lang w:val="nl-BE"/>
    </w:rPr>
  </w:style>
  <w:style w:type="paragraph" w:styleId="BodyTextIndent">
    <w:name w:val="Body Text Indent"/>
    <w:basedOn w:val="Normal"/>
    <w:link w:val="BodyTextIndentChar"/>
    <w:uiPriority w:val="99"/>
    <w:semiHidden/>
    <w:unhideWhenUsed/>
    <w:rsid w:val="00901205"/>
    <w:pPr>
      <w:spacing w:after="120"/>
      <w:ind w:left="283"/>
    </w:pPr>
  </w:style>
  <w:style w:type="character" w:customStyle="1" w:styleId="BodyTextIndentChar">
    <w:name w:val="Body Text Indent Char"/>
    <w:basedOn w:val="DefaultParagraphFont"/>
    <w:link w:val="BodyTextIndent"/>
    <w:uiPriority w:val="99"/>
    <w:semiHidden/>
    <w:rsid w:val="00901205"/>
    <w:rPr>
      <w:lang w:val="nl-BE"/>
    </w:rPr>
  </w:style>
  <w:style w:type="paragraph" w:styleId="BodyTextFirstIndent2">
    <w:name w:val="Body Text First Indent 2"/>
    <w:basedOn w:val="BodyTextIndent"/>
    <w:link w:val="BodyTextFirstIndent2Char"/>
    <w:uiPriority w:val="99"/>
    <w:semiHidden/>
    <w:unhideWhenUsed/>
    <w:rsid w:val="00901205"/>
    <w:pPr>
      <w:spacing w:after="0"/>
      <w:ind w:left="360" w:firstLine="360"/>
    </w:pPr>
  </w:style>
  <w:style w:type="character" w:customStyle="1" w:styleId="BodyTextFirstIndent2Char">
    <w:name w:val="Body Text First Indent 2 Char"/>
    <w:basedOn w:val="BodyTextIndentChar"/>
    <w:link w:val="BodyTextFirstIndent2"/>
    <w:uiPriority w:val="99"/>
    <w:semiHidden/>
    <w:rsid w:val="00901205"/>
    <w:rPr>
      <w:lang w:val="nl-BE"/>
    </w:rPr>
  </w:style>
  <w:style w:type="paragraph" w:styleId="BodyTextIndent2">
    <w:name w:val="Body Text Indent 2"/>
    <w:basedOn w:val="Normal"/>
    <w:link w:val="BodyTextIndent2Char"/>
    <w:uiPriority w:val="99"/>
    <w:semiHidden/>
    <w:unhideWhenUsed/>
    <w:rsid w:val="00901205"/>
    <w:pPr>
      <w:spacing w:after="120" w:line="480" w:lineRule="auto"/>
      <w:ind w:left="283"/>
    </w:pPr>
  </w:style>
  <w:style w:type="character" w:customStyle="1" w:styleId="BodyTextIndent2Char">
    <w:name w:val="Body Text Indent 2 Char"/>
    <w:basedOn w:val="DefaultParagraphFont"/>
    <w:link w:val="BodyTextIndent2"/>
    <w:uiPriority w:val="99"/>
    <w:semiHidden/>
    <w:rsid w:val="00901205"/>
    <w:rPr>
      <w:lang w:val="nl-BE"/>
    </w:rPr>
  </w:style>
  <w:style w:type="paragraph" w:styleId="BodyTextIndent3">
    <w:name w:val="Body Text Indent 3"/>
    <w:basedOn w:val="Normal"/>
    <w:link w:val="BodyTextIndent3Char"/>
    <w:uiPriority w:val="99"/>
    <w:semiHidden/>
    <w:unhideWhenUsed/>
    <w:rsid w:val="0090120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01205"/>
    <w:rPr>
      <w:sz w:val="16"/>
      <w:szCs w:val="16"/>
      <w:lang w:val="nl-BE"/>
    </w:rPr>
  </w:style>
  <w:style w:type="paragraph" w:styleId="Closing">
    <w:name w:val="Closing"/>
    <w:basedOn w:val="Normal"/>
    <w:link w:val="ClosingChar"/>
    <w:uiPriority w:val="99"/>
    <w:semiHidden/>
    <w:unhideWhenUsed/>
    <w:rsid w:val="00901205"/>
    <w:pPr>
      <w:spacing w:line="240" w:lineRule="auto"/>
      <w:ind w:left="4252"/>
    </w:pPr>
  </w:style>
  <w:style w:type="character" w:customStyle="1" w:styleId="ClosingChar">
    <w:name w:val="Closing Char"/>
    <w:basedOn w:val="DefaultParagraphFont"/>
    <w:link w:val="Closing"/>
    <w:uiPriority w:val="99"/>
    <w:semiHidden/>
    <w:rsid w:val="00901205"/>
    <w:rPr>
      <w:lang w:val="nl-BE"/>
    </w:rPr>
  </w:style>
  <w:style w:type="table" w:styleId="ColorfulGrid">
    <w:name w:val="Colorful Grid"/>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DDDDDE" w:themeFill="text1" w:themeFillTint="33"/>
    </w:tcPr>
    <w:tblStylePr w:type="firstRow">
      <w:rPr>
        <w:b/>
        <w:bCs/>
      </w:rPr>
      <w:tblPr/>
      <w:tcPr>
        <w:shd w:val="clear" w:color="auto" w:fill="BBBCBD" w:themeFill="text1" w:themeFillTint="66"/>
      </w:tcPr>
    </w:tblStylePr>
    <w:tblStylePr w:type="lastRow">
      <w:rPr>
        <w:b/>
        <w:bCs/>
        <w:color w:val="58595B" w:themeColor="text1"/>
      </w:rPr>
      <w:tblPr/>
      <w:tcPr>
        <w:shd w:val="clear" w:color="auto" w:fill="BBBCBD" w:themeFill="text1" w:themeFillTint="66"/>
      </w:tcPr>
    </w:tblStylePr>
    <w:tblStylePr w:type="firstCol">
      <w:rPr>
        <w:color w:val="A5A5A5" w:themeColor="background1"/>
      </w:rPr>
      <w:tblPr/>
      <w:tcPr>
        <w:shd w:val="clear" w:color="auto" w:fill="424244" w:themeFill="text1" w:themeFillShade="BF"/>
      </w:tcPr>
    </w:tblStylePr>
    <w:tblStylePr w:type="lastCol">
      <w:rPr>
        <w:color w:val="A5A5A5" w:themeColor="background1"/>
      </w:rPr>
      <w:tblPr/>
      <w:tcPr>
        <w:shd w:val="clear" w:color="auto" w:fill="424244" w:themeFill="text1" w:themeFillShade="BF"/>
      </w:tcPr>
    </w:tblStylePr>
    <w:tblStylePr w:type="band1Vert">
      <w:tblPr/>
      <w:tcPr>
        <w:shd w:val="clear" w:color="auto" w:fill="ABACAE" w:themeFill="text1" w:themeFillTint="7F"/>
      </w:tcPr>
    </w:tblStylePr>
    <w:tblStylePr w:type="band1Horz">
      <w:tblPr/>
      <w:tcPr>
        <w:shd w:val="clear" w:color="auto" w:fill="ABACAE" w:themeFill="text1" w:themeFillTint="7F"/>
      </w:tcPr>
    </w:tblStylePr>
  </w:style>
  <w:style w:type="table" w:styleId="ColorfulGrid-Accent1">
    <w:name w:val="Colorful Grid Accent 1"/>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D4F1D3" w:themeFill="accent1" w:themeFillTint="33"/>
    </w:tcPr>
    <w:tblStylePr w:type="firstRow">
      <w:rPr>
        <w:b/>
        <w:bCs/>
      </w:rPr>
      <w:tblPr/>
      <w:tcPr>
        <w:shd w:val="clear" w:color="auto" w:fill="A9E3A7" w:themeFill="accent1" w:themeFillTint="66"/>
      </w:tcPr>
    </w:tblStylePr>
    <w:tblStylePr w:type="lastRow">
      <w:rPr>
        <w:b/>
        <w:bCs/>
        <w:color w:val="58595B" w:themeColor="text1"/>
      </w:rPr>
      <w:tblPr/>
      <w:tcPr>
        <w:shd w:val="clear" w:color="auto" w:fill="A9E3A7" w:themeFill="accent1" w:themeFillTint="66"/>
      </w:tcPr>
    </w:tblStylePr>
    <w:tblStylePr w:type="firstCol">
      <w:rPr>
        <w:color w:val="A5A5A5" w:themeColor="background1"/>
      </w:rPr>
      <w:tblPr/>
      <w:tcPr>
        <w:shd w:val="clear" w:color="auto" w:fill="2B7F27" w:themeFill="accent1" w:themeFillShade="BF"/>
      </w:tcPr>
    </w:tblStylePr>
    <w:tblStylePr w:type="lastCol">
      <w:rPr>
        <w:color w:val="A5A5A5" w:themeColor="background1"/>
      </w:rPr>
      <w:tblPr/>
      <w:tcPr>
        <w:shd w:val="clear" w:color="auto" w:fill="2B7F27" w:themeFill="accent1" w:themeFillShade="BF"/>
      </w:tcPr>
    </w:tblStylePr>
    <w:tblStylePr w:type="band1Vert">
      <w:tblPr/>
      <w:tcPr>
        <w:shd w:val="clear" w:color="auto" w:fill="94DD92" w:themeFill="accent1" w:themeFillTint="7F"/>
      </w:tcPr>
    </w:tblStylePr>
    <w:tblStylePr w:type="band1Horz">
      <w:tblPr/>
      <w:tcPr>
        <w:shd w:val="clear" w:color="auto" w:fill="94DD92" w:themeFill="accent1" w:themeFillTint="7F"/>
      </w:tcPr>
    </w:tblStylePr>
  </w:style>
  <w:style w:type="table" w:styleId="ColorfulGrid-Accent2">
    <w:name w:val="Colorful Grid Accent 2"/>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ADFFD6" w:themeFill="accent2" w:themeFillTint="33"/>
    </w:tcPr>
    <w:tblStylePr w:type="firstRow">
      <w:rPr>
        <w:b/>
        <w:bCs/>
      </w:rPr>
      <w:tblPr/>
      <w:tcPr>
        <w:shd w:val="clear" w:color="auto" w:fill="5BFFAD" w:themeFill="accent2" w:themeFillTint="66"/>
      </w:tcPr>
    </w:tblStylePr>
    <w:tblStylePr w:type="lastRow">
      <w:rPr>
        <w:b/>
        <w:bCs/>
        <w:color w:val="58595B" w:themeColor="text1"/>
      </w:rPr>
      <w:tblPr/>
      <w:tcPr>
        <w:shd w:val="clear" w:color="auto" w:fill="5BFFAD" w:themeFill="accent2" w:themeFillTint="66"/>
      </w:tcPr>
    </w:tblStylePr>
    <w:tblStylePr w:type="firstCol">
      <w:rPr>
        <w:color w:val="A5A5A5" w:themeColor="background1"/>
      </w:rPr>
      <w:tblPr/>
      <w:tcPr>
        <w:shd w:val="clear" w:color="auto" w:fill="004C26" w:themeFill="accent2" w:themeFillShade="BF"/>
      </w:tcPr>
    </w:tblStylePr>
    <w:tblStylePr w:type="lastCol">
      <w:rPr>
        <w:color w:val="A5A5A5" w:themeColor="background1"/>
      </w:rPr>
      <w:tblPr/>
      <w:tcPr>
        <w:shd w:val="clear" w:color="auto" w:fill="004C26" w:themeFill="accent2" w:themeFillShade="BF"/>
      </w:tcPr>
    </w:tblStylePr>
    <w:tblStylePr w:type="band1Vert">
      <w:tblPr/>
      <w:tcPr>
        <w:shd w:val="clear" w:color="auto" w:fill="33FF98" w:themeFill="accent2" w:themeFillTint="7F"/>
      </w:tcPr>
    </w:tblStylePr>
    <w:tblStylePr w:type="band1Horz">
      <w:tblPr/>
      <w:tcPr>
        <w:shd w:val="clear" w:color="auto" w:fill="33FF98" w:themeFill="accent2" w:themeFillTint="7F"/>
      </w:tcPr>
    </w:tblStylePr>
  </w:style>
  <w:style w:type="table" w:styleId="ColorfulGrid-Accent3">
    <w:name w:val="Colorful Grid Accent 3"/>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F9FFC2" w:themeFill="accent3" w:themeFillTint="33"/>
    </w:tcPr>
    <w:tblStylePr w:type="firstRow">
      <w:rPr>
        <w:b/>
        <w:bCs/>
      </w:rPr>
      <w:tblPr/>
      <w:tcPr>
        <w:shd w:val="clear" w:color="auto" w:fill="F3FF85" w:themeFill="accent3" w:themeFillTint="66"/>
      </w:tcPr>
    </w:tblStylePr>
    <w:tblStylePr w:type="lastRow">
      <w:rPr>
        <w:b/>
        <w:bCs/>
        <w:color w:val="58595B" w:themeColor="text1"/>
      </w:rPr>
      <w:tblPr/>
      <w:tcPr>
        <w:shd w:val="clear" w:color="auto" w:fill="F3FF85" w:themeFill="accent3" w:themeFillTint="66"/>
      </w:tcPr>
    </w:tblStylePr>
    <w:tblStylePr w:type="firstCol">
      <w:rPr>
        <w:color w:val="A5A5A5" w:themeColor="background1"/>
      </w:rPr>
      <w:tblPr/>
      <w:tcPr>
        <w:shd w:val="clear" w:color="auto" w:fill="8C9B00" w:themeFill="accent3" w:themeFillShade="BF"/>
      </w:tcPr>
    </w:tblStylePr>
    <w:tblStylePr w:type="lastCol">
      <w:rPr>
        <w:color w:val="A5A5A5" w:themeColor="background1"/>
      </w:rPr>
      <w:tblPr/>
      <w:tcPr>
        <w:shd w:val="clear" w:color="auto" w:fill="8C9B00" w:themeFill="accent3" w:themeFillShade="BF"/>
      </w:tcPr>
    </w:tblStylePr>
    <w:tblStylePr w:type="band1Vert">
      <w:tblPr/>
      <w:tcPr>
        <w:shd w:val="clear" w:color="auto" w:fill="F0FF68" w:themeFill="accent3" w:themeFillTint="7F"/>
      </w:tcPr>
    </w:tblStylePr>
    <w:tblStylePr w:type="band1Horz">
      <w:tblPr/>
      <w:tcPr>
        <w:shd w:val="clear" w:color="auto" w:fill="F0FF68" w:themeFill="accent3" w:themeFillTint="7F"/>
      </w:tcPr>
    </w:tblStylePr>
  </w:style>
  <w:style w:type="table" w:styleId="ColorfulGrid-Accent4">
    <w:name w:val="Colorful Grid Accent 4"/>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FFF7CB" w:themeFill="accent4" w:themeFillTint="33"/>
    </w:tcPr>
    <w:tblStylePr w:type="firstRow">
      <w:rPr>
        <w:b/>
        <w:bCs/>
      </w:rPr>
      <w:tblPr/>
      <w:tcPr>
        <w:shd w:val="clear" w:color="auto" w:fill="FFEF97" w:themeFill="accent4" w:themeFillTint="66"/>
      </w:tcPr>
    </w:tblStylePr>
    <w:tblStylePr w:type="lastRow">
      <w:rPr>
        <w:b/>
        <w:bCs/>
        <w:color w:val="58595B" w:themeColor="text1"/>
      </w:rPr>
      <w:tblPr/>
      <w:tcPr>
        <w:shd w:val="clear" w:color="auto" w:fill="FFEF97" w:themeFill="accent4" w:themeFillTint="66"/>
      </w:tcPr>
    </w:tblStylePr>
    <w:tblStylePr w:type="firstCol">
      <w:rPr>
        <w:color w:val="A5A5A5" w:themeColor="background1"/>
      </w:rPr>
      <w:tblPr/>
      <w:tcPr>
        <w:shd w:val="clear" w:color="auto" w:fill="BB9F00" w:themeFill="accent4" w:themeFillShade="BF"/>
      </w:tcPr>
    </w:tblStylePr>
    <w:tblStylePr w:type="lastCol">
      <w:rPr>
        <w:color w:val="A5A5A5" w:themeColor="background1"/>
      </w:rPr>
      <w:tblPr/>
      <w:tcPr>
        <w:shd w:val="clear" w:color="auto" w:fill="BB9F00" w:themeFill="accent4" w:themeFillShade="BF"/>
      </w:tcPr>
    </w:tblStylePr>
    <w:tblStylePr w:type="band1Vert">
      <w:tblPr/>
      <w:tcPr>
        <w:shd w:val="clear" w:color="auto" w:fill="FFEB7D" w:themeFill="accent4" w:themeFillTint="7F"/>
      </w:tcPr>
    </w:tblStylePr>
    <w:tblStylePr w:type="band1Horz">
      <w:tblPr/>
      <w:tcPr>
        <w:shd w:val="clear" w:color="auto" w:fill="FFEB7D" w:themeFill="accent4" w:themeFillTint="7F"/>
      </w:tcPr>
    </w:tblStylePr>
  </w:style>
  <w:style w:type="table" w:styleId="ColorfulGrid-Accent5">
    <w:name w:val="Colorful Grid Accent 5"/>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FFECC9" w:themeFill="accent5" w:themeFillTint="33"/>
    </w:tcPr>
    <w:tblStylePr w:type="firstRow">
      <w:rPr>
        <w:b/>
        <w:bCs/>
      </w:rPr>
      <w:tblPr/>
      <w:tcPr>
        <w:shd w:val="clear" w:color="auto" w:fill="FFD993" w:themeFill="accent5" w:themeFillTint="66"/>
      </w:tcPr>
    </w:tblStylePr>
    <w:tblStylePr w:type="lastRow">
      <w:rPr>
        <w:b/>
        <w:bCs/>
        <w:color w:val="58595B" w:themeColor="text1"/>
      </w:rPr>
      <w:tblPr/>
      <w:tcPr>
        <w:shd w:val="clear" w:color="auto" w:fill="FFD993" w:themeFill="accent5" w:themeFillTint="66"/>
      </w:tcPr>
    </w:tblStylePr>
    <w:tblStylePr w:type="firstCol">
      <w:rPr>
        <w:color w:val="A5A5A5" w:themeColor="background1"/>
      </w:rPr>
      <w:tblPr/>
      <w:tcPr>
        <w:shd w:val="clear" w:color="auto" w:fill="B57500" w:themeFill="accent5" w:themeFillShade="BF"/>
      </w:tcPr>
    </w:tblStylePr>
    <w:tblStylePr w:type="lastCol">
      <w:rPr>
        <w:color w:val="A5A5A5" w:themeColor="background1"/>
      </w:rPr>
      <w:tblPr/>
      <w:tcPr>
        <w:shd w:val="clear" w:color="auto" w:fill="B57500" w:themeFill="accent5" w:themeFillShade="BF"/>
      </w:tcPr>
    </w:tblStylePr>
    <w:tblStylePr w:type="band1Vert">
      <w:tblPr/>
      <w:tcPr>
        <w:shd w:val="clear" w:color="auto" w:fill="FFCF79" w:themeFill="accent5" w:themeFillTint="7F"/>
      </w:tcPr>
    </w:tblStylePr>
    <w:tblStylePr w:type="band1Horz">
      <w:tblPr/>
      <w:tcPr>
        <w:shd w:val="clear" w:color="auto" w:fill="FFCF79" w:themeFill="accent5" w:themeFillTint="7F"/>
      </w:tcPr>
    </w:tblStylePr>
  </w:style>
  <w:style w:type="table" w:styleId="ColorfulGrid-Accent6">
    <w:name w:val="Colorful Grid Accent 6"/>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F8DACC" w:themeFill="accent6" w:themeFillTint="33"/>
    </w:tcPr>
    <w:tblStylePr w:type="firstRow">
      <w:rPr>
        <w:b/>
        <w:bCs/>
      </w:rPr>
      <w:tblPr/>
      <w:tcPr>
        <w:shd w:val="clear" w:color="auto" w:fill="F2B599" w:themeFill="accent6" w:themeFillTint="66"/>
      </w:tcPr>
    </w:tblStylePr>
    <w:tblStylePr w:type="lastRow">
      <w:rPr>
        <w:b/>
        <w:bCs/>
        <w:color w:val="58595B" w:themeColor="text1"/>
      </w:rPr>
      <w:tblPr/>
      <w:tcPr>
        <w:shd w:val="clear" w:color="auto" w:fill="F2B599" w:themeFill="accent6" w:themeFillTint="66"/>
      </w:tcPr>
    </w:tblStylePr>
    <w:tblStylePr w:type="firstCol">
      <w:rPr>
        <w:color w:val="A5A5A5" w:themeColor="background1"/>
      </w:rPr>
      <w:tblPr/>
      <w:tcPr>
        <w:shd w:val="clear" w:color="auto" w:fill="953B12" w:themeFill="accent6" w:themeFillShade="BF"/>
      </w:tcPr>
    </w:tblStylePr>
    <w:tblStylePr w:type="lastCol">
      <w:rPr>
        <w:color w:val="A5A5A5" w:themeColor="background1"/>
      </w:rPr>
      <w:tblPr/>
      <w:tcPr>
        <w:shd w:val="clear" w:color="auto" w:fill="953B12" w:themeFill="accent6" w:themeFillShade="BF"/>
      </w:tcPr>
    </w:tblStylePr>
    <w:tblStylePr w:type="band1Vert">
      <w:tblPr/>
      <w:tcPr>
        <w:shd w:val="clear" w:color="auto" w:fill="EFA380" w:themeFill="accent6" w:themeFillTint="7F"/>
      </w:tcPr>
    </w:tblStylePr>
    <w:tblStylePr w:type="band1Horz">
      <w:tblPr/>
      <w:tcPr>
        <w:shd w:val="clear" w:color="auto" w:fill="EFA380" w:themeFill="accent6" w:themeFillTint="7F"/>
      </w:tcPr>
    </w:tblStylePr>
  </w:style>
  <w:style w:type="table" w:styleId="ColorfulList">
    <w:name w:val="Colorful List"/>
    <w:basedOn w:val="TableNormal"/>
    <w:uiPriority w:val="72"/>
    <w:rsid w:val="00901205"/>
    <w:pPr>
      <w:spacing w:line="240" w:lineRule="auto"/>
    </w:pPr>
    <w:rPr>
      <w:color w:val="58595B" w:themeColor="text1"/>
    </w:rPr>
    <w:tblPr>
      <w:tblStyleRowBandSize w:val="1"/>
      <w:tblStyleColBandSize w:val="1"/>
    </w:tblPr>
    <w:tcPr>
      <w:shd w:val="clear" w:color="auto" w:fill="EEEEEF" w:themeFill="text1" w:themeFillTint="19"/>
    </w:tcPr>
    <w:tblStylePr w:type="firstRow">
      <w:rPr>
        <w:b/>
        <w:bCs/>
        <w:color w:val="A5A5A5" w:themeColor="background1"/>
      </w:rPr>
      <w:tblPr/>
      <w:tcPr>
        <w:tcBorders>
          <w:bottom w:val="single" w:sz="12" w:space="0" w:color="A5A5A5" w:themeColor="background1"/>
        </w:tcBorders>
        <w:shd w:val="clear" w:color="auto" w:fill="005128" w:themeFill="accent2" w:themeFillShade="CC"/>
      </w:tcPr>
    </w:tblStylePr>
    <w:tblStylePr w:type="lastRow">
      <w:rPr>
        <w:b/>
        <w:bCs/>
        <w:color w:val="005128" w:themeColor="accent2"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6" w:themeFill="text1" w:themeFillTint="3F"/>
      </w:tcPr>
    </w:tblStylePr>
    <w:tblStylePr w:type="band1Horz">
      <w:tblPr/>
      <w:tcPr>
        <w:shd w:val="clear" w:color="auto" w:fill="DDDDDE" w:themeFill="text1" w:themeFillTint="33"/>
      </w:tcPr>
    </w:tblStylePr>
  </w:style>
  <w:style w:type="table" w:styleId="ColorfulList-Accent1">
    <w:name w:val="Colorful List Accent 1"/>
    <w:basedOn w:val="TableNormal"/>
    <w:uiPriority w:val="72"/>
    <w:rsid w:val="00901205"/>
    <w:pPr>
      <w:spacing w:line="240" w:lineRule="auto"/>
    </w:pPr>
    <w:rPr>
      <w:color w:val="58595B" w:themeColor="text1"/>
    </w:rPr>
    <w:tblPr>
      <w:tblStyleRowBandSize w:val="1"/>
      <w:tblStyleColBandSize w:val="1"/>
    </w:tblPr>
    <w:tcPr>
      <w:shd w:val="clear" w:color="auto" w:fill="E9F8E9" w:themeFill="accent1" w:themeFillTint="19"/>
    </w:tcPr>
    <w:tblStylePr w:type="firstRow">
      <w:rPr>
        <w:b/>
        <w:bCs/>
        <w:color w:val="A5A5A5" w:themeColor="background1"/>
      </w:rPr>
      <w:tblPr/>
      <w:tcPr>
        <w:tcBorders>
          <w:bottom w:val="single" w:sz="12" w:space="0" w:color="A5A5A5" w:themeColor="background1"/>
        </w:tcBorders>
        <w:shd w:val="clear" w:color="auto" w:fill="005128" w:themeFill="accent2" w:themeFillShade="CC"/>
      </w:tcPr>
    </w:tblStylePr>
    <w:tblStylePr w:type="lastRow">
      <w:rPr>
        <w:b/>
        <w:bCs/>
        <w:color w:val="005128" w:themeColor="accent2"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EC8" w:themeFill="accent1" w:themeFillTint="3F"/>
      </w:tcPr>
    </w:tblStylePr>
    <w:tblStylePr w:type="band1Horz">
      <w:tblPr/>
      <w:tcPr>
        <w:shd w:val="clear" w:color="auto" w:fill="D4F1D3" w:themeFill="accent1" w:themeFillTint="33"/>
      </w:tcPr>
    </w:tblStylePr>
  </w:style>
  <w:style w:type="table" w:styleId="ColorfulList-Accent2">
    <w:name w:val="Colorful List Accent 2"/>
    <w:basedOn w:val="TableNormal"/>
    <w:uiPriority w:val="72"/>
    <w:rsid w:val="00901205"/>
    <w:pPr>
      <w:spacing w:line="240" w:lineRule="auto"/>
    </w:pPr>
    <w:rPr>
      <w:color w:val="58595B" w:themeColor="text1"/>
    </w:rPr>
    <w:tblPr>
      <w:tblStyleRowBandSize w:val="1"/>
      <w:tblStyleColBandSize w:val="1"/>
    </w:tblPr>
    <w:tcPr>
      <w:shd w:val="clear" w:color="auto" w:fill="D7FFEA" w:themeFill="accent2" w:themeFillTint="19"/>
    </w:tcPr>
    <w:tblStylePr w:type="firstRow">
      <w:rPr>
        <w:b/>
        <w:bCs/>
        <w:color w:val="A5A5A5" w:themeColor="background1"/>
      </w:rPr>
      <w:tblPr/>
      <w:tcPr>
        <w:tcBorders>
          <w:bottom w:val="single" w:sz="12" w:space="0" w:color="A5A5A5" w:themeColor="background1"/>
        </w:tcBorders>
        <w:shd w:val="clear" w:color="auto" w:fill="005128" w:themeFill="accent2" w:themeFillShade="CC"/>
      </w:tcPr>
    </w:tblStylePr>
    <w:tblStylePr w:type="lastRow">
      <w:rPr>
        <w:b/>
        <w:bCs/>
        <w:color w:val="005128" w:themeColor="accent2"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CC" w:themeFill="accent2" w:themeFillTint="3F"/>
      </w:tcPr>
    </w:tblStylePr>
    <w:tblStylePr w:type="band1Horz">
      <w:tblPr/>
      <w:tcPr>
        <w:shd w:val="clear" w:color="auto" w:fill="ADFFD6" w:themeFill="accent2" w:themeFillTint="33"/>
      </w:tcPr>
    </w:tblStylePr>
  </w:style>
  <w:style w:type="table" w:styleId="ColorfulList-Accent3">
    <w:name w:val="Colorful List Accent 3"/>
    <w:basedOn w:val="TableNormal"/>
    <w:uiPriority w:val="72"/>
    <w:rsid w:val="00901205"/>
    <w:pPr>
      <w:spacing w:line="240" w:lineRule="auto"/>
    </w:pPr>
    <w:rPr>
      <w:color w:val="58595B" w:themeColor="text1"/>
    </w:rPr>
    <w:tblPr>
      <w:tblStyleRowBandSize w:val="1"/>
      <w:tblStyleColBandSize w:val="1"/>
    </w:tblPr>
    <w:tcPr>
      <w:shd w:val="clear" w:color="auto" w:fill="FCFFE1" w:themeFill="accent3" w:themeFillTint="19"/>
    </w:tcPr>
    <w:tblStylePr w:type="firstRow">
      <w:rPr>
        <w:b/>
        <w:bCs/>
        <w:color w:val="A5A5A5" w:themeColor="background1"/>
      </w:rPr>
      <w:tblPr/>
      <w:tcPr>
        <w:tcBorders>
          <w:bottom w:val="single" w:sz="12" w:space="0" w:color="A5A5A5" w:themeColor="background1"/>
        </w:tcBorders>
        <w:shd w:val="clear" w:color="auto" w:fill="C8AA00" w:themeFill="accent4" w:themeFillShade="CC"/>
      </w:tcPr>
    </w:tblStylePr>
    <w:tblStylePr w:type="lastRow">
      <w:rPr>
        <w:b/>
        <w:bCs/>
        <w:color w:val="C8AA00" w:themeColor="accent4"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FB4" w:themeFill="accent3" w:themeFillTint="3F"/>
      </w:tcPr>
    </w:tblStylePr>
    <w:tblStylePr w:type="band1Horz">
      <w:tblPr/>
      <w:tcPr>
        <w:shd w:val="clear" w:color="auto" w:fill="F9FFC2" w:themeFill="accent3" w:themeFillTint="33"/>
      </w:tcPr>
    </w:tblStylePr>
  </w:style>
  <w:style w:type="table" w:styleId="ColorfulList-Accent4">
    <w:name w:val="Colorful List Accent 4"/>
    <w:basedOn w:val="TableNormal"/>
    <w:uiPriority w:val="72"/>
    <w:rsid w:val="00901205"/>
    <w:pPr>
      <w:spacing w:line="240" w:lineRule="auto"/>
    </w:pPr>
    <w:rPr>
      <w:color w:val="58595B" w:themeColor="text1"/>
    </w:rPr>
    <w:tblPr>
      <w:tblStyleRowBandSize w:val="1"/>
      <w:tblStyleColBandSize w:val="1"/>
    </w:tblPr>
    <w:tcPr>
      <w:shd w:val="clear" w:color="auto" w:fill="FFFBE5" w:themeFill="accent4" w:themeFillTint="19"/>
    </w:tcPr>
    <w:tblStylePr w:type="firstRow">
      <w:rPr>
        <w:b/>
        <w:bCs/>
        <w:color w:val="A5A5A5" w:themeColor="background1"/>
      </w:rPr>
      <w:tblPr/>
      <w:tcPr>
        <w:tcBorders>
          <w:bottom w:val="single" w:sz="12" w:space="0" w:color="A5A5A5" w:themeColor="background1"/>
        </w:tcBorders>
        <w:shd w:val="clear" w:color="auto" w:fill="95A500" w:themeFill="accent3" w:themeFillShade="CC"/>
      </w:tcPr>
    </w:tblStylePr>
    <w:tblStylePr w:type="lastRow">
      <w:rPr>
        <w:b/>
        <w:bCs/>
        <w:color w:val="95A500" w:themeColor="accent3"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5BE" w:themeFill="accent4" w:themeFillTint="3F"/>
      </w:tcPr>
    </w:tblStylePr>
    <w:tblStylePr w:type="band1Horz">
      <w:tblPr/>
      <w:tcPr>
        <w:shd w:val="clear" w:color="auto" w:fill="FFF7CB" w:themeFill="accent4" w:themeFillTint="33"/>
      </w:tcPr>
    </w:tblStylePr>
  </w:style>
  <w:style w:type="table" w:styleId="ColorfulList-Accent5">
    <w:name w:val="Colorful List Accent 5"/>
    <w:basedOn w:val="TableNormal"/>
    <w:uiPriority w:val="72"/>
    <w:rsid w:val="00901205"/>
    <w:pPr>
      <w:spacing w:line="240" w:lineRule="auto"/>
    </w:pPr>
    <w:rPr>
      <w:color w:val="58595B" w:themeColor="text1"/>
    </w:rPr>
    <w:tblPr>
      <w:tblStyleRowBandSize w:val="1"/>
      <w:tblStyleColBandSize w:val="1"/>
    </w:tblPr>
    <w:tcPr>
      <w:shd w:val="clear" w:color="auto" w:fill="FFF5E4" w:themeFill="accent5" w:themeFillTint="19"/>
    </w:tcPr>
    <w:tblStylePr w:type="firstRow">
      <w:rPr>
        <w:b/>
        <w:bCs/>
        <w:color w:val="A5A5A5" w:themeColor="background1"/>
      </w:rPr>
      <w:tblPr/>
      <w:tcPr>
        <w:tcBorders>
          <w:bottom w:val="single" w:sz="12" w:space="0" w:color="A5A5A5" w:themeColor="background1"/>
        </w:tcBorders>
        <w:shd w:val="clear" w:color="auto" w:fill="A03F14" w:themeFill="accent6" w:themeFillShade="CC"/>
      </w:tcPr>
    </w:tblStylePr>
    <w:tblStylePr w:type="lastRow">
      <w:rPr>
        <w:b/>
        <w:bCs/>
        <w:color w:val="A03F14" w:themeColor="accent6"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BC" w:themeFill="accent5" w:themeFillTint="3F"/>
      </w:tcPr>
    </w:tblStylePr>
    <w:tblStylePr w:type="band1Horz">
      <w:tblPr/>
      <w:tcPr>
        <w:shd w:val="clear" w:color="auto" w:fill="FFECC9" w:themeFill="accent5" w:themeFillTint="33"/>
      </w:tcPr>
    </w:tblStylePr>
  </w:style>
  <w:style w:type="table" w:styleId="ColorfulList-Accent6">
    <w:name w:val="Colorful List Accent 6"/>
    <w:basedOn w:val="TableNormal"/>
    <w:uiPriority w:val="72"/>
    <w:rsid w:val="00901205"/>
    <w:pPr>
      <w:spacing w:line="240" w:lineRule="auto"/>
    </w:pPr>
    <w:rPr>
      <w:color w:val="58595B" w:themeColor="text1"/>
    </w:rPr>
    <w:tblPr>
      <w:tblStyleRowBandSize w:val="1"/>
      <w:tblStyleColBandSize w:val="1"/>
    </w:tblPr>
    <w:tcPr>
      <w:shd w:val="clear" w:color="auto" w:fill="FCECE6" w:themeFill="accent6" w:themeFillTint="19"/>
    </w:tcPr>
    <w:tblStylePr w:type="firstRow">
      <w:rPr>
        <w:b/>
        <w:bCs/>
        <w:color w:val="A5A5A5" w:themeColor="background1"/>
      </w:rPr>
      <w:tblPr/>
      <w:tcPr>
        <w:tcBorders>
          <w:bottom w:val="single" w:sz="12" w:space="0" w:color="A5A5A5" w:themeColor="background1"/>
        </w:tcBorders>
        <w:shd w:val="clear" w:color="auto" w:fill="C17D00" w:themeFill="accent5" w:themeFillShade="CC"/>
      </w:tcPr>
    </w:tblStylePr>
    <w:tblStylePr w:type="lastRow">
      <w:rPr>
        <w:b/>
        <w:bCs/>
        <w:color w:val="C17D00" w:themeColor="accent5"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D1C0" w:themeFill="accent6" w:themeFillTint="3F"/>
      </w:tcPr>
    </w:tblStylePr>
    <w:tblStylePr w:type="band1Horz">
      <w:tblPr/>
      <w:tcPr>
        <w:shd w:val="clear" w:color="auto" w:fill="F8DACC" w:themeFill="accent6" w:themeFillTint="33"/>
      </w:tcPr>
    </w:tblStylePr>
  </w:style>
  <w:style w:type="table" w:styleId="ColorfulShading">
    <w:name w:val="Colorful Shading"/>
    <w:basedOn w:val="TableNormal"/>
    <w:uiPriority w:val="71"/>
    <w:rsid w:val="00901205"/>
    <w:pPr>
      <w:spacing w:line="240" w:lineRule="auto"/>
    </w:pPr>
    <w:rPr>
      <w:color w:val="58595B" w:themeColor="text1"/>
    </w:rPr>
    <w:tblPr>
      <w:tblStyleRowBandSize w:val="1"/>
      <w:tblStyleColBandSize w:val="1"/>
      <w:tblBorders>
        <w:top w:val="single" w:sz="24" w:space="0" w:color="006633" w:themeColor="accent2"/>
        <w:left w:val="single" w:sz="4" w:space="0" w:color="58595B" w:themeColor="text1"/>
        <w:bottom w:val="single" w:sz="4" w:space="0" w:color="58595B" w:themeColor="text1"/>
        <w:right w:val="single" w:sz="4" w:space="0" w:color="58595B" w:themeColor="text1"/>
        <w:insideH w:val="single" w:sz="4" w:space="0" w:color="A5A5A5" w:themeColor="background1"/>
        <w:insideV w:val="single" w:sz="4" w:space="0" w:color="A5A5A5" w:themeColor="background1"/>
      </w:tblBorders>
    </w:tblPr>
    <w:tcPr>
      <w:shd w:val="clear" w:color="auto" w:fill="EEEEEF" w:themeFill="text1" w:themeFillTint="19"/>
    </w:tcPr>
    <w:tblStylePr w:type="firstRow">
      <w:rPr>
        <w:b/>
        <w:bCs/>
      </w:rPr>
      <w:tblPr/>
      <w:tcPr>
        <w:tcBorders>
          <w:top w:val="nil"/>
          <w:left w:val="nil"/>
          <w:bottom w:val="single" w:sz="24" w:space="0" w:color="006633" w:themeColor="accent2"/>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343536" w:themeFill="text1" w:themeFillShade="99"/>
      </w:tcPr>
    </w:tblStylePr>
    <w:tblStylePr w:type="firstCol">
      <w:rPr>
        <w:color w:val="A5A5A5" w:themeColor="background1"/>
      </w:rPr>
      <w:tblPr/>
      <w:tcPr>
        <w:tcBorders>
          <w:top w:val="nil"/>
          <w:left w:val="nil"/>
          <w:bottom w:val="nil"/>
          <w:right w:val="nil"/>
          <w:insideH w:val="single" w:sz="4" w:space="0" w:color="343536" w:themeColor="text1" w:themeShade="99"/>
          <w:insideV w:val="nil"/>
        </w:tcBorders>
        <w:shd w:val="clear" w:color="auto" w:fill="343536" w:themeFill="text1" w:themeFillShade="99"/>
      </w:tcPr>
    </w:tblStylePr>
    <w:tblStylePr w:type="lastCol">
      <w:rPr>
        <w:color w:val="A5A5A5" w:themeColor="background1"/>
      </w:rPr>
      <w:tblPr/>
      <w:tcPr>
        <w:tcBorders>
          <w:top w:val="nil"/>
          <w:left w:val="nil"/>
          <w:bottom w:val="nil"/>
          <w:right w:val="nil"/>
          <w:insideH w:val="nil"/>
          <w:insideV w:val="nil"/>
        </w:tcBorders>
        <w:shd w:val="clear" w:color="auto" w:fill="424244" w:themeFill="text1" w:themeFillShade="BF"/>
      </w:tcPr>
    </w:tblStylePr>
    <w:tblStylePr w:type="band1Vert">
      <w:tblPr/>
      <w:tcPr>
        <w:shd w:val="clear" w:color="auto" w:fill="BBBCBD" w:themeFill="text1" w:themeFillTint="66"/>
      </w:tcPr>
    </w:tblStylePr>
    <w:tblStylePr w:type="band1Horz">
      <w:tblPr/>
      <w:tcPr>
        <w:shd w:val="clear" w:color="auto" w:fill="ABACAE" w:themeFill="text1" w:themeFillTint="7F"/>
      </w:tcPr>
    </w:tblStylePr>
    <w:tblStylePr w:type="neCell">
      <w:rPr>
        <w:color w:val="58595B" w:themeColor="text1"/>
      </w:rPr>
    </w:tblStylePr>
    <w:tblStylePr w:type="nwCell">
      <w:rPr>
        <w:color w:val="58595B" w:themeColor="text1"/>
      </w:rPr>
    </w:tblStylePr>
  </w:style>
  <w:style w:type="table" w:styleId="ColorfulShading-Accent1">
    <w:name w:val="Colorful Shading Accent 1"/>
    <w:basedOn w:val="TableNormal"/>
    <w:uiPriority w:val="71"/>
    <w:rsid w:val="00901205"/>
    <w:pPr>
      <w:spacing w:line="240" w:lineRule="auto"/>
    </w:pPr>
    <w:rPr>
      <w:color w:val="58595B" w:themeColor="text1"/>
    </w:rPr>
    <w:tblPr>
      <w:tblStyleRowBandSize w:val="1"/>
      <w:tblStyleColBandSize w:val="1"/>
      <w:tblBorders>
        <w:top w:val="single" w:sz="24" w:space="0" w:color="006633" w:themeColor="accent2"/>
        <w:left w:val="single" w:sz="4" w:space="0" w:color="3AAA35" w:themeColor="accent1"/>
        <w:bottom w:val="single" w:sz="4" w:space="0" w:color="3AAA35" w:themeColor="accent1"/>
        <w:right w:val="single" w:sz="4" w:space="0" w:color="3AAA35" w:themeColor="accent1"/>
        <w:insideH w:val="single" w:sz="4" w:space="0" w:color="A5A5A5" w:themeColor="background1"/>
        <w:insideV w:val="single" w:sz="4" w:space="0" w:color="A5A5A5" w:themeColor="background1"/>
      </w:tblBorders>
    </w:tblPr>
    <w:tcPr>
      <w:shd w:val="clear" w:color="auto" w:fill="E9F8E9" w:themeFill="accent1" w:themeFillTint="19"/>
    </w:tcPr>
    <w:tblStylePr w:type="firstRow">
      <w:rPr>
        <w:b/>
        <w:bCs/>
      </w:rPr>
      <w:tblPr/>
      <w:tcPr>
        <w:tcBorders>
          <w:top w:val="nil"/>
          <w:left w:val="nil"/>
          <w:bottom w:val="single" w:sz="24" w:space="0" w:color="006633" w:themeColor="accent2"/>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22651F" w:themeFill="accent1" w:themeFillShade="99"/>
      </w:tcPr>
    </w:tblStylePr>
    <w:tblStylePr w:type="firstCol">
      <w:rPr>
        <w:color w:val="A5A5A5" w:themeColor="background1"/>
      </w:rPr>
      <w:tblPr/>
      <w:tcPr>
        <w:tcBorders>
          <w:top w:val="nil"/>
          <w:left w:val="nil"/>
          <w:bottom w:val="nil"/>
          <w:right w:val="nil"/>
          <w:insideH w:val="single" w:sz="4" w:space="0" w:color="22651F" w:themeColor="accent1" w:themeShade="99"/>
          <w:insideV w:val="nil"/>
        </w:tcBorders>
        <w:shd w:val="clear" w:color="auto" w:fill="22651F" w:themeFill="accent1" w:themeFillShade="99"/>
      </w:tcPr>
    </w:tblStylePr>
    <w:tblStylePr w:type="lastCol">
      <w:rPr>
        <w:color w:val="A5A5A5" w:themeColor="background1"/>
      </w:rPr>
      <w:tblPr/>
      <w:tcPr>
        <w:tcBorders>
          <w:top w:val="nil"/>
          <w:left w:val="nil"/>
          <w:bottom w:val="nil"/>
          <w:right w:val="nil"/>
          <w:insideH w:val="nil"/>
          <w:insideV w:val="nil"/>
        </w:tcBorders>
        <w:shd w:val="clear" w:color="auto" w:fill="22651F" w:themeFill="accent1" w:themeFillShade="99"/>
      </w:tcPr>
    </w:tblStylePr>
    <w:tblStylePr w:type="band1Vert">
      <w:tblPr/>
      <w:tcPr>
        <w:shd w:val="clear" w:color="auto" w:fill="A9E3A7" w:themeFill="accent1" w:themeFillTint="66"/>
      </w:tcPr>
    </w:tblStylePr>
    <w:tblStylePr w:type="band1Horz">
      <w:tblPr/>
      <w:tcPr>
        <w:shd w:val="clear" w:color="auto" w:fill="94DD92" w:themeFill="accent1" w:themeFillTint="7F"/>
      </w:tcPr>
    </w:tblStylePr>
    <w:tblStylePr w:type="neCell">
      <w:rPr>
        <w:color w:val="58595B" w:themeColor="text1"/>
      </w:rPr>
    </w:tblStylePr>
    <w:tblStylePr w:type="nwCell">
      <w:rPr>
        <w:color w:val="58595B" w:themeColor="text1"/>
      </w:rPr>
    </w:tblStylePr>
  </w:style>
  <w:style w:type="table" w:styleId="ColorfulShading-Accent2">
    <w:name w:val="Colorful Shading Accent 2"/>
    <w:basedOn w:val="TableNormal"/>
    <w:uiPriority w:val="71"/>
    <w:rsid w:val="00901205"/>
    <w:pPr>
      <w:spacing w:line="240" w:lineRule="auto"/>
    </w:pPr>
    <w:rPr>
      <w:color w:val="58595B" w:themeColor="text1"/>
    </w:rPr>
    <w:tblPr>
      <w:tblStyleRowBandSize w:val="1"/>
      <w:tblStyleColBandSize w:val="1"/>
      <w:tblBorders>
        <w:top w:val="single" w:sz="24" w:space="0" w:color="006633" w:themeColor="accent2"/>
        <w:left w:val="single" w:sz="4" w:space="0" w:color="006633" w:themeColor="accent2"/>
        <w:bottom w:val="single" w:sz="4" w:space="0" w:color="006633" w:themeColor="accent2"/>
        <w:right w:val="single" w:sz="4" w:space="0" w:color="006633" w:themeColor="accent2"/>
        <w:insideH w:val="single" w:sz="4" w:space="0" w:color="A5A5A5" w:themeColor="background1"/>
        <w:insideV w:val="single" w:sz="4" w:space="0" w:color="A5A5A5" w:themeColor="background1"/>
      </w:tblBorders>
    </w:tblPr>
    <w:tcPr>
      <w:shd w:val="clear" w:color="auto" w:fill="D7FFEA" w:themeFill="accent2" w:themeFillTint="19"/>
    </w:tcPr>
    <w:tblStylePr w:type="firstRow">
      <w:rPr>
        <w:b/>
        <w:bCs/>
      </w:rPr>
      <w:tblPr/>
      <w:tcPr>
        <w:tcBorders>
          <w:top w:val="nil"/>
          <w:left w:val="nil"/>
          <w:bottom w:val="single" w:sz="24" w:space="0" w:color="006633" w:themeColor="accent2"/>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003D1E" w:themeFill="accent2" w:themeFillShade="99"/>
      </w:tcPr>
    </w:tblStylePr>
    <w:tblStylePr w:type="firstCol">
      <w:rPr>
        <w:color w:val="A5A5A5" w:themeColor="background1"/>
      </w:rPr>
      <w:tblPr/>
      <w:tcPr>
        <w:tcBorders>
          <w:top w:val="nil"/>
          <w:left w:val="nil"/>
          <w:bottom w:val="nil"/>
          <w:right w:val="nil"/>
          <w:insideH w:val="single" w:sz="4" w:space="0" w:color="003D1E" w:themeColor="accent2" w:themeShade="99"/>
          <w:insideV w:val="nil"/>
        </w:tcBorders>
        <w:shd w:val="clear" w:color="auto" w:fill="003D1E" w:themeFill="accent2" w:themeFillShade="99"/>
      </w:tcPr>
    </w:tblStylePr>
    <w:tblStylePr w:type="lastCol">
      <w:rPr>
        <w:color w:val="A5A5A5" w:themeColor="background1"/>
      </w:rPr>
      <w:tblPr/>
      <w:tcPr>
        <w:tcBorders>
          <w:top w:val="nil"/>
          <w:left w:val="nil"/>
          <w:bottom w:val="nil"/>
          <w:right w:val="nil"/>
          <w:insideH w:val="nil"/>
          <w:insideV w:val="nil"/>
        </w:tcBorders>
        <w:shd w:val="clear" w:color="auto" w:fill="003D1E" w:themeFill="accent2" w:themeFillShade="99"/>
      </w:tcPr>
    </w:tblStylePr>
    <w:tblStylePr w:type="band1Vert">
      <w:tblPr/>
      <w:tcPr>
        <w:shd w:val="clear" w:color="auto" w:fill="5BFFAD" w:themeFill="accent2" w:themeFillTint="66"/>
      </w:tcPr>
    </w:tblStylePr>
    <w:tblStylePr w:type="band1Horz">
      <w:tblPr/>
      <w:tcPr>
        <w:shd w:val="clear" w:color="auto" w:fill="33FF98" w:themeFill="accent2" w:themeFillTint="7F"/>
      </w:tcPr>
    </w:tblStylePr>
    <w:tblStylePr w:type="neCell">
      <w:rPr>
        <w:color w:val="58595B" w:themeColor="text1"/>
      </w:rPr>
    </w:tblStylePr>
    <w:tblStylePr w:type="nwCell">
      <w:rPr>
        <w:color w:val="58595B" w:themeColor="text1"/>
      </w:rPr>
    </w:tblStylePr>
  </w:style>
  <w:style w:type="table" w:styleId="ColorfulShading-Accent3">
    <w:name w:val="Colorful Shading Accent 3"/>
    <w:basedOn w:val="TableNormal"/>
    <w:uiPriority w:val="71"/>
    <w:rsid w:val="00901205"/>
    <w:pPr>
      <w:spacing w:line="240" w:lineRule="auto"/>
    </w:pPr>
    <w:rPr>
      <w:color w:val="58595B" w:themeColor="text1"/>
    </w:rPr>
    <w:tblPr>
      <w:tblStyleRowBandSize w:val="1"/>
      <w:tblStyleColBandSize w:val="1"/>
      <w:tblBorders>
        <w:top w:val="single" w:sz="24" w:space="0" w:color="FAD500" w:themeColor="accent4"/>
        <w:left w:val="single" w:sz="4" w:space="0" w:color="BCCF00" w:themeColor="accent3"/>
        <w:bottom w:val="single" w:sz="4" w:space="0" w:color="BCCF00" w:themeColor="accent3"/>
        <w:right w:val="single" w:sz="4" w:space="0" w:color="BCCF00" w:themeColor="accent3"/>
        <w:insideH w:val="single" w:sz="4" w:space="0" w:color="A5A5A5" w:themeColor="background1"/>
        <w:insideV w:val="single" w:sz="4" w:space="0" w:color="A5A5A5" w:themeColor="background1"/>
      </w:tblBorders>
    </w:tblPr>
    <w:tcPr>
      <w:shd w:val="clear" w:color="auto" w:fill="FCFFE1" w:themeFill="accent3" w:themeFillTint="19"/>
    </w:tcPr>
    <w:tblStylePr w:type="firstRow">
      <w:rPr>
        <w:b/>
        <w:bCs/>
      </w:rPr>
      <w:tblPr/>
      <w:tcPr>
        <w:tcBorders>
          <w:top w:val="nil"/>
          <w:left w:val="nil"/>
          <w:bottom w:val="single" w:sz="24" w:space="0" w:color="FAD500" w:themeColor="accent4"/>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707C00" w:themeFill="accent3" w:themeFillShade="99"/>
      </w:tcPr>
    </w:tblStylePr>
    <w:tblStylePr w:type="firstCol">
      <w:rPr>
        <w:color w:val="A5A5A5" w:themeColor="background1"/>
      </w:rPr>
      <w:tblPr/>
      <w:tcPr>
        <w:tcBorders>
          <w:top w:val="nil"/>
          <w:left w:val="nil"/>
          <w:bottom w:val="nil"/>
          <w:right w:val="nil"/>
          <w:insideH w:val="single" w:sz="4" w:space="0" w:color="707C00" w:themeColor="accent3" w:themeShade="99"/>
          <w:insideV w:val="nil"/>
        </w:tcBorders>
        <w:shd w:val="clear" w:color="auto" w:fill="707C00" w:themeFill="accent3" w:themeFillShade="99"/>
      </w:tcPr>
    </w:tblStylePr>
    <w:tblStylePr w:type="lastCol">
      <w:rPr>
        <w:color w:val="A5A5A5" w:themeColor="background1"/>
      </w:rPr>
      <w:tblPr/>
      <w:tcPr>
        <w:tcBorders>
          <w:top w:val="nil"/>
          <w:left w:val="nil"/>
          <w:bottom w:val="nil"/>
          <w:right w:val="nil"/>
          <w:insideH w:val="nil"/>
          <w:insideV w:val="nil"/>
        </w:tcBorders>
        <w:shd w:val="clear" w:color="auto" w:fill="707C00" w:themeFill="accent3" w:themeFillShade="99"/>
      </w:tcPr>
    </w:tblStylePr>
    <w:tblStylePr w:type="band1Vert">
      <w:tblPr/>
      <w:tcPr>
        <w:shd w:val="clear" w:color="auto" w:fill="F3FF85" w:themeFill="accent3" w:themeFillTint="66"/>
      </w:tcPr>
    </w:tblStylePr>
    <w:tblStylePr w:type="band1Horz">
      <w:tblPr/>
      <w:tcPr>
        <w:shd w:val="clear" w:color="auto" w:fill="F0FF68" w:themeFill="accent3" w:themeFillTint="7F"/>
      </w:tcPr>
    </w:tblStylePr>
  </w:style>
  <w:style w:type="table" w:styleId="ColorfulShading-Accent4">
    <w:name w:val="Colorful Shading Accent 4"/>
    <w:basedOn w:val="TableNormal"/>
    <w:uiPriority w:val="71"/>
    <w:rsid w:val="00901205"/>
    <w:pPr>
      <w:spacing w:line="240" w:lineRule="auto"/>
    </w:pPr>
    <w:rPr>
      <w:color w:val="58595B" w:themeColor="text1"/>
    </w:rPr>
    <w:tblPr>
      <w:tblStyleRowBandSize w:val="1"/>
      <w:tblStyleColBandSize w:val="1"/>
      <w:tblBorders>
        <w:top w:val="single" w:sz="24" w:space="0" w:color="BCCF00" w:themeColor="accent3"/>
        <w:left w:val="single" w:sz="4" w:space="0" w:color="FAD500" w:themeColor="accent4"/>
        <w:bottom w:val="single" w:sz="4" w:space="0" w:color="FAD500" w:themeColor="accent4"/>
        <w:right w:val="single" w:sz="4" w:space="0" w:color="FAD500" w:themeColor="accent4"/>
        <w:insideH w:val="single" w:sz="4" w:space="0" w:color="A5A5A5" w:themeColor="background1"/>
        <w:insideV w:val="single" w:sz="4" w:space="0" w:color="A5A5A5" w:themeColor="background1"/>
      </w:tblBorders>
    </w:tblPr>
    <w:tcPr>
      <w:shd w:val="clear" w:color="auto" w:fill="FFFBE5" w:themeFill="accent4" w:themeFillTint="19"/>
    </w:tcPr>
    <w:tblStylePr w:type="firstRow">
      <w:rPr>
        <w:b/>
        <w:bCs/>
      </w:rPr>
      <w:tblPr/>
      <w:tcPr>
        <w:tcBorders>
          <w:top w:val="nil"/>
          <w:left w:val="nil"/>
          <w:bottom w:val="single" w:sz="24" w:space="0" w:color="BCCF00" w:themeColor="accent3"/>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967F00" w:themeFill="accent4" w:themeFillShade="99"/>
      </w:tcPr>
    </w:tblStylePr>
    <w:tblStylePr w:type="firstCol">
      <w:rPr>
        <w:color w:val="A5A5A5" w:themeColor="background1"/>
      </w:rPr>
      <w:tblPr/>
      <w:tcPr>
        <w:tcBorders>
          <w:top w:val="nil"/>
          <w:left w:val="nil"/>
          <w:bottom w:val="nil"/>
          <w:right w:val="nil"/>
          <w:insideH w:val="single" w:sz="4" w:space="0" w:color="967F00" w:themeColor="accent4" w:themeShade="99"/>
          <w:insideV w:val="nil"/>
        </w:tcBorders>
        <w:shd w:val="clear" w:color="auto" w:fill="967F00" w:themeFill="accent4" w:themeFillShade="99"/>
      </w:tcPr>
    </w:tblStylePr>
    <w:tblStylePr w:type="lastCol">
      <w:rPr>
        <w:color w:val="A5A5A5" w:themeColor="background1"/>
      </w:rPr>
      <w:tblPr/>
      <w:tcPr>
        <w:tcBorders>
          <w:top w:val="nil"/>
          <w:left w:val="nil"/>
          <w:bottom w:val="nil"/>
          <w:right w:val="nil"/>
          <w:insideH w:val="nil"/>
          <w:insideV w:val="nil"/>
        </w:tcBorders>
        <w:shd w:val="clear" w:color="auto" w:fill="967F00" w:themeFill="accent4" w:themeFillShade="99"/>
      </w:tcPr>
    </w:tblStylePr>
    <w:tblStylePr w:type="band1Vert">
      <w:tblPr/>
      <w:tcPr>
        <w:shd w:val="clear" w:color="auto" w:fill="FFEF97" w:themeFill="accent4" w:themeFillTint="66"/>
      </w:tcPr>
    </w:tblStylePr>
    <w:tblStylePr w:type="band1Horz">
      <w:tblPr/>
      <w:tcPr>
        <w:shd w:val="clear" w:color="auto" w:fill="FFEB7D" w:themeFill="accent4" w:themeFillTint="7F"/>
      </w:tcPr>
    </w:tblStylePr>
    <w:tblStylePr w:type="neCell">
      <w:rPr>
        <w:color w:val="58595B" w:themeColor="text1"/>
      </w:rPr>
    </w:tblStylePr>
    <w:tblStylePr w:type="nwCell">
      <w:rPr>
        <w:color w:val="58595B" w:themeColor="text1"/>
      </w:rPr>
    </w:tblStylePr>
  </w:style>
  <w:style w:type="table" w:styleId="ColorfulShading-Accent5">
    <w:name w:val="Colorful Shading Accent 5"/>
    <w:basedOn w:val="TableNormal"/>
    <w:uiPriority w:val="71"/>
    <w:rsid w:val="00901205"/>
    <w:pPr>
      <w:spacing w:line="240" w:lineRule="auto"/>
    </w:pPr>
    <w:rPr>
      <w:color w:val="58595B" w:themeColor="text1"/>
    </w:rPr>
    <w:tblPr>
      <w:tblStyleRowBandSize w:val="1"/>
      <w:tblStyleColBandSize w:val="1"/>
      <w:tblBorders>
        <w:top w:val="single" w:sz="24" w:space="0" w:color="C85019" w:themeColor="accent6"/>
        <w:left w:val="single" w:sz="4" w:space="0" w:color="F29D00" w:themeColor="accent5"/>
        <w:bottom w:val="single" w:sz="4" w:space="0" w:color="F29D00" w:themeColor="accent5"/>
        <w:right w:val="single" w:sz="4" w:space="0" w:color="F29D00" w:themeColor="accent5"/>
        <w:insideH w:val="single" w:sz="4" w:space="0" w:color="A5A5A5" w:themeColor="background1"/>
        <w:insideV w:val="single" w:sz="4" w:space="0" w:color="A5A5A5" w:themeColor="background1"/>
      </w:tblBorders>
    </w:tblPr>
    <w:tcPr>
      <w:shd w:val="clear" w:color="auto" w:fill="FFF5E4" w:themeFill="accent5" w:themeFillTint="19"/>
    </w:tcPr>
    <w:tblStylePr w:type="firstRow">
      <w:rPr>
        <w:b/>
        <w:bCs/>
      </w:rPr>
      <w:tblPr/>
      <w:tcPr>
        <w:tcBorders>
          <w:top w:val="nil"/>
          <w:left w:val="nil"/>
          <w:bottom w:val="single" w:sz="24" w:space="0" w:color="C85019" w:themeColor="accent6"/>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915D00" w:themeFill="accent5" w:themeFillShade="99"/>
      </w:tcPr>
    </w:tblStylePr>
    <w:tblStylePr w:type="firstCol">
      <w:rPr>
        <w:color w:val="A5A5A5" w:themeColor="background1"/>
      </w:rPr>
      <w:tblPr/>
      <w:tcPr>
        <w:tcBorders>
          <w:top w:val="nil"/>
          <w:left w:val="nil"/>
          <w:bottom w:val="nil"/>
          <w:right w:val="nil"/>
          <w:insideH w:val="single" w:sz="4" w:space="0" w:color="915D00" w:themeColor="accent5" w:themeShade="99"/>
          <w:insideV w:val="nil"/>
        </w:tcBorders>
        <w:shd w:val="clear" w:color="auto" w:fill="915D00" w:themeFill="accent5" w:themeFillShade="99"/>
      </w:tcPr>
    </w:tblStylePr>
    <w:tblStylePr w:type="lastCol">
      <w:rPr>
        <w:color w:val="A5A5A5" w:themeColor="background1"/>
      </w:rPr>
      <w:tblPr/>
      <w:tcPr>
        <w:tcBorders>
          <w:top w:val="nil"/>
          <w:left w:val="nil"/>
          <w:bottom w:val="nil"/>
          <w:right w:val="nil"/>
          <w:insideH w:val="nil"/>
          <w:insideV w:val="nil"/>
        </w:tcBorders>
        <w:shd w:val="clear" w:color="auto" w:fill="915D00" w:themeFill="accent5" w:themeFillShade="99"/>
      </w:tcPr>
    </w:tblStylePr>
    <w:tblStylePr w:type="band1Vert">
      <w:tblPr/>
      <w:tcPr>
        <w:shd w:val="clear" w:color="auto" w:fill="FFD993" w:themeFill="accent5" w:themeFillTint="66"/>
      </w:tcPr>
    </w:tblStylePr>
    <w:tblStylePr w:type="band1Horz">
      <w:tblPr/>
      <w:tcPr>
        <w:shd w:val="clear" w:color="auto" w:fill="FFCF79" w:themeFill="accent5" w:themeFillTint="7F"/>
      </w:tcPr>
    </w:tblStylePr>
    <w:tblStylePr w:type="neCell">
      <w:rPr>
        <w:color w:val="58595B" w:themeColor="text1"/>
      </w:rPr>
    </w:tblStylePr>
    <w:tblStylePr w:type="nwCell">
      <w:rPr>
        <w:color w:val="58595B" w:themeColor="text1"/>
      </w:rPr>
    </w:tblStylePr>
  </w:style>
  <w:style w:type="table" w:styleId="ColorfulShading-Accent6">
    <w:name w:val="Colorful Shading Accent 6"/>
    <w:basedOn w:val="TableNormal"/>
    <w:uiPriority w:val="71"/>
    <w:rsid w:val="00901205"/>
    <w:pPr>
      <w:spacing w:line="240" w:lineRule="auto"/>
    </w:pPr>
    <w:rPr>
      <w:color w:val="58595B" w:themeColor="text1"/>
    </w:rPr>
    <w:tblPr>
      <w:tblStyleRowBandSize w:val="1"/>
      <w:tblStyleColBandSize w:val="1"/>
      <w:tblBorders>
        <w:top w:val="single" w:sz="24" w:space="0" w:color="F29D00" w:themeColor="accent5"/>
        <w:left w:val="single" w:sz="4" w:space="0" w:color="C85019" w:themeColor="accent6"/>
        <w:bottom w:val="single" w:sz="4" w:space="0" w:color="C85019" w:themeColor="accent6"/>
        <w:right w:val="single" w:sz="4" w:space="0" w:color="C85019" w:themeColor="accent6"/>
        <w:insideH w:val="single" w:sz="4" w:space="0" w:color="A5A5A5" w:themeColor="background1"/>
        <w:insideV w:val="single" w:sz="4" w:space="0" w:color="A5A5A5" w:themeColor="background1"/>
      </w:tblBorders>
    </w:tblPr>
    <w:tcPr>
      <w:shd w:val="clear" w:color="auto" w:fill="FCECE6" w:themeFill="accent6" w:themeFillTint="19"/>
    </w:tcPr>
    <w:tblStylePr w:type="firstRow">
      <w:rPr>
        <w:b/>
        <w:bCs/>
      </w:rPr>
      <w:tblPr/>
      <w:tcPr>
        <w:tcBorders>
          <w:top w:val="nil"/>
          <w:left w:val="nil"/>
          <w:bottom w:val="single" w:sz="24" w:space="0" w:color="F29D00" w:themeColor="accent5"/>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782F0F" w:themeFill="accent6" w:themeFillShade="99"/>
      </w:tcPr>
    </w:tblStylePr>
    <w:tblStylePr w:type="firstCol">
      <w:rPr>
        <w:color w:val="A5A5A5" w:themeColor="background1"/>
      </w:rPr>
      <w:tblPr/>
      <w:tcPr>
        <w:tcBorders>
          <w:top w:val="nil"/>
          <w:left w:val="nil"/>
          <w:bottom w:val="nil"/>
          <w:right w:val="nil"/>
          <w:insideH w:val="single" w:sz="4" w:space="0" w:color="782F0F" w:themeColor="accent6" w:themeShade="99"/>
          <w:insideV w:val="nil"/>
        </w:tcBorders>
        <w:shd w:val="clear" w:color="auto" w:fill="782F0F" w:themeFill="accent6" w:themeFillShade="99"/>
      </w:tcPr>
    </w:tblStylePr>
    <w:tblStylePr w:type="lastCol">
      <w:rPr>
        <w:color w:val="A5A5A5" w:themeColor="background1"/>
      </w:rPr>
      <w:tblPr/>
      <w:tcPr>
        <w:tcBorders>
          <w:top w:val="nil"/>
          <w:left w:val="nil"/>
          <w:bottom w:val="nil"/>
          <w:right w:val="nil"/>
          <w:insideH w:val="nil"/>
          <w:insideV w:val="nil"/>
        </w:tcBorders>
        <w:shd w:val="clear" w:color="auto" w:fill="782F0F" w:themeFill="accent6" w:themeFillShade="99"/>
      </w:tcPr>
    </w:tblStylePr>
    <w:tblStylePr w:type="band1Vert">
      <w:tblPr/>
      <w:tcPr>
        <w:shd w:val="clear" w:color="auto" w:fill="F2B599" w:themeFill="accent6" w:themeFillTint="66"/>
      </w:tcPr>
    </w:tblStylePr>
    <w:tblStylePr w:type="band1Horz">
      <w:tblPr/>
      <w:tcPr>
        <w:shd w:val="clear" w:color="auto" w:fill="EFA380" w:themeFill="accent6" w:themeFillTint="7F"/>
      </w:tcPr>
    </w:tblStylePr>
    <w:tblStylePr w:type="neCell">
      <w:rPr>
        <w:color w:val="58595B" w:themeColor="text1"/>
      </w:rPr>
    </w:tblStylePr>
    <w:tblStylePr w:type="nwCell">
      <w:rPr>
        <w:color w:val="58595B" w:themeColor="text1"/>
      </w:rPr>
    </w:tblStylePr>
  </w:style>
  <w:style w:type="paragraph" w:styleId="CommentText">
    <w:name w:val="annotation text"/>
    <w:basedOn w:val="Normal"/>
    <w:link w:val="CommentTextChar"/>
    <w:uiPriority w:val="99"/>
    <w:semiHidden/>
    <w:unhideWhenUsed/>
    <w:rsid w:val="00901205"/>
    <w:pPr>
      <w:spacing w:line="240" w:lineRule="auto"/>
    </w:pPr>
    <w:rPr>
      <w:szCs w:val="20"/>
    </w:rPr>
  </w:style>
  <w:style w:type="character" w:customStyle="1" w:styleId="CommentTextChar">
    <w:name w:val="Comment Text Char"/>
    <w:basedOn w:val="DefaultParagraphFont"/>
    <w:link w:val="CommentText"/>
    <w:uiPriority w:val="99"/>
    <w:semiHidden/>
    <w:rsid w:val="00901205"/>
    <w:rPr>
      <w:szCs w:val="20"/>
      <w:lang w:val="nl-BE"/>
    </w:rPr>
  </w:style>
  <w:style w:type="paragraph" w:styleId="CommentSubject">
    <w:name w:val="annotation subject"/>
    <w:basedOn w:val="CommentText"/>
    <w:next w:val="CommentText"/>
    <w:link w:val="CommentSubjectChar"/>
    <w:uiPriority w:val="99"/>
    <w:semiHidden/>
    <w:unhideWhenUsed/>
    <w:rsid w:val="00901205"/>
    <w:rPr>
      <w:b/>
      <w:bCs/>
    </w:rPr>
  </w:style>
  <w:style w:type="character" w:customStyle="1" w:styleId="CommentSubjectChar">
    <w:name w:val="Comment Subject Char"/>
    <w:basedOn w:val="CommentTextChar"/>
    <w:link w:val="CommentSubject"/>
    <w:uiPriority w:val="99"/>
    <w:semiHidden/>
    <w:rsid w:val="00901205"/>
    <w:rPr>
      <w:b/>
      <w:bCs/>
      <w:szCs w:val="20"/>
      <w:lang w:val="nl-BE"/>
    </w:rPr>
  </w:style>
  <w:style w:type="table" w:styleId="DarkList">
    <w:name w:val="Dark List"/>
    <w:basedOn w:val="TableNormal"/>
    <w:uiPriority w:val="70"/>
    <w:rsid w:val="00901205"/>
    <w:pPr>
      <w:spacing w:line="240" w:lineRule="auto"/>
    </w:pPr>
    <w:rPr>
      <w:color w:val="A5A5A5" w:themeColor="background1"/>
    </w:rPr>
    <w:tblPr>
      <w:tblStyleRowBandSize w:val="1"/>
      <w:tblStyleColBandSize w:val="1"/>
    </w:tblPr>
    <w:tcPr>
      <w:shd w:val="clear" w:color="auto" w:fill="58595B" w:themeFill="text1"/>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2B2C2D" w:themeFill="text1" w:themeFillShade="7F"/>
      </w:tcPr>
    </w:tblStylePr>
    <w:tblStylePr w:type="firstCol">
      <w:tblPr/>
      <w:tcPr>
        <w:tcBorders>
          <w:top w:val="nil"/>
          <w:left w:val="nil"/>
          <w:bottom w:val="nil"/>
          <w:right w:val="single" w:sz="18" w:space="0" w:color="A5A5A5" w:themeColor="background1"/>
          <w:insideH w:val="nil"/>
          <w:insideV w:val="nil"/>
        </w:tcBorders>
        <w:shd w:val="clear" w:color="auto" w:fill="424244" w:themeFill="text1" w:themeFillShade="BF"/>
      </w:tcPr>
    </w:tblStylePr>
    <w:tblStylePr w:type="lastCol">
      <w:tblPr/>
      <w:tcPr>
        <w:tcBorders>
          <w:top w:val="nil"/>
          <w:left w:val="single" w:sz="18" w:space="0" w:color="A5A5A5" w:themeColor="background1"/>
          <w:bottom w:val="nil"/>
          <w:right w:val="nil"/>
          <w:insideH w:val="nil"/>
          <w:insideV w:val="nil"/>
        </w:tcBorders>
        <w:shd w:val="clear" w:color="auto" w:fill="424244" w:themeFill="text1" w:themeFillShade="BF"/>
      </w:tcPr>
    </w:tblStylePr>
    <w:tblStylePr w:type="band1Vert">
      <w:tblPr/>
      <w:tcPr>
        <w:tcBorders>
          <w:top w:val="nil"/>
          <w:left w:val="nil"/>
          <w:bottom w:val="nil"/>
          <w:right w:val="nil"/>
          <w:insideH w:val="nil"/>
          <w:insideV w:val="nil"/>
        </w:tcBorders>
        <w:shd w:val="clear" w:color="auto" w:fill="424244" w:themeFill="text1" w:themeFillShade="BF"/>
      </w:tcPr>
    </w:tblStylePr>
    <w:tblStylePr w:type="band1Horz">
      <w:tblPr/>
      <w:tcPr>
        <w:tcBorders>
          <w:top w:val="nil"/>
          <w:left w:val="nil"/>
          <w:bottom w:val="nil"/>
          <w:right w:val="nil"/>
          <w:insideH w:val="nil"/>
          <w:insideV w:val="nil"/>
        </w:tcBorders>
        <w:shd w:val="clear" w:color="auto" w:fill="424244" w:themeFill="text1" w:themeFillShade="BF"/>
      </w:tcPr>
    </w:tblStylePr>
  </w:style>
  <w:style w:type="table" w:styleId="DarkList-Accent1">
    <w:name w:val="Dark List Accent 1"/>
    <w:basedOn w:val="TableNormal"/>
    <w:uiPriority w:val="70"/>
    <w:rsid w:val="00901205"/>
    <w:pPr>
      <w:spacing w:line="240" w:lineRule="auto"/>
    </w:pPr>
    <w:rPr>
      <w:color w:val="A5A5A5" w:themeColor="background1"/>
    </w:rPr>
    <w:tblPr>
      <w:tblStyleRowBandSize w:val="1"/>
      <w:tblStyleColBandSize w:val="1"/>
    </w:tblPr>
    <w:tcPr>
      <w:shd w:val="clear" w:color="auto" w:fill="3AAA35" w:themeFill="accent1"/>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1C541A" w:themeFill="accent1" w:themeFillShade="7F"/>
      </w:tcPr>
    </w:tblStylePr>
    <w:tblStylePr w:type="firstCol">
      <w:tblPr/>
      <w:tcPr>
        <w:tcBorders>
          <w:top w:val="nil"/>
          <w:left w:val="nil"/>
          <w:bottom w:val="nil"/>
          <w:right w:val="single" w:sz="18" w:space="0" w:color="A5A5A5" w:themeColor="background1"/>
          <w:insideH w:val="nil"/>
          <w:insideV w:val="nil"/>
        </w:tcBorders>
        <w:shd w:val="clear" w:color="auto" w:fill="2B7F27" w:themeFill="accent1" w:themeFillShade="BF"/>
      </w:tcPr>
    </w:tblStylePr>
    <w:tblStylePr w:type="lastCol">
      <w:tblPr/>
      <w:tcPr>
        <w:tcBorders>
          <w:top w:val="nil"/>
          <w:left w:val="single" w:sz="18" w:space="0" w:color="A5A5A5" w:themeColor="background1"/>
          <w:bottom w:val="nil"/>
          <w:right w:val="nil"/>
          <w:insideH w:val="nil"/>
          <w:insideV w:val="nil"/>
        </w:tcBorders>
        <w:shd w:val="clear" w:color="auto" w:fill="2B7F27" w:themeFill="accent1" w:themeFillShade="BF"/>
      </w:tcPr>
    </w:tblStylePr>
    <w:tblStylePr w:type="band1Vert">
      <w:tblPr/>
      <w:tcPr>
        <w:tcBorders>
          <w:top w:val="nil"/>
          <w:left w:val="nil"/>
          <w:bottom w:val="nil"/>
          <w:right w:val="nil"/>
          <w:insideH w:val="nil"/>
          <w:insideV w:val="nil"/>
        </w:tcBorders>
        <w:shd w:val="clear" w:color="auto" w:fill="2B7F27" w:themeFill="accent1" w:themeFillShade="BF"/>
      </w:tcPr>
    </w:tblStylePr>
    <w:tblStylePr w:type="band1Horz">
      <w:tblPr/>
      <w:tcPr>
        <w:tcBorders>
          <w:top w:val="nil"/>
          <w:left w:val="nil"/>
          <w:bottom w:val="nil"/>
          <w:right w:val="nil"/>
          <w:insideH w:val="nil"/>
          <w:insideV w:val="nil"/>
        </w:tcBorders>
        <w:shd w:val="clear" w:color="auto" w:fill="2B7F27" w:themeFill="accent1" w:themeFillShade="BF"/>
      </w:tcPr>
    </w:tblStylePr>
  </w:style>
  <w:style w:type="table" w:styleId="DarkList-Accent2">
    <w:name w:val="Dark List Accent 2"/>
    <w:basedOn w:val="TableNormal"/>
    <w:uiPriority w:val="70"/>
    <w:rsid w:val="00901205"/>
    <w:pPr>
      <w:spacing w:line="240" w:lineRule="auto"/>
    </w:pPr>
    <w:rPr>
      <w:color w:val="A5A5A5" w:themeColor="background1"/>
    </w:rPr>
    <w:tblPr>
      <w:tblStyleRowBandSize w:val="1"/>
      <w:tblStyleColBandSize w:val="1"/>
    </w:tblPr>
    <w:tcPr>
      <w:shd w:val="clear" w:color="auto" w:fill="006633" w:themeFill="accent2"/>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003219" w:themeFill="accent2" w:themeFillShade="7F"/>
      </w:tcPr>
    </w:tblStylePr>
    <w:tblStylePr w:type="firstCol">
      <w:tblPr/>
      <w:tcPr>
        <w:tcBorders>
          <w:top w:val="nil"/>
          <w:left w:val="nil"/>
          <w:bottom w:val="nil"/>
          <w:right w:val="single" w:sz="18" w:space="0" w:color="A5A5A5" w:themeColor="background1"/>
          <w:insideH w:val="nil"/>
          <w:insideV w:val="nil"/>
        </w:tcBorders>
        <w:shd w:val="clear" w:color="auto" w:fill="004C26" w:themeFill="accent2" w:themeFillShade="BF"/>
      </w:tcPr>
    </w:tblStylePr>
    <w:tblStylePr w:type="lastCol">
      <w:tblPr/>
      <w:tcPr>
        <w:tcBorders>
          <w:top w:val="nil"/>
          <w:left w:val="single" w:sz="18" w:space="0" w:color="A5A5A5" w:themeColor="background1"/>
          <w:bottom w:val="nil"/>
          <w:right w:val="nil"/>
          <w:insideH w:val="nil"/>
          <w:insideV w:val="nil"/>
        </w:tcBorders>
        <w:shd w:val="clear" w:color="auto" w:fill="004C26" w:themeFill="accent2" w:themeFillShade="BF"/>
      </w:tcPr>
    </w:tblStylePr>
    <w:tblStylePr w:type="band1Vert">
      <w:tblPr/>
      <w:tcPr>
        <w:tcBorders>
          <w:top w:val="nil"/>
          <w:left w:val="nil"/>
          <w:bottom w:val="nil"/>
          <w:right w:val="nil"/>
          <w:insideH w:val="nil"/>
          <w:insideV w:val="nil"/>
        </w:tcBorders>
        <w:shd w:val="clear" w:color="auto" w:fill="004C26" w:themeFill="accent2" w:themeFillShade="BF"/>
      </w:tcPr>
    </w:tblStylePr>
    <w:tblStylePr w:type="band1Horz">
      <w:tblPr/>
      <w:tcPr>
        <w:tcBorders>
          <w:top w:val="nil"/>
          <w:left w:val="nil"/>
          <w:bottom w:val="nil"/>
          <w:right w:val="nil"/>
          <w:insideH w:val="nil"/>
          <w:insideV w:val="nil"/>
        </w:tcBorders>
        <w:shd w:val="clear" w:color="auto" w:fill="004C26" w:themeFill="accent2" w:themeFillShade="BF"/>
      </w:tcPr>
    </w:tblStylePr>
  </w:style>
  <w:style w:type="table" w:styleId="DarkList-Accent3">
    <w:name w:val="Dark List Accent 3"/>
    <w:basedOn w:val="TableNormal"/>
    <w:uiPriority w:val="70"/>
    <w:rsid w:val="00901205"/>
    <w:pPr>
      <w:spacing w:line="240" w:lineRule="auto"/>
    </w:pPr>
    <w:rPr>
      <w:color w:val="A5A5A5" w:themeColor="background1"/>
    </w:rPr>
    <w:tblPr>
      <w:tblStyleRowBandSize w:val="1"/>
      <w:tblStyleColBandSize w:val="1"/>
    </w:tblPr>
    <w:tcPr>
      <w:shd w:val="clear" w:color="auto" w:fill="BCCF00" w:themeFill="accent3"/>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5D6700" w:themeFill="accent3" w:themeFillShade="7F"/>
      </w:tcPr>
    </w:tblStylePr>
    <w:tblStylePr w:type="firstCol">
      <w:tblPr/>
      <w:tcPr>
        <w:tcBorders>
          <w:top w:val="nil"/>
          <w:left w:val="nil"/>
          <w:bottom w:val="nil"/>
          <w:right w:val="single" w:sz="18" w:space="0" w:color="A5A5A5" w:themeColor="background1"/>
          <w:insideH w:val="nil"/>
          <w:insideV w:val="nil"/>
        </w:tcBorders>
        <w:shd w:val="clear" w:color="auto" w:fill="8C9B00" w:themeFill="accent3" w:themeFillShade="BF"/>
      </w:tcPr>
    </w:tblStylePr>
    <w:tblStylePr w:type="lastCol">
      <w:tblPr/>
      <w:tcPr>
        <w:tcBorders>
          <w:top w:val="nil"/>
          <w:left w:val="single" w:sz="18" w:space="0" w:color="A5A5A5" w:themeColor="background1"/>
          <w:bottom w:val="nil"/>
          <w:right w:val="nil"/>
          <w:insideH w:val="nil"/>
          <w:insideV w:val="nil"/>
        </w:tcBorders>
        <w:shd w:val="clear" w:color="auto" w:fill="8C9B00" w:themeFill="accent3" w:themeFillShade="BF"/>
      </w:tcPr>
    </w:tblStylePr>
    <w:tblStylePr w:type="band1Vert">
      <w:tblPr/>
      <w:tcPr>
        <w:tcBorders>
          <w:top w:val="nil"/>
          <w:left w:val="nil"/>
          <w:bottom w:val="nil"/>
          <w:right w:val="nil"/>
          <w:insideH w:val="nil"/>
          <w:insideV w:val="nil"/>
        </w:tcBorders>
        <w:shd w:val="clear" w:color="auto" w:fill="8C9B00" w:themeFill="accent3" w:themeFillShade="BF"/>
      </w:tcPr>
    </w:tblStylePr>
    <w:tblStylePr w:type="band1Horz">
      <w:tblPr/>
      <w:tcPr>
        <w:tcBorders>
          <w:top w:val="nil"/>
          <w:left w:val="nil"/>
          <w:bottom w:val="nil"/>
          <w:right w:val="nil"/>
          <w:insideH w:val="nil"/>
          <w:insideV w:val="nil"/>
        </w:tcBorders>
        <w:shd w:val="clear" w:color="auto" w:fill="8C9B00" w:themeFill="accent3" w:themeFillShade="BF"/>
      </w:tcPr>
    </w:tblStylePr>
  </w:style>
  <w:style w:type="table" w:styleId="DarkList-Accent4">
    <w:name w:val="Dark List Accent 4"/>
    <w:basedOn w:val="TableNormal"/>
    <w:uiPriority w:val="70"/>
    <w:rsid w:val="00901205"/>
    <w:pPr>
      <w:spacing w:line="240" w:lineRule="auto"/>
    </w:pPr>
    <w:rPr>
      <w:color w:val="A5A5A5" w:themeColor="background1"/>
    </w:rPr>
    <w:tblPr>
      <w:tblStyleRowBandSize w:val="1"/>
      <w:tblStyleColBandSize w:val="1"/>
    </w:tblPr>
    <w:tcPr>
      <w:shd w:val="clear" w:color="auto" w:fill="FAD500" w:themeFill="accent4"/>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7C6900" w:themeFill="accent4" w:themeFillShade="7F"/>
      </w:tcPr>
    </w:tblStylePr>
    <w:tblStylePr w:type="firstCol">
      <w:tblPr/>
      <w:tcPr>
        <w:tcBorders>
          <w:top w:val="nil"/>
          <w:left w:val="nil"/>
          <w:bottom w:val="nil"/>
          <w:right w:val="single" w:sz="18" w:space="0" w:color="A5A5A5" w:themeColor="background1"/>
          <w:insideH w:val="nil"/>
          <w:insideV w:val="nil"/>
        </w:tcBorders>
        <w:shd w:val="clear" w:color="auto" w:fill="BB9F00" w:themeFill="accent4" w:themeFillShade="BF"/>
      </w:tcPr>
    </w:tblStylePr>
    <w:tblStylePr w:type="lastCol">
      <w:tblPr/>
      <w:tcPr>
        <w:tcBorders>
          <w:top w:val="nil"/>
          <w:left w:val="single" w:sz="18" w:space="0" w:color="A5A5A5" w:themeColor="background1"/>
          <w:bottom w:val="nil"/>
          <w:right w:val="nil"/>
          <w:insideH w:val="nil"/>
          <w:insideV w:val="nil"/>
        </w:tcBorders>
        <w:shd w:val="clear" w:color="auto" w:fill="BB9F00" w:themeFill="accent4" w:themeFillShade="BF"/>
      </w:tcPr>
    </w:tblStylePr>
    <w:tblStylePr w:type="band1Vert">
      <w:tblPr/>
      <w:tcPr>
        <w:tcBorders>
          <w:top w:val="nil"/>
          <w:left w:val="nil"/>
          <w:bottom w:val="nil"/>
          <w:right w:val="nil"/>
          <w:insideH w:val="nil"/>
          <w:insideV w:val="nil"/>
        </w:tcBorders>
        <w:shd w:val="clear" w:color="auto" w:fill="BB9F00" w:themeFill="accent4" w:themeFillShade="BF"/>
      </w:tcPr>
    </w:tblStylePr>
    <w:tblStylePr w:type="band1Horz">
      <w:tblPr/>
      <w:tcPr>
        <w:tcBorders>
          <w:top w:val="nil"/>
          <w:left w:val="nil"/>
          <w:bottom w:val="nil"/>
          <w:right w:val="nil"/>
          <w:insideH w:val="nil"/>
          <w:insideV w:val="nil"/>
        </w:tcBorders>
        <w:shd w:val="clear" w:color="auto" w:fill="BB9F00" w:themeFill="accent4" w:themeFillShade="BF"/>
      </w:tcPr>
    </w:tblStylePr>
  </w:style>
  <w:style w:type="table" w:styleId="DarkList-Accent5">
    <w:name w:val="Dark List Accent 5"/>
    <w:basedOn w:val="TableNormal"/>
    <w:uiPriority w:val="70"/>
    <w:rsid w:val="00901205"/>
    <w:pPr>
      <w:spacing w:line="240" w:lineRule="auto"/>
    </w:pPr>
    <w:rPr>
      <w:color w:val="A5A5A5" w:themeColor="background1"/>
    </w:rPr>
    <w:tblPr>
      <w:tblStyleRowBandSize w:val="1"/>
      <w:tblStyleColBandSize w:val="1"/>
    </w:tblPr>
    <w:tcPr>
      <w:shd w:val="clear" w:color="auto" w:fill="F29D00" w:themeFill="accent5"/>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784D00" w:themeFill="accent5" w:themeFillShade="7F"/>
      </w:tcPr>
    </w:tblStylePr>
    <w:tblStylePr w:type="firstCol">
      <w:tblPr/>
      <w:tcPr>
        <w:tcBorders>
          <w:top w:val="nil"/>
          <w:left w:val="nil"/>
          <w:bottom w:val="nil"/>
          <w:right w:val="single" w:sz="18" w:space="0" w:color="A5A5A5" w:themeColor="background1"/>
          <w:insideH w:val="nil"/>
          <w:insideV w:val="nil"/>
        </w:tcBorders>
        <w:shd w:val="clear" w:color="auto" w:fill="B57500" w:themeFill="accent5" w:themeFillShade="BF"/>
      </w:tcPr>
    </w:tblStylePr>
    <w:tblStylePr w:type="lastCol">
      <w:tblPr/>
      <w:tcPr>
        <w:tcBorders>
          <w:top w:val="nil"/>
          <w:left w:val="single" w:sz="18" w:space="0" w:color="A5A5A5" w:themeColor="background1"/>
          <w:bottom w:val="nil"/>
          <w:right w:val="nil"/>
          <w:insideH w:val="nil"/>
          <w:insideV w:val="nil"/>
        </w:tcBorders>
        <w:shd w:val="clear" w:color="auto" w:fill="B57500" w:themeFill="accent5" w:themeFillShade="BF"/>
      </w:tcPr>
    </w:tblStylePr>
    <w:tblStylePr w:type="band1Vert">
      <w:tblPr/>
      <w:tcPr>
        <w:tcBorders>
          <w:top w:val="nil"/>
          <w:left w:val="nil"/>
          <w:bottom w:val="nil"/>
          <w:right w:val="nil"/>
          <w:insideH w:val="nil"/>
          <w:insideV w:val="nil"/>
        </w:tcBorders>
        <w:shd w:val="clear" w:color="auto" w:fill="B57500" w:themeFill="accent5" w:themeFillShade="BF"/>
      </w:tcPr>
    </w:tblStylePr>
    <w:tblStylePr w:type="band1Horz">
      <w:tblPr/>
      <w:tcPr>
        <w:tcBorders>
          <w:top w:val="nil"/>
          <w:left w:val="nil"/>
          <w:bottom w:val="nil"/>
          <w:right w:val="nil"/>
          <w:insideH w:val="nil"/>
          <w:insideV w:val="nil"/>
        </w:tcBorders>
        <w:shd w:val="clear" w:color="auto" w:fill="B57500" w:themeFill="accent5" w:themeFillShade="BF"/>
      </w:tcPr>
    </w:tblStylePr>
  </w:style>
  <w:style w:type="table" w:styleId="DarkList-Accent6">
    <w:name w:val="Dark List Accent 6"/>
    <w:basedOn w:val="TableNormal"/>
    <w:uiPriority w:val="70"/>
    <w:rsid w:val="00901205"/>
    <w:pPr>
      <w:spacing w:line="240" w:lineRule="auto"/>
    </w:pPr>
    <w:rPr>
      <w:color w:val="A5A5A5" w:themeColor="background1"/>
    </w:rPr>
    <w:tblPr>
      <w:tblStyleRowBandSize w:val="1"/>
      <w:tblStyleColBandSize w:val="1"/>
    </w:tblPr>
    <w:tcPr>
      <w:shd w:val="clear" w:color="auto" w:fill="C85019" w:themeFill="accent6"/>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63270C" w:themeFill="accent6" w:themeFillShade="7F"/>
      </w:tcPr>
    </w:tblStylePr>
    <w:tblStylePr w:type="firstCol">
      <w:tblPr/>
      <w:tcPr>
        <w:tcBorders>
          <w:top w:val="nil"/>
          <w:left w:val="nil"/>
          <w:bottom w:val="nil"/>
          <w:right w:val="single" w:sz="18" w:space="0" w:color="A5A5A5" w:themeColor="background1"/>
          <w:insideH w:val="nil"/>
          <w:insideV w:val="nil"/>
        </w:tcBorders>
        <w:shd w:val="clear" w:color="auto" w:fill="953B12" w:themeFill="accent6" w:themeFillShade="BF"/>
      </w:tcPr>
    </w:tblStylePr>
    <w:tblStylePr w:type="lastCol">
      <w:tblPr/>
      <w:tcPr>
        <w:tcBorders>
          <w:top w:val="nil"/>
          <w:left w:val="single" w:sz="18" w:space="0" w:color="A5A5A5" w:themeColor="background1"/>
          <w:bottom w:val="nil"/>
          <w:right w:val="nil"/>
          <w:insideH w:val="nil"/>
          <w:insideV w:val="nil"/>
        </w:tcBorders>
        <w:shd w:val="clear" w:color="auto" w:fill="953B12" w:themeFill="accent6" w:themeFillShade="BF"/>
      </w:tcPr>
    </w:tblStylePr>
    <w:tblStylePr w:type="band1Vert">
      <w:tblPr/>
      <w:tcPr>
        <w:tcBorders>
          <w:top w:val="nil"/>
          <w:left w:val="nil"/>
          <w:bottom w:val="nil"/>
          <w:right w:val="nil"/>
          <w:insideH w:val="nil"/>
          <w:insideV w:val="nil"/>
        </w:tcBorders>
        <w:shd w:val="clear" w:color="auto" w:fill="953B12" w:themeFill="accent6" w:themeFillShade="BF"/>
      </w:tcPr>
    </w:tblStylePr>
    <w:tblStylePr w:type="band1Horz">
      <w:tblPr/>
      <w:tcPr>
        <w:tcBorders>
          <w:top w:val="nil"/>
          <w:left w:val="nil"/>
          <w:bottom w:val="nil"/>
          <w:right w:val="nil"/>
          <w:insideH w:val="nil"/>
          <w:insideV w:val="nil"/>
        </w:tcBorders>
        <w:shd w:val="clear" w:color="auto" w:fill="953B12" w:themeFill="accent6" w:themeFillShade="BF"/>
      </w:tcPr>
    </w:tblStylePr>
  </w:style>
  <w:style w:type="paragraph" w:styleId="Date">
    <w:name w:val="Date"/>
    <w:basedOn w:val="Normal"/>
    <w:next w:val="Normal"/>
    <w:link w:val="DateChar"/>
    <w:uiPriority w:val="99"/>
    <w:semiHidden/>
    <w:unhideWhenUsed/>
    <w:rsid w:val="00901205"/>
  </w:style>
  <w:style w:type="character" w:customStyle="1" w:styleId="DateChar">
    <w:name w:val="Date Char"/>
    <w:basedOn w:val="DefaultParagraphFont"/>
    <w:link w:val="Date"/>
    <w:uiPriority w:val="99"/>
    <w:semiHidden/>
    <w:rsid w:val="00901205"/>
    <w:rPr>
      <w:lang w:val="nl-BE"/>
    </w:rPr>
  </w:style>
  <w:style w:type="paragraph" w:styleId="DocumentMap">
    <w:name w:val="Document Map"/>
    <w:basedOn w:val="Normal"/>
    <w:link w:val="DocumentMapChar"/>
    <w:uiPriority w:val="99"/>
    <w:semiHidden/>
    <w:unhideWhenUsed/>
    <w:rsid w:val="00901205"/>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01205"/>
    <w:rPr>
      <w:rFonts w:ascii="Tahoma" w:hAnsi="Tahoma" w:cs="Tahoma"/>
      <w:sz w:val="16"/>
      <w:szCs w:val="16"/>
      <w:lang w:val="nl-BE"/>
    </w:rPr>
  </w:style>
  <w:style w:type="paragraph" w:styleId="E-mailSignature">
    <w:name w:val="E-mail Signature"/>
    <w:basedOn w:val="Normal"/>
    <w:link w:val="E-mailSignatureChar"/>
    <w:uiPriority w:val="99"/>
    <w:semiHidden/>
    <w:unhideWhenUsed/>
    <w:rsid w:val="00901205"/>
    <w:pPr>
      <w:spacing w:line="240" w:lineRule="auto"/>
    </w:pPr>
  </w:style>
  <w:style w:type="character" w:customStyle="1" w:styleId="E-mailSignatureChar">
    <w:name w:val="E-mail Signature Char"/>
    <w:basedOn w:val="DefaultParagraphFont"/>
    <w:link w:val="E-mailSignature"/>
    <w:uiPriority w:val="99"/>
    <w:semiHidden/>
    <w:rsid w:val="00901205"/>
    <w:rPr>
      <w:lang w:val="nl-BE"/>
    </w:rPr>
  </w:style>
  <w:style w:type="paragraph" w:styleId="EnvelopeAddress">
    <w:name w:val="envelope address"/>
    <w:basedOn w:val="Normal"/>
    <w:uiPriority w:val="99"/>
    <w:semiHidden/>
    <w:unhideWhenUsed/>
    <w:rsid w:val="0090120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01205"/>
    <w:pPr>
      <w:spacing w:line="240" w:lineRule="auto"/>
    </w:pPr>
    <w:rPr>
      <w:rFonts w:asciiTheme="majorHAnsi" w:eastAsiaTheme="majorEastAsia" w:hAnsiTheme="majorHAnsi" w:cstheme="majorBidi"/>
      <w:szCs w:val="20"/>
    </w:rPr>
  </w:style>
  <w:style w:type="character" w:customStyle="1" w:styleId="Heading6Char">
    <w:name w:val="Heading 6 Char"/>
    <w:basedOn w:val="DefaultParagraphFont"/>
    <w:link w:val="Heading6"/>
    <w:uiPriority w:val="9"/>
    <w:semiHidden/>
    <w:rsid w:val="00901205"/>
    <w:rPr>
      <w:rFonts w:asciiTheme="majorHAnsi" w:eastAsiaTheme="majorEastAsia" w:hAnsiTheme="majorHAnsi" w:cstheme="majorBidi"/>
      <w:i/>
      <w:iCs/>
      <w:color w:val="1C541A" w:themeColor="accent1" w:themeShade="7F"/>
      <w:lang w:val="nl-BE"/>
    </w:rPr>
  </w:style>
  <w:style w:type="character" w:customStyle="1" w:styleId="Heading7Char">
    <w:name w:val="Heading 7 Char"/>
    <w:basedOn w:val="DefaultParagraphFont"/>
    <w:link w:val="Heading7"/>
    <w:uiPriority w:val="9"/>
    <w:semiHidden/>
    <w:rsid w:val="00901205"/>
    <w:rPr>
      <w:rFonts w:asciiTheme="majorHAnsi" w:eastAsiaTheme="majorEastAsia" w:hAnsiTheme="majorHAnsi" w:cstheme="majorBidi"/>
      <w:i/>
      <w:iCs/>
      <w:color w:val="808285" w:themeColor="text1" w:themeTint="BF"/>
      <w:lang w:val="nl-BE"/>
    </w:rPr>
  </w:style>
  <w:style w:type="character" w:customStyle="1" w:styleId="Heading8Char">
    <w:name w:val="Heading 8 Char"/>
    <w:basedOn w:val="DefaultParagraphFont"/>
    <w:link w:val="Heading8"/>
    <w:uiPriority w:val="9"/>
    <w:semiHidden/>
    <w:rsid w:val="00901205"/>
    <w:rPr>
      <w:rFonts w:asciiTheme="majorHAnsi" w:eastAsiaTheme="majorEastAsia" w:hAnsiTheme="majorHAnsi" w:cstheme="majorBidi"/>
      <w:color w:val="808285" w:themeColor="text1" w:themeTint="BF"/>
      <w:szCs w:val="20"/>
      <w:lang w:val="nl-BE"/>
    </w:rPr>
  </w:style>
  <w:style w:type="character" w:customStyle="1" w:styleId="Heading9Char">
    <w:name w:val="Heading 9 Char"/>
    <w:basedOn w:val="DefaultParagraphFont"/>
    <w:link w:val="Heading9"/>
    <w:uiPriority w:val="9"/>
    <w:semiHidden/>
    <w:rsid w:val="00901205"/>
    <w:rPr>
      <w:rFonts w:asciiTheme="majorHAnsi" w:eastAsiaTheme="majorEastAsia" w:hAnsiTheme="majorHAnsi" w:cstheme="majorBidi"/>
      <w:i/>
      <w:iCs/>
      <w:color w:val="808285" w:themeColor="text1" w:themeTint="BF"/>
      <w:szCs w:val="20"/>
      <w:lang w:val="nl-BE"/>
    </w:rPr>
  </w:style>
  <w:style w:type="paragraph" w:styleId="HTMLAddress">
    <w:name w:val="HTML Address"/>
    <w:basedOn w:val="Normal"/>
    <w:link w:val="HTMLAddressChar"/>
    <w:uiPriority w:val="99"/>
    <w:semiHidden/>
    <w:unhideWhenUsed/>
    <w:rsid w:val="00901205"/>
    <w:pPr>
      <w:spacing w:line="240" w:lineRule="auto"/>
    </w:pPr>
    <w:rPr>
      <w:i/>
      <w:iCs/>
    </w:rPr>
  </w:style>
  <w:style w:type="character" w:customStyle="1" w:styleId="HTMLAddressChar">
    <w:name w:val="HTML Address Char"/>
    <w:basedOn w:val="DefaultParagraphFont"/>
    <w:link w:val="HTMLAddress"/>
    <w:uiPriority w:val="99"/>
    <w:semiHidden/>
    <w:rsid w:val="00901205"/>
    <w:rPr>
      <w:i/>
      <w:iCs/>
      <w:lang w:val="nl-BE"/>
    </w:rPr>
  </w:style>
  <w:style w:type="paragraph" w:styleId="HTMLPreformatted">
    <w:name w:val="HTML Preformatted"/>
    <w:basedOn w:val="Normal"/>
    <w:link w:val="HTMLPreformattedChar"/>
    <w:uiPriority w:val="99"/>
    <w:semiHidden/>
    <w:unhideWhenUsed/>
    <w:rsid w:val="00901205"/>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901205"/>
    <w:rPr>
      <w:rFonts w:ascii="Consolas" w:hAnsi="Consolas"/>
      <w:szCs w:val="20"/>
      <w:lang w:val="nl-BE"/>
    </w:rPr>
  </w:style>
  <w:style w:type="paragraph" w:styleId="Index1">
    <w:name w:val="index 1"/>
    <w:basedOn w:val="Normal"/>
    <w:next w:val="Normal"/>
    <w:autoRedefine/>
    <w:uiPriority w:val="99"/>
    <w:semiHidden/>
    <w:unhideWhenUsed/>
    <w:rsid w:val="00901205"/>
    <w:pPr>
      <w:spacing w:line="240" w:lineRule="auto"/>
      <w:ind w:left="220" w:hanging="220"/>
    </w:pPr>
  </w:style>
  <w:style w:type="paragraph" w:styleId="Index2">
    <w:name w:val="index 2"/>
    <w:basedOn w:val="Normal"/>
    <w:next w:val="Normal"/>
    <w:autoRedefine/>
    <w:uiPriority w:val="99"/>
    <w:semiHidden/>
    <w:unhideWhenUsed/>
    <w:rsid w:val="00901205"/>
    <w:pPr>
      <w:spacing w:line="240" w:lineRule="auto"/>
      <w:ind w:left="440" w:hanging="220"/>
    </w:pPr>
  </w:style>
  <w:style w:type="paragraph" w:styleId="Index3">
    <w:name w:val="index 3"/>
    <w:basedOn w:val="Normal"/>
    <w:next w:val="Normal"/>
    <w:autoRedefine/>
    <w:uiPriority w:val="99"/>
    <w:semiHidden/>
    <w:unhideWhenUsed/>
    <w:rsid w:val="00901205"/>
    <w:pPr>
      <w:spacing w:line="240" w:lineRule="auto"/>
      <w:ind w:left="660" w:hanging="220"/>
    </w:pPr>
  </w:style>
  <w:style w:type="paragraph" w:styleId="Index4">
    <w:name w:val="index 4"/>
    <w:basedOn w:val="Normal"/>
    <w:next w:val="Normal"/>
    <w:autoRedefine/>
    <w:uiPriority w:val="99"/>
    <w:semiHidden/>
    <w:unhideWhenUsed/>
    <w:rsid w:val="00901205"/>
    <w:pPr>
      <w:spacing w:line="240" w:lineRule="auto"/>
      <w:ind w:left="880" w:hanging="220"/>
    </w:pPr>
  </w:style>
  <w:style w:type="paragraph" w:styleId="Index5">
    <w:name w:val="index 5"/>
    <w:basedOn w:val="Normal"/>
    <w:next w:val="Normal"/>
    <w:autoRedefine/>
    <w:uiPriority w:val="99"/>
    <w:semiHidden/>
    <w:unhideWhenUsed/>
    <w:rsid w:val="00901205"/>
    <w:pPr>
      <w:spacing w:line="240" w:lineRule="auto"/>
      <w:ind w:left="1100" w:hanging="220"/>
    </w:pPr>
  </w:style>
  <w:style w:type="paragraph" w:styleId="Index6">
    <w:name w:val="index 6"/>
    <w:basedOn w:val="Normal"/>
    <w:next w:val="Normal"/>
    <w:autoRedefine/>
    <w:uiPriority w:val="99"/>
    <w:semiHidden/>
    <w:unhideWhenUsed/>
    <w:rsid w:val="00901205"/>
    <w:pPr>
      <w:spacing w:line="240" w:lineRule="auto"/>
      <w:ind w:left="1320" w:hanging="220"/>
    </w:pPr>
  </w:style>
  <w:style w:type="paragraph" w:styleId="Index7">
    <w:name w:val="index 7"/>
    <w:basedOn w:val="Normal"/>
    <w:next w:val="Normal"/>
    <w:autoRedefine/>
    <w:uiPriority w:val="99"/>
    <w:semiHidden/>
    <w:unhideWhenUsed/>
    <w:rsid w:val="00901205"/>
    <w:pPr>
      <w:spacing w:line="240" w:lineRule="auto"/>
      <w:ind w:left="1540" w:hanging="220"/>
    </w:pPr>
  </w:style>
  <w:style w:type="paragraph" w:styleId="Index8">
    <w:name w:val="index 8"/>
    <w:basedOn w:val="Normal"/>
    <w:next w:val="Normal"/>
    <w:autoRedefine/>
    <w:uiPriority w:val="99"/>
    <w:semiHidden/>
    <w:unhideWhenUsed/>
    <w:rsid w:val="00901205"/>
    <w:pPr>
      <w:spacing w:line="240" w:lineRule="auto"/>
      <w:ind w:left="1760" w:hanging="220"/>
    </w:pPr>
  </w:style>
  <w:style w:type="paragraph" w:styleId="Index9">
    <w:name w:val="index 9"/>
    <w:basedOn w:val="Normal"/>
    <w:next w:val="Normal"/>
    <w:autoRedefine/>
    <w:uiPriority w:val="99"/>
    <w:semiHidden/>
    <w:unhideWhenUsed/>
    <w:rsid w:val="00901205"/>
    <w:pPr>
      <w:spacing w:line="240" w:lineRule="auto"/>
      <w:ind w:left="1980" w:hanging="220"/>
    </w:pPr>
  </w:style>
  <w:style w:type="paragraph" w:styleId="IndexHeading">
    <w:name w:val="index heading"/>
    <w:basedOn w:val="Normal"/>
    <w:next w:val="Index1"/>
    <w:uiPriority w:val="99"/>
    <w:semiHidden/>
    <w:unhideWhenUsed/>
    <w:rsid w:val="0090120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01205"/>
    <w:pPr>
      <w:pBdr>
        <w:bottom w:val="single" w:sz="4" w:space="4" w:color="3AAA35" w:themeColor="accent1"/>
      </w:pBdr>
      <w:spacing w:before="200" w:after="280"/>
      <w:ind w:left="936" w:right="936"/>
    </w:pPr>
    <w:rPr>
      <w:b/>
      <w:bCs/>
      <w:i/>
      <w:iCs/>
      <w:color w:val="3AAA35" w:themeColor="accent1"/>
    </w:rPr>
  </w:style>
  <w:style w:type="character" w:customStyle="1" w:styleId="IntenseQuoteChar">
    <w:name w:val="Intense Quote Char"/>
    <w:basedOn w:val="DefaultParagraphFont"/>
    <w:link w:val="IntenseQuote"/>
    <w:uiPriority w:val="30"/>
    <w:rsid w:val="00901205"/>
    <w:rPr>
      <w:b/>
      <w:bCs/>
      <w:i/>
      <w:iCs/>
      <w:color w:val="3AAA35" w:themeColor="accent1"/>
      <w:lang w:val="nl-BE"/>
    </w:rPr>
  </w:style>
  <w:style w:type="table" w:styleId="LightGrid">
    <w:name w:val="Light Grid"/>
    <w:basedOn w:val="TableNormal"/>
    <w:uiPriority w:val="62"/>
    <w:rsid w:val="00901205"/>
    <w:pPr>
      <w:spacing w:line="240" w:lineRule="auto"/>
    </w:p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insideH w:val="single" w:sz="8" w:space="0" w:color="58595B" w:themeColor="text1"/>
        <w:insideV w:val="single" w:sz="8" w:space="0" w:color="58595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595B" w:themeColor="text1"/>
          <w:left w:val="single" w:sz="8" w:space="0" w:color="58595B" w:themeColor="text1"/>
          <w:bottom w:val="single" w:sz="18" w:space="0" w:color="58595B" w:themeColor="text1"/>
          <w:right w:val="single" w:sz="8" w:space="0" w:color="58595B" w:themeColor="text1"/>
          <w:insideH w:val="nil"/>
          <w:insideV w:val="single" w:sz="8" w:space="0" w:color="58595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595B" w:themeColor="text1"/>
          <w:left w:val="single" w:sz="8" w:space="0" w:color="58595B" w:themeColor="text1"/>
          <w:bottom w:val="single" w:sz="8" w:space="0" w:color="58595B" w:themeColor="text1"/>
          <w:right w:val="single" w:sz="8" w:space="0" w:color="58595B" w:themeColor="text1"/>
          <w:insideH w:val="nil"/>
          <w:insideV w:val="single" w:sz="8" w:space="0" w:color="58595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tblStylePr w:type="band1Vert">
      <w:tblPr/>
      <w:tcPr>
        <w:tcBorders>
          <w:top w:val="single" w:sz="8" w:space="0" w:color="58595B" w:themeColor="text1"/>
          <w:left w:val="single" w:sz="8" w:space="0" w:color="58595B" w:themeColor="text1"/>
          <w:bottom w:val="single" w:sz="8" w:space="0" w:color="58595B" w:themeColor="text1"/>
          <w:right w:val="single" w:sz="8" w:space="0" w:color="58595B" w:themeColor="text1"/>
        </w:tcBorders>
        <w:shd w:val="clear" w:color="auto" w:fill="D5D5D6" w:themeFill="text1" w:themeFillTint="3F"/>
      </w:tcPr>
    </w:tblStylePr>
    <w:tblStylePr w:type="band1Horz">
      <w:tblPr/>
      <w:tcPr>
        <w:tcBorders>
          <w:top w:val="single" w:sz="8" w:space="0" w:color="58595B" w:themeColor="text1"/>
          <w:left w:val="single" w:sz="8" w:space="0" w:color="58595B" w:themeColor="text1"/>
          <w:bottom w:val="single" w:sz="8" w:space="0" w:color="58595B" w:themeColor="text1"/>
          <w:right w:val="single" w:sz="8" w:space="0" w:color="58595B" w:themeColor="text1"/>
          <w:insideV w:val="single" w:sz="8" w:space="0" w:color="58595B" w:themeColor="text1"/>
        </w:tcBorders>
        <w:shd w:val="clear" w:color="auto" w:fill="D5D5D6" w:themeFill="text1" w:themeFillTint="3F"/>
      </w:tcPr>
    </w:tblStylePr>
    <w:tblStylePr w:type="band2Horz">
      <w:tblPr/>
      <w:tcPr>
        <w:tcBorders>
          <w:top w:val="single" w:sz="8" w:space="0" w:color="58595B" w:themeColor="text1"/>
          <w:left w:val="single" w:sz="8" w:space="0" w:color="58595B" w:themeColor="text1"/>
          <w:bottom w:val="single" w:sz="8" w:space="0" w:color="58595B" w:themeColor="text1"/>
          <w:right w:val="single" w:sz="8" w:space="0" w:color="58595B" w:themeColor="text1"/>
          <w:insideV w:val="single" w:sz="8" w:space="0" w:color="58595B" w:themeColor="text1"/>
        </w:tcBorders>
      </w:tcPr>
    </w:tblStylePr>
  </w:style>
  <w:style w:type="table" w:styleId="LightGrid-Accent1">
    <w:name w:val="Light Grid Accent 1"/>
    <w:basedOn w:val="TableNormal"/>
    <w:uiPriority w:val="62"/>
    <w:rsid w:val="00901205"/>
    <w:pPr>
      <w:spacing w:line="240" w:lineRule="auto"/>
    </w:pPr>
    <w:tblPr>
      <w:tblStyleRowBandSize w:val="1"/>
      <w:tblStyleColBandSize w:val="1"/>
      <w:tblBorders>
        <w:top w:val="single" w:sz="8" w:space="0" w:color="3AAA35" w:themeColor="accent1"/>
        <w:left w:val="single" w:sz="8" w:space="0" w:color="3AAA35" w:themeColor="accent1"/>
        <w:bottom w:val="single" w:sz="8" w:space="0" w:color="3AAA35" w:themeColor="accent1"/>
        <w:right w:val="single" w:sz="8" w:space="0" w:color="3AAA35" w:themeColor="accent1"/>
        <w:insideH w:val="single" w:sz="8" w:space="0" w:color="3AAA35" w:themeColor="accent1"/>
        <w:insideV w:val="single" w:sz="8" w:space="0" w:color="3AAA3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AAA35" w:themeColor="accent1"/>
          <w:left w:val="single" w:sz="8" w:space="0" w:color="3AAA35" w:themeColor="accent1"/>
          <w:bottom w:val="single" w:sz="18" w:space="0" w:color="3AAA35" w:themeColor="accent1"/>
          <w:right w:val="single" w:sz="8" w:space="0" w:color="3AAA35" w:themeColor="accent1"/>
          <w:insideH w:val="nil"/>
          <w:insideV w:val="single" w:sz="8" w:space="0" w:color="3AAA3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AAA35" w:themeColor="accent1"/>
          <w:left w:val="single" w:sz="8" w:space="0" w:color="3AAA35" w:themeColor="accent1"/>
          <w:bottom w:val="single" w:sz="8" w:space="0" w:color="3AAA35" w:themeColor="accent1"/>
          <w:right w:val="single" w:sz="8" w:space="0" w:color="3AAA35" w:themeColor="accent1"/>
          <w:insideH w:val="nil"/>
          <w:insideV w:val="single" w:sz="8" w:space="0" w:color="3AAA3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AAA35" w:themeColor="accent1"/>
          <w:left w:val="single" w:sz="8" w:space="0" w:color="3AAA35" w:themeColor="accent1"/>
          <w:bottom w:val="single" w:sz="8" w:space="0" w:color="3AAA35" w:themeColor="accent1"/>
          <w:right w:val="single" w:sz="8" w:space="0" w:color="3AAA35" w:themeColor="accent1"/>
        </w:tcBorders>
      </w:tcPr>
    </w:tblStylePr>
    <w:tblStylePr w:type="band1Vert">
      <w:tblPr/>
      <w:tcPr>
        <w:tcBorders>
          <w:top w:val="single" w:sz="8" w:space="0" w:color="3AAA35" w:themeColor="accent1"/>
          <w:left w:val="single" w:sz="8" w:space="0" w:color="3AAA35" w:themeColor="accent1"/>
          <w:bottom w:val="single" w:sz="8" w:space="0" w:color="3AAA35" w:themeColor="accent1"/>
          <w:right w:val="single" w:sz="8" w:space="0" w:color="3AAA35" w:themeColor="accent1"/>
        </w:tcBorders>
        <w:shd w:val="clear" w:color="auto" w:fill="CAEEC8" w:themeFill="accent1" w:themeFillTint="3F"/>
      </w:tcPr>
    </w:tblStylePr>
    <w:tblStylePr w:type="band1Horz">
      <w:tblPr/>
      <w:tcPr>
        <w:tcBorders>
          <w:top w:val="single" w:sz="8" w:space="0" w:color="3AAA35" w:themeColor="accent1"/>
          <w:left w:val="single" w:sz="8" w:space="0" w:color="3AAA35" w:themeColor="accent1"/>
          <w:bottom w:val="single" w:sz="8" w:space="0" w:color="3AAA35" w:themeColor="accent1"/>
          <w:right w:val="single" w:sz="8" w:space="0" w:color="3AAA35" w:themeColor="accent1"/>
          <w:insideV w:val="single" w:sz="8" w:space="0" w:color="3AAA35" w:themeColor="accent1"/>
        </w:tcBorders>
        <w:shd w:val="clear" w:color="auto" w:fill="CAEEC8" w:themeFill="accent1" w:themeFillTint="3F"/>
      </w:tcPr>
    </w:tblStylePr>
    <w:tblStylePr w:type="band2Horz">
      <w:tblPr/>
      <w:tcPr>
        <w:tcBorders>
          <w:top w:val="single" w:sz="8" w:space="0" w:color="3AAA35" w:themeColor="accent1"/>
          <w:left w:val="single" w:sz="8" w:space="0" w:color="3AAA35" w:themeColor="accent1"/>
          <w:bottom w:val="single" w:sz="8" w:space="0" w:color="3AAA35" w:themeColor="accent1"/>
          <w:right w:val="single" w:sz="8" w:space="0" w:color="3AAA35" w:themeColor="accent1"/>
          <w:insideV w:val="single" w:sz="8" w:space="0" w:color="3AAA35" w:themeColor="accent1"/>
        </w:tcBorders>
      </w:tcPr>
    </w:tblStylePr>
  </w:style>
  <w:style w:type="table" w:styleId="LightGrid-Accent2">
    <w:name w:val="Light Grid Accent 2"/>
    <w:basedOn w:val="TableNormal"/>
    <w:uiPriority w:val="62"/>
    <w:rsid w:val="00901205"/>
    <w:pPr>
      <w:spacing w:line="240" w:lineRule="auto"/>
    </w:pPr>
    <w:tblPr>
      <w:tblStyleRowBandSize w:val="1"/>
      <w:tblStyleColBandSize w:val="1"/>
      <w:tblBorders>
        <w:top w:val="single" w:sz="8" w:space="0" w:color="006633" w:themeColor="accent2"/>
        <w:left w:val="single" w:sz="8" w:space="0" w:color="006633" w:themeColor="accent2"/>
        <w:bottom w:val="single" w:sz="8" w:space="0" w:color="006633" w:themeColor="accent2"/>
        <w:right w:val="single" w:sz="8" w:space="0" w:color="006633" w:themeColor="accent2"/>
        <w:insideH w:val="single" w:sz="8" w:space="0" w:color="006633" w:themeColor="accent2"/>
        <w:insideV w:val="single" w:sz="8" w:space="0" w:color="0066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33" w:themeColor="accent2"/>
          <w:left w:val="single" w:sz="8" w:space="0" w:color="006633" w:themeColor="accent2"/>
          <w:bottom w:val="single" w:sz="18" w:space="0" w:color="006633" w:themeColor="accent2"/>
          <w:right w:val="single" w:sz="8" w:space="0" w:color="006633" w:themeColor="accent2"/>
          <w:insideH w:val="nil"/>
          <w:insideV w:val="single" w:sz="8" w:space="0" w:color="0066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33" w:themeColor="accent2"/>
          <w:left w:val="single" w:sz="8" w:space="0" w:color="006633" w:themeColor="accent2"/>
          <w:bottom w:val="single" w:sz="8" w:space="0" w:color="006633" w:themeColor="accent2"/>
          <w:right w:val="single" w:sz="8" w:space="0" w:color="006633" w:themeColor="accent2"/>
          <w:insideH w:val="nil"/>
          <w:insideV w:val="single" w:sz="8" w:space="0" w:color="0066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33" w:themeColor="accent2"/>
          <w:left w:val="single" w:sz="8" w:space="0" w:color="006633" w:themeColor="accent2"/>
          <w:bottom w:val="single" w:sz="8" w:space="0" w:color="006633" w:themeColor="accent2"/>
          <w:right w:val="single" w:sz="8" w:space="0" w:color="006633" w:themeColor="accent2"/>
        </w:tcBorders>
      </w:tcPr>
    </w:tblStylePr>
    <w:tblStylePr w:type="band1Vert">
      <w:tblPr/>
      <w:tcPr>
        <w:tcBorders>
          <w:top w:val="single" w:sz="8" w:space="0" w:color="006633" w:themeColor="accent2"/>
          <w:left w:val="single" w:sz="8" w:space="0" w:color="006633" w:themeColor="accent2"/>
          <w:bottom w:val="single" w:sz="8" w:space="0" w:color="006633" w:themeColor="accent2"/>
          <w:right w:val="single" w:sz="8" w:space="0" w:color="006633" w:themeColor="accent2"/>
        </w:tcBorders>
        <w:shd w:val="clear" w:color="auto" w:fill="9AFFCC" w:themeFill="accent2" w:themeFillTint="3F"/>
      </w:tcPr>
    </w:tblStylePr>
    <w:tblStylePr w:type="band1Horz">
      <w:tblPr/>
      <w:tcPr>
        <w:tcBorders>
          <w:top w:val="single" w:sz="8" w:space="0" w:color="006633" w:themeColor="accent2"/>
          <w:left w:val="single" w:sz="8" w:space="0" w:color="006633" w:themeColor="accent2"/>
          <w:bottom w:val="single" w:sz="8" w:space="0" w:color="006633" w:themeColor="accent2"/>
          <w:right w:val="single" w:sz="8" w:space="0" w:color="006633" w:themeColor="accent2"/>
          <w:insideV w:val="single" w:sz="8" w:space="0" w:color="006633" w:themeColor="accent2"/>
        </w:tcBorders>
        <w:shd w:val="clear" w:color="auto" w:fill="9AFFCC" w:themeFill="accent2" w:themeFillTint="3F"/>
      </w:tcPr>
    </w:tblStylePr>
    <w:tblStylePr w:type="band2Horz">
      <w:tblPr/>
      <w:tcPr>
        <w:tcBorders>
          <w:top w:val="single" w:sz="8" w:space="0" w:color="006633" w:themeColor="accent2"/>
          <w:left w:val="single" w:sz="8" w:space="0" w:color="006633" w:themeColor="accent2"/>
          <w:bottom w:val="single" w:sz="8" w:space="0" w:color="006633" w:themeColor="accent2"/>
          <w:right w:val="single" w:sz="8" w:space="0" w:color="006633" w:themeColor="accent2"/>
          <w:insideV w:val="single" w:sz="8" w:space="0" w:color="006633" w:themeColor="accent2"/>
        </w:tcBorders>
      </w:tcPr>
    </w:tblStylePr>
  </w:style>
  <w:style w:type="table" w:styleId="LightGrid-Accent3">
    <w:name w:val="Light Grid Accent 3"/>
    <w:basedOn w:val="TableNormal"/>
    <w:uiPriority w:val="62"/>
    <w:rsid w:val="00901205"/>
    <w:pPr>
      <w:spacing w:line="240" w:lineRule="auto"/>
    </w:p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insideH w:val="single" w:sz="8" w:space="0" w:color="BCCF00" w:themeColor="accent3"/>
        <w:insideV w:val="single" w:sz="8" w:space="0" w:color="BCCF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3"/>
          <w:left w:val="single" w:sz="8" w:space="0" w:color="BCCF00" w:themeColor="accent3"/>
          <w:bottom w:val="single" w:sz="18" w:space="0" w:color="BCCF00" w:themeColor="accent3"/>
          <w:right w:val="single" w:sz="8" w:space="0" w:color="BCCF00" w:themeColor="accent3"/>
          <w:insideH w:val="nil"/>
          <w:insideV w:val="single" w:sz="8" w:space="0" w:color="BCCF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3"/>
          <w:left w:val="single" w:sz="8" w:space="0" w:color="BCCF00" w:themeColor="accent3"/>
          <w:bottom w:val="single" w:sz="8" w:space="0" w:color="BCCF00" w:themeColor="accent3"/>
          <w:right w:val="single" w:sz="8" w:space="0" w:color="BCCF00" w:themeColor="accent3"/>
          <w:insideH w:val="nil"/>
          <w:insideV w:val="single" w:sz="8" w:space="0" w:color="BCCF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tcPr>
    </w:tblStylePr>
    <w:tblStylePr w:type="band1Vert">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shd w:val="clear" w:color="auto" w:fill="F7FFB4" w:themeFill="accent3" w:themeFillTint="3F"/>
      </w:tcPr>
    </w:tblStylePr>
    <w:tblStylePr w:type="band1Horz">
      <w:tblPr/>
      <w:tcPr>
        <w:tcBorders>
          <w:top w:val="single" w:sz="8" w:space="0" w:color="BCCF00" w:themeColor="accent3"/>
          <w:left w:val="single" w:sz="8" w:space="0" w:color="BCCF00" w:themeColor="accent3"/>
          <w:bottom w:val="single" w:sz="8" w:space="0" w:color="BCCF00" w:themeColor="accent3"/>
          <w:right w:val="single" w:sz="8" w:space="0" w:color="BCCF00" w:themeColor="accent3"/>
          <w:insideV w:val="single" w:sz="8" w:space="0" w:color="BCCF00" w:themeColor="accent3"/>
        </w:tcBorders>
        <w:shd w:val="clear" w:color="auto" w:fill="F7FFB4" w:themeFill="accent3" w:themeFillTint="3F"/>
      </w:tcPr>
    </w:tblStylePr>
    <w:tblStylePr w:type="band2Horz">
      <w:tblPr/>
      <w:tcPr>
        <w:tcBorders>
          <w:top w:val="single" w:sz="8" w:space="0" w:color="BCCF00" w:themeColor="accent3"/>
          <w:left w:val="single" w:sz="8" w:space="0" w:color="BCCF00" w:themeColor="accent3"/>
          <w:bottom w:val="single" w:sz="8" w:space="0" w:color="BCCF00" w:themeColor="accent3"/>
          <w:right w:val="single" w:sz="8" w:space="0" w:color="BCCF00" w:themeColor="accent3"/>
          <w:insideV w:val="single" w:sz="8" w:space="0" w:color="BCCF00" w:themeColor="accent3"/>
        </w:tcBorders>
      </w:tcPr>
    </w:tblStylePr>
  </w:style>
  <w:style w:type="table" w:styleId="LightGrid-Accent4">
    <w:name w:val="Light Grid Accent 4"/>
    <w:basedOn w:val="TableNormal"/>
    <w:uiPriority w:val="62"/>
    <w:rsid w:val="00901205"/>
    <w:pPr>
      <w:spacing w:line="240" w:lineRule="auto"/>
    </w:p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insideH w:val="single" w:sz="8" w:space="0" w:color="FAD500" w:themeColor="accent4"/>
        <w:insideV w:val="single" w:sz="8" w:space="0" w:color="FAD5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D500" w:themeColor="accent4"/>
          <w:left w:val="single" w:sz="8" w:space="0" w:color="FAD500" w:themeColor="accent4"/>
          <w:bottom w:val="single" w:sz="18" w:space="0" w:color="FAD500" w:themeColor="accent4"/>
          <w:right w:val="single" w:sz="8" w:space="0" w:color="FAD500" w:themeColor="accent4"/>
          <w:insideH w:val="nil"/>
          <w:insideV w:val="single" w:sz="8" w:space="0" w:color="FAD5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D500" w:themeColor="accent4"/>
          <w:left w:val="single" w:sz="8" w:space="0" w:color="FAD500" w:themeColor="accent4"/>
          <w:bottom w:val="single" w:sz="8" w:space="0" w:color="FAD500" w:themeColor="accent4"/>
          <w:right w:val="single" w:sz="8" w:space="0" w:color="FAD500" w:themeColor="accent4"/>
          <w:insideH w:val="nil"/>
          <w:insideV w:val="single" w:sz="8" w:space="0" w:color="FAD5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tcPr>
    </w:tblStylePr>
    <w:tblStylePr w:type="band1Vert">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shd w:val="clear" w:color="auto" w:fill="FFF5BE" w:themeFill="accent4" w:themeFillTint="3F"/>
      </w:tcPr>
    </w:tblStylePr>
    <w:tblStylePr w:type="band1Horz">
      <w:tblPr/>
      <w:tcPr>
        <w:tcBorders>
          <w:top w:val="single" w:sz="8" w:space="0" w:color="FAD500" w:themeColor="accent4"/>
          <w:left w:val="single" w:sz="8" w:space="0" w:color="FAD500" w:themeColor="accent4"/>
          <w:bottom w:val="single" w:sz="8" w:space="0" w:color="FAD500" w:themeColor="accent4"/>
          <w:right w:val="single" w:sz="8" w:space="0" w:color="FAD500" w:themeColor="accent4"/>
          <w:insideV w:val="single" w:sz="8" w:space="0" w:color="FAD500" w:themeColor="accent4"/>
        </w:tcBorders>
        <w:shd w:val="clear" w:color="auto" w:fill="FFF5BE" w:themeFill="accent4" w:themeFillTint="3F"/>
      </w:tcPr>
    </w:tblStylePr>
    <w:tblStylePr w:type="band2Horz">
      <w:tblPr/>
      <w:tcPr>
        <w:tcBorders>
          <w:top w:val="single" w:sz="8" w:space="0" w:color="FAD500" w:themeColor="accent4"/>
          <w:left w:val="single" w:sz="8" w:space="0" w:color="FAD500" w:themeColor="accent4"/>
          <w:bottom w:val="single" w:sz="8" w:space="0" w:color="FAD500" w:themeColor="accent4"/>
          <w:right w:val="single" w:sz="8" w:space="0" w:color="FAD500" w:themeColor="accent4"/>
          <w:insideV w:val="single" w:sz="8" w:space="0" w:color="FAD500" w:themeColor="accent4"/>
        </w:tcBorders>
      </w:tcPr>
    </w:tblStylePr>
  </w:style>
  <w:style w:type="table" w:styleId="LightGrid-Accent5">
    <w:name w:val="Light Grid Accent 5"/>
    <w:basedOn w:val="TableNormal"/>
    <w:uiPriority w:val="62"/>
    <w:rsid w:val="00901205"/>
    <w:pPr>
      <w:spacing w:line="240" w:lineRule="auto"/>
    </w:p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insideH w:val="single" w:sz="8" w:space="0" w:color="F29D00" w:themeColor="accent5"/>
        <w:insideV w:val="single" w:sz="8" w:space="0" w:color="F29D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9D00" w:themeColor="accent5"/>
          <w:left w:val="single" w:sz="8" w:space="0" w:color="F29D00" w:themeColor="accent5"/>
          <w:bottom w:val="single" w:sz="18" w:space="0" w:color="F29D00" w:themeColor="accent5"/>
          <w:right w:val="single" w:sz="8" w:space="0" w:color="F29D00" w:themeColor="accent5"/>
          <w:insideH w:val="nil"/>
          <w:insideV w:val="single" w:sz="8" w:space="0" w:color="F29D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9D00" w:themeColor="accent5"/>
          <w:left w:val="single" w:sz="8" w:space="0" w:color="F29D00" w:themeColor="accent5"/>
          <w:bottom w:val="single" w:sz="8" w:space="0" w:color="F29D00" w:themeColor="accent5"/>
          <w:right w:val="single" w:sz="8" w:space="0" w:color="F29D00" w:themeColor="accent5"/>
          <w:insideH w:val="nil"/>
          <w:insideV w:val="single" w:sz="8" w:space="0" w:color="F29D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tcPr>
    </w:tblStylePr>
    <w:tblStylePr w:type="band1Vert">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shd w:val="clear" w:color="auto" w:fill="FFE7BC" w:themeFill="accent5" w:themeFillTint="3F"/>
      </w:tcPr>
    </w:tblStylePr>
    <w:tblStylePr w:type="band1Horz">
      <w:tblPr/>
      <w:tcPr>
        <w:tcBorders>
          <w:top w:val="single" w:sz="8" w:space="0" w:color="F29D00" w:themeColor="accent5"/>
          <w:left w:val="single" w:sz="8" w:space="0" w:color="F29D00" w:themeColor="accent5"/>
          <w:bottom w:val="single" w:sz="8" w:space="0" w:color="F29D00" w:themeColor="accent5"/>
          <w:right w:val="single" w:sz="8" w:space="0" w:color="F29D00" w:themeColor="accent5"/>
          <w:insideV w:val="single" w:sz="8" w:space="0" w:color="F29D00" w:themeColor="accent5"/>
        </w:tcBorders>
        <w:shd w:val="clear" w:color="auto" w:fill="FFE7BC" w:themeFill="accent5" w:themeFillTint="3F"/>
      </w:tcPr>
    </w:tblStylePr>
    <w:tblStylePr w:type="band2Horz">
      <w:tblPr/>
      <w:tcPr>
        <w:tcBorders>
          <w:top w:val="single" w:sz="8" w:space="0" w:color="F29D00" w:themeColor="accent5"/>
          <w:left w:val="single" w:sz="8" w:space="0" w:color="F29D00" w:themeColor="accent5"/>
          <w:bottom w:val="single" w:sz="8" w:space="0" w:color="F29D00" w:themeColor="accent5"/>
          <w:right w:val="single" w:sz="8" w:space="0" w:color="F29D00" w:themeColor="accent5"/>
          <w:insideV w:val="single" w:sz="8" w:space="0" w:color="F29D00" w:themeColor="accent5"/>
        </w:tcBorders>
      </w:tcPr>
    </w:tblStylePr>
  </w:style>
  <w:style w:type="table" w:styleId="LightGrid-Accent6">
    <w:name w:val="Light Grid Accent 6"/>
    <w:basedOn w:val="TableNormal"/>
    <w:uiPriority w:val="62"/>
    <w:rsid w:val="00901205"/>
    <w:pPr>
      <w:spacing w:line="240" w:lineRule="auto"/>
    </w:p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insideH w:val="single" w:sz="8" w:space="0" w:color="C85019" w:themeColor="accent6"/>
        <w:insideV w:val="single" w:sz="8" w:space="0" w:color="C8501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5019" w:themeColor="accent6"/>
          <w:left w:val="single" w:sz="8" w:space="0" w:color="C85019" w:themeColor="accent6"/>
          <w:bottom w:val="single" w:sz="18" w:space="0" w:color="C85019" w:themeColor="accent6"/>
          <w:right w:val="single" w:sz="8" w:space="0" w:color="C85019" w:themeColor="accent6"/>
          <w:insideH w:val="nil"/>
          <w:insideV w:val="single" w:sz="8" w:space="0" w:color="C8501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5019" w:themeColor="accent6"/>
          <w:left w:val="single" w:sz="8" w:space="0" w:color="C85019" w:themeColor="accent6"/>
          <w:bottom w:val="single" w:sz="8" w:space="0" w:color="C85019" w:themeColor="accent6"/>
          <w:right w:val="single" w:sz="8" w:space="0" w:color="C85019" w:themeColor="accent6"/>
          <w:insideH w:val="nil"/>
          <w:insideV w:val="single" w:sz="8" w:space="0" w:color="C8501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tcPr>
    </w:tblStylePr>
    <w:tblStylePr w:type="band1Vert">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shd w:val="clear" w:color="auto" w:fill="F7D1C0" w:themeFill="accent6" w:themeFillTint="3F"/>
      </w:tcPr>
    </w:tblStylePr>
    <w:tblStylePr w:type="band1Horz">
      <w:tblPr/>
      <w:tcPr>
        <w:tcBorders>
          <w:top w:val="single" w:sz="8" w:space="0" w:color="C85019" w:themeColor="accent6"/>
          <w:left w:val="single" w:sz="8" w:space="0" w:color="C85019" w:themeColor="accent6"/>
          <w:bottom w:val="single" w:sz="8" w:space="0" w:color="C85019" w:themeColor="accent6"/>
          <w:right w:val="single" w:sz="8" w:space="0" w:color="C85019" w:themeColor="accent6"/>
          <w:insideV w:val="single" w:sz="8" w:space="0" w:color="C85019" w:themeColor="accent6"/>
        </w:tcBorders>
        <w:shd w:val="clear" w:color="auto" w:fill="F7D1C0" w:themeFill="accent6" w:themeFillTint="3F"/>
      </w:tcPr>
    </w:tblStylePr>
    <w:tblStylePr w:type="band2Horz">
      <w:tblPr/>
      <w:tcPr>
        <w:tcBorders>
          <w:top w:val="single" w:sz="8" w:space="0" w:color="C85019" w:themeColor="accent6"/>
          <w:left w:val="single" w:sz="8" w:space="0" w:color="C85019" w:themeColor="accent6"/>
          <w:bottom w:val="single" w:sz="8" w:space="0" w:color="C85019" w:themeColor="accent6"/>
          <w:right w:val="single" w:sz="8" w:space="0" w:color="C85019" w:themeColor="accent6"/>
          <w:insideV w:val="single" w:sz="8" w:space="0" w:color="C85019" w:themeColor="accent6"/>
        </w:tcBorders>
      </w:tcPr>
    </w:tblStylePr>
  </w:style>
  <w:style w:type="table" w:styleId="LightList">
    <w:name w:val="Light List"/>
    <w:basedOn w:val="TableNormal"/>
    <w:uiPriority w:val="61"/>
    <w:rsid w:val="00901205"/>
    <w:pPr>
      <w:spacing w:line="240" w:lineRule="auto"/>
    </w:p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tblBorders>
    </w:tblPr>
    <w:tblStylePr w:type="firstRow">
      <w:pPr>
        <w:spacing w:before="0" w:after="0" w:line="240" w:lineRule="auto"/>
      </w:pPr>
      <w:rPr>
        <w:b/>
        <w:bCs/>
        <w:color w:val="A5A5A5" w:themeColor="background1"/>
      </w:rPr>
      <w:tblPr/>
      <w:tcPr>
        <w:shd w:val="clear" w:color="auto" w:fill="58595B" w:themeFill="text1"/>
      </w:tcPr>
    </w:tblStylePr>
    <w:tblStylePr w:type="lastRow">
      <w:pPr>
        <w:spacing w:before="0" w:after="0" w:line="240" w:lineRule="auto"/>
      </w:pPr>
      <w:rPr>
        <w:b/>
        <w:bCs/>
      </w:rPr>
      <w:tblPr/>
      <w:tcPr>
        <w:tcBorders>
          <w:top w:val="double" w:sz="6" w:space="0" w:color="58595B" w:themeColor="text1"/>
          <w:left w:val="single" w:sz="8" w:space="0" w:color="58595B" w:themeColor="text1"/>
          <w:bottom w:val="single" w:sz="8" w:space="0" w:color="58595B" w:themeColor="text1"/>
          <w:right w:val="single" w:sz="8" w:space="0" w:color="58595B" w:themeColor="text1"/>
        </w:tcBorders>
      </w:tcPr>
    </w:tblStylePr>
    <w:tblStylePr w:type="firstCol">
      <w:rPr>
        <w:b/>
        <w:bCs/>
      </w:rPr>
    </w:tblStylePr>
    <w:tblStylePr w:type="lastCol">
      <w:rPr>
        <w:b/>
        <w:bCs/>
      </w:rPr>
    </w:tblStylePr>
    <w:tblStylePr w:type="band1Vert">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tblStylePr w:type="band1Horz">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style>
  <w:style w:type="table" w:styleId="LightList-Accent1">
    <w:name w:val="Light List Accent 1"/>
    <w:basedOn w:val="TableNormal"/>
    <w:uiPriority w:val="61"/>
    <w:rsid w:val="00901205"/>
    <w:pPr>
      <w:spacing w:line="240" w:lineRule="auto"/>
    </w:pPr>
    <w:tblPr>
      <w:tblStyleRowBandSize w:val="1"/>
      <w:tblStyleColBandSize w:val="1"/>
      <w:tblBorders>
        <w:top w:val="single" w:sz="8" w:space="0" w:color="3AAA35" w:themeColor="accent1"/>
        <w:left w:val="single" w:sz="8" w:space="0" w:color="3AAA35" w:themeColor="accent1"/>
        <w:bottom w:val="single" w:sz="8" w:space="0" w:color="3AAA35" w:themeColor="accent1"/>
        <w:right w:val="single" w:sz="8" w:space="0" w:color="3AAA35" w:themeColor="accent1"/>
      </w:tblBorders>
    </w:tblPr>
    <w:tblStylePr w:type="firstRow">
      <w:pPr>
        <w:spacing w:before="0" w:after="0" w:line="240" w:lineRule="auto"/>
      </w:pPr>
      <w:rPr>
        <w:b/>
        <w:bCs/>
        <w:color w:val="A5A5A5" w:themeColor="background1"/>
      </w:rPr>
      <w:tblPr/>
      <w:tcPr>
        <w:shd w:val="clear" w:color="auto" w:fill="3AAA35" w:themeFill="accent1"/>
      </w:tcPr>
    </w:tblStylePr>
    <w:tblStylePr w:type="lastRow">
      <w:pPr>
        <w:spacing w:before="0" w:after="0" w:line="240" w:lineRule="auto"/>
      </w:pPr>
      <w:rPr>
        <w:b/>
        <w:bCs/>
      </w:rPr>
      <w:tblPr/>
      <w:tcPr>
        <w:tcBorders>
          <w:top w:val="double" w:sz="6" w:space="0" w:color="3AAA35" w:themeColor="accent1"/>
          <w:left w:val="single" w:sz="8" w:space="0" w:color="3AAA35" w:themeColor="accent1"/>
          <w:bottom w:val="single" w:sz="8" w:space="0" w:color="3AAA35" w:themeColor="accent1"/>
          <w:right w:val="single" w:sz="8" w:space="0" w:color="3AAA35" w:themeColor="accent1"/>
        </w:tcBorders>
      </w:tcPr>
    </w:tblStylePr>
    <w:tblStylePr w:type="firstCol">
      <w:rPr>
        <w:b/>
        <w:bCs/>
      </w:rPr>
    </w:tblStylePr>
    <w:tblStylePr w:type="lastCol">
      <w:rPr>
        <w:b/>
        <w:bCs/>
      </w:rPr>
    </w:tblStylePr>
    <w:tblStylePr w:type="band1Vert">
      <w:tblPr/>
      <w:tcPr>
        <w:tcBorders>
          <w:top w:val="single" w:sz="8" w:space="0" w:color="3AAA35" w:themeColor="accent1"/>
          <w:left w:val="single" w:sz="8" w:space="0" w:color="3AAA35" w:themeColor="accent1"/>
          <w:bottom w:val="single" w:sz="8" w:space="0" w:color="3AAA35" w:themeColor="accent1"/>
          <w:right w:val="single" w:sz="8" w:space="0" w:color="3AAA35" w:themeColor="accent1"/>
        </w:tcBorders>
      </w:tcPr>
    </w:tblStylePr>
    <w:tblStylePr w:type="band1Horz">
      <w:tblPr/>
      <w:tcPr>
        <w:tcBorders>
          <w:top w:val="single" w:sz="8" w:space="0" w:color="3AAA35" w:themeColor="accent1"/>
          <w:left w:val="single" w:sz="8" w:space="0" w:color="3AAA35" w:themeColor="accent1"/>
          <w:bottom w:val="single" w:sz="8" w:space="0" w:color="3AAA35" w:themeColor="accent1"/>
          <w:right w:val="single" w:sz="8" w:space="0" w:color="3AAA35" w:themeColor="accent1"/>
        </w:tcBorders>
      </w:tcPr>
    </w:tblStylePr>
  </w:style>
  <w:style w:type="table" w:styleId="LightList-Accent2">
    <w:name w:val="Light List Accent 2"/>
    <w:basedOn w:val="TableNormal"/>
    <w:uiPriority w:val="61"/>
    <w:rsid w:val="00901205"/>
    <w:pPr>
      <w:spacing w:line="240" w:lineRule="auto"/>
    </w:pPr>
    <w:tblPr>
      <w:tblStyleRowBandSize w:val="1"/>
      <w:tblStyleColBandSize w:val="1"/>
      <w:tblBorders>
        <w:top w:val="single" w:sz="8" w:space="0" w:color="006633" w:themeColor="accent2"/>
        <w:left w:val="single" w:sz="8" w:space="0" w:color="006633" w:themeColor="accent2"/>
        <w:bottom w:val="single" w:sz="8" w:space="0" w:color="006633" w:themeColor="accent2"/>
        <w:right w:val="single" w:sz="8" w:space="0" w:color="006633" w:themeColor="accent2"/>
      </w:tblBorders>
    </w:tblPr>
    <w:tblStylePr w:type="firstRow">
      <w:pPr>
        <w:spacing w:before="0" w:after="0" w:line="240" w:lineRule="auto"/>
      </w:pPr>
      <w:rPr>
        <w:b/>
        <w:bCs/>
        <w:color w:val="A5A5A5" w:themeColor="background1"/>
      </w:rPr>
      <w:tblPr/>
      <w:tcPr>
        <w:shd w:val="clear" w:color="auto" w:fill="006633" w:themeFill="accent2"/>
      </w:tcPr>
    </w:tblStylePr>
    <w:tblStylePr w:type="lastRow">
      <w:pPr>
        <w:spacing w:before="0" w:after="0" w:line="240" w:lineRule="auto"/>
      </w:pPr>
      <w:rPr>
        <w:b/>
        <w:bCs/>
      </w:rPr>
      <w:tblPr/>
      <w:tcPr>
        <w:tcBorders>
          <w:top w:val="double" w:sz="6" w:space="0" w:color="006633" w:themeColor="accent2"/>
          <w:left w:val="single" w:sz="8" w:space="0" w:color="006633" w:themeColor="accent2"/>
          <w:bottom w:val="single" w:sz="8" w:space="0" w:color="006633" w:themeColor="accent2"/>
          <w:right w:val="single" w:sz="8" w:space="0" w:color="006633" w:themeColor="accent2"/>
        </w:tcBorders>
      </w:tcPr>
    </w:tblStylePr>
    <w:tblStylePr w:type="firstCol">
      <w:rPr>
        <w:b/>
        <w:bCs/>
      </w:rPr>
    </w:tblStylePr>
    <w:tblStylePr w:type="lastCol">
      <w:rPr>
        <w:b/>
        <w:bCs/>
      </w:rPr>
    </w:tblStylePr>
    <w:tblStylePr w:type="band1Vert">
      <w:tblPr/>
      <w:tcPr>
        <w:tcBorders>
          <w:top w:val="single" w:sz="8" w:space="0" w:color="006633" w:themeColor="accent2"/>
          <w:left w:val="single" w:sz="8" w:space="0" w:color="006633" w:themeColor="accent2"/>
          <w:bottom w:val="single" w:sz="8" w:space="0" w:color="006633" w:themeColor="accent2"/>
          <w:right w:val="single" w:sz="8" w:space="0" w:color="006633" w:themeColor="accent2"/>
        </w:tcBorders>
      </w:tcPr>
    </w:tblStylePr>
    <w:tblStylePr w:type="band1Horz">
      <w:tblPr/>
      <w:tcPr>
        <w:tcBorders>
          <w:top w:val="single" w:sz="8" w:space="0" w:color="006633" w:themeColor="accent2"/>
          <w:left w:val="single" w:sz="8" w:space="0" w:color="006633" w:themeColor="accent2"/>
          <w:bottom w:val="single" w:sz="8" w:space="0" w:color="006633" w:themeColor="accent2"/>
          <w:right w:val="single" w:sz="8" w:space="0" w:color="006633" w:themeColor="accent2"/>
        </w:tcBorders>
      </w:tcPr>
    </w:tblStylePr>
  </w:style>
  <w:style w:type="table" w:styleId="LightList-Accent3">
    <w:name w:val="Light List Accent 3"/>
    <w:basedOn w:val="TableNormal"/>
    <w:uiPriority w:val="61"/>
    <w:rsid w:val="00901205"/>
    <w:pPr>
      <w:spacing w:line="240" w:lineRule="auto"/>
    </w:p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tblBorders>
    </w:tblPr>
    <w:tblStylePr w:type="firstRow">
      <w:pPr>
        <w:spacing w:before="0" w:after="0" w:line="240" w:lineRule="auto"/>
      </w:pPr>
      <w:rPr>
        <w:b/>
        <w:bCs/>
        <w:color w:val="A5A5A5" w:themeColor="background1"/>
      </w:rPr>
      <w:tblPr/>
      <w:tcPr>
        <w:shd w:val="clear" w:color="auto" w:fill="BCCF00" w:themeFill="accent3"/>
      </w:tcPr>
    </w:tblStylePr>
    <w:tblStylePr w:type="lastRow">
      <w:pPr>
        <w:spacing w:before="0" w:after="0" w:line="240" w:lineRule="auto"/>
      </w:pPr>
      <w:rPr>
        <w:b/>
        <w:bCs/>
      </w:rPr>
      <w:tblPr/>
      <w:tcPr>
        <w:tcBorders>
          <w:top w:val="double" w:sz="6" w:space="0" w:color="BCCF00" w:themeColor="accent3"/>
          <w:left w:val="single" w:sz="8" w:space="0" w:color="BCCF00" w:themeColor="accent3"/>
          <w:bottom w:val="single" w:sz="8" w:space="0" w:color="BCCF00" w:themeColor="accent3"/>
          <w:right w:val="single" w:sz="8" w:space="0" w:color="BCCF00" w:themeColor="accent3"/>
        </w:tcBorders>
      </w:tcPr>
    </w:tblStylePr>
    <w:tblStylePr w:type="firstCol">
      <w:rPr>
        <w:b/>
        <w:bCs/>
      </w:rPr>
    </w:tblStylePr>
    <w:tblStylePr w:type="lastCol">
      <w:rPr>
        <w:b/>
        <w:bCs/>
      </w:rPr>
    </w:tblStylePr>
    <w:tblStylePr w:type="band1Vert">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tcPr>
    </w:tblStylePr>
    <w:tblStylePr w:type="band1Horz">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tcPr>
    </w:tblStylePr>
  </w:style>
  <w:style w:type="table" w:styleId="LightList-Accent4">
    <w:name w:val="Light List Accent 4"/>
    <w:basedOn w:val="TableNormal"/>
    <w:uiPriority w:val="61"/>
    <w:rsid w:val="00901205"/>
    <w:pPr>
      <w:spacing w:line="240" w:lineRule="auto"/>
    </w:p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tblBorders>
    </w:tblPr>
    <w:tblStylePr w:type="firstRow">
      <w:pPr>
        <w:spacing w:before="0" w:after="0" w:line="240" w:lineRule="auto"/>
      </w:pPr>
      <w:rPr>
        <w:b/>
        <w:bCs/>
        <w:color w:val="A5A5A5" w:themeColor="background1"/>
      </w:rPr>
      <w:tblPr/>
      <w:tcPr>
        <w:shd w:val="clear" w:color="auto" w:fill="FAD500" w:themeFill="accent4"/>
      </w:tcPr>
    </w:tblStylePr>
    <w:tblStylePr w:type="lastRow">
      <w:pPr>
        <w:spacing w:before="0" w:after="0" w:line="240" w:lineRule="auto"/>
      </w:pPr>
      <w:rPr>
        <w:b/>
        <w:bCs/>
      </w:rPr>
      <w:tblPr/>
      <w:tcPr>
        <w:tcBorders>
          <w:top w:val="double" w:sz="6" w:space="0" w:color="FAD500" w:themeColor="accent4"/>
          <w:left w:val="single" w:sz="8" w:space="0" w:color="FAD500" w:themeColor="accent4"/>
          <w:bottom w:val="single" w:sz="8" w:space="0" w:color="FAD500" w:themeColor="accent4"/>
          <w:right w:val="single" w:sz="8" w:space="0" w:color="FAD500" w:themeColor="accent4"/>
        </w:tcBorders>
      </w:tcPr>
    </w:tblStylePr>
    <w:tblStylePr w:type="firstCol">
      <w:rPr>
        <w:b/>
        <w:bCs/>
      </w:rPr>
    </w:tblStylePr>
    <w:tblStylePr w:type="lastCol">
      <w:rPr>
        <w:b/>
        <w:bCs/>
      </w:rPr>
    </w:tblStylePr>
    <w:tblStylePr w:type="band1Vert">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tcPr>
    </w:tblStylePr>
    <w:tblStylePr w:type="band1Horz">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tcPr>
    </w:tblStylePr>
  </w:style>
  <w:style w:type="table" w:styleId="LightList-Accent5">
    <w:name w:val="Light List Accent 5"/>
    <w:basedOn w:val="TableNormal"/>
    <w:uiPriority w:val="61"/>
    <w:rsid w:val="00901205"/>
    <w:pPr>
      <w:spacing w:line="240" w:lineRule="auto"/>
    </w:p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tblBorders>
    </w:tblPr>
    <w:tblStylePr w:type="firstRow">
      <w:pPr>
        <w:spacing w:before="0" w:after="0" w:line="240" w:lineRule="auto"/>
      </w:pPr>
      <w:rPr>
        <w:b/>
        <w:bCs/>
        <w:color w:val="A5A5A5" w:themeColor="background1"/>
      </w:rPr>
      <w:tblPr/>
      <w:tcPr>
        <w:shd w:val="clear" w:color="auto" w:fill="F29D00" w:themeFill="accent5"/>
      </w:tcPr>
    </w:tblStylePr>
    <w:tblStylePr w:type="lastRow">
      <w:pPr>
        <w:spacing w:before="0" w:after="0" w:line="240" w:lineRule="auto"/>
      </w:pPr>
      <w:rPr>
        <w:b/>
        <w:bCs/>
      </w:rPr>
      <w:tblPr/>
      <w:tcPr>
        <w:tcBorders>
          <w:top w:val="double" w:sz="6" w:space="0" w:color="F29D00" w:themeColor="accent5"/>
          <w:left w:val="single" w:sz="8" w:space="0" w:color="F29D00" w:themeColor="accent5"/>
          <w:bottom w:val="single" w:sz="8" w:space="0" w:color="F29D00" w:themeColor="accent5"/>
          <w:right w:val="single" w:sz="8" w:space="0" w:color="F29D00" w:themeColor="accent5"/>
        </w:tcBorders>
      </w:tcPr>
    </w:tblStylePr>
    <w:tblStylePr w:type="firstCol">
      <w:rPr>
        <w:b/>
        <w:bCs/>
      </w:rPr>
    </w:tblStylePr>
    <w:tblStylePr w:type="lastCol">
      <w:rPr>
        <w:b/>
        <w:bCs/>
      </w:rPr>
    </w:tblStylePr>
    <w:tblStylePr w:type="band1Vert">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tcPr>
    </w:tblStylePr>
    <w:tblStylePr w:type="band1Horz">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tcPr>
    </w:tblStylePr>
  </w:style>
  <w:style w:type="table" w:styleId="LightList-Accent6">
    <w:name w:val="Light List Accent 6"/>
    <w:basedOn w:val="TableNormal"/>
    <w:uiPriority w:val="61"/>
    <w:rsid w:val="00901205"/>
    <w:pPr>
      <w:spacing w:line="240" w:lineRule="auto"/>
    </w:p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tblBorders>
    </w:tblPr>
    <w:tblStylePr w:type="firstRow">
      <w:pPr>
        <w:spacing w:before="0" w:after="0" w:line="240" w:lineRule="auto"/>
      </w:pPr>
      <w:rPr>
        <w:b/>
        <w:bCs/>
        <w:color w:val="A5A5A5" w:themeColor="background1"/>
      </w:rPr>
      <w:tblPr/>
      <w:tcPr>
        <w:shd w:val="clear" w:color="auto" w:fill="C85019" w:themeFill="accent6"/>
      </w:tcPr>
    </w:tblStylePr>
    <w:tblStylePr w:type="lastRow">
      <w:pPr>
        <w:spacing w:before="0" w:after="0" w:line="240" w:lineRule="auto"/>
      </w:pPr>
      <w:rPr>
        <w:b/>
        <w:bCs/>
      </w:rPr>
      <w:tblPr/>
      <w:tcPr>
        <w:tcBorders>
          <w:top w:val="double" w:sz="6" w:space="0" w:color="C85019" w:themeColor="accent6"/>
          <w:left w:val="single" w:sz="8" w:space="0" w:color="C85019" w:themeColor="accent6"/>
          <w:bottom w:val="single" w:sz="8" w:space="0" w:color="C85019" w:themeColor="accent6"/>
          <w:right w:val="single" w:sz="8" w:space="0" w:color="C85019" w:themeColor="accent6"/>
        </w:tcBorders>
      </w:tcPr>
    </w:tblStylePr>
    <w:tblStylePr w:type="firstCol">
      <w:rPr>
        <w:b/>
        <w:bCs/>
      </w:rPr>
    </w:tblStylePr>
    <w:tblStylePr w:type="lastCol">
      <w:rPr>
        <w:b/>
        <w:bCs/>
      </w:rPr>
    </w:tblStylePr>
    <w:tblStylePr w:type="band1Vert">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tcPr>
    </w:tblStylePr>
    <w:tblStylePr w:type="band1Horz">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tcPr>
    </w:tblStylePr>
  </w:style>
  <w:style w:type="table" w:styleId="LightShading">
    <w:name w:val="Light Shading"/>
    <w:basedOn w:val="TableNormal"/>
    <w:uiPriority w:val="60"/>
    <w:rsid w:val="00901205"/>
    <w:pPr>
      <w:spacing w:line="240" w:lineRule="auto"/>
    </w:pPr>
    <w:rPr>
      <w:color w:val="424244" w:themeColor="text1" w:themeShade="BF"/>
    </w:rPr>
    <w:tblPr>
      <w:tblStyleRowBandSize w:val="1"/>
      <w:tblStyleColBandSize w:val="1"/>
      <w:tblBorders>
        <w:top w:val="single" w:sz="8" w:space="0" w:color="58595B" w:themeColor="text1"/>
        <w:bottom w:val="single" w:sz="8" w:space="0" w:color="58595B" w:themeColor="text1"/>
      </w:tblBorders>
    </w:tblPr>
    <w:tblStylePr w:type="fir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la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6" w:themeFill="text1" w:themeFillTint="3F"/>
      </w:tcPr>
    </w:tblStylePr>
    <w:tblStylePr w:type="band1Horz">
      <w:tblPr/>
      <w:tcPr>
        <w:tcBorders>
          <w:left w:val="nil"/>
          <w:right w:val="nil"/>
          <w:insideH w:val="nil"/>
          <w:insideV w:val="nil"/>
        </w:tcBorders>
        <w:shd w:val="clear" w:color="auto" w:fill="D5D5D6" w:themeFill="text1" w:themeFillTint="3F"/>
      </w:tcPr>
    </w:tblStylePr>
  </w:style>
  <w:style w:type="table" w:styleId="LightShading-Accent1">
    <w:name w:val="Light Shading Accent 1"/>
    <w:basedOn w:val="TableNormal"/>
    <w:uiPriority w:val="60"/>
    <w:rsid w:val="00901205"/>
    <w:pPr>
      <w:spacing w:line="240" w:lineRule="auto"/>
    </w:pPr>
    <w:rPr>
      <w:color w:val="2B7F27" w:themeColor="accent1" w:themeShade="BF"/>
    </w:rPr>
    <w:tblPr>
      <w:tblStyleRowBandSize w:val="1"/>
      <w:tblStyleColBandSize w:val="1"/>
      <w:tblBorders>
        <w:top w:val="single" w:sz="8" w:space="0" w:color="3AAA35" w:themeColor="accent1"/>
        <w:bottom w:val="single" w:sz="8" w:space="0" w:color="3AAA35" w:themeColor="accent1"/>
      </w:tblBorders>
    </w:tblPr>
    <w:tblStylePr w:type="firstRow">
      <w:pPr>
        <w:spacing w:before="0" w:after="0" w:line="240" w:lineRule="auto"/>
      </w:pPr>
      <w:rPr>
        <w:b/>
        <w:bCs/>
      </w:rPr>
      <w:tblPr/>
      <w:tcPr>
        <w:tcBorders>
          <w:top w:val="single" w:sz="8" w:space="0" w:color="3AAA35" w:themeColor="accent1"/>
          <w:left w:val="nil"/>
          <w:bottom w:val="single" w:sz="8" w:space="0" w:color="3AAA35" w:themeColor="accent1"/>
          <w:right w:val="nil"/>
          <w:insideH w:val="nil"/>
          <w:insideV w:val="nil"/>
        </w:tcBorders>
      </w:tcPr>
    </w:tblStylePr>
    <w:tblStylePr w:type="lastRow">
      <w:pPr>
        <w:spacing w:before="0" w:after="0" w:line="240" w:lineRule="auto"/>
      </w:pPr>
      <w:rPr>
        <w:b/>
        <w:bCs/>
      </w:rPr>
      <w:tblPr/>
      <w:tcPr>
        <w:tcBorders>
          <w:top w:val="single" w:sz="8" w:space="0" w:color="3AAA35" w:themeColor="accent1"/>
          <w:left w:val="nil"/>
          <w:bottom w:val="single" w:sz="8" w:space="0" w:color="3AAA3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EC8" w:themeFill="accent1" w:themeFillTint="3F"/>
      </w:tcPr>
    </w:tblStylePr>
    <w:tblStylePr w:type="band1Horz">
      <w:tblPr/>
      <w:tcPr>
        <w:tcBorders>
          <w:left w:val="nil"/>
          <w:right w:val="nil"/>
          <w:insideH w:val="nil"/>
          <w:insideV w:val="nil"/>
        </w:tcBorders>
        <w:shd w:val="clear" w:color="auto" w:fill="CAEEC8" w:themeFill="accent1" w:themeFillTint="3F"/>
      </w:tcPr>
    </w:tblStylePr>
  </w:style>
  <w:style w:type="table" w:styleId="LightShading-Accent2">
    <w:name w:val="Light Shading Accent 2"/>
    <w:basedOn w:val="TableNormal"/>
    <w:uiPriority w:val="60"/>
    <w:rsid w:val="00901205"/>
    <w:pPr>
      <w:spacing w:line="240" w:lineRule="auto"/>
    </w:pPr>
    <w:rPr>
      <w:color w:val="004C26" w:themeColor="accent2" w:themeShade="BF"/>
    </w:rPr>
    <w:tblPr>
      <w:tblStyleRowBandSize w:val="1"/>
      <w:tblStyleColBandSize w:val="1"/>
      <w:tblBorders>
        <w:top w:val="single" w:sz="8" w:space="0" w:color="006633" w:themeColor="accent2"/>
        <w:bottom w:val="single" w:sz="8" w:space="0" w:color="006633" w:themeColor="accent2"/>
      </w:tblBorders>
    </w:tblPr>
    <w:tblStylePr w:type="firstRow">
      <w:pPr>
        <w:spacing w:before="0" w:after="0" w:line="240" w:lineRule="auto"/>
      </w:pPr>
      <w:rPr>
        <w:b/>
        <w:bCs/>
      </w:rPr>
      <w:tblPr/>
      <w:tcPr>
        <w:tcBorders>
          <w:top w:val="single" w:sz="8" w:space="0" w:color="006633" w:themeColor="accent2"/>
          <w:left w:val="nil"/>
          <w:bottom w:val="single" w:sz="8" w:space="0" w:color="006633" w:themeColor="accent2"/>
          <w:right w:val="nil"/>
          <w:insideH w:val="nil"/>
          <w:insideV w:val="nil"/>
        </w:tcBorders>
      </w:tcPr>
    </w:tblStylePr>
    <w:tblStylePr w:type="lastRow">
      <w:pPr>
        <w:spacing w:before="0" w:after="0" w:line="240" w:lineRule="auto"/>
      </w:pPr>
      <w:rPr>
        <w:b/>
        <w:bCs/>
      </w:rPr>
      <w:tblPr/>
      <w:tcPr>
        <w:tcBorders>
          <w:top w:val="single" w:sz="8" w:space="0" w:color="006633" w:themeColor="accent2"/>
          <w:left w:val="nil"/>
          <w:bottom w:val="single" w:sz="8" w:space="0" w:color="0066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CC" w:themeFill="accent2" w:themeFillTint="3F"/>
      </w:tcPr>
    </w:tblStylePr>
    <w:tblStylePr w:type="band1Horz">
      <w:tblPr/>
      <w:tcPr>
        <w:tcBorders>
          <w:left w:val="nil"/>
          <w:right w:val="nil"/>
          <w:insideH w:val="nil"/>
          <w:insideV w:val="nil"/>
        </w:tcBorders>
        <w:shd w:val="clear" w:color="auto" w:fill="9AFFCC" w:themeFill="accent2" w:themeFillTint="3F"/>
      </w:tcPr>
    </w:tblStylePr>
  </w:style>
  <w:style w:type="table" w:styleId="LightShading-Accent3">
    <w:name w:val="Light Shading Accent 3"/>
    <w:basedOn w:val="TableNormal"/>
    <w:uiPriority w:val="60"/>
    <w:rsid w:val="00901205"/>
    <w:pPr>
      <w:spacing w:line="240" w:lineRule="auto"/>
    </w:pPr>
    <w:rPr>
      <w:color w:val="8C9B00" w:themeColor="accent3" w:themeShade="BF"/>
    </w:rPr>
    <w:tblPr>
      <w:tblStyleRowBandSize w:val="1"/>
      <w:tblStyleColBandSize w:val="1"/>
      <w:tblBorders>
        <w:top w:val="single" w:sz="8" w:space="0" w:color="BCCF00" w:themeColor="accent3"/>
        <w:bottom w:val="single" w:sz="8" w:space="0" w:color="BCCF00" w:themeColor="accent3"/>
      </w:tblBorders>
    </w:tblPr>
    <w:tblStylePr w:type="firstRow">
      <w:pPr>
        <w:spacing w:before="0" w:after="0" w:line="240" w:lineRule="auto"/>
      </w:pPr>
      <w:rPr>
        <w:b/>
        <w:bCs/>
      </w:rPr>
      <w:tblPr/>
      <w:tcPr>
        <w:tcBorders>
          <w:top w:val="single" w:sz="8" w:space="0" w:color="BCCF00" w:themeColor="accent3"/>
          <w:left w:val="nil"/>
          <w:bottom w:val="single" w:sz="8" w:space="0" w:color="BCCF00" w:themeColor="accent3"/>
          <w:right w:val="nil"/>
          <w:insideH w:val="nil"/>
          <w:insideV w:val="nil"/>
        </w:tcBorders>
      </w:tcPr>
    </w:tblStylePr>
    <w:tblStylePr w:type="lastRow">
      <w:pPr>
        <w:spacing w:before="0" w:after="0" w:line="240" w:lineRule="auto"/>
      </w:pPr>
      <w:rPr>
        <w:b/>
        <w:bCs/>
      </w:rPr>
      <w:tblPr/>
      <w:tcPr>
        <w:tcBorders>
          <w:top w:val="single" w:sz="8" w:space="0" w:color="BCCF00" w:themeColor="accent3"/>
          <w:left w:val="nil"/>
          <w:bottom w:val="single" w:sz="8" w:space="0" w:color="BCCF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FB4" w:themeFill="accent3" w:themeFillTint="3F"/>
      </w:tcPr>
    </w:tblStylePr>
    <w:tblStylePr w:type="band1Horz">
      <w:tblPr/>
      <w:tcPr>
        <w:tcBorders>
          <w:left w:val="nil"/>
          <w:right w:val="nil"/>
          <w:insideH w:val="nil"/>
          <w:insideV w:val="nil"/>
        </w:tcBorders>
        <w:shd w:val="clear" w:color="auto" w:fill="F7FFB4" w:themeFill="accent3" w:themeFillTint="3F"/>
      </w:tcPr>
    </w:tblStylePr>
  </w:style>
  <w:style w:type="table" w:styleId="LightShading-Accent4">
    <w:name w:val="Light Shading Accent 4"/>
    <w:basedOn w:val="TableNormal"/>
    <w:uiPriority w:val="60"/>
    <w:rsid w:val="00901205"/>
    <w:pPr>
      <w:spacing w:line="240" w:lineRule="auto"/>
    </w:pPr>
    <w:rPr>
      <w:color w:val="BB9F00" w:themeColor="accent4" w:themeShade="BF"/>
    </w:rPr>
    <w:tblPr>
      <w:tblStyleRowBandSize w:val="1"/>
      <w:tblStyleColBandSize w:val="1"/>
      <w:tblBorders>
        <w:top w:val="single" w:sz="8" w:space="0" w:color="FAD500" w:themeColor="accent4"/>
        <w:bottom w:val="single" w:sz="8" w:space="0" w:color="FAD500" w:themeColor="accent4"/>
      </w:tblBorders>
    </w:tblPr>
    <w:tblStylePr w:type="firstRow">
      <w:pPr>
        <w:spacing w:before="0" w:after="0" w:line="240" w:lineRule="auto"/>
      </w:pPr>
      <w:rPr>
        <w:b/>
        <w:bCs/>
      </w:rPr>
      <w:tblPr/>
      <w:tcPr>
        <w:tcBorders>
          <w:top w:val="single" w:sz="8" w:space="0" w:color="FAD500" w:themeColor="accent4"/>
          <w:left w:val="nil"/>
          <w:bottom w:val="single" w:sz="8" w:space="0" w:color="FAD500" w:themeColor="accent4"/>
          <w:right w:val="nil"/>
          <w:insideH w:val="nil"/>
          <w:insideV w:val="nil"/>
        </w:tcBorders>
      </w:tcPr>
    </w:tblStylePr>
    <w:tblStylePr w:type="lastRow">
      <w:pPr>
        <w:spacing w:before="0" w:after="0" w:line="240" w:lineRule="auto"/>
      </w:pPr>
      <w:rPr>
        <w:b/>
        <w:bCs/>
      </w:rPr>
      <w:tblPr/>
      <w:tcPr>
        <w:tcBorders>
          <w:top w:val="single" w:sz="8" w:space="0" w:color="FAD500" w:themeColor="accent4"/>
          <w:left w:val="nil"/>
          <w:bottom w:val="single" w:sz="8" w:space="0" w:color="FAD5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5BE" w:themeFill="accent4" w:themeFillTint="3F"/>
      </w:tcPr>
    </w:tblStylePr>
    <w:tblStylePr w:type="band1Horz">
      <w:tblPr/>
      <w:tcPr>
        <w:tcBorders>
          <w:left w:val="nil"/>
          <w:right w:val="nil"/>
          <w:insideH w:val="nil"/>
          <w:insideV w:val="nil"/>
        </w:tcBorders>
        <w:shd w:val="clear" w:color="auto" w:fill="FFF5BE" w:themeFill="accent4" w:themeFillTint="3F"/>
      </w:tcPr>
    </w:tblStylePr>
  </w:style>
  <w:style w:type="table" w:styleId="LightShading-Accent5">
    <w:name w:val="Light Shading Accent 5"/>
    <w:basedOn w:val="TableNormal"/>
    <w:uiPriority w:val="60"/>
    <w:rsid w:val="00901205"/>
    <w:pPr>
      <w:spacing w:line="240" w:lineRule="auto"/>
    </w:pPr>
    <w:rPr>
      <w:color w:val="B57500" w:themeColor="accent5" w:themeShade="BF"/>
    </w:rPr>
    <w:tblPr>
      <w:tblStyleRowBandSize w:val="1"/>
      <w:tblStyleColBandSize w:val="1"/>
      <w:tblBorders>
        <w:top w:val="single" w:sz="8" w:space="0" w:color="F29D00" w:themeColor="accent5"/>
        <w:bottom w:val="single" w:sz="8" w:space="0" w:color="F29D00" w:themeColor="accent5"/>
      </w:tblBorders>
    </w:tblPr>
    <w:tblStylePr w:type="firstRow">
      <w:pPr>
        <w:spacing w:before="0" w:after="0" w:line="240" w:lineRule="auto"/>
      </w:pPr>
      <w:rPr>
        <w:b/>
        <w:bCs/>
      </w:rPr>
      <w:tblPr/>
      <w:tcPr>
        <w:tcBorders>
          <w:top w:val="single" w:sz="8" w:space="0" w:color="F29D00" w:themeColor="accent5"/>
          <w:left w:val="nil"/>
          <w:bottom w:val="single" w:sz="8" w:space="0" w:color="F29D00" w:themeColor="accent5"/>
          <w:right w:val="nil"/>
          <w:insideH w:val="nil"/>
          <w:insideV w:val="nil"/>
        </w:tcBorders>
      </w:tcPr>
    </w:tblStylePr>
    <w:tblStylePr w:type="lastRow">
      <w:pPr>
        <w:spacing w:before="0" w:after="0" w:line="240" w:lineRule="auto"/>
      </w:pPr>
      <w:rPr>
        <w:b/>
        <w:bCs/>
      </w:rPr>
      <w:tblPr/>
      <w:tcPr>
        <w:tcBorders>
          <w:top w:val="single" w:sz="8" w:space="0" w:color="F29D00" w:themeColor="accent5"/>
          <w:left w:val="nil"/>
          <w:bottom w:val="single" w:sz="8" w:space="0" w:color="F29D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BC" w:themeFill="accent5" w:themeFillTint="3F"/>
      </w:tcPr>
    </w:tblStylePr>
    <w:tblStylePr w:type="band1Horz">
      <w:tblPr/>
      <w:tcPr>
        <w:tcBorders>
          <w:left w:val="nil"/>
          <w:right w:val="nil"/>
          <w:insideH w:val="nil"/>
          <w:insideV w:val="nil"/>
        </w:tcBorders>
        <w:shd w:val="clear" w:color="auto" w:fill="FFE7BC" w:themeFill="accent5" w:themeFillTint="3F"/>
      </w:tcPr>
    </w:tblStylePr>
  </w:style>
  <w:style w:type="table" w:styleId="LightShading-Accent6">
    <w:name w:val="Light Shading Accent 6"/>
    <w:basedOn w:val="TableNormal"/>
    <w:uiPriority w:val="60"/>
    <w:rsid w:val="00901205"/>
    <w:pPr>
      <w:spacing w:line="240" w:lineRule="auto"/>
    </w:pPr>
    <w:rPr>
      <w:color w:val="953B12" w:themeColor="accent6" w:themeShade="BF"/>
    </w:rPr>
    <w:tblPr>
      <w:tblStyleRowBandSize w:val="1"/>
      <w:tblStyleColBandSize w:val="1"/>
      <w:tblBorders>
        <w:top w:val="single" w:sz="8" w:space="0" w:color="C85019" w:themeColor="accent6"/>
        <w:bottom w:val="single" w:sz="8" w:space="0" w:color="C85019" w:themeColor="accent6"/>
      </w:tblBorders>
    </w:tblPr>
    <w:tblStylePr w:type="firstRow">
      <w:pPr>
        <w:spacing w:before="0" w:after="0" w:line="240" w:lineRule="auto"/>
      </w:pPr>
      <w:rPr>
        <w:b/>
        <w:bCs/>
      </w:rPr>
      <w:tblPr/>
      <w:tcPr>
        <w:tcBorders>
          <w:top w:val="single" w:sz="8" w:space="0" w:color="C85019" w:themeColor="accent6"/>
          <w:left w:val="nil"/>
          <w:bottom w:val="single" w:sz="8" w:space="0" w:color="C85019" w:themeColor="accent6"/>
          <w:right w:val="nil"/>
          <w:insideH w:val="nil"/>
          <w:insideV w:val="nil"/>
        </w:tcBorders>
      </w:tcPr>
    </w:tblStylePr>
    <w:tblStylePr w:type="lastRow">
      <w:pPr>
        <w:spacing w:before="0" w:after="0" w:line="240" w:lineRule="auto"/>
      </w:pPr>
      <w:rPr>
        <w:b/>
        <w:bCs/>
      </w:rPr>
      <w:tblPr/>
      <w:tcPr>
        <w:tcBorders>
          <w:top w:val="single" w:sz="8" w:space="0" w:color="C85019" w:themeColor="accent6"/>
          <w:left w:val="nil"/>
          <w:bottom w:val="single" w:sz="8" w:space="0" w:color="C8501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D1C0" w:themeFill="accent6" w:themeFillTint="3F"/>
      </w:tcPr>
    </w:tblStylePr>
    <w:tblStylePr w:type="band1Horz">
      <w:tblPr/>
      <w:tcPr>
        <w:tcBorders>
          <w:left w:val="nil"/>
          <w:right w:val="nil"/>
          <w:insideH w:val="nil"/>
          <w:insideV w:val="nil"/>
        </w:tcBorders>
        <w:shd w:val="clear" w:color="auto" w:fill="F7D1C0" w:themeFill="accent6" w:themeFillTint="3F"/>
      </w:tcPr>
    </w:tblStylePr>
  </w:style>
  <w:style w:type="paragraph" w:styleId="List">
    <w:name w:val="List"/>
    <w:basedOn w:val="Normal"/>
    <w:uiPriority w:val="99"/>
    <w:semiHidden/>
    <w:unhideWhenUsed/>
    <w:rsid w:val="00901205"/>
    <w:pPr>
      <w:ind w:left="283" w:hanging="283"/>
      <w:contextualSpacing/>
    </w:pPr>
  </w:style>
  <w:style w:type="paragraph" w:styleId="List2">
    <w:name w:val="List 2"/>
    <w:basedOn w:val="Normal"/>
    <w:uiPriority w:val="99"/>
    <w:semiHidden/>
    <w:unhideWhenUsed/>
    <w:rsid w:val="00901205"/>
    <w:pPr>
      <w:ind w:left="566" w:hanging="283"/>
      <w:contextualSpacing/>
    </w:pPr>
  </w:style>
  <w:style w:type="paragraph" w:styleId="List3">
    <w:name w:val="List 3"/>
    <w:basedOn w:val="Normal"/>
    <w:uiPriority w:val="99"/>
    <w:semiHidden/>
    <w:unhideWhenUsed/>
    <w:rsid w:val="00901205"/>
    <w:pPr>
      <w:ind w:left="849" w:hanging="283"/>
      <w:contextualSpacing/>
    </w:pPr>
  </w:style>
  <w:style w:type="paragraph" w:styleId="List4">
    <w:name w:val="List 4"/>
    <w:basedOn w:val="Normal"/>
    <w:uiPriority w:val="99"/>
    <w:semiHidden/>
    <w:unhideWhenUsed/>
    <w:rsid w:val="00901205"/>
    <w:pPr>
      <w:ind w:left="1132" w:hanging="283"/>
      <w:contextualSpacing/>
    </w:pPr>
  </w:style>
  <w:style w:type="paragraph" w:styleId="List5">
    <w:name w:val="List 5"/>
    <w:basedOn w:val="Normal"/>
    <w:uiPriority w:val="99"/>
    <w:semiHidden/>
    <w:unhideWhenUsed/>
    <w:rsid w:val="00901205"/>
    <w:pPr>
      <w:ind w:left="1415" w:hanging="283"/>
      <w:contextualSpacing/>
    </w:pPr>
  </w:style>
  <w:style w:type="paragraph" w:styleId="ListBullet4">
    <w:name w:val="List Bullet 4"/>
    <w:basedOn w:val="Normal"/>
    <w:uiPriority w:val="99"/>
    <w:semiHidden/>
    <w:unhideWhenUsed/>
    <w:rsid w:val="00901205"/>
    <w:pPr>
      <w:numPr>
        <w:numId w:val="10"/>
      </w:numPr>
      <w:contextualSpacing/>
    </w:pPr>
  </w:style>
  <w:style w:type="paragraph" w:styleId="ListBullet5">
    <w:name w:val="List Bullet 5"/>
    <w:basedOn w:val="Normal"/>
    <w:uiPriority w:val="99"/>
    <w:semiHidden/>
    <w:unhideWhenUsed/>
    <w:rsid w:val="00901205"/>
    <w:pPr>
      <w:numPr>
        <w:numId w:val="11"/>
      </w:numPr>
      <w:contextualSpacing/>
    </w:pPr>
  </w:style>
  <w:style w:type="paragraph" w:styleId="ListContinue">
    <w:name w:val="List Continue"/>
    <w:basedOn w:val="Normal"/>
    <w:uiPriority w:val="99"/>
    <w:semiHidden/>
    <w:unhideWhenUsed/>
    <w:rsid w:val="00901205"/>
    <w:pPr>
      <w:spacing w:after="120"/>
      <w:ind w:left="283"/>
      <w:contextualSpacing/>
    </w:pPr>
  </w:style>
  <w:style w:type="paragraph" w:styleId="ListContinue2">
    <w:name w:val="List Continue 2"/>
    <w:basedOn w:val="Normal"/>
    <w:uiPriority w:val="99"/>
    <w:semiHidden/>
    <w:unhideWhenUsed/>
    <w:rsid w:val="00901205"/>
    <w:pPr>
      <w:spacing w:after="120"/>
      <w:ind w:left="566"/>
      <w:contextualSpacing/>
    </w:pPr>
  </w:style>
  <w:style w:type="paragraph" w:styleId="ListContinue3">
    <w:name w:val="List Continue 3"/>
    <w:basedOn w:val="Normal"/>
    <w:uiPriority w:val="99"/>
    <w:semiHidden/>
    <w:unhideWhenUsed/>
    <w:rsid w:val="00901205"/>
    <w:pPr>
      <w:spacing w:after="120"/>
      <w:ind w:left="849"/>
      <w:contextualSpacing/>
    </w:pPr>
  </w:style>
  <w:style w:type="paragraph" w:styleId="ListContinue4">
    <w:name w:val="List Continue 4"/>
    <w:basedOn w:val="Normal"/>
    <w:uiPriority w:val="99"/>
    <w:semiHidden/>
    <w:unhideWhenUsed/>
    <w:rsid w:val="00901205"/>
    <w:pPr>
      <w:spacing w:after="120"/>
      <w:ind w:left="1132"/>
      <w:contextualSpacing/>
    </w:pPr>
  </w:style>
  <w:style w:type="paragraph" w:styleId="ListContinue5">
    <w:name w:val="List Continue 5"/>
    <w:basedOn w:val="Normal"/>
    <w:uiPriority w:val="99"/>
    <w:semiHidden/>
    <w:unhideWhenUsed/>
    <w:rsid w:val="00901205"/>
    <w:pPr>
      <w:spacing w:after="120"/>
      <w:ind w:left="1415"/>
      <w:contextualSpacing/>
    </w:pPr>
  </w:style>
  <w:style w:type="paragraph" w:styleId="ListNumber4">
    <w:name w:val="List Number 4"/>
    <w:basedOn w:val="Normal"/>
    <w:uiPriority w:val="99"/>
    <w:semiHidden/>
    <w:unhideWhenUsed/>
    <w:rsid w:val="00901205"/>
    <w:pPr>
      <w:numPr>
        <w:numId w:val="12"/>
      </w:numPr>
      <w:contextualSpacing/>
    </w:pPr>
  </w:style>
  <w:style w:type="paragraph" w:styleId="ListNumber5">
    <w:name w:val="List Number 5"/>
    <w:basedOn w:val="Normal"/>
    <w:uiPriority w:val="99"/>
    <w:semiHidden/>
    <w:unhideWhenUsed/>
    <w:rsid w:val="00901205"/>
    <w:pPr>
      <w:numPr>
        <w:numId w:val="13"/>
      </w:numPr>
      <w:contextualSpacing/>
    </w:pPr>
  </w:style>
  <w:style w:type="paragraph" w:styleId="MacroText">
    <w:name w:val="macro"/>
    <w:link w:val="MacroTextChar"/>
    <w:uiPriority w:val="99"/>
    <w:semiHidden/>
    <w:unhideWhenUsed/>
    <w:rsid w:val="00901205"/>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901205"/>
    <w:rPr>
      <w:rFonts w:ascii="Consolas" w:hAnsi="Consolas"/>
      <w:szCs w:val="20"/>
      <w:lang w:val="nl-BE"/>
    </w:rPr>
  </w:style>
  <w:style w:type="table" w:styleId="MediumGrid1">
    <w:name w:val="Medium Grid 1"/>
    <w:basedOn w:val="TableNormal"/>
    <w:uiPriority w:val="67"/>
    <w:rsid w:val="00901205"/>
    <w:pPr>
      <w:spacing w:line="240" w:lineRule="auto"/>
    </w:pPr>
    <w:tblPr>
      <w:tblStyleRowBandSize w:val="1"/>
      <w:tblStyleColBandSize w:val="1"/>
      <w:tblBorders>
        <w:top w:val="single" w:sz="8" w:space="0" w:color="808285" w:themeColor="text1" w:themeTint="BF"/>
        <w:left w:val="single" w:sz="8" w:space="0" w:color="808285" w:themeColor="text1" w:themeTint="BF"/>
        <w:bottom w:val="single" w:sz="8" w:space="0" w:color="808285" w:themeColor="text1" w:themeTint="BF"/>
        <w:right w:val="single" w:sz="8" w:space="0" w:color="808285" w:themeColor="text1" w:themeTint="BF"/>
        <w:insideH w:val="single" w:sz="8" w:space="0" w:color="808285" w:themeColor="text1" w:themeTint="BF"/>
        <w:insideV w:val="single" w:sz="8" w:space="0" w:color="808285" w:themeColor="text1" w:themeTint="BF"/>
      </w:tblBorders>
    </w:tblPr>
    <w:tcPr>
      <w:shd w:val="clear" w:color="auto" w:fill="D5D5D6" w:themeFill="text1" w:themeFillTint="3F"/>
    </w:tcPr>
    <w:tblStylePr w:type="firstRow">
      <w:rPr>
        <w:b/>
        <w:bCs/>
      </w:rPr>
    </w:tblStylePr>
    <w:tblStylePr w:type="lastRow">
      <w:rPr>
        <w:b/>
        <w:bCs/>
      </w:rPr>
      <w:tblPr/>
      <w:tcPr>
        <w:tcBorders>
          <w:top w:val="single" w:sz="18" w:space="0" w:color="808285" w:themeColor="text1" w:themeTint="BF"/>
        </w:tcBorders>
      </w:tcPr>
    </w:tblStylePr>
    <w:tblStylePr w:type="firstCol">
      <w:rPr>
        <w:b/>
        <w:bCs/>
      </w:rPr>
    </w:tblStylePr>
    <w:tblStylePr w:type="lastCol">
      <w:rPr>
        <w:b/>
        <w:bCs/>
      </w:rPr>
    </w:tblStylePr>
    <w:tblStylePr w:type="band1Vert">
      <w:tblPr/>
      <w:tcPr>
        <w:shd w:val="clear" w:color="auto" w:fill="ABACAE" w:themeFill="text1" w:themeFillTint="7F"/>
      </w:tcPr>
    </w:tblStylePr>
    <w:tblStylePr w:type="band1Horz">
      <w:tblPr/>
      <w:tcPr>
        <w:shd w:val="clear" w:color="auto" w:fill="ABACAE" w:themeFill="text1" w:themeFillTint="7F"/>
      </w:tcPr>
    </w:tblStylePr>
  </w:style>
  <w:style w:type="table" w:styleId="MediumGrid1-Accent1">
    <w:name w:val="Medium Grid 1 Accent 1"/>
    <w:basedOn w:val="TableNormal"/>
    <w:uiPriority w:val="67"/>
    <w:rsid w:val="00901205"/>
    <w:pPr>
      <w:spacing w:line="240" w:lineRule="auto"/>
    </w:pPr>
    <w:tblPr>
      <w:tblStyleRowBandSize w:val="1"/>
      <w:tblStyleColBandSize w:val="1"/>
      <w:tblBorders>
        <w:top w:val="single" w:sz="8" w:space="0" w:color="5FCC5B" w:themeColor="accent1" w:themeTint="BF"/>
        <w:left w:val="single" w:sz="8" w:space="0" w:color="5FCC5B" w:themeColor="accent1" w:themeTint="BF"/>
        <w:bottom w:val="single" w:sz="8" w:space="0" w:color="5FCC5B" w:themeColor="accent1" w:themeTint="BF"/>
        <w:right w:val="single" w:sz="8" w:space="0" w:color="5FCC5B" w:themeColor="accent1" w:themeTint="BF"/>
        <w:insideH w:val="single" w:sz="8" w:space="0" w:color="5FCC5B" w:themeColor="accent1" w:themeTint="BF"/>
        <w:insideV w:val="single" w:sz="8" w:space="0" w:color="5FCC5B" w:themeColor="accent1" w:themeTint="BF"/>
      </w:tblBorders>
    </w:tblPr>
    <w:tcPr>
      <w:shd w:val="clear" w:color="auto" w:fill="CAEEC8" w:themeFill="accent1" w:themeFillTint="3F"/>
    </w:tcPr>
    <w:tblStylePr w:type="firstRow">
      <w:rPr>
        <w:b/>
        <w:bCs/>
      </w:rPr>
    </w:tblStylePr>
    <w:tblStylePr w:type="lastRow">
      <w:rPr>
        <w:b/>
        <w:bCs/>
      </w:rPr>
      <w:tblPr/>
      <w:tcPr>
        <w:tcBorders>
          <w:top w:val="single" w:sz="18" w:space="0" w:color="5FCC5B" w:themeColor="accent1" w:themeTint="BF"/>
        </w:tcBorders>
      </w:tcPr>
    </w:tblStylePr>
    <w:tblStylePr w:type="firstCol">
      <w:rPr>
        <w:b/>
        <w:bCs/>
      </w:rPr>
    </w:tblStylePr>
    <w:tblStylePr w:type="lastCol">
      <w:rPr>
        <w:b/>
        <w:bCs/>
      </w:rPr>
    </w:tblStylePr>
    <w:tblStylePr w:type="band1Vert">
      <w:tblPr/>
      <w:tcPr>
        <w:shd w:val="clear" w:color="auto" w:fill="94DD92" w:themeFill="accent1" w:themeFillTint="7F"/>
      </w:tcPr>
    </w:tblStylePr>
    <w:tblStylePr w:type="band1Horz">
      <w:tblPr/>
      <w:tcPr>
        <w:shd w:val="clear" w:color="auto" w:fill="94DD92" w:themeFill="accent1" w:themeFillTint="7F"/>
      </w:tcPr>
    </w:tblStylePr>
  </w:style>
  <w:style w:type="table" w:styleId="MediumGrid1-Accent2">
    <w:name w:val="Medium Grid 1 Accent 2"/>
    <w:basedOn w:val="TableNormal"/>
    <w:uiPriority w:val="67"/>
    <w:rsid w:val="00901205"/>
    <w:pPr>
      <w:spacing w:line="240" w:lineRule="auto"/>
    </w:pPr>
    <w:tblPr>
      <w:tblStyleRowBandSize w:val="1"/>
      <w:tblStyleColBandSize w:val="1"/>
      <w:tblBorders>
        <w:top w:val="single" w:sz="8" w:space="0" w:color="00CC65" w:themeColor="accent2" w:themeTint="BF"/>
        <w:left w:val="single" w:sz="8" w:space="0" w:color="00CC65" w:themeColor="accent2" w:themeTint="BF"/>
        <w:bottom w:val="single" w:sz="8" w:space="0" w:color="00CC65" w:themeColor="accent2" w:themeTint="BF"/>
        <w:right w:val="single" w:sz="8" w:space="0" w:color="00CC65" w:themeColor="accent2" w:themeTint="BF"/>
        <w:insideH w:val="single" w:sz="8" w:space="0" w:color="00CC65" w:themeColor="accent2" w:themeTint="BF"/>
        <w:insideV w:val="single" w:sz="8" w:space="0" w:color="00CC65" w:themeColor="accent2" w:themeTint="BF"/>
      </w:tblBorders>
    </w:tblPr>
    <w:tcPr>
      <w:shd w:val="clear" w:color="auto" w:fill="9AFFCC" w:themeFill="accent2" w:themeFillTint="3F"/>
    </w:tcPr>
    <w:tblStylePr w:type="firstRow">
      <w:rPr>
        <w:b/>
        <w:bCs/>
      </w:rPr>
    </w:tblStylePr>
    <w:tblStylePr w:type="lastRow">
      <w:rPr>
        <w:b/>
        <w:bCs/>
      </w:rPr>
      <w:tblPr/>
      <w:tcPr>
        <w:tcBorders>
          <w:top w:val="single" w:sz="18" w:space="0" w:color="00CC65" w:themeColor="accent2" w:themeTint="BF"/>
        </w:tcBorders>
      </w:tcPr>
    </w:tblStylePr>
    <w:tblStylePr w:type="firstCol">
      <w:rPr>
        <w:b/>
        <w:bCs/>
      </w:rPr>
    </w:tblStylePr>
    <w:tblStylePr w:type="lastCol">
      <w:rPr>
        <w:b/>
        <w:bCs/>
      </w:rPr>
    </w:tblStylePr>
    <w:tblStylePr w:type="band1Vert">
      <w:tblPr/>
      <w:tcPr>
        <w:shd w:val="clear" w:color="auto" w:fill="33FF98" w:themeFill="accent2" w:themeFillTint="7F"/>
      </w:tcPr>
    </w:tblStylePr>
    <w:tblStylePr w:type="band1Horz">
      <w:tblPr/>
      <w:tcPr>
        <w:shd w:val="clear" w:color="auto" w:fill="33FF98" w:themeFill="accent2" w:themeFillTint="7F"/>
      </w:tcPr>
    </w:tblStylePr>
  </w:style>
  <w:style w:type="table" w:styleId="MediumGrid1-Accent3">
    <w:name w:val="Medium Grid 1 Accent 3"/>
    <w:basedOn w:val="TableNormal"/>
    <w:uiPriority w:val="67"/>
    <w:rsid w:val="00901205"/>
    <w:pPr>
      <w:spacing w:line="240" w:lineRule="auto"/>
    </w:pPr>
    <w:tblPr>
      <w:tblStyleRowBandSize w:val="1"/>
      <w:tblStyleColBandSize w:val="1"/>
      <w:tblBorders>
        <w:top w:val="single" w:sz="8"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single" w:sz="8" w:space="0" w:color="E9FF1C" w:themeColor="accent3" w:themeTint="BF"/>
        <w:insideV w:val="single" w:sz="8" w:space="0" w:color="E9FF1C" w:themeColor="accent3" w:themeTint="BF"/>
      </w:tblBorders>
    </w:tblPr>
    <w:tcPr>
      <w:shd w:val="clear" w:color="auto" w:fill="F7FFB4" w:themeFill="accent3" w:themeFillTint="3F"/>
    </w:tcPr>
    <w:tblStylePr w:type="firstRow">
      <w:rPr>
        <w:b/>
        <w:bCs/>
      </w:rPr>
    </w:tblStylePr>
    <w:tblStylePr w:type="lastRow">
      <w:rPr>
        <w:b/>
        <w:bCs/>
      </w:rPr>
      <w:tblPr/>
      <w:tcPr>
        <w:tcBorders>
          <w:top w:val="single" w:sz="18" w:space="0" w:color="E9FF1C" w:themeColor="accent3" w:themeTint="BF"/>
        </w:tcBorders>
      </w:tcPr>
    </w:tblStylePr>
    <w:tblStylePr w:type="firstCol">
      <w:rPr>
        <w:b/>
        <w:bCs/>
      </w:rPr>
    </w:tblStylePr>
    <w:tblStylePr w:type="lastCol">
      <w:rPr>
        <w:b/>
        <w:bCs/>
      </w:rPr>
    </w:tblStylePr>
    <w:tblStylePr w:type="band1Vert">
      <w:tblPr/>
      <w:tcPr>
        <w:shd w:val="clear" w:color="auto" w:fill="F0FF68" w:themeFill="accent3" w:themeFillTint="7F"/>
      </w:tcPr>
    </w:tblStylePr>
    <w:tblStylePr w:type="band1Horz">
      <w:tblPr/>
      <w:tcPr>
        <w:shd w:val="clear" w:color="auto" w:fill="F0FF68" w:themeFill="accent3" w:themeFillTint="7F"/>
      </w:tcPr>
    </w:tblStylePr>
  </w:style>
  <w:style w:type="table" w:styleId="MediumGrid1-Accent4">
    <w:name w:val="Medium Grid 1 Accent 4"/>
    <w:basedOn w:val="TableNormal"/>
    <w:uiPriority w:val="67"/>
    <w:rsid w:val="00901205"/>
    <w:pPr>
      <w:spacing w:line="240" w:lineRule="auto"/>
    </w:pPr>
    <w:tblPr>
      <w:tblStyleRowBandSize w:val="1"/>
      <w:tblStyleColBandSize w:val="1"/>
      <w:tblBorders>
        <w:top w:val="single" w:sz="8"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single" w:sz="8" w:space="0" w:color="FFE13C" w:themeColor="accent4" w:themeTint="BF"/>
        <w:insideV w:val="single" w:sz="8" w:space="0" w:color="FFE13C" w:themeColor="accent4" w:themeTint="BF"/>
      </w:tblBorders>
    </w:tblPr>
    <w:tcPr>
      <w:shd w:val="clear" w:color="auto" w:fill="FFF5BE" w:themeFill="accent4" w:themeFillTint="3F"/>
    </w:tcPr>
    <w:tblStylePr w:type="firstRow">
      <w:rPr>
        <w:b/>
        <w:bCs/>
      </w:rPr>
    </w:tblStylePr>
    <w:tblStylePr w:type="lastRow">
      <w:rPr>
        <w:b/>
        <w:bCs/>
      </w:rPr>
      <w:tblPr/>
      <w:tcPr>
        <w:tcBorders>
          <w:top w:val="single" w:sz="18" w:space="0" w:color="FFE13C" w:themeColor="accent4" w:themeTint="BF"/>
        </w:tcBorders>
      </w:tcPr>
    </w:tblStylePr>
    <w:tblStylePr w:type="firstCol">
      <w:rPr>
        <w:b/>
        <w:bCs/>
      </w:rPr>
    </w:tblStylePr>
    <w:tblStylePr w:type="lastCol">
      <w:rPr>
        <w:b/>
        <w:bCs/>
      </w:rPr>
    </w:tblStylePr>
    <w:tblStylePr w:type="band1Vert">
      <w:tblPr/>
      <w:tcPr>
        <w:shd w:val="clear" w:color="auto" w:fill="FFEB7D" w:themeFill="accent4" w:themeFillTint="7F"/>
      </w:tcPr>
    </w:tblStylePr>
    <w:tblStylePr w:type="band1Horz">
      <w:tblPr/>
      <w:tcPr>
        <w:shd w:val="clear" w:color="auto" w:fill="FFEB7D" w:themeFill="accent4" w:themeFillTint="7F"/>
      </w:tcPr>
    </w:tblStylePr>
  </w:style>
  <w:style w:type="table" w:styleId="MediumGrid1-Accent5">
    <w:name w:val="Medium Grid 1 Accent 5"/>
    <w:basedOn w:val="TableNormal"/>
    <w:uiPriority w:val="67"/>
    <w:rsid w:val="00901205"/>
    <w:pPr>
      <w:spacing w:line="240" w:lineRule="auto"/>
    </w:pPr>
    <w:tblPr>
      <w:tblStyleRowBandSize w:val="1"/>
      <w:tblStyleColBandSize w:val="1"/>
      <w:tblBorders>
        <w:top w:val="single" w:sz="8"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single" w:sz="8" w:space="0" w:color="FFB836" w:themeColor="accent5" w:themeTint="BF"/>
        <w:insideV w:val="single" w:sz="8" w:space="0" w:color="FFB836" w:themeColor="accent5" w:themeTint="BF"/>
      </w:tblBorders>
    </w:tblPr>
    <w:tcPr>
      <w:shd w:val="clear" w:color="auto" w:fill="FFE7BC" w:themeFill="accent5" w:themeFillTint="3F"/>
    </w:tcPr>
    <w:tblStylePr w:type="firstRow">
      <w:rPr>
        <w:b/>
        <w:bCs/>
      </w:rPr>
    </w:tblStylePr>
    <w:tblStylePr w:type="lastRow">
      <w:rPr>
        <w:b/>
        <w:bCs/>
      </w:rPr>
      <w:tblPr/>
      <w:tcPr>
        <w:tcBorders>
          <w:top w:val="single" w:sz="18" w:space="0" w:color="FFB836" w:themeColor="accent5" w:themeTint="BF"/>
        </w:tcBorders>
      </w:tcPr>
    </w:tblStylePr>
    <w:tblStylePr w:type="firstCol">
      <w:rPr>
        <w:b/>
        <w:bCs/>
      </w:rPr>
    </w:tblStylePr>
    <w:tblStylePr w:type="lastCol">
      <w:rPr>
        <w:b/>
        <w:bCs/>
      </w:rPr>
    </w:tblStylePr>
    <w:tblStylePr w:type="band1Vert">
      <w:tblPr/>
      <w:tcPr>
        <w:shd w:val="clear" w:color="auto" w:fill="FFCF79" w:themeFill="accent5" w:themeFillTint="7F"/>
      </w:tcPr>
    </w:tblStylePr>
    <w:tblStylePr w:type="band1Horz">
      <w:tblPr/>
      <w:tcPr>
        <w:shd w:val="clear" w:color="auto" w:fill="FFCF79" w:themeFill="accent5" w:themeFillTint="7F"/>
      </w:tcPr>
    </w:tblStylePr>
  </w:style>
  <w:style w:type="table" w:styleId="MediumGrid1-Accent6">
    <w:name w:val="Medium Grid 1 Accent 6"/>
    <w:basedOn w:val="TableNormal"/>
    <w:uiPriority w:val="67"/>
    <w:rsid w:val="00901205"/>
    <w:pPr>
      <w:spacing w:line="240" w:lineRule="auto"/>
    </w:pPr>
    <w:tblPr>
      <w:tblStyleRowBandSize w:val="1"/>
      <w:tblStyleColBandSize w:val="1"/>
      <w:tblBorders>
        <w:top w:val="single" w:sz="8"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single" w:sz="8" w:space="0" w:color="E77541" w:themeColor="accent6" w:themeTint="BF"/>
        <w:insideV w:val="single" w:sz="8" w:space="0" w:color="E77541" w:themeColor="accent6" w:themeTint="BF"/>
      </w:tblBorders>
    </w:tblPr>
    <w:tcPr>
      <w:shd w:val="clear" w:color="auto" w:fill="F7D1C0" w:themeFill="accent6" w:themeFillTint="3F"/>
    </w:tcPr>
    <w:tblStylePr w:type="firstRow">
      <w:rPr>
        <w:b/>
        <w:bCs/>
      </w:rPr>
    </w:tblStylePr>
    <w:tblStylePr w:type="lastRow">
      <w:rPr>
        <w:b/>
        <w:bCs/>
      </w:rPr>
      <w:tblPr/>
      <w:tcPr>
        <w:tcBorders>
          <w:top w:val="single" w:sz="18" w:space="0" w:color="E77541" w:themeColor="accent6" w:themeTint="BF"/>
        </w:tcBorders>
      </w:tcPr>
    </w:tblStylePr>
    <w:tblStylePr w:type="firstCol">
      <w:rPr>
        <w:b/>
        <w:bCs/>
      </w:rPr>
    </w:tblStylePr>
    <w:tblStylePr w:type="lastCol">
      <w:rPr>
        <w:b/>
        <w:bCs/>
      </w:rPr>
    </w:tblStylePr>
    <w:tblStylePr w:type="band1Vert">
      <w:tblPr/>
      <w:tcPr>
        <w:shd w:val="clear" w:color="auto" w:fill="EFA380" w:themeFill="accent6" w:themeFillTint="7F"/>
      </w:tcPr>
    </w:tblStylePr>
    <w:tblStylePr w:type="band1Horz">
      <w:tblPr/>
      <w:tcPr>
        <w:shd w:val="clear" w:color="auto" w:fill="EFA380" w:themeFill="accent6" w:themeFillTint="7F"/>
      </w:tcPr>
    </w:tblStylePr>
  </w:style>
  <w:style w:type="table" w:styleId="MediumGrid2">
    <w:name w:val="Medium Grid 2"/>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insideH w:val="single" w:sz="8" w:space="0" w:color="58595B" w:themeColor="text1"/>
        <w:insideV w:val="single" w:sz="8" w:space="0" w:color="58595B" w:themeColor="text1"/>
      </w:tblBorders>
    </w:tblPr>
    <w:tcPr>
      <w:shd w:val="clear" w:color="auto" w:fill="D5D5D6" w:themeFill="text1" w:themeFillTint="3F"/>
    </w:tcPr>
    <w:tblStylePr w:type="firstRow">
      <w:rPr>
        <w:b/>
        <w:bCs/>
        <w:color w:val="58595B" w:themeColor="text1"/>
      </w:rPr>
      <w:tblPr/>
      <w:tcPr>
        <w:shd w:val="clear" w:color="auto" w:fill="EEEEEF" w:themeFill="text1"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DDDDDE" w:themeFill="text1" w:themeFillTint="33"/>
      </w:tcPr>
    </w:tblStylePr>
    <w:tblStylePr w:type="band1Vert">
      <w:tblPr/>
      <w:tcPr>
        <w:shd w:val="clear" w:color="auto" w:fill="ABACAE" w:themeFill="text1" w:themeFillTint="7F"/>
      </w:tcPr>
    </w:tblStylePr>
    <w:tblStylePr w:type="band1Horz">
      <w:tblPr/>
      <w:tcPr>
        <w:tcBorders>
          <w:insideH w:val="single" w:sz="6" w:space="0" w:color="58595B" w:themeColor="text1"/>
          <w:insideV w:val="single" w:sz="6" w:space="0" w:color="58595B" w:themeColor="text1"/>
        </w:tcBorders>
        <w:shd w:val="clear" w:color="auto" w:fill="ABACAE" w:themeFill="text1" w:themeFillTint="7F"/>
      </w:tcPr>
    </w:tblStylePr>
    <w:tblStylePr w:type="nwCell">
      <w:tblPr/>
      <w:tcPr>
        <w:shd w:val="clear" w:color="auto" w:fill="A5A5A5" w:themeFill="background1"/>
      </w:tcPr>
    </w:tblStylePr>
  </w:style>
  <w:style w:type="table" w:styleId="MediumGrid2-Accent1">
    <w:name w:val="Medium Grid 2 Accent 1"/>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3AAA35" w:themeColor="accent1"/>
        <w:left w:val="single" w:sz="8" w:space="0" w:color="3AAA35" w:themeColor="accent1"/>
        <w:bottom w:val="single" w:sz="8" w:space="0" w:color="3AAA35" w:themeColor="accent1"/>
        <w:right w:val="single" w:sz="8" w:space="0" w:color="3AAA35" w:themeColor="accent1"/>
        <w:insideH w:val="single" w:sz="8" w:space="0" w:color="3AAA35" w:themeColor="accent1"/>
        <w:insideV w:val="single" w:sz="8" w:space="0" w:color="3AAA35" w:themeColor="accent1"/>
      </w:tblBorders>
    </w:tblPr>
    <w:tcPr>
      <w:shd w:val="clear" w:color="auto" w:fill="CAEEC8" w:themeFill="accent1" w:themeFillTint="3F"/>
    </w:tcPr>
    <w:tblStylePr w:type="firstRow">
      <w:rPr>
        <w:b/>
        <w:bCs/>
        <w:color w:val="58595B" w:themeColor="text1"/>
      </w:rPr>
      <w:tblPr/>
      <w:tcPr>
        <w:shd w:val="clear" w:color="auto" w:fill="E9F8E9" w:themeFill="accent1"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D4F1D3" w:themeFill="accent1" w:themeFillTint="33"/>
      </w:tcPr>
    </w:tblStylePr>
    <w:tblStylePr w:type="band1Vert">
      <w:tblPr/>
      <w:tcPr>
        <w:shd w:val="clear" w:color="auto" w:fill="94DD92" w:themeFill="accent1" w:themeFillTint="7F"/>
      </w:tcPr>
    </w:tblStylePr>
    <w:tblStylePr w:type="band1Horz">
      <w:tblPr/>
      <w:tcPr>
        <w:tcBorders>
          <w:insideH w:val="single" w:sz="6" w:space="0" w:color="3AAA35" w:themeColor="accent1"/>
          <w:insideV w:val="single" w:sz="6" w:space="0" w:color="3AAA35" w:themeColor="accent1"/>
        </w:tcBorders>
        <w:shd w:val="clear" w:color="auto" w:fill="94DD92" w:themeFill="accent1" w:themeFillTint="7F"/>
      </w:tcPr>
    </w:tblStylePr>
    <w:tblStylePr w:type="nwCell">
      <w:tblPr/>
      <w:tcPr>
        <w:shd w:val="clear" w:color="auto" w:fill="A5A5A5" w:themeFill="background1"/>
      </w:tcPr>
    </w:tblStylePr>
  </w:style>
  <w:style w:type="table" w:styleId="MediumGrid2-Accent2">
    <w:name w:val="Medium Grid 2 Accent 2"/>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006633" w:themeColor="accent2"/>
        <w:left w:val="single" w:sz="8" w:space="0" w:color="006633" w:themeColor="accent2"/>
        <w:bottom w:val="single" w:sz="8" w:space="0" w:color="006633" w:themeColor="accent2"/>
        <w:right w:val="single" w:sz="8" w:space="0" w:color="006633" w:themeColor="accent2"/>
        <w:insideH w:val="single" w:sz="8" w:space="0" w:color="006633" w:themeColor="accent2"/>
        <w:insideV w:val="single" w:sz="8" w:space="0" w:color="006633" w:themeColor="accent2"/>
      </w:tblBorders>
    </w:tblPr>
    <w:tcPr>
      <w:shd w:val="clear" w:color="auto" w:fill="9AFFCC" w:themeFill="accent2" w:themeFillTint="3F"/>
    </w:tcPr>
    <w:tblStylePr w:type="firstRow">
      <w:rPr>
        <w:b/>
        <w:bCs/>
        <w:color w:val="58595B" w:themeColor="text1"/>
      </w:rPr>
      <w:tblPr/>
      <w:tcPr>
        <w:shd w:val="clear" w:color="auto" w:fill="D7FFEA" w:themeFill="accent2"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ADFFD6" w:themeFill="accent2" w:themeFillTint="33"/>
      </w:tcPr>
    </w:tblStylePr>
    <w:tblStylePr w:type="band1Vert">
      <w:tblPr/>
      <w:tcPr>
        <w:shd w:val="clear" w:color="auto" w:fill="33FF98" w:themeFill="accent2" w:themeFillTint="7F"/>
      </w:tcPr>
    </w:tblStylePr>
    <w:tblStylePr w:type="band1Horz">
      <w:tblPr/>
      <w:tcPr>
        <w:tcBorders>
          <w:insideH w:val="single" w:sz="6" w:space="0" w:color="006633" w:themeColor="accent2"/>
          <w:insideV w:val="single" w:sz="6" w:space="0" w:color="006633" w:themeColor="accent2"/>
        </w:tcBorders>
        <w:shd w:val="clear" w:color="auto" w:fill="33FF98" w:themeFill="accent2" w:themeFillTint="7F"/>
      </w:tcPr>
    </w:tblStylePr>
    <w:tblStylePr w:type="nwCell">
      <w:tblPr/>
      <w:tcPr>
        <w:shd w:val="clear" w:color="auto" w:fill="A5A5A5" w:themeFill="background1"/>
      </w:tcPr>
    </w:tblStylePr>
  </w:style>
  <w:style w:type="table" w:styleId="MediumGrid2-Accent3">
    <w:name w:val="Medium Grid 2 Accent 3"/>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insideH w:val="single" w:sz="8" w:space="0" w:color="BCCF00" w:themeColor="accent3"/>
        <w:insideV w:val="single" w:sz="8" w:space="0" w:color="BCCF00" w:themeColor="accent3"/>
      </w:tblBorders>
    </w:tblPr>
    <w:tcPr>
      <w:shd w:val="clear" w:color="auto" w:fill="F7FFB4" w:themeFill="accent3" w:themeFillTint="3F"/>
    </w:tcPr>
    <w:tblStylePr w:type="firstRow">
      <w:rPr>
        <w:b/>
        <w:bCs/>
        <w:color w:val="58595B" w:themeColor="text1"/>
      </w:rPr>
      <w:tblPr/>
      <w:tcPr>
        <w:shd w:val="clear" w:color="auto" w:fill="FCFFE1" w:themeFill="accent3"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F9FFC2" w:themeFill="accent3" w:themeFillTint="33"/>
      </w:tcPr>
    </w:tblStylePr>
    <w:tblStylePr w:type="band1Vert">
      <w:tblPr/>
      <w:tcPr>
        <w:shd w:val="clear" w:color="auto" w:fill="F0FF68" w:themeFill="accent3" w:themeFillTint="7F"/>
      </w:tcPr>
    </w:tblStylePr>
    <w:tblStylePr w:type="band1Horz">
      <w:tblPr/>
      <w:tcPr>
        <w:tcBorders>
          <w:insideH w:val="single" w:sz="6" w:space="0" w:color="BCCF00" w:themeColor="accent3"/>
          <w:insideV w:val="single" w:sz="6" w:space="0" w:color="BCCF00" w:themeColor="accent3"/>
        </w:tcBorders>
        <w:shd w:val="clear" w:color="auto" w:fill="F0FF68" w:themeFill="accent3" w:themeFillTint="7F"/>
      </w:tcPr>
    </w:tblStylePr>
    <w:tblStylePr w:type="nwCell">
      <w:tblPr/>
      <w:tcPr>
        <w:shd w:val="clear" w:color="auto" w:fill="A5A5A5" w:themeFill="background1"/>
      </w:tcPr>
    </w:tblStylePr>
  </w:style>
  <w:style w:type="table" w:styleId="MediumGrid2-Accent4">
    <w:name w:val="Medium Grid 2 Accent 4"/>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insideH w:val="single" w:sz="8" w:space="0" w:color="FAD500" w:themeColor="accent4"/>
        <w:insideV w:val="single" w:sz="8" w:space="0" w:color="FAD500" w:themeColor="accent4"/>
      </w:tblBorders>
    </w:tblPr>
    <w:tcPr>
      <w:shd w:val="clear" w:color="auto" w:fill="FFF5BE" w:themeFill="accent4" w:themeFillTint="3F"/>
    </w:tcPr>
    <w:tblStylePr w:type="firstRow">
      <w:rPr>
        <w:b/>
        <w:bCs/>
        <w:color w:val="58595B" w:themeColor="text1"/>
      </w:rPr>
      <w:tblPr/>
      <w:tcPr>
        <w:shd w:val="clear" w:color="auto" w:fill="FFFBE5" w:themeFill="accent4"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FFF7CB" w:themeFill="accent4" w:themeFillTint="33"/>
      </w:tcPr>
    </w:tblStylePr>
    <w:tblStylePr w:type="band1Vert">
      <w:tblPr/>
      <w:tcPr>
        <w:shd w:val="clear" w:color="auto" w:fill="FFEB7D" w:themeFill="accent4" w:themeFillTint="7F"/>
      </w:tcPr>
    </w:tblStylePr>
    <w:tblStylePr w:type="band1Horz">
      <w:tblPr/>
      <w:tcPr>
        <w:tcBorders>
          <w:insideH w:val="single" w:sz="6" w:space="0" w:color="FAD500" w:themeColor="accent4"/>
          <w:insideV w:val="single" w:sz="6" w:space="0" w:color="FAD500" w:themeColor="accent4"/>
        </w:tcBorders>
        <w:shd w:val="clear" w:color="auto" w:fill="FFEB7D" w:themeFill="accent4" w:themeFillTint="7F"/>
      </w:tcPr>
    </w:tblStylePr>
    <w:tblStylePr w:type="nwCell">
      <w:tblPr/>
      <w:tcPr>
        <w:shd w:val="clear" w:color="auto" w:fill="A5A5A5" w:themeFill="background1"/>
      </w:tcPr>
    </w:tblStylePr>
  </w:style>
  <w:style w:type="table" w:styleId="MediumGrid2-Accent5">
    <w:name w:val="Medium Grid 2 Accent 5"/>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insideH w:val="single" w:sz="8" w:space="0" w:color="F29D00" w:themeColor="accent5"/>
        <w:insideV w:val="single" w:sz="8" w:space="0" w:color="F29D00" w:themeColor="accent5"/>
      </w:tblBorders>
    </w:tblPr>
    <w:tcPr>
      <w:shd w:val="clear" w:color="auto" w:fill="FFE7BC" w:themeFill="accent5" w:themeFillTint="3F"/>
    </w:tcPr>
    <w:tblStylePr w:type="firstRow">
      <w:rPr>
        <w:b/>
        <w:bCs/>
        <w:color w:val="58595B" w:themeColor="text1"/>
      </w:rPr>
      <w:tblPr/>
      <w:tcPr>
        <w:shd w:val="clear" w:color="auto" w:fill="FFF5E4" w:themeFill="accent5"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FFECC9" w:themeFill="accent5" w:themeFillTint="33"/>
      </w:tcPr>
    </w:tblStylePr>
    <w:tblStylePr w:type="band1Vert">
      <w:tblPr/>
      <w:tcPr>
        <w:shd w:val="clear" w:color="auto" w:fill="FFCF79" w:themeFill="accent5" w:themeFillTint="7F"/>
      </w:tcPr>
    </w:tblStylePr>
    <w:tblStylePr w:type="band1Horz">
      <w:tblPr/>
      <w:tcPr>
        <w:tcBorders>
          <w:insideH w:val="single" w:sz="6" w:space="0" w:color="F29D00" w:themeColor="accent5"/>
          <w:insideV w:val="single" w:sz="6" w:space="0" w:color="F29D00" w:themeColor="accent5"/>
        </w:tcBorders>
        <w:shd w:val="clear" w:color="auto" w:fill="FFCF79" w:themeFill="accent5" w:themeFillTint="7F"/>
      </w:tcPr>
    </w:tblStylePr>
    <w:tblStylePr w:type="nwCell">
      <w:tblPr/>
      <w:tcPr>
        <w:shd w:val="clear" w:color="auto" w:fill="A5A5A5" w:themeFill="background1"/>
      </w:tcPr>
    </w:tblStylePr>
  </w:style>
  <w:style w:type="table" w:styleId="MediumGrid2-Accent6">
    <w:name w:val="Medium Grid 2 Accent 6"/>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insideH w:val="single" w:sz="8" w:space="0" w:color="C85019" w:themeColor="accent6"/>
        <w:insideV w:val="single" w:sz="8" w:space="0" w:color="C85019" w:themeColor="accent6"/>
      </w:tblBorders>
    </w:tblPr>
    <w:tcPr>
      <w:shd w:val="clear" w:color="auto" w:fill="F7D1C0" w:themeFill="accent6" w:themeFillTint="3F"/>
    </w:tcPr>
    <w:tblStylePr w:type="firstRow">
      <w:rPr>
        <w:b/>
        <w:bCs/>
        <w:color w:val="58595B" w:themeColor="text1"/>
      </w:rPr>
      <w:tblPr/>
      <w:tcPr>
        <w:shd w:val="clear" w:color="auto" w:fill="FCECE6" w:themeFill="accent6"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F8DACC" w:themeFill="accent6" w:themeFillTint="33"/>
      </w:tcPr>
    </w:tblStylePr>
    <w:tblStylePr w:type="band1Vert">
      <w:tblPr/>
      <w:tcPr>
        <w:shd w:val="clear" w:color="auto" w:fill="EFA380" w:themeFill="accent6" w:themeFillTint="7F"/>
      </w:tcPr>
    </w:tblStylePr>
    <w:tblStylePr w:type="band1Horz">
      <w:tblPr/>
      <w:tcPr>
        <w:tcBorders>
          <w:insideH w:val="single" w:sz="6" w:space="0" w:color="C85019" w:themeColor="accent6"/>
          <w:insideV w:val="single" w:sz="6" w:space="0" w:color="C85019" w:themeColor="accent6"/>
        </w:tcBorders>
        <w:shd w:val="clear" w:color="auto" w:fill="EFA380" w:themeFill="accent6" w:themeFillTint="7F"/>
      </w:tcPr>
    </w:tblStylePr>
    <w:tblStylePr w:type="nwCell">
      <w:tblPr/>
      <w:tcPr>
        <w:shd w:val="clear" w:color="auto" w:fill="A5A5A5" w:themeFill="background1"/>
      </w:tcPr>
    </w:tblStylePr>
  </w:style>
  <w:style w:type="table" w:styleId="MediumGrid3">
    <w:name w:val="Medium Grid 3"/>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D5D5D6" w:themeFill="text1"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58595B" w:themeFill="text1"/>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58595B" w:themeFill="text1"/>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58595B" w:themeFill="text1"/>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58595B" w:themeFill="text1"/>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ABACAE" w:themeFill="text1"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ABACAE" w:themeFill="text1" w:themeFillTint="7F"/>
      </w:tcPr>
    </w:tblStylePr>
  </w:style>
  <w:style w:type="table" w:styleId="MediumGrid3-Accent1">
    <w:name w:val="Medium Grid 3 Accent 1"/>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CAEEC8" w:themeFill="accent1"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3AAA35" w:themeFill="accent1"/>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3AAA35" w:themeFill="accent1"/>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3AAA35" w:themeFill="accent1"/>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3AAA35" w:themeFill="accent1"/>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94DD92" w:themeFill="accent1"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94DD92" w:themeFill="accent1" w:themeFillTint="7F"/>
      </w:tcPr>
    </w:tblStylePr>
  </w:style>
  <w:style w:type="table" w:styleId="MediumGrid3-Accent2">
    <w:name w:val="Medium Grid 3 Accent 2"/>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9AFFCC" w:themeFill="accent2"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006633" w:themeFill="accent2"/>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006633" w:themeFill="accent2"/>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006633" w:themeFill="accent2"/>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006633" w:themeFill="accent2"/>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33FF98" w:themeFill="accent2"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33FF98" w:themeFill="accent2" w:themeFillTint="7F"/>
      </w:tcPr>
    </w:tblStylePr>
  </w:style>
  <w:style w:type="table" w:styleId="MediumGrid3-Accent3">
    <w:name w:val="Medium Grid 3 Accent 3"/>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7FFB4" w:themeFill="accent3"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BCCF00" w:themeFill="accent3"/>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BCCF00" w:themeFill="accent3"/>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BCCF00" w:themeFill="accent3"/>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BCCF00" w:themeFill="accent3"/>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F0FF68" w:themeFill="accent3"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F0FF68" w:themeFill="accent3" w:themeFillTint="7F"/>
      </w:tcPr>
    </w:tblStylePr>
  </w:style>
  <w:style w:type="table" w:styleId="MediumGrid3-Accent4">
    <w:name w:val="Medium Grid 3 Accent 4"/>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FF5BE" w:themeFill="accent4"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FAD500" w:themeFill="accent4"/>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FAD500" w:themeFill="accent4"/>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FAD500" w:themeFill="accent4"/>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FAD500" w:themeFill="accent4"/>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FFEB7D" w:themeFill="accent4"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FFEB7D" w:themeFill="accent4" w:themeFillTint="7F"/>
      </w:tcPr>
    </w:tblStylePr>
  </w:style>
  <w:style w:type="table" w:styleId="MediumGrid3-Accent5">
    <w:name w:val="Medium Grid 3 Accent 5"/>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FE7BC" w:themeFill="accent5"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F29D00" w:themeFill="accent5"/>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F29D00" w:themeFill="accent5"/>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F29D00" w:themeFill="accent5"/>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F29D00" w:themeFill="accent5"/>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FFCF79" w:themeFill="accent5"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FFCF79" w:themeFill="accent5" w:themeFillTint="7F"/>
      </w:tcPr>
    </w:tblStylePr>
  </w:style>
  <w:style w:type="table" w:styleId="MediumGrid3-Accent6">
    <w:name w:val="Medium Grid 3 Accent 6"/>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7D1C0" w:themeFill="accent6"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C85019" w:themeFill="accent6"/>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C85019" w:themeFill="accent6"/>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C85019" w:themeFill="accent6"/>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C85019" w:themeFill="accent6"/>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EFA380" w:themeFill="accent6"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EFA380" w:themeFill="accent6" w:themeFillTint="7F"/>
      </w:tcPr>
    </w:tblStylePr>
  </w:style>
  <w:style w:type="table" w:styleId="MediumList1">
    <w:name w:val="Medium List 1"/>
    <w:basedOn w:val="TableNormal"/>
    <w:uiPriority w:val="65"/>
    <w:rsid w:val="00901205"/>
    <w:pPr>
      <w:spacing w:line="240" w:lineRule="auto"/>
    </w:pPr>
    <w:rPr>
      <w:color w:val="58595B" w:themeColor="text1"/>
    </w:rPr>
    <w:tblPr>
      <w:tblStyleRowBandSize w:val="1"/>
      <w:tblStyleColBandSize w:val="1"/>
      <w:tblBorders>
        <w:top w:val="single" w:sz="8" w:space="0" w:color="58595B" w:themeColor="text1"/>
        <w:bottom w:val="single" w:sz="8" w:space="0" w:color="58595B" w:themeColor="text1"/>
      </w:tblBorders>
    </w:tblPr>
    <w:tblStylePr w:type="firstRow">
      <w:rPr>
        <w:rFonts w:asciiTheme="majorHAnsi" w:eastAsiaTheme="majorEastAsia" w:hAnsiTheme="majorHAnsi" w:cstheme="majorBidi"/>
      </w:rPr>
      <w:tblPr/>
      <w:tcPr>
        <w:tcBorders>
          <w:top w:val="nil"/>
          <w:bottom w:val="single" w:sz="8" w:space="0" w:color="58595B" w:themeColor="text1"/>
        </w:tcBorders>
      </w:tcPr>
    </w:tblStylePr>
    <w:tblStylePr w:type="lastRow">
      <w:rPr>
        <w:b/>
        <w:bCs/>
        <w:color w:val="006633" w:themeColor="text2"/>
      </w:rPr>
      <w:tblPr/>
      <w:tcPr>
        <w:tcBorders>
          <w:top w:val="single" w:sz="8" w:space="0" w:color="58595B" w:themeColor="text1"/>
          <w:bottom w:val="single" w:sz="8" w:space="0" w:color="58595B" w:themeColor="text1"/>
        </w:tcBorders>
      </w:tcPr>
    </w:tblStylePr>
    <w:tblStylePr w:type="firstCol">
      <w:rPr>
        <w:b/>
        <w:bCs/>
      </w:rPr>
    </w:tblStylePr>
    <w:tblStylePr w:type="lastCol">
      <w:rPr>
        <w:b/>
        <w:bCs/>
      </w:rPr>
      <w:tblPr/>
      <w:tcPr>
        <w:tcBorders>
          <w:top w:val="single" w:sz="8" w:space="0" w:color="58595B" w:themeColor="text1"/>
          <w:bottom w:val="single" w:sz="8" w:space="0" w:color="58595B" w:themeColor="text1"/>
        </w:tcBorders>
      </w:tcPr>
    </w:tblStylePr>
    <w:tblStylePr w:type="band1Vert">
      <w:tblPr/>
      <w:tcPr>
        <w:shd w:val="clear" w:color="auto" w:fill="D5D5D6" w:themeFill="text1" w:themeFillTint="3F"/>
      </w:tcPr>
    </w:tblStylePr>
    <w:tblStylePr w:type="band1Horz">
      <w:tblPr/>
      <w:tcPr>
        <w:shd w:val="clear" w:color="auto" w:fill="D5D5D6" w:themeFill="text1" w:themeFillTint="3F"/>
      </w:tcPr>
    </w:tblStylePr>
  </w:style>
  <w:style w:type="table" w:styleId="MediumList1-Accent1">
    <w:name w:val="Medium List 1 Accent 1"/>
    <w:basedOn w:val="TableNormal"/>
    <w:uiPriority w:val="65"/>
    <w:rsid w:val="00901205"/>
    <w:pPr>
      <w:spacing w:line="240" w:lineRule="auto"/>
    </w:pPr>
    <w:rPr>
      <w:color w:val="58595B" w:themeColor="text1"/>
    </w:rPr>
    <w:tblPr>
      <w:tblStyleRowBandSize w:val="1"/>
      <w:tblStyleColBandSize w:val="1"/>
      <w:tblBorders>
        <w:top w:val="single" w:sz="8" w:space="0" w:color="3AAA35" w:themeColor="accent1"/>
        <w:bottom w:val="single" w:sz="8" w:space="0" w:color="3AAA35" w:themeColor="accent1"/>
      </w:tblBorders>
    </w:tblPr>
    <w:tblStylePr w:type="firstRow">
      <w:rPr>
        <w:rFonts w:asciiTheme="majorHAnsi" w:eastAsiaTheme="majorEastAsia" w:hAnsiTheme="majorHAnsi" w:cstheme="majorBidi"/>
      </w:rPr>
      <w:tblPr/>
      <w:tcPr>
        <w:tcBorders>
          <w:top w:val="nil"/>
          <w:bottom w:val="single" w:sz="8" w:space="0" w:color="3AAA35" w:themeColor="accent1"/>
        </w:tcBorders>
      </w:tcPr>
    </w:tblStylePr>
    <w:tblStylePr w:type="lastRow">
      <w:rPr>
        <w:b/>
        <w:bCs/>
        <w:color w:val="006633" w:themeColor="text2"/>
      </w:rPr>
      <w:tblPr/>
      <w:tcPr>
        <w:tcBorders>
          <w:top w:val="single" w:sz="8" w:space="0" w:color="3AAA35" w:themeColor="accent1"/>
          <w:bottom w:val="single" w:sz="8" w:space="0" w:color="3AAA35" w:themeColor="accent1"/>
        </w:tcBorders>
      </w:tcPr>
    </w:tblStylePr>
    <w:tblStylePr w:type="firstCol">
      <w:rPr>
        <w:b/>
        <w:bCs/>
      </w:rPr>
    </w:tblStylePr>
    <w:tblStylePr w:type="lastCol">
      <w:rPr>
        <w:b/>
        <w:bCs/>
      </w:rPr>
      <w:tblPr/>
      <w:tcPr>
        <w:tcBorders>
          <w:top w:val="single" w:sz="8" w:space="0" w:color="3AAA35" w:themeColor="accent1"/>
          <w:bottom w:val="single" w:sz="8" w:space="0" w:color="3AAA35" w:themeColor="accent1"/>
        </w:tcBorders>
      </w:tcPr>
    </w:tblStylePr>
    <w:tblStylePr w:type="band1Vert">
      <w:tblPr/>
      <w:tcPr>
        <w:shd w:val="clear" w:color="auto" w:fill="CAEEC8" w:themeFill="accent1" w:themeFillTint="3F"/>
      </w:tcPr>
    </w:tblStylePr>
    <w:tblStylePr w:type="band1Horz">
      <w:tblPr/>
      <w:tcPr>
        <w:shd w:val="clear" w:color="auto" w:fill="CAEEC8" w:themeFill="accent1" w:themeFillTint="3F"/>
      </w:tcPr>
    </w:tblStylePr>
  </w:style>
  <w:style w:type="table" w:styleId="MediumList1-Accent2">
    <w:name w:val="Medium List 1 Accent 2"/>
    <w:basedOn w:val="TableNormal"/>
    <w:uiPriority w:val="65"/>
    <w:rsid w:val="00901205"/>
    <w:pPr>
      <w:spacing w:line="240" w:lineRule="auto"/>
    </w:pPr>
    <w:rPr>
      <w:color w:val="58595B" w:themeColor="text1"/>
    </w:rPr>
    <w:tblPr>
      <w:tblStyleRowBandSize w:val="1"/>
      <w:tblStyleColBandSize w:val="1"/>
      <w:tblBorders>
        <w:top w:val="single" w:sz="8" w:space="0" w:color="006633" w:themeColor="accent2"/>
        <w:bottom w:val="single" w:sz="8" w:space="0" w:color="006633" w:themeColor="accent2"/>
      </w:tblBorders>
    </w:tblPr>
    <w:tblStylePr w:type="firstRow">
      <w:rPr>
        <w:rFonts w:asciiTheme="majorHAnsi" w:eastAsiaTheme="majorEastAsia" w:hAnsiTheme="majorHAnsi" w:cstheme="majorBidi"/>
      </w:rPr>
      <w:tblPr/>
      <w:tcPr>
        <w:tcBorders>
          <w:top w:val="nil"/>
          <w:bottom w:val="single" w:sz="8" w:space="0" w:color="006633" w:themeColor="accent2"/>
        </w:tcBorders>
      </w:tcPr>
    </w:tblStylePr>
    <w:tblStylePr w:type="lastRow">
      <w:rPr>
        <w:b/>
        <w:bCs/>
        <w:color w:val="006633" w:themeColor="text2"/>
      </w:rPr>
      <w:tblPr/>
      <w:tcPr>
        <w:tcBorders>
          <w:top w:val="single" w:sz="8" w:space="0" w:color="006633" w:themeColor="accent2"/>
          <w:bottom w:val="single" w:sz="8" w:space="0" w:color="006633" w:themeColor="accent2"/>
        </w:tcBorders>
      </w:tcPr>
    </w:tblStylePr>
    <w:tblStylePr w:type="firstCol">
      <w:rPr>
        <w:b/>
        <w:bCs/>
      </w:rPr>
    </w:tblStylePr>
    <w:tblStylePr w:type="lastCol">
      <w:rPr>
        <w:b/>
        <w:bCs/>
      </w:rPr>
      <w:tblPr/>
      <w:tcPr>
        <w:tcBorders>
          <w:top w:val="single" w:sz="8" w:space="0" w:color="006633" w:themeColor="accent2"/>
          <w:bottom w:val="single" w:sz="8" w:space="0" w:color="006633" w:themeColor="accent2"/>
        </w:tcBorders>
      </w:tcPr>
    </w:tblStylePr>
    <w:tblStylePr w:type="band1Vert">
      <w:tblPr/>
      <w:tcPr>
        <w:shd w:val="clear" w:color="auto" w:fill="9AFFCC" w:themeFill="accent2" w:themeFillTint="3F"/>
      </w:tcPr>
    </w:tblStylePr>
    <w:tblStylePr w:type="band1Horz">
      <w:tblPr/>
      <w:tcPr>
        <w:shd w:val="clear" w:color="auto" w:fill="9AFFCC" w:themeFill="accent2" w:themeFillTint="3F"/>
      </w:tcPr>
    </w:tblStylePr>
  </w:style>
  <w:style w:type="table" w:styleId="MediumList1-Accent3">
    <w:name w:val="Medium List 1 Accent 3"/>
    <w:basedOn w:val="TableNormal"/>
    <w:uiPriority w:val="65"/>
    <w:rsid w:val="00901205"/>
    <w:pPr>
      <w:spacing w:line="240" w:lineRule="auto"/>
    </w:pPr>
    <w:rPr>
      <w:color w:val="58595B" w:themeColor="text1"/>
    </w:rPr>
    <w:tblPr>
      <w:tblStyleRowBandSize w:val="1"/>
      <w:tblStyleColBandSize w:val="1"/>
      <w:tblBorders>
        <w:top w:val="single" w:sz="8" w:space="0" w:color="BCCF00" w:themeColor="accent3"/>
        <w:bottom w:val="single" w:sz="8" w:space="0" w:color="BCCF00" w:themeColor="accent3"/>
      </w:tblBorders>
    </w:tblPr>
    <w:tblStylePr w:type="firstRow">
      <w:rPr>
        <w:rFonts w:asciiTheme="majorHAnsi" w:eastAsiaTheme="majorEastAsia" w:hAnsiTheme="majorHAnsi" w:cstheme="majorBidi"/>
      </w:rPr>
      <w:tblPr/>
      <w:tcPr>
        <w:tcBorders>
          <w:top w:val="nil"/>
          <w:bottom w:val="single" w:sz="8" w:space="0" w:color="BCCF00" w:themeColor="accent3"/>
        </w:tcBorders>
      </w:tcPr>
    </w:tblStylePr>
    <w:tblStylePr w:type="lastRow">
      <w:rPr>
        <w:b/>
        <w:bCs/>
        <w:color w:val="006633" w:themeColor="text2"/>
      </w:rPr>
      <w:tblPr/>
      <w:tcPr>
        <w:tcBorders>
          <w:top w:val="single" w:sz="8" w:space="0" w:color="BCCF00" w:themeColor="accent3"/>
          <w:bottom w:val="single" w:sz="8" w:space="0" w:color="BCCF00" w:themeColor="accent3"/>
        </w:tcBorders>
      </w:tcPr>
    </w:tblStylePr>
    <w:tblStylePr w:type="firstCol">
      <w:rPr>
        <w:b/>
        <w:bCs/>
      </w:rPr>
    </w:tblStylePr>
    <w:tblStylePr w:type="lastCol">
      <w:rPr>
        <w:b/>
        <w:bCs/>
      </w:rPr>
      <w:tblPr/>
      <w:tcPr>
        <w:tcBorders>
          <w:top w:val="single" w:sz="8" w:space="0" w:color="BCCF00" w:themeColor="accent3"/>
          <w:bottom w:val="single" w:sz="8" w:space="0" w:color="BCCF00" w:themeColor="accent3"/>
        </w:tcBorders>
      </w:tcPr>
    </w:tblStylePr>
    <w:tblStylePr w:type="band1Vert">
      <w:tblPr/>
      <w:tcPr>
        <w:shd w:val="clear" w:color="auto" w:fill="F7FFB4" w:themeFill="accent3" w:themeFillTint="3F"/>
      </w:tcPr>
    </w:tblStylePr>
    <w:tblStylePr w:type="band1Horz">
      <w:tblPr/>
      <w:tcPr>
        <w:shd w:val="clear" w:color="auto" w:fill="F7FFB4" w:themeFill="accent3" w:themeFillTint="3F"/>
      </w:tcPr>
    </w:tblStylePr>
  </w:style>
  <w:style w:type="table" w:styleId="MediumList1-Accent4">
    <w:name w:val="Medium List 1 Accent 4"/>
    <w:basedOn w:val="TableNormal"/>
    <w:uiPriority w:val="65"/>
    <w:rsid w:val="00901205"/>
    <w:pPr>
      <w:spacing w:line="240" w:lineRule="auto"/>
    </w:pPr>
    <w:rPr>
      <w:color w:val="58595B" w:themeColor="text1"/>
    </w:rPr>
    <w:tblPr>
      <w:tblStyleRowBandSize w:val="1"/>
      <w:tblStyleColBandSize w:val="1"/>
      <w:tblBorders>
        <w:top w:val="single" w:sz="8" w:space="0" w:color="FAD500" w:themeColor="accent4"/>
        <w:bottom w:val="single" w:sz="8" w:space="0" w:color="FAD500" w:themeColor="accent4"/>
      </w:tblBorders>
    </w:tblPr>
    <w:tblStylePr w:type="firstRow">
      <w:rPr>
        <w:rFonts w:asciiTheme="majorHAnsi" w:eastAsiaTheme="majorEastAsia" w:hAnsiTheme="majorHAnsi" w:cstheme="majorBidi"/>
      </w:rPr>
      <w:tblPr/>
      <w:tcPr>
        <w:tcBorders>
          <w:top w:val="nil"/>
          <w:bottom w:val="single" w:sz="8" w:space="0" w:color="FAD500" w:themeColor="accent4"/>
        </w:tcBorders>
      </w:tcPr>
    </w:tblStylePr>
    <w:tblStylePr w:type="lastRow">
      <w:rPr>
        <w:b/>
        <w:bCs/>
        <w:color w:val="006633" w:themeColor="text2"/>
      </w:rPr>
      <w:tblPr/>
      <w:tcPr>
        <w:tcBorders>
          <w:top w:val="single" w:sz="8" w:space="0" w:color="FAD500" w:themeColor="accent4"/>
          <w:bottom w:val="single" w:sz="8" w:space="0" w:color="FAD500" w:themeColor="accent4"/>
        </w:tcBorders>
      </w:tcPr>
    </w:tblStylePr>
    <w:tblStylePr w:type="firstCol">
      <w:rPr>
        <w:b/>
        <w:bCs/>
      </w:rPr>
    </w:tblStylePr>
    <w:tblStylePr w:type="lastCol">
      <w:rPr>
        <w:b/>
        <w:bCs/>
      </w:rPr>
      <w:tblPr/>
      <w:tcPr>
        <w:tcBorders>
          <w:top w:val="single" w:sz="8" w:space="0" w:color="FAD500" w:themeColor="accent4"/>
          <w:bottom w:val="single" w:sz="8" w:space="0" w:color="FAD500" w:themeColor="accent4"/>
        </w:tcBorders>
      </w:tcPr>
    </w:tblStylePr>
    <w:tblStylePr w:type="band1Vert">
      <w:tblPr/>
      <w:tcPr>
        <w:shd w:val="clear" w:color="auto" w:fill="FFF5BE" w:themeFill="accent4" w:themeFillTint="3F"/>
      </w:tcPr>
    </w:tblStylePr>
    <w:tblStylePr w:type="band1Horz">
      <w:tblPr/>
      <w:tcPr>
        <w:shd w:val="clear" w:color="auto" w:fill="FFF5BE" w:themeFill="accent4" w:themeFillTint="3F"/>
      </w:tcPr>
    </w:tblStylePr>
  </w:style>
  <w:style w:type="table" w:styleId="MediumList1-Accent5">
    <w:name w:val="Medium List 1 Accent 5"/>
    <w:basedOn w:val="TableNormal"/>
    <w:uiPriority w:val="65"/>
    <w:rsid w:val="00901205"/>
    <w:pPr>
      <w:spacing w:line="240" w:lineRule="auto"/>
    </w:pPr>
    <w:rPr>
      <w:color w:val="58595B" w:themeColor="text1"/>
    </w:rPr>
    <w:tblPr>
      <w:tblStyleRowBandSize w:val="1"/>
      <w:tblStyleColBandSize w:val="1"/>
      <w:tblBorders>
        <w:top w:val="single" w:sz="8" w:space="0" w:color="F29D00" w:themeColor="accent5"/>
        <w:bottom w:val="single" w:sz="8" w:space="0" w:color="F29D00" w:themeColor="accent5"/>
      </w:tblBorders>
    </w:tblPr>
    <w:tblStylePr w:type="firstRow">
      <w:rPr>
        <w:rFonts w:asciiTheme="majorHAnsi" w:eastAsiaTheme="majorEastAsia" w:hAnsiTheme="majorHAnsi" w:cstheme="majorBidi"/>
      </w:rPr>
      <w:tblPr/>
      <w:tcPr>
        <w:tcBorders>
          <w:top w:val="nil"/>
          <w:bottom w:val="single" w:sz="8" w:space="0" w:color="F29D00" w:themeColor="accent5"/>
        </w:tcBorders>
      </w:tcPr>
    </w:tblStylePr>
    <w:tblStylePr w:type="lastRow">
      <w:rPr>
        <w:b/>
        <w:bCs/>
        <w:color w:val="006633" w:themeColor="text2"/>
      </w:rPr>
      <w:tblPr/>
      <w:tcPr>
        <w:tcBorders>
          <w:top w:val="single" w:sz="8" w:space="0" w:color="F29D00" w:themeColor="accent5"/>
          <w:bottom w:val="single" w:sz="8" w:space="0" w:color="F29D00" w:themeColor="accent5"/>
        </w:tcBorders>
      </w:tcPr>
    </w:tblStylePr>
    <w:tblStylePr w:type="firstCol">
      <w:rPr>
        <w:b/>
        <w:bCs/>
      </w:rPr>
    </w:tblStylePr>
    <w:tblStylePr w:type="lastCol">
      <w:rPr>
        <w:b/>
        <w:bCs/>
      </w:rPr>
      <w:tblPr/>
      <w:tcPr>
        <w:tcBorders>
          <w:top w:val="single" w:sz="8" w:space="0" w:color="F29D00" w:themeColor="accent5"/>
          <w:bottom w:val="single" w:sz="8" w:space="0" w:color="F29D00" w:themeColor="accent5"/>
        </w:tcBorders>
      </w:tcPr>
    </w:tblStylePr>
    <w:tblStylePr w:type="band1Vert">
      <w:tblPr/>
      <w:tcPr>
        <w:shd w:val="clear" w:color="auto" w:fill="FFE7BC" w:themeFill="accent5" w:themeFillTint="3F"/>
      </w:tcPr>
    </w:tblStylePr>
    <w:tblStylePr w:type="band1Horz">
      <w:tblPr/>
      <w:tcPr>
        <w:shd w:val="clear" w:color="auto" w:fill="FFE7BC" w:themeFill="accent5" w:themeFillTint="3F"/>
      </w:tcPr>
    </w:tblStylePr>
  </w:style>
  <w:style w:type="table" w:styleId="MediumList1-Accent6">
    <w:name w:val="Medium List 1 Accent 6"/>
    <w:basedOn w:val="TableNormal"/>
    <w:uiPriority w:val="65"/>
    <w:rsid w:val="00901205"/>
    <w:pPr>
      <w:spacing w:line="240" w:lineRule="auto"/>
    </w:pPr>
    <w:rPr>
      <w:color w:val="58595B" w:themeColor="text1"/>
    </w:rPr>
    <w:tblPr>
      <w:tblStyleRowBandSize w:val="1"/>
      <w:tblStyleColBandSize w:val="1"/>
      <w:tblBorders>
        <w:top w:val="single" w:sz="8" w:space="0" w:color="C85019" w:themeColor="accent6"/>
        <w:bottom w:val="single" w:sz="8" w:space="0" w:color="C85019" w:themeColor="accent6"/>
      </w:tblBorders>
    </w:tblPr>
    <w:tblStylePr w:type="firstRow">
      <w:rPr>
        <w:rFonts w:asciiTheme="majorHAnsi" w:eastAsiaTheme="majorEastAsia" w:hAnsiTheme="majorHAnsi" w:cstheme="majorBidi"/>
      </w:rPr>
      <w:tblPr/>
      <w:tcPr>
        <w:tcBorders>
          <w:top w:val="nil"/>
          <w:bottom w:val="single" w:sz="8" w:space="0" w:color="C85019" w:themeColor="accent6"/>
        </w:tcBorders>
      </w:tcPr>
    </w:tblStylePr>
    <w:tblStylePr w:type="lastRow">
      <w:rPr>
        <w:b/>
        <w:bCs/>
        <w:color w:val="006633" w:themeColor="text2"/>
      </w:rPr>
      <w:tblPr/>
      <w:tcPr>
        <w:tcBorders>
          <w:top w:val="single" w:sz="8" w:space="0" w:color="C85019" w:themeColor="accent6"/>
          <w:bottom w:val="single" w:sz="8" w:space="0" w:color="C85019" w:themeColor="accent6"/>
        </w:tcBorders>
      </w:tcPr>
    </w:tblStylePr>
    <w:tblStylePr w:type="firstCol">
      <w:rPr>
        <w:b/>
        <w:bCs/>
      </w:rPr>
    </w:tblStylePr>
    <w:tblStylePr w:type="lastCol">
      <w:rPr>
        <w:b/>
        <w:bCs/>
      </w:rPr>
      <w:tblPr/>
      <w:tcPr>
        <w:tcBorders>
          <w:top w:val="single" w:sz="8" w:space="0" w:color="C85019" w:themeColor="accent6"/>
          <w:bottom w:val="single" w:sz="8" w:space="0" w:color="C85019" w:themeColor="accent6"/>
        </w:tcBorders>
      </w:tcPr>
    </w:tblStylePr>
    <w:tblStylePr w:type="band1Vert">
      <w:tblPr/>
      <w:tcPr>
        <w:shd w:val="clear" w:color="auto" w:fill="F7D1C0" w:themeFill="accent6" w:themeFillTint="3F"/>
      </w:tcPr>
    </w:tblStylePr>
    <w:tblStylePr w:type="band1Horz">
      <w:tblPr/>
      <w:tcPr>
        <w:shd w:val="clear" w:color="auto" w:fill="F7D1C0" w:themeFill="accent6" w:themeFillTint="3F"/>
      </w:tcPr>
    </w:tblStylePr>
  </w:style>
  <w:style w:type="table" w:styleId="MediumList2">
    <w:name w:val="Medium List 2"/>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tblBorders>
    </w:tblPr>
    <w:tblStylePr w:type="firstRow">
      <w:rPr>
        <w:sz w:val="24"/>
        <w:szCs w:val="24"/>
      </w:rPr>
      <w:tblPr/>
      <w:tcPr>
        <w:tcBorders>
          <w:top w:val="nil"/>
          <w:left w:val="nil"/>
          <w:bottom w:val="single" w:sz="24" w:space="0" w:color="58595B" w:themeColor="text1"/>
          <w:right w:val="nil"/>
          <w:insideH w:val="nil"/>
          <w:insideV w:val="nil"/>
        </w:tcBorders>
        <w:shd w:val="clear" w:color="auto" w:fill="A5A5A5" w:themeFill="background1"/>
      </w:tcPr>
    </w:tblStylePr>
    <w:tblStylePr w:type="lastRow">
      <w:tblPr/>
      <w:tcPr>
        <w:tcBorders>
          <w:top w:val="single" w:sz="8" w:space="0" w:color="58595B" w:themeColor="text1"/>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58595B" w:themeColor="text1"/>
          <w:insideH w:val="nil"/>
          <w:insideV w:val="nil"/>
        </w:tcBorders>
        <w:shd w:val="clear" w:color="auto" w:fill="A5A5A5" w:themeFill="background1"/>
      </w:tcPr>
    </w:tblStylePr>
    <w:tblStylePr w:type="lastCol">
      <w:tblPr/>
      <w:tcPr>
        <w:tcBorders>
          <w:top w:val="nil"/>
          <w:left w:val="single" w:sz="8" w:space="0" w:color="58595B" w:themeColor="text1"/>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D5D5D6" w:themeFill="text1" w:themeFillTint="3F"/>
      </w:tcPr>
    </w:tblStylePr>
    <w:tblStylePr w:type="band1Horz">
      <w:tblPr/>
      <w:tcPr>
        <w:tcBorders>
          <w:top w:val="nil"/>
          <w:bottom w:val="nil"/>
          <w:insideH w:val="nil"/>
          <w:insideV w:val="nil"/>
        </w:tcBorders>
        <w:shd w:val="clear" w:color="auto" w:fill="D5D5D6" w:themeFill="text1"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1">
    <w:name w:val="Medium List 2 Accent 1"/>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3AAA35" w:themeColor="accent1"/>
        <w:left w:val="single" w:sz="8" w:space="0" w:color="3AAA35" w:themeColor="accent1"/>
        <w:bottom w:val="single" w:sz="8" w:space="0" w:color="3AAA35" w:themeColor="accent1"/>
        <w:right w:val="single" w:sz="8" w:space="0" w:color="3AAA35" w:themeColor="accent1"/>
      </w:tblBorders>
    </w:tblPr>
    <w:tblStylePr w:type="firstRow">
      <w:rPr>
        <w:sz w:val="24"/>
        <w:szCs w:val="24"/>
      </w:rPr>
      <w:tblPr/>
      <w:tcPr>
        <w:tcBorders>
          <w:top w:val="nil"/>
          <w:left w:val="nil"/>
          <w:bottom w:val="single" w:sz="24" w:space="0" w:color="3AAA35" w:themeColor="accent1"/>
          <w:right w:val="nil"/>
          <w:insideH w:val="nil"/>
          <w:insideV w:val="nil"/>
        </w:tcBorders>
        <w:shd w:val="clear" w:color="auto" w:fill="A5A5A5" w:themeFill="background1"/>
      </w:tcPr>
    </w:tblStylePr>
    <w:tblStylePr w:type="lastRow">
      <w:tblPr/>
      <w:tcPr>
        <w:tcBorders>
          <w:top w:val="single" w:sz="8" w:space="0" w:color="3AAA35" w:themeColor="accent1"/>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3AAA35" w:themeColor="accent1"/>
          <w:insideH w:val="nil"/>
          <w:insideV w:val="nil"/>
        </w:tcBorders>
        <w:shd w:val="clear" w:color="auto" w:fill="A5A5A5" w:themeFill="background1"/>
      </w:tcPr>
    </w:tblStylePr>
    <w:tblStylePr w:type="lastCol">
      <w:tblPr/>
      <w:tcPr>
        <w:tcBorders>
          <w:top w:val="nil"/>
          <w:left w:val="single" w:sz="8" w:space="0" w:color="3AAA35" w:themeColor="accent1"/>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CAEEC8" w:themeFill="accent1" w:themeFillTint="3F"/>
      </w:tcPr>
    </w:tblStylePr>
    <w:tblStylePr w:type="band1Horz">
      <w:tblPr/>
      <w:tcPr>
        <w:tcBorders>
          <w:top w:val="nil"/>
          <w:bottom w:val="nil"/>
          <w:insideH w:val="nil"/>
          <w:insideV w:val="nil"/>
        </w:tcBorders>
        <w:shd w:val="clear" w:color="auto" w:fill="CAEEC8" w:themeFill="accent1"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2">
    <w:name w:val="Medium List 2 Accent 2"/>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006633" w:themeColor="accent2"/>
        <w:left w:val="single" w:sz="8" w:space="0" w:color="006633" w:themeColor="accent2"/>
        <w:bottom w:val="single" w:sz="8" w:space="0" w:color="006633" w:themeColor="accent2"/>
        <w:right w:val="single" w:sz="8" w:space="0" w:color="006633" w:themeColor="accent2"/>
      </w:tblBorders>
    </w:tblPr>
    <w:tblStylePr w:type="firstRow">
      <w:rPr>
        <w:sz w:val="24"/>
        <w:szCs w:val="24"/>
      </w:rPr>
      <w:tblPr/>
      <w:tcPr>
        <w:tcBorders>
          <w:top w:val="nil"/>
          <w:left w:val="nil"/>
          <w:bottom w:val="single" w:sz="24" w:space="0" w:color="006633" w:themeColor="accent2"/>
          <w:right w:val="nil"/>
          <w:insideH w:val="nil"/>
          <w:insideV w:val="nil"/>
        </w:tcBorders>
        <w:shd w:val="clear" w:color="auto" w:fill="A5A5A5" w:themeFill="background1"/>
      </w:tcPr>
    </w:tblStylePr>
    <w:tblStylePr w:type="lastRow">
      <w:tblPr/>
      <w:tcPr>
        <w:tcBorders>
          <w:top w:val="single" w:sz="8" w:space="0" w:color="006633" w:themeColor="accent2"/>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006633" w:themeColor="accent2"/>
          <w:insideH w:val="nil"/>
          <w:insideV w:val="nil"/>
        </w:tcBorders>
        <w:shd w:val="clear" w:color="auto" w:fill="A5A5A5" w:themeFill="background1"/>
      </w:tcPr>
    </w:tblStylePr>
    <w:tblStylePr w:type="lastCol">
      <w:tblPr/>
      <w:tcPr>
        <w:tcBorders>
          <w:top w:val="nil"/>
          <w:left w:val="single" w:sz="8" w:space="0" w:color="006633" w:themeColor="accent2"/>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9AFFCC" w:themeFill="accent2" w:themeFillTint="3F"/>
      </w:tcPr>
    </w:tblStylePr>
    <w:tblStylePr w:type="band1Horz">
      <w:tblPr/>
      <w:tcPr>
        <w:tcBorders>
          <w:top w:val="nil"/>
          <w:bottom w:val="nil"/>
          <w:insideH w:val="nil"/>
          <w:insideV w:val="nil"/>
        </w:tcBorders>
        <w:shd w:val="clear" w:color="auto" w:fill="9AFFCC" w:themeFill="accent2"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3">
    <w:name w:val="Medium List 2 Accent 3"/>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tblBorders>
    </w:tblPr>
    <w:tblStylePr w:type="firstRow">
      <w:rPr>
        <w:sz w:val="24"/>
        <w:szCs w:val="24"/>
      </w:rPr>
      <w:tblPr/>
      <w:tcPr>
        <w:tcBorders>
          <w:top w:val="nil"/>
          <w:left w:val="nil"/>
          <w:bottom w:val="single" w:sz="24" w:space="0" w:color="BCCF00" w:themeColor="accent3"/>
          <w:right w:val="nil"/>
          <w:insideH w:val="nil"/>
          <w:insideV w:val="nil"/>
        </w:tcBorders>
        <w:shd w:val="clear" w:color="auto" w:fill="A5A5A5" w:themeFill="background1"/>
      </w:tcPr>
    </w:tblStylePr>
    <w:tblStylePr w:type="lastRow">
      <w:tblPr/>
      <w:tcPr>
        <w:tcBorders>
          <w:top w:val="single" w:sz="8" w:space="0" w:color="BCCF00" w:themeColor="accent3"/>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BCCF00" w:themeColor="accent3"/>
          <w:insideH w:val="nil"/>
          <w:insideV w:val="nil"/>
        </w:tcBorders>
        <w:shd w:val="clear" w:color="auto" w:fill="A5A5A5" w:themeFill="background1"/>
      </w:tcPr>
    </w:tblStylePr>
    <w:tblStylePr w:type="lastCol">
      <w:tblPr/>
      <w:tcPr>
        <w:tcBorders>
          <w:top w:val="nil"/>
          <w:left w:val="single" w:sz="8" w:space="0" w:color="BCCF00" w:themeColor="accent3"/>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7FFB4" w:themeFill="accent3" w:themeFillTint="3F"/>
      </w:tcPr>
    </w:tblStylePr>
    <w:tblStylePr w:type="band1Horz">
      <w:tblPr/>
      <w:tcPr>
        <w:tcBorders>
          <w:top w:val="nil"/>
          <w:bottom w:val="nil"/>
          <w:insideH w:val="nil"/>
          <w:insideV w:val="nil"/>
        </w:tcBorders>
        <w:shd w:val="clear" w:color="auto" w:fill="F7FFB4" w:themeFill="accent3"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4">
    <w:name w:val="Medium List 2 Accent 4"/>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tblBorders>
    </w:tblPr>
    <w:tblStylePr w:type="firstRow">
      <w:rPr>
        <w:sz w:val="24"/>
        <w:szCs w:val="24"/>
      </w:rPr>
      <w:tblPr/>
      <w:tcPr>
        <w:tcBorders>
          <w:top w:val="nil"/>
          <w:left w:val="nil"/>
          <w:bottom w:val="single" w:sz="24" w:space="0" w:color="FAD500" w:themeColor="accent4"/>
          <w:right w:val="nil"/>
          <w:insideH w:val="nil"/>
          <w:insideV w:val="nil"/>
        </w:tcBorders>
        <w:shd w:val="clear" w:color="auto" w:fill="A5A5A5" w:themeFill="background1"/>
      </w:tcPr>
    </w:tblStylePr>
    <w:tblStylePr w:type="lastRow">
      <w:tblPr/>
      <w:tcPr>
        <w:tcBorders>
          <w:top w:val="single" w:sz="8" w:space="0" w:color="FAD500" w:themeColor="accent4"/>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FAD500" w:themeColor="accent4"/>
          <w:insideH w:val="nil"/>
          <w:insideV w:val="nil"/>
        </w:tcBorders>
        <w:shd w:val="clear" w:color="auto" w:fill="A5A5A5" w:themeFill="background1"/>
      </w:tcPr>
    </w:tblStylePr>
    <w:tblStylePr w:type="lastCol">
      <w:tblPr/>
      <w:tcPr>
        <w:tcBorders>
          <w:top w:val="nil"/>
          <w:left w:val="single" w:sz="8" w:space="0" w:color="FAD500" w:themeColor="accent4"/>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FF5BE" w:themeFill="accent4" w:themeFillTint="3F"/>
      </w:tcPr>
    </w:tblStylePr>
    <w:tblStylePr w:type="band1Horz">
      <w:tblPr/>
      <w:tcPr>
        <w:tcBorders>
          <w:top w:val="nil"/>
          <w:bottom w:val="nil"/>
          <w:insideH w:val="nil"/>
          <w:insideV w:val="nil"/>
        </w:tcBorders>
        <w:shd w:val="clear" w:color="auto" w:fill="FFF5BE" w:themeFill="accent4"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5">
    <w:name w:val="Medium List 2 Accent 5"/>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tblBorders>
    </w:tblPr>
    <w:tblStylePr w:type="firstRow">
      <w:rPr>
        <w:sz w:val="24"/>
        <w:szCs w:val="24"/>
      </w:rPr>
      <w:tblPr/>
      <w:tcPr>
        <w:tcBorders>
          <w:top w:val="nil"/>
          <w:left w:val="nil"/>
          <w:bottom w:val="single" w:sz="24" w:space="0" w:color="F29D00" w:themeColor="accent5"/>
          <w:right w:val="nil"/>
          <w:insideH w:val="nil"/>
          <w:insideV w:val="nil"/>
        </w:tcBorders>
        <w:shd w:val="clear" w:color="auto" w:fill="A5A5A5" w:themeFill="background1"/>
      </w:tcPr>
    </w:tblStylePr>
    <w:tblStylePr w:type="lastRow">
      <w:tblPr/>
      <w:tcPr>
        <w:tcBorders>
          <w:top w:val="single" w:sz="8" w:space="0" w:color="F29D00" w:themeColor="accent5"/>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F29D00" w:themeColor="accent5"/>
          <w:insideH w:val="nil"/>
          <w:insideV w:val="nil"/>
        </w:tcBorders>
        <w:shd w:val="clear" w:color="auto" w:fill="A5A5A5" w:themeFill="background1"/>
      </w:tcPr>
    </w:tblStylePr>
    <w:tblStylePr w:type="lastCol">
      <w:tblPr/>
      <w:tcPr>
        <w:tcBorders>
          <w:top w:val="nil"/>
          <w:left w:val="single" w:sz="8" w:space="0" w:color="F29D00" w:themeColor="accent5"/>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FE7BC" w:themeFill="accent5" w:themeFillTint="3F"/>
      </w:tcPr>
    </w:tblStylePr>
    <w:tblStylePr w:type="band1Horz">
      <w:tblPr/>
      <w:tcPr>
        <w:tcBorders>
          <w:top w:val="nil"/>
          <w:bottom w:val="nil"/>
          <w:insideH w:val="nil"/>
          <w:insideV w:val="nil"/>
        </w:tcBorders>
        <w:shd w:val="clear" w:color="auto" w:fill="FFE7BC" w:themeFill="accent5"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6">
    <w:name w:val="Medium List 2 Accent 6"/>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tblBorders>
    </w:tblPr>
    <w:tblStylePr w:type="firstRow">
      <w:rPr>
        <w:sz w:val="24"/>
        <w:szCs w:val="24"/>
      </w:rPr>
      <w:tblPr/>
      <w:tcPr>
        <w:tcBorders>
          <w:top w:val="nil"/>
          <w:left w:val="nil"/>
          <w:bottom w:val="single" w:sz="24" w:space="0" w:color="C85019" w:themeColor="accent6"/>
          <w:right w:val="nil"/>
          <w:insideH w:val="nil"/>
          <w:insideV w:val="nil"/>
        </w:tcBorders>
        <w:shd w:val="clear" w:color="auto" w:fill="A5A5A5" w:themeFill="background1"/>
      </w:tcPr>
    </w:tblStylePr>
    <w:tblStylePr w:type="lastRow">
      <w:tblPr/>
      <w:tcPr>
        <w:tcBorders>
          <w:top w:val="single" w:sz="8" w:space="0" w:color="C85019" w:themeColor="accent6"/>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C85019" w:themeColor="accent6"/>
          <w:insideH w:val="nil"/>
          <w:insideV w:val="nil"/>
        </w:tcBorders>
        <w:shd w:val="clear" w:color="auto" w:fill="A5A5A5" w:themeFill="background1"/>
      </w:tcPr>
    </w:tblStylePr>
    <w:tblStylePr w:type="lastCol">
      <w:tblPr/>
      <w:tcPr>
        <w:tcBorders>
          <w:top w:val="nil"/>
          <w:left w:val="single" w:sz="8" w:space="0" w:color="C85019" w:themeColor="accent6"/>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7D1C0" w:themeFill="accent6" w:themeFillTint="3F"/>
      </w:tcPr>
    </w:tblStylePr>
    <w:tblStylePr w:type="band1Horz">
      <w:tblPr/>
      <w:tcPr>
        <w:tcBorders>
          <w:top w:val="nil"/>
          <w:bottom w:val="nil"/>
          <w:insideH w:val="nil"/>
          <w:insideV w:val="nil"/>
        </w:tcBorders>
        <w:shd w:val="clear" w:color="auto" w:fill="F7D1C0" w:themeFill="accent6"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Shading1">
    <w:name w:val="Medium Shading 1"/>
    <w:basedOn w:val="TableNormal"/>
    <w:uiPriority w:val="63"/>
    <w:rsid w:val="00901205"/>
    <w:pPr>
      <w:spacing w:line="240" w:lineRule="auto"/>
    </w:pPr>
    <w:tblPr>
      <w:tblStyleRowBandSize w:val="1"/>
      <w:tblStyleColBandSize w:val="1"/>
      <w:tblBorders>
        <w:top w:val="single" w:sz="8" w:space="0" w:color="808285" w:themeColor="text1" w:themeTint="BF"/>
        <w:left w:val="single" w:sz="8" w:space="0" w:color="808285" w:themeColor="text1" w:themeTint="BF"/>
        <w:bottom w:val="single" w:sz="8" w:space="0" w:color="808285" w:themeColor="text1" w:themeTint="BF"/>
        <w:right w:val="single" w:sz="8" w:space="0" w:color="808285" w:themeColor="text1" w:themeTint="BF"/>
        <w:insideH w:val="single" w:sz="8" w:space="0" w:color="808285" w:themeColor="text1" w:themeTint="BF"/>
      </w:tblBorders>
    </w:tblPr>
    <w:tblStylePr w:type="firstRow">
      <w:pPr>
        <w:spacing w:before="0" w:after="0" w:line="240" w:lineRule="auto"/>
      </w:pPr>
      <w:rPr>
        <w:b/>
        <w:bCs/>
        <w:color w:val="A5A5A5" w:themeColor="background1"/>
      </w:rPr>
      <w:tblPr/>
      <w:tcPr>
        <w:tcBorders>
          <w:top w:val="single" w:sz="8" w:space="0" w:color="808285" w:themeColor="text1" w:themeTint="BF"/>
          <w:left w:val="single" w:sz="8" w:space="0" w:color="808285" w:themeColor="text1" w:themeTint="BF"/>
          <w:bottom w:val="single" w:sz="8" w:space="0" w:color="808285" w:themeColor="text1" w:themeTint="BF"/>
          <w:right w:val="single" w:sz="8" w:space="0" w:color="808285" w:themeColor="text1" w:themeTint="BF"/>
          <w:insideH w:val="nil"/>
          <w:insideV w:val="nil"/>
        </w:tcBorders>
        <w:shd w:val="clear" w:color="auto" w:fill="58595B" w:themeFill="text1"/>
      </w:tcPr>
    </w:tblStylePr>
    <w:tblStylePr w:type="lastRow">
      <w:pPr>
        <w:spacing w:before="0" w:after="0" w:line="240" w:lineRule="auto"/>
      </w:pPr>
      <w:rPr>
        <w:b/>
        <w:bCs/>
      </w:rPr>
      <w:tblPr/>
      <w:tcPr>
        <w:tcBorders>
          <w:top w:val="double" w:sz="6" w:space="0" w:color="808285" w:themeColor="text1" w:themeTint="BF"/>
          <w:left w:val="single" w:sz="8" w:space="0" w:color="808285" w:themeColor="text1" w:themeTint="BF"/>
          <w:bottom w:val="single" w:sz="8" w:space="0" w:color="808285" w:themeColor="text1" w:themeTint="BF"/>
          <w:right w:val="single" w:sz="8" w:space="0" w:color="808285" w:themeColor="text1" w:themeTint="BF"/>
          <w:insideH w:val="nil"/>
          <w:insideV w:val="nil"/>
        </w:tcBorders>
      </w:tcPr>
    </w:tblStylePr>
    <w:tblStylePr w:type="firstCol">
      <w:rPr>
        <w:b/>
        <w:bCs/>
      </w:rPr>
    </w:tblStylePr>
    <w:tblStylePr w:type="lastCol">
      <w:rPr>
        <w:b/>
        <w:bCs/>
      </w:rPr>
    </w:tblStylePr>
    <w:tblStylePr w:type="band1Vert">
      <w:tblPr/>
      <w:tcPr>
        <w:shd w:val="clear" w:color="auto" w:fill="D5D5D6" w:themeFill="text1" w:themeFillTint="3F"/>
      </w:tcPr>
    </w:tblStylePr>
    <w:tblStylePr w:type="band1Horz">
      <w:tblPr/>
      <w:tcPr>
        <w:tcBorders>
          <w:insideH w:val="nil"/>
          <w:insideV w:val="nil"/>
        </w:tcBorders>
        <w:shd w:val="clear" w:color="auto" w:fill="D5D5D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01205"/>
    <w:pPr>
      <w:spacing w:line="240" w:lineRule="auto"/>
    </w:pPr>
    <w:tblPr>
      <w:tblStyleRowBandSize w:val="1"/>
      <w:tblStyleColBandSize w:val="1"/>
      <w:tblBorders>
        <w:top w:val="single" w:sz="8" w:space="0" w:color="5FCC5B" w:themeColor="accent1" w:themeTint="BF"/>
        <w:left w:val="single" w:sz="8" w:space="0" w:color="5FCC5B" w:themeColor="accent1" w:themeTint="BF"/>
        <w:bottom w:val="single" w:sz="8" w:space="0" w:color="5FCC5B" w:themeColor="accent1" w:themeTint="BF"/>
        <w:right w:val="single" w:sz="8" w:space="0" w:color="5FCC5B" w:themeColor="accent1" w:themeTint="BF"/>
        <w:insideH w:val="single" w:sz="8" w:space="0" w:color="5FCC5B" w:themeColor="accent1" w:themeTint="BF"/>
      </w:tblBorders>
    </w:tblPr>
    <w:tblStylePr w:type="firstRow">
      <w:pPr>
        <w:spacing w:before="0" w:after="0" w:line="240" w:lineRule="auto"/>
      </w:pPr>
      <w:rPr>
        <w:b/>
        <w:bCs/>
        <w:color w:val="A5A5A5" w:themeColor="background1"/>
      </w:rPr>
      <w:tblPr/>
      <w:tcPr>
        <w:tcBorders>
          <w:top w:val="single" w:sz="8" w:space="0" w:color="5FCC5B" w:themeColor="accent1" w:themeTint="BF"/>
          <w:left w:val="single" w:sz="8" w:space="0" w:color="5FCC5B" w:themeColor="accent1" w:themeTint="BF"/>
          <w:bottom w:val="single" w:sz="8" w:space="0" w:color="5FCC5B" w:themeColor="accent1" w:themeTint="BF"/>
          <w:right w:val="single" w:sz="8" w:space="0" w:color="5FCC5B" w:themeColor="accent1" w:themeTint="BF"/>
          <w:insideH w:val="nil"/>
          <w:insideV w:val="nil"/>
        </w:tcBorders>
        <w:shd w:val="clear" w:color="auto" w:fill="3AAA35" w:themeFill="accent1"/>
      </w:tcPr>
    </w:tblStylePr>
    <w:tblStylePr w:type="lastRow">
      <w:pPr>
        <w:spacing w:before="0" w:after="0" w:line="240" w:lineRule="auto"/>
      </w:pPr>
      <w:rPr>
        <w:b/>
        <w:bCs/>
      </w:rPr>
      <w:tblPr/>
      <w:tcPr>
        <w:tcBorders>
          <w:top w:val="double" w:sz="6" w:space="0" w:color="5FCC5B" w:themeColor="accent1" w:themeTint="BF"/>
          <w:left w:val="single" w:sz="8" w:space="0" w:color="5FCC5B" w:themeColor="accent1" w:themeTint="BF"/>
          <w:bottom w:val="single" w:sz="8" w:space="0" w:color="5FCC5B" w:themeColor="accent1" w:themeTint="BF"/>
          <w:right w:val="single" w:sz="8" w:space="0" w:color="5FCC5B"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EC8" w:themeFill="accent1" w:themeFillTint="3F"/>
      </w:tcPr>
    </w:tblStylePr>
    <w:tblStylePr w:type="band1Horz">
      <w:tblPr/>
      <w:tcPr>
        <w:tcBorders>
          <w:insideH w:val="nil"/>
          <w:insideV w:val="nil"/>
        </w:tcBorders>
        <w:shd w:val="clear" w:color="auto" w:fill="CAEEC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01205"/>
    <w:pPr>
      <w:spacing w:line="240" w:lineRule="auto"/>
    </w:pPr>
    <w:tblPr>
      <w:tblStyleRowBandSize w:val="1"/>
      <w:tblStyleColBandSize w:val="1"/>
      <w:tblBorders>
        <w:top w:val="single" w:sz="8" w:space="0" w:color="00CC65" w:themeColor="accent2" w:themeTint="BF"/>
        <w:left w:val="single" w:sz="8" w:space="0" w:color="00CC65" w:themeColor="accent2" w:themeTint="BF"/>
        <w:bottom w:val="single" w:sz="8" w:space="0" w:color="00CC65" w:themeColor="accent2" w:themeTint="BF"/>
        <w:right w:val="single" w:sz="8" w:space="0" w:color="00CC65" w:themeColor="accent2" w:themeTint="BF"/>
        <w:insideH w:val="single" w:sz="8" w:space="0" w:color="00CC65" w:themeColor="accent2" w:themeTint="BF"/>
      </w:tblBorders>
    </w:tblPr>
    <w:tblStylePr w:type="firstRow">
      <w:pPr>
        <w:spacing w:before="0" w:after="0" w:line="240" w:lineRule="auto"/>
      </w:pPr>
      <w:rPr>
        <w:b/>
        <w:bCs/>
        <w:color w:val="A5A5A5" w:themeColor="background1"/>
      </w:rPr>
      <w:tblPr/>
      <w:tcPr>
        <w:tcBorders>
          <w:top w:val="single" w:sz="8" w:space="0" w:color="00CC65" w:themeColor="accent2" w:themeTint="BF"/>
          <w:left w:val="single" w:sz="8" w:space="0" w:color="00CC65" w:themeColor="accent2" w:themeTint="BF"/>
          <w:bottom w:val="single" w:sz="8" w:space="0" w:color="00CC65" w:themeColor="accent2" w:themeTint="BF"/>
          <w:right w:val="single" w:sz="8" w:space="0" w:color="00CC65" w:themeColor="accent2" w:themeTint="BF"/>
          <w:insideH w:val="nil"/>
          <w:insideV w:val="nil"/>
        </w:tcBorders>
        <w:shd w:val="clear" w:color="auto" w:fill="006633" w:themeFill="accent2"/>
      </w:tcPr>
    </w:tblStylePr>
    <w:tblStylePr w:type="lastRow">
      <w:pPr>
        <w:spacing w:before="0" w:after="0" w:line="240" w:lineRule="auto"/>
      </w:pPr>
      <w:rPr>
        <w:b/>
        <w:bCs/>
      </w:rPr>
      <w:tblPr/>
      <w:tcPr>
        <w:tcBorders>
          <w:top w:val="double" w:sz="6" w:space="0" w:color="00CC65" w:themeColor="accent2" w:themeTint="BF"/>
          <w:left w:val="single" w:sz="8" w:space="0" w:color="00CC65" w:themeColor="accent2" w:themeTint="BF"/>
          <w:bottom w:val="single" w:sz="8" w:space="0" w:color="00CC65" w:themeColor="accent2" w:themeTint="BF"/>
          <w:right w:val="single" w:sz="8" w:space="0" w:color="00CC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9AFFCC" w:themeFill="accent2" w:themeFillTint="3F"/>
      </w:tcPr>
    </w:tblStylePr>
    <w:tblStylePr w:type="band1Horz">
      <w:tblPr/>
      <w:tcPr>
        <w:tcBorders>
          <w:insideH w:val="nil"/>
          <w:insideV w:val="nil"/>
        </w:tcBorders>
        <w:shd w:val="clear" w:color="auto" w:fill="9AFF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01205"/>
    <w:pPr>
      <w:spacing w:line="240" w:lineRule="auto"/>
    </w:pPr>
    <w:tblPr>
      <w:tblStyleRowBandSize w:val="1"/>
      <w:tblStyleColBandSize w:val="1"/>
      <w:tblBorders>
        <w:top w:val="single" w:sz="8"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single" w:sz="8" w:space="0" w:color="E9FF1C" w:themeColor="accent3" w:themeTint="BF"/>
      </w:tblBorders>
    </w:tblPr>
    <w:tblStylePr w:type="firstRow">
      <w:pPr>
        <w:spacing w:before="0" w:after="0" w:line="240" w:lineRule="auto"/>
      </w:pPr>
      <w:rPr>
        <w:b/>
        <w:bCs/>
        <w:color w:val="A5A5A5" w:themeColor="background1"/>
      </w:rPr>
      <w:tblPr/>
      <w:tcPr>
        <w:tcBorders>
          <w:top w:val="single" w:sz="8"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nil"/>
          <w:insideV w:val="nil"/>
        </w:tcBorders>
        <w:shd w:val="clear" w:color="auto" w:fill="BCCF00" w:themeFill="accent3"/>
      </w:tcPr>
    </w:tblStylePr>
    <w:tblStylePr w:type="lastRow">
      <w:pPr>
        <w:spacing w:before="0" w:after="0" w:line="240" w:lineRule="auto"/>
      </w:pPr>
      <w:rPr>
        <w:b/>
        <w:bCs/>
      </w:rPr>
      <w:tblPr/>
      <w:tcPr>
        <w:tcBorders>
          <w:top w:val="double" w:sz="6"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FB4" w:themeFill="accent3" w:themeFillTint="3F"/>
      </w:tcPr>
    </w:tblStylePr>
    <w:tblStylePr w:type="band1Horz">
      <w:tblPr/>
      <w:tcPr>
        <w:tcBorders>
          <w:insideH w:val="nil"/>
          <w:insideV w:val="nil"/>
        </w:tcBorders>
        <w:shd w:val="clear" w:color="auto" w:fill="F7FFB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01205"/>
    <w:pPr>
      <w:spacing w:line="240" w:lineRule="auto"/>
    </w:pPr>
    <w:tblPr>
      <w:tblStyleRowBandSize w:val="1"/>
      <w:tblStyleColBandSize w:val="1"/>
      <w:tblBorders>
        <w:top w:val="single" w:sz="8"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single" w:sz="8" w:space="0" w:color="FFE13C" w:themeColor="accent4" w:themeTint="BF"/>
      </w:tblBorders>
    </w:tblPr>
    <w:tblStylePr w:type="firstRow">
      <w:pPr>
        <w:spacing w:before="0" w:after="0" w:line="240" w:lineRule="auto"/>
      </w:pPr>
      <w:rPr>
        <w:b/>
        <w:bCs/>
        <w:color w:val="A5A5A5" w:themeColor="background1"/>
      </w:rPr>
      <w:tblPr/>
      <w:tcPr>
        <w:tcBorders>
          <w:top w:val="single" w:sz="8"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nil"/>
          <w:insideV w:val="nil"/>
        </w:tcBorders>
        <w:shd w:val="clear" w:color="auto" w:fill="FAD500" w:themeFill="accent4"/>
      </w:tcPr>
    </w:tblStylePr>
    <w:tblStylePr w:type="lastRow">
      <w:pPr>
        <w:spacing w:before="0" w:after="0" w:line="240" w:lineRule="auto"/>
      </w:pPr>
      <w:rPr>
        <w:b/>
        <w:bCs/>
      </w:rPr>
      <w:tblPr/>
      <w:tcPr>
        <w:tcBorders>
          <w:top w:val="double" w:sz="6"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5BE" w:themeFill="accent4" w:themeFillTint="3F"/>
      </w:tcPr>
    </w:tblStylePr>
    <w:tblStylePr w:type="band1Horz">
      <w:tblPr/>
      <w:tcPr>
        <w:tcBorders>
          <w:insideH w:val="nil"/>
          <w:insideV w:val="nil"/>
        </w:tcBorders>
        <w:shd w:val="clear" w:color="auto" w:fill="FFF5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01205"/>
    <w:pPr>
      <w:spacing w:line="240" w:lineRule="auto"/>
    </w:pPr>
    <w:tblPr>
      <w:tblStyleRowBandSize w:val="1"/>
      <w:tblStyleColBandSize w:val="1"/>
      <w:tblBorders>
        <w:top w:val="single" w:sz="8"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single" w:sz="8" w:space="0" w:color="FFB836" w:themeColor="accent5" w:themeTint="BF"/>
      </w:tblBorders>
    </w:tblPr>
    <w:tblStylePr w:type="firstRow">
      <w:pPr>
        <w:spacing w:before="0" w:after="0" w:line="240" w:lineRule="auto"/>
      </w:pPr>
      <w:rPr>
        <w:b/>
        <w:bCs/>
        <w:color w:val="A5A5A5" w:themeColor="background1"/>
      </w:rPr>
      <w:tblPr/>
      <w:tcPr>
        <w:tcBorders>
          <w:top w:val="single" w:sz="8"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nil"/>
          <w:insideV w:val="nil"/>
        </w:tcBorders>
        <w:shd w:val="clear" w:color="auto" w:fill="F29D00" w:themeFill="accent5"/>
      </w:tcPr>
    </w:tblStylePr>
    <w:tblStylePr w:type="lastRow">
      <w:pPr>
        <w:spacing w:before="0" w:after="0" w:line="240" w:lineRule="auto"/>
      </w:pPr>
      <w:rPr>
        <w:b/>
        <w:bCs/>
      </w:rPr>
      <w:tblPr/>
      <w:tcPr>
        <w:tcBorders>
          <w:top w:val="double" w:sz="6"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7BC" w:themeFill="accent5" w:themeFillTint="3F"/>
      </w:tcPr>
    </w:tblStylePr>
    <w:tblStylePr w:type="band1Horz">
      <w:tblPr/>
      <w:tcPr>
        <w:tcBorders>
          <w:insideH w:val="nil"/>
          <w:insideV w:val="nil"/>
        </w:tcBorders>
        <w:shd w:val="clear" w:color="auto" w:fill="FFE7B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01205"/>
    <w:pPr>
      <w:spacing w:line="240" w:lineRule="auto"/>
    </w:pPr>
    <w:tblPr>
      <w:tblStyleRowBandSize w:val="1"/>
      <w:tblStyleColBandSize w:val="1"/>
      <w:tblBorders>
        <w:top w:val="single" w:sz="8"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single" w:sz="8" w:space="0" w:color="E77541" w:themeColor="accent6" w:themeTint="BF"/>
      </w:tblBorders>
    </w:tblPr>
    <w:tblStylePr w:type="firstRow">
      <w:pPr>
        <w:spacing w:before="0" w:after="0" w:line="240" w:lineRule="auto"/>
      </w:pPr>
      <w:rPr>
        <w:b/>
        <w:bCs/>
        <w:color w:val="A5A5A5" w:themeColor="background1"/>
      </w:rPr>
      <w:tblPr/>
      <w:tcPr>
        <w:tcBorders>
          <w:top w:val="single" w:sz="8"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nil"/>
          <w:insideV w:val="nil"/>
        </w:tcBorders>
        <w:shd w:val="clear" w:color="auto" w:fill="C85019" w:themeFill="accent6"/>
      </w:tcPr>
    </w:tblStylePr>
    <w:tblStylePr w:type="lastRow">
      <w:pPr>
        <w:spacing w:before="0" w:after="0" w:line="240" w:lineRule="auto"/>
      </w:pPr>
      <w:rPr>
        <w:b/>
        <w:bCs/>
      </w:rPr>
      <w:tblPr/>
      <w:tcPr>
        <w:tcBorders>
          <w:top w:val="double" w:sz="6"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D1C0" w:themeFill="accent6" w:themeFillTint="3F"/>
      </w:tcPr>
    </w:tblStylePr>
    <w:tblStylePr w:type="band1Horz">
      <w:tblPr/>
      <w:tcPr>
        <w:tcBorders>
          <w:insideH w:val="nil"/>
          <w:insideV w:val="nil"/>
        </w:tcBorders>
        <w:shd w:val="clear" w:color="auto" w:fill="F7D1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58595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58595B" w:themeFill="text1"/>
      </w:tcPr>
    </w:tblStylePr>
    <w:tblStylePr w:type="lastCol">
      <w:rPr>
        <w:b/>
        <w:bCs/>
        <w:color w:val="A5A5A5" w:themeColor="background1"/>
      </w:rPr>
      <w:tblPr/>
      <w:tcPr>
        <w:tcBorders>
          <w:left w:val="nil"/>
          <w:right w:val="nil"/>
          <w:insideH w:val="nil"/>
          <w:insideV w:val="nil"/>
        </w:tcBorders>
        <w:shd w:val="clear" w:color="auto" w:fill="58595B" w:themeFill="text1"/>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3AAA3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3AAA35" w:themeFill="accent1"/>
      </w:tcPr>
    </w:tblStylePr>
    <w:tblStylePr w:type="lastCol">
      <w:rPr>
        <w:b/>
        <w:bCs/>
        <w:color w:val="A5A5A5" w:themeColor="background1"/>
      </w:rPr>
      <w:tblPr/>
      <w:tcPr>
        <w:tcBorders>
          <w:left w:val="nil"/>
          <w:right w:val="nil"/>
          <w:insideH w:val="nil"/>
          <w:insideV w:val="nil"/>
        </w:tcBorders>
        <w:shd w:val="clear" w:color="auto" w:fill="3AAA35" w:themeFill="accent1"/>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0066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006633" w:themeFill="accent2"/>
      </w:tcPr>
    </w:tblStylePr>
    <w:tblStylePr w:type="lastCol">
      <w:rPr>
        <w:b/>
        <w:bCs/>
        <w:color w:val="A5A5A5" w:themeColor="background1"/>
      </w:rPr>
      <w:tblPr/>
      <w:tcPr>
        <w:tcBorders>
          <w:left w:val="nil"/>
          <w:right w:val="nil"/>
          <w:insideH w:val="nil"/>
          <w:insideV w:val="nil"/>
        </w:tcBorders>
        <w:shd w:val="clear" w:color="auto" w:fill="006633" w:themeFill="accent2"/>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BCCF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BCCF00" w:themeFill="accent3"/>
      </w:tcPr>
    </w:tblStylePr>
    <w:tblStylePr w:type="lastCol">
      <w:rPr>
        <w:b/>
        <w:bCs/>
        <w:color w:val="A5A5A5" w:themeColor="background1"/>
      </w:rPr>
      <w:tblPr/>
      <w:tcPr>
        <w:tcBorders>
          <w:left w:val="nil"/>
          <w:right w:val="nil"/>
          <w:insideH w:val="nil"/>
          <w:insideV w:val="nil"/>
        </w:tcBorders>
        <w:shd w:val="clear" w:color="auto" w:fill="BCCF00" w:themeFill="accent3"/>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FAD5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FAD500" w:themeFill="accent4"/>
      </w:tcPr>
    </w:tblStylePr>
    <w:tblStylePr w:type="lastCol">
      <w:rPr>
        <w:b/>
        <w:bCs/>
        <w:color w:val="A5A5A5" w:themeColor="background1"/>
      </w:rPr>
      <w:tblPr/>
      <w:tcPr>
        <w:tcBorders>
          <w:left w:val="nil"/>
          <w:right w:val="nil"/>
          <w:insideH w:val="nil"/>
          <w:insideV w:val="nil"/>
        </w:tcBorders>
        <w:shd w:val="clear" w:color="auto" w:fill="FAD500" w:themeFill="accent4"/>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F29D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F29D00" w:themeFill="accent5"/>
      </w:tcPr>
    </w:tblStylePr>
    <w:tblStylePr w:type="lastCol">
      <w:rPr>
        <w:b/>
        <w:bCs/>
        <w:color w:val="A5A5A5" w:themeColor="background1"/>
      </w:rPr>
      <w:tblPr/>
      <w:tcPr>
        <w:tcBorders>
          <w:left w:val="nil"/>
          <w:right w:val="nil"/>
          <w:insideH w:val="nil"/>
          <w:insideV w:val="nil"/>
        </w:tcBorders>
        <w:shd w:val="clear" w:color="auto" w:fill="F29D00" w:themeFill="accent5"/>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C8501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C85019" w:themeFill="accent6"/>
      </w:tcPr>
    </w:tblStylePr>
    <w:tblStylePr w:type="lastCol">
      <w:rPr>
        <w:b/>
        <w:bCs/>
        <w:color w:val="A5A5A5" w:themeColor="background1"/>
      </w:rPr>
      <w:tblPr/>
      <w:tcPr>
        <w:tcBorders>
          <w:left w:val="nil"/>
          <w:right w:val="nil"/>
          <w:insideH w:val="nil"/>
          <w:insideV w:val="nil"/>
        </w:tcBorders>
        <w:shd w:val="clear" w:color="auto" w:fill="C85019" w:themeFill="accent6"/>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0120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01205"/>
    <w:rPr>
      <w:rFonts w:asciiTheme="majorHAnsi" w:eastAsiaTheme="majorEastAsia" w:hAnsiTheme="majorHAnsi" w:cstheme="majorBidi"/>
      <w:sz w:val="24"/>
      <w:szCs w:val="24"/>
      <w:shd w:val="pct20" w:color="auto" w:fill="auto"/>
      <w:lang w:val="nl-BE"/>
    </w:rPr>
  </w:style>
  <w:style w:type="paragraph" w:styleId="NormalIndent">
    <w:name w:val="Normal Indent"/>
    <w:basedOn w:val="Normal"/>
    <w:uiPriority w:val="99"/>
    <w:semiHidden/>
    <w:unhideWhenUsed/>
    <w:rsid w:val="00901205"/>
    <w:pPr>
      <w:ind w:left="708"/>
    </w:pPr>
  </w:style>
  <w:style w:type="paragraph" w:styleId="NoteHeading">
    <w:name w:val="Note Heading"/>
    <w:basedOn w:val="Normal"/>
    <w:next w:val="Normal"/>
    <w:link w:val="NoteHeadingChar"/>
    <w:uiPriority w:val="99"/>
    <w:semiHidden/>
    <w:unhideWhenUsed/>
    <w:rsid w:val="00901205"/>
    <w:pPr>
      <w:spacing w:line="240" w:lineRule="auto"/>
    </w:pPr>
  </w:style>
  <w:style w:type="character" w:customStyle="1" w:styleId="NoteHeadingChar">
    <w:name w:val="Note Heading Char"/>
    <w:basedOn w:val="DefaultParagraphFont"/>
    <w:link w:val="NoteHeading"/>
    <w:uiPriority w:val="99"/>
    <w:semiHidden/>
    <w:rsid w:val="00901205"/>
    <w:rPr>
      <w:lang w:val="nl-BE"/>
    </w:rPr>
  </w:style>
  <w:style w:type="paragraph" w:styleId="PlainText">
    <w:name w:val="Plain Text"/>
    <w:basedOn w:val="Normal"/>
    <w:link w:val="PlainTextChar"/>
    <w:uiPriority w:val="99"/>
    <w:semiHidden/>
    <w:unhideWhenUsed/>
    <w:rsid w:val="0090120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01205"/>
    <w:rPr>
      <w:rFonts w:ascii="Consolas" w:hAnsi="Consolas"/>
      <w:sz w:val="21"/>
      <w:szCs w:val="21"/>
      <w:lang w:val="nl-BE"/>
    </w:rPr>
  </w:style>
  <w:style w:type="paragraph" w:styleId="Quote">
    <w:name w:val="Quote"/>
    <w:basedOn w:val="Normal"/>
    <w:next w:val="Normal"/>
    <w:link w:val="QuoteChar"/>
    <w:uiPriority w:val="29"/>
    <w:qFormat/>
    <w:rsid w:val="00901205"/>
    <w:rPr>
      <w:i/>
      <w:iCs/>
      <w:color w:val="58595B" w:themeColor="text1"/>
    </w:rPr>
  </w:style>
  <w:style w:type="character" w:customStyle="1" w:styleId="QuoteChar">
    <w:name w:val="Quote Char"/>
    <w:basedOn w:val="DefaultParagraphFont"/>
    <w:link w:val="Quote"/>
    <w:uiPriority w:val="29"/>
    <w:rsid w:val="00901205"/>
    <w:rPr>
      <w:i/>
      <w:iCs/>
      <w:color w:val="58595B" w:themeColor="text1"/>
      <w:lang w:val="nl-BE"/>
    </w:rPr>
  </w:style>
  <w:style w:type="paragraph" w:styleId="Salutation">
    <w:name w:val="Salutation"/>
    <w:basedOn w:val="Normal"/>
    <w:next w:val="Normal"/>
    <w:link w:val="SalutationChar"/>
    <w:uiPriority w:val="99"/>
    <w:semiHidden/>
    <w:unhideWhenUsed/>
    <w:rsid w:val="00901205"/>
  </w:style>
  <w:style w:type="character" w:customStyle="1" w:styleId="SalutationChar">
    <w:name w:val="Salutation Char"/>
    <w:basedOn w:val="DefaultParagraphFont"/>
    <w:link w:val="Salutation"/>
    <w:uiPriority w:val="99"/>
    <w:semiHidden/>
    <w:rsid w:val="00901205"/>
    <w:rPr>
      <w:lang w:val="nl-BE"/>
    </w:rPr>
  </w:style>
  <w:style w:type="paragraph" w:styleId="Signature">
    <w:name w:val="Signature"/>
    <w:basedOn w:val="Normal"/>
    <w:link w:val="SignatureChar"/>
    <w:uiPriority w:val="99"/>
    <w:semiHidden/>
    <w:unhideWhenUsed/>
    <w:rsid w:val="00901205"/>
    <w:pPr>
      <w:spacing w:line="240" w:lineRule="auto"/>
      <w:ind w:left="4252"/>
    </w:pPr>
  </w:style>
  <w:style w:type="character" w:customStyle="1" w:styleId="SignatureChar">
    <w:name w:val="Signature Char"/>
    <w:basedOn w:val="DefaultParagraphFont"/>
    <w:link w:val="Signature"/>
    <w:uiPriority w:val="99"/>
    <w:semiHidden/>
    <w:rsid w:val="00901205"/>
    <w:rPr>
      <w:lang w:val="nl-BE"/>
    </w:rPr>
  </w:style>
  <w:style w:type="paragraph" w:styleId="Subtitle">
    <w:name w:val="Subtitle"/>
    <w:basedOn w:val="Normal"/>
    <w:next w:val="Normal"/>
    <w:link w:val="SubtitleChar"/>
    <w:uiPriority w:val="17"/>
    <w:semiHidden/>
    <w:qFormat/>
    <w:rsid w:val="00901205"/>
    <w:pPr>
      <w:numPr>
        <w:ilvl w:val="1"/>
      </w:numPr>
    </w:pPr>
    <w:rPr>
      <w:rFonts w:asciiTheme="majorHAnsi" w:eastAsiaTheme="majorEastAsia" w:hAnsiTheme="majorHAnsi" w:cstheme="majorBidi"/>
      <w:i/>
      <w:iCs/>
      <w:color w:val="3AAA35" w:themeColor="accent1"/>
      <w:spacing w:val="15"/>
      <w:sz w:val="24"/>
      <w:szCs w:val="24"/>
    </w:rPr>
  </w:style>
  <w:style w:type="character" w:customStyle="1" w:styleId="SubtitleChar">
    <w:name w:val="Subtitle Char"/>
    <w:basedOn w:val="DefaultParagraphFont"/>
    <w:link w:val="Subtitle"/>
    <w:uiPriority w:val="17"/>
    <w:semiHidden/>
    <w:rsid w:val="00901205"/>
    <w:rPr>
      <w:rFonts w:asciiTheme="majorHAnsi" w:eastAsiaTheme="majorEastAsia" w:hAnsiTheme="majorHAnsi" w:cstheme="majorBidi"/>
      <w:i/>
      <w:iCs/>
      <w:color w:val="3AAA35" w:themeColor="accent1"/>
      <w:spacing w:val="15"/>
      <w:sz w:val="24"/>
      <w:szCs w:val="24"/>
      <w:lang w:val="nl-BE"/>
    </w:rPr>
  </w:style>
  <w:style w:type="table" w:styleId="Table3Deffects1">
    <w:name w:val="Table 3D effects 1"/>
    <w:basedOn w:val="TableNormal"/>
    <w:uiPriority w:val="99"/>
    <w:semiHidden/>
    <w:unhideWhenUsed/>
    <w:rsid w:val="0090120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0120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0120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0120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0120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0120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0120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0120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0120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0120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0120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0120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0120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0120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0120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0120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0120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0120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0120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0120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0120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0120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0120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0120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0120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0120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0120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0120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0120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0120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0120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0120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0120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01205"/>
    <w:pPr>
      <w:ind w:left="220" w:hanging="220"/>
    </w:pPr>
  </w:style>
  <w:style w:type="table" w:styleId="TableProfessional">
    <w:name w:val="Table Professional"/>
    <w:basedOn w:val="TableNormal"/>
    <w:uiPriority w:val="99"/>
    <w:semiHidden/>
    <w:unhideWhenUsed/>
    <w:rsid w:val="0090120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0120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0120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0120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0120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0120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01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0120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0120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0120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01205"/>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901205"/>
    <w:pPr>
      <w:spacing w:after="100"/>
      <w:ind w:left="660"/>
    </w:pPr>
  </w:style>
  <w:style w:type="paragraph" w:styleId="TOC5">
    <w:name w:val="toc 5"/>
    <w:basedOn w:val="Normal"/>
    <w:next w:val="Normal"/>
    <w:autoRedefine/>
    <w:uiPriority w:val="39"/>
    <w:semiHidden/>
    <w:unhideWhenUsed/>
    <w:rsid w:val="00901205"/>
    <w:pPr>
      <w:spacing w:after="100"/>
      <w:ind w:left="880"/>
    </w:pPr>
  </w:style>
  <w:style w:type="paragraph" w:styleId="TOC6">
    <w:name w:val="toc 6"/>
    <w:basedOn w:val="Normal"/>
    <w:next w:val="Normal"/>
    <w:autoRedefine/>
    <w:uiPriority w:val="39"/>
    <w:semiHidden/>
    <w:unhideWhenUsed/>
    <w:rsid w:val="00901205"/>
    <w:pPr>
      <w:spacing w:after="100"/>
      <w:ind w:left="1100"/>
    </w:pPr>
  </w:style>
  <w:style w:type="paragraph" w:styleId="TOC7">
    <w:name w:val="toc 7"/>
    <w:basedOn w:val="Normal"/>
    <w:next w:val="Normal"/>
    <w:autoRedefine/>
    <w:uiPriority w:val="39"/>
    <w:semiHidden/>
    <w:unhideWhenUsed/>
    <w:rsid w:val="00901205"/>
    <w:pPr>
      <w:spacing w:after="100"/>
      <w:ind w:left="1320"/>
    </w:pPr>
  </w:style>
  <w:style w:type="paragraph" w:styleId="TOC8">
    <w:name w:val="toc 8"/>
    <w:basedOn w:val="Normal"/>
    <w:next w:val="Normal"/>
    <w:autoRedefine/>
    <w:uiPriority w:val="39"/>
    <w:semiHidden/>
    <w:unhideWhenUsed/>
    <w:rsid w:val="00901205"/>
    <w:pPr>
      <w:spacing w:after="100"/>
      <w:ind w:left="1540"/>
    </w:pPr>
  </w:style>
  <w:style w:type="paragraph" w:styleId="TOC9">
    <w:name w:val="toc 9"/>
    <w:basedOn w:val="Normal"/>
    <w:next w:val="Normal"/>
    <w:autoRedefine/>
    <w:uiPriority w:val="39"/>
    <w:semiHidden/>
    <w:unhideWhenUsed/>
    <w:rsid w:val="00901205"/>
    <w:pPr>
      <w:spacing w:after="100"/>
      <w:ind w:left="1760"/>
    </w:pPr>
  </w:style>
  <w:style w:type="paragraph" w:customStyle="1" w:styleId="T1SciensanoInternalNote">
    <w:name w:val="T1 Sciensano Internal Note"/>
    <w:basedOn w:val="Heading1"/>
    <w:semiHidden/>
    <w:qFormat/>
    <w:rsid w:val="00DA4C54"/>
    <w:pPr>
      <w:ind w:left="0" w:firstLine="0"/>
      <w:jc w:val="left"/>
    </w:pPr>
    <w:rPr>
      <w:spacing w:val="0"/>
      <w:sz w:val="20"/>
    </w:rPr>
  </w:style>
  <w:style w:type="paragraph" w:customStyle="1" w:styleId="T2SciensanoInternalNote">
    <w:name w:val="T2 Sciensano Internal Note"/>
    <w:basedOn w:val="Heading2"/>
    <w:next w:val="BodySciensano"/>
    <w:semiHidden/>
    <w:qFormat/>
    <w:rsid w:val="009034A6"/>
    <w:pPr>
      <w:spacing w:before="0" w:after="0"/>
      <w:jc w:val="left"/>
    </w:pPr>
    <w:rPr>
      <w:spacing w:val="0"/>
      <w:sz w:val="20"/>
    </w:rPr>
  </w:style>
  <w:style w:type="paragraph" w:customStyle="1" w:styleId="BodyStrongGreenSciensano">
    <w:name w:val="BodyStrong Green Sciensano"/>
    <w:basedOn w:val="BodyStrongSciensano"/>
    <w:next w:val="BodySciensano"/>
    <w:uiPriority w:val="17"/>
    <w:qFormat/>
    <w:rsid w:val="0030240A"/>
    <w:rPr>
      <w:color w:val="3AAA35"/>
    </w:rPr>
  </w:style>
  <w:style w:type="paragraph" w:customStyle="1" w:styleId="T1SciensanoScientificReport">
    <w:name w:val="T1 Sciensano Scientific Report"/>
    <w:next w:val="BodySciensano"/>
    <w:semiHidden/>
    <w:qFormat/>
    <w:rsid w:val="0044271D"/>
    <w:pPr>
      <w:jc w:val="center"/>
    </w:pPr>
    <w:rPr>
      <w:rFonts w:eastAsiaTheme="majorEastAsia" w:cstheme="majorBidi"/>
      <w:b/>
      <w:bCs/>
      <w:caps/>
      <w:color w:val="FFFFFF"/>
      <w:spacing w:val="20"/>
      <w:sz w:val="70"/>
      <w:szCs w:val="28"/>
    </w:rPr>
  </w:style>
  <w:style w:type="character" w:styleId="CommentReference">
    <w:name w:val="annotation reference"/>
    <w:basedOn w:val="DefaultParagraphFont"/>
    <w:uiPriority w:val="99"/>
    <w:semiHidden/>
    <w:unhideWhenUsed/>
    <w:rsid w:val="006F7518"/>
    <w:rPr>
      <w:sz w:val="16"/>
      <w:szCs w:val="16"/>
      <w:lang w:val="nl-BE"/>
    </w:rPr>
  </w:style>
  <w:style w:type="character" w:styleId="Emphasis">
    <w:name w:val="Emphasis"/>
    <w:basedOn w:val="DefaultParagraphFont"/>
    <w:uiPriority w:val="20"/>
    <w:qFormat/>
    <w:rsid w:val="006F7518"/>
    <w:rPr>
      <w:i/>
      <w:iCs/>
      <w:lang w:val="nl-BE"/>
    </w:rPr>
  </w:style>
  <w:style w:type="character" w:styleId="FollowedHyperlink">
    <w:name w:val="FollowedHyperlink"/>
    <w:basedOn w:val="DefaultParagraphFont"/>
    <w:uiPriority w:val="99"/>
    <w:semiHidden/>
    <w:unhideWhenUsed/>
    <w:rsid w:val="006F7518"/>
    <w:rPr>
      <w:color w:val="3AAA35" w:themeColor="followedHyperlink"/>
      <w:u w:val="single"/>
      <w:lang w:val="nl-BE"/>
    </w:rPr>
  </w:style>
  <w:style w:type="character" w:styleId="HTMLAcronym">
    <w:name w:val="HTML Acronym"/>
    <w:basedOn w:val="DefaultParagraphFont"/>
    <w:uiPriority w:val="99"/>
    <w:semiHidden/>
    <w:unhideWhenUsed/>
    <w:rsid w:val="006F7518"/>
    <w:rPr>
      <w:lang w:val="nl-BE"/>
    </w:rPr>
  </w:style>
  <w:style w:type="character" w:styleId="HTMLCite">
    <w:name w:val="HTML Cite"/>
    <w:basedOn w:val="DefaultParagraphFont"/>
    <w:uiPriority w:val="99"/>
    <w:semiHidden/>
    <w:unhideWhenUsed/>
    <w:rsid w:val="006F7518"/>
    <w:rPr>
      <w:i/>
      <w:iCs/>
      <w:lang w:val="nl-BE"/>
    </w:rPr>
  </w:style>
  <w:style w:type="character" w:styleId="HTMLCode">
    <w:name w:val="HTML Code"/>
    <w:basedOn w:val="DefaultParagraphFont"/>
    <w:uiPriority w:val="99"/>
    <w:semiHidden/>
    <w:unhideWhenUsed/>
    <w:rsid w:val="006F7518"/>
    <w:rPr>
      <w:rFonts w:ascii="Consolas" w:hAnsi="Consolas"/>
      <w:sz w:val="20"/>
      <w:szCs w:val="20"/>
      <w:lang w:val="nl-BE"/>
    </w:rPr>
  </w:style>
  <w:style w:type="character" w:styleId="HTMLDefinition">
    <w:name w:val="HTML Definition"/>
    <w:basedOn w:val="DefaultParagraphFont"/>
    <w:uiPriority w:val="99"/>
    <w:semiHidden/>
    <w:unhideWhenUsed/>
    <w:rsid w:val="006F7518"/>
    <w:rPr>
      <w:i/>
      <w:iCs/>
      <w:lang w:val="nl-BE"/>
    </w:rPr>
  </w:style>
  <w:style w:type="character" w:styleId="HTMLKeyboard">
    <w:name w:val="HTML Keyboard"/>
    <w:basedOn w:val="DefaultParagraphFont"/>
    <w:uiPriority w:val="99"/>
    <w:semiHidden/>
    <w:unhideWhenUsed/>
    <w:rsid w:val="006F7518"/>
    <w:rPr>
      <w:rFonts w:ascii="Consolas" w:hAnsi="Consolas"/>
      <w:sz w:val="20"/>
      <w:szCs w:val="20"/>
      <w:lang w:val="nl-BE"/>
    </w:rPr>
  </w:style>
  <w:style w:type="character" w:styleId="HTMLSample">
    <w:name w:val="HTML Sample"/>
    <w:basedOn w:val="DefaultParagraphFont"/>
    <w:uiPriority w:val="99"/>
    <w:semiHidden/>
    <w:unhideWhenUsed/>
    <w:rsid w:val="006F7518"/>
    <w:rPr>
      <w:rFonts w:ascii="Consolas" w:hAnsi="Consolas"/>
      <w:sz w:val="24"/>
      <w:szCs w:val="24"/>
      <w:lang w:val="nl-BE"/>
    </w:rPr>
  </w:style>
  <w:style w:type="character" w:styleId="HTMLTypewriter">
    <w:name w:val="HTML Typewriter"/>
    <w:basedOn w:val="DefaultParagraphFont"/>
    <w:uiPriority w:val="99"/>
    <w:semiHidden/>
    <w:unhideWhenUsed/>
    <w:rsid w:val="006F7518"/>
    <w:rPr>
      <w:rFonts w:ascii="Consolas" w:hAnsi="Consolas"/>
      <w:sz w:val="20"/>
      <w:szCs w:val="20"/>
      <w:lang w:val="nl-BE"/>
    </w:rPr>
  </w:style>
  <w:style w:type="character" w:styleId="HTMLVariable">
    <w:name w:val="HTML Variable"/>
    <w:basedOn w:val="DefaultParagraphFont"/>
    <w:uiPriority w:val="99"/>
    <w:semiHidden/>
    <w:unhideWhenUsed/>
    <w:rsid w:val="006F7518"/>
    <w:rPr>
      <w:i/>
      <w:iCs/>
      <w:lang w:val="nl-BE"/>
    </w:rPr>
  </w:style>
  <w:style w:type="character" w:styleId="IntenseEmphasis">
    <w:name w:val="Intense Emphasis"/>
    <w:basedOn w:val="DefaultParagraphFont"/>
    <w:uiPriority w:val="21"/>
    <w:qFormat/>
    <w:rsid w:val="006F7518"/>
    <w:rPr>
      <w:b/>
      <w:bCs/>
      <w:i/>
      <w:iCs/>
      <w:color w:val="3AAA35" w:themeColor="accent1"/>
      <w:lang w:val="nl-BE"/>
    </w:rPr>
  </w:style>
  <w:style w:type="character" w:styleId="IntenseReference">
    <w:name w:val="Intense Reference"/>
    <w:basedOn w:val="DefaultParagraphFont"/>
    <w:uiPriority w:val="32"/>
    <w:qFormat/>
    <w:rsid w:val="006F7518"/>
    <w:rPr>
      <w:b/>
      <w:bCs/>
      <w:smallCaps/>
      <w:color w:val="006633" w:themeColor="accent2"/>
      <w:spacing w:val="5"/>
      <w:u w:val="single"/>
      <w:lang w:val="nl-BE"/>
    </w:rPr>
  </w:style>
  <w:style w:type="character" w:styleId="LineNumber">
    <w:name w:val="line number"/>
    <w:basedOn w:val="DefaultParagraphFont"/>
    <w:uiPriority w:val="99"/>
    <w:semiHidden/>
    <w:unhideWhenUsed/>
    <w:rsid w:val="006F7518"/>
    <w:rPr>
      <w:lang w:val="nl-BE"/>
    </w:rPr>
  </w:style>
  <w:style w:type="character" w:styleId="PageNumber">
    <w:name w:val="page number"/>
    <w:basedOn w:val="DefaultParagraphFont"/>
    <w:uiPriority w:val="99"/>
    <w:semiHidden/>
    <w:unhideWhenUsed/>
    <w:rsid w:val="006F7518"/>
    <w:rPr>
      <w:lang w:val="nl-BE"/>
    </w:rPr>
  </w:style>
  <w:style w:type="character" w:styleId="Strong">
    <w:name w:val="Strong"/>
    <w:basedOn w:val="DefaultParagraphFont"/>
    <w:uiPriority w:val="22"/>
    <w:qFormat/>
    <w:rsid w:val="006F7518"/>
    <w:rPr>
      <w:b/>
      <w:bCs/>
      <w:lang w:val="nl-BE"/>
    </w:rPr>
  </w:style>
  <w:style w:type="character" w:styleId="SubtleReference">
    <w:name w:val="Subtle Reference"/>
    <w:basedOn w:val="DefaultParagraphFont"/>
    <w:uiPriority w:val="31"/>
    <w:qFormat/>
    <w:rsid w:val="006F7518"/>
    <w:rPr>
      <w:smallCaps/>
      <w:color w:val="006633" w:themeColor="accent2"/>
      <w:u w:val="single"/>
      <w:lang w:val="nl-BE"/>
    </w:rPr>
  </w:style>
  <w:style w:type="paragraph" w:customStyle="1" w:styleId="T2SciensanoScientificReport">
    <w:name w:val="T2 Sciensano Scientific Report"/>
    <w:next w:val="BodySciensano"/>
    <w:semiHidden/>
    <w:qFormat/>
    <w:rsid w:val="00390C8B"/>
    <w:pPr>
      <w:jc w:val="center"/>
    </w:pPr>
    <w:rPr>
      <w:rFonts w:eastAsiaTheme="majorEastAsia" w:cstheme="majorBidi"/>
      <w:b/>
      <w:bCs/>
      <w:color w:val="BCCF00"/>
      <w:spacing w:val="20"/>
      <w:sz w:val="36"/>
      <w:szCs w:val="26"/>
    </w:rPr>
  </w:style>
  <w:style w:type="table" w:styleId="GridTable1Light">
    <w:name w:val="Grid Table 1 Light"/>
    <w:basedOn w:val="TableNormal"/>
    <w:uiPriority w:val="46"/>
    <w:rsid w:val="002C0151"/>
    <w:pPr>
      <w:spacing w:line="240" w:lineRule="auto"/>
    </w:pPr>
    <w:tblPr>
      <w:tblStyleRowBandSize w:val="1"/>
      <w:tblStyleColBandSize w:val="1"/>
      <w:tblBorders>
        <w:top w:val="single" w:sz="4" w:space="0" w:color="BBBCBD" w:themeColor="text1" w:themeTint="66"/>
        <w:left w:val="single" w:sz="4" w:space="0" w:color="BBBCBD" w:themeColor="text1" w:themeTint="66"/>
        <w:bottom w:val="single" w:sz="4" w:space="0" w:color="BBBCBD" w:themeColor="text1" w:themeTint="66"/>
        <w:right w:val="single" w:sz="4" w:space="0" w:color="BBBCBD" w:themeColor="text1" w:themeTint="66"/>
        <w:insideH w:val="single" w:sz="4" w:space="0" w:color="BBBCBD" w:themeColor="text1" w:themeTint="66"/>
        <w:insideV w:val="single" w:sz="4" w:space="0" w:color="BBBCBD" w:themeColor="text1" w:themeTint="66"/>
      </w:tblBorders>
    </w:tblPr>
    <w:tblStylePr w:type="firstRow">
      <w:rPr>
        <w:b/>
        <w:bCs/>
      </w:rPr>
      <w:tblPr/>
      <w:tcPr>
        <w:tcBorders>
          <w:bottom w:val="single" w:sz="12" w:space="0" w:color="9A9B9D" w:themeColor="text1" w:themeTint="99"/>
        </w:tcBorders>
      </w:tcPr>
    </w:tblStylePr>
    <w:tblStylePr w:type="lastRow">
      <w:rPr>
        <w:b/>
        <w:bCs/>
      </w:rPr>
      <w:tblPr/>
      <w:tcPr>
        <w:tcBorders>
          <w:top w:val="double" w:sz="2" w:space="0" w:color="9A9B9D"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C0151"/>
    <w:pPr>
      <w:spacing w:line="240" w:lineRule="auto"/>
    </w:pPr>
    <w:tblPr>
      <w:tblStyleRowBandSize w:val="1"/>
      <w:tblStyleColBandSize w:val="1"/>
      <w:tblBorders>
        <w:top w:val="single" w:sz="4" w:space="0" w:color="A9E3A7" w:themeColor="accent1" w:themeTint="66"/>
        <w:left w:val="single" w:sz="4" w:space="0" w:color="A9E3A7" w:themeColor="accent1" w:themeTint="66"/>
        <w:bottom w:val="single" w:sz="4" w:space="0" w:color="A9E3A7" w:themeColor="accent1" w:themeTint="66"/>
        <w:right w:val="single" w:sz="4" w:space="0" w:color="A9E3A7" w:themeColor="accent1" w:themeTint="66"/>
        <w:insideH w:val="single" w:sz="4" w:space="0" w:color="A9E3A7" w:themeColor="accent1" w:themeTint="66"/>
        <w:insideV w:val="single" w:sz="4" w:space="0" w:color="A9E3A7" w:themeColor="accent1" w:themeTint="66"/>
      </w:tblBorders>
    </w:tblPr>
    <w:tblStylePr w:type="firstRow">
      <w:rPr>
        <w:b/>
        <w:bCs/>
      </w:rPr>
      <w:tblPr/>
      <w:tcPr>
        <w:tcBorders>
          <w:bottom w:val="single" w:sz="12" w:space="0" w:color="7FD67B" w:themeColor="accent1" w:themeTint="99"/>
        </w:tcBorders>
      </w:tcPr>
    </w:tblStylePr>
    <w:tblStylePr w:type="lastRow">
      <w:rPr>
        <w:b/>
        <w:bCs/>
      </w:rPr>
      <w:tblPr/>
      <w:tcPr>
        <w:tcBorders>
          <w:top w:val="double" w:sz="2" w:space="0" w:color="7FD67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C0151"/>
    <w:pPr>
      <w:spacing w:line="240" w:lineRule="auto"/>
    </w:pPr>
    <w:tblPr>
      <w:tblStyleRowBandSize w:val="1"/>
      <w:tblStyleColBandSize w:val="1"/>
      <w:tblBorders>
        <w:top w:val="single" w:sz="4" w:space="0" w:color="5BFFAD" w:themeColor="accent2" w:themeTint="66"/>
        <w:left w:val="single" w:sz="4" w:space="0" w:color="5BFFAD" w:themeColor="accent2" w:themeTint="66"/>
        <w:bottom w:val="single" w:sz="4" w:space="0" w:color="5BFFAD" w:themeColor="accent2" w:themeTint="66"/>
        <w:right w:val="single" w:sz="4" w:space="0" w:color="5BFFAD" w:themeColor="accent2" w:themeTint="66"/>
        <w:insideH w:val="single" w:sz="4" w:space="0" w:color="5BFFAD" w:themeColor="accent2" w:themeTint="66"/>
        <w:insideV w:val="single" w:sz="4" w:space="0" w:color="5BFFAD" w:themeColor="accent2" w:themeTint="66"/>
      </w:tblBorders>
    </w:tblPr>
    <w:tblStylePr w:type="firstRow">
      <w:rPr>
        <w:b/>
        <w:bCs/>
      </w:rPr>
      <w:tblPr/>
      <w:tcPr>
        <w:tcBorders>
          <w:bottom w:val="single" w:sz="12" w:space="0" w:color="0AFF84" w:themeColor="accent2" w:themeTint="99"/>
        </w:tcBorders>
      </w:tcPr>
    </w:tblStylePr>
    <w:tblStylePr w:type="lastRow">
      <w:rPr>
        <w:b/>
        <w:bCs/>
      </w:rPr>
      <w:tblPr/>
      <w:tcPr>
        <w:tcBorders>
          <w:top w:val="double" w:sz="2" w:space="0" w:color="0AFF8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C0151"/>
    <w:pPr>
      <w:spacing w:line="240" w:lineRule="auto"/>
    </w:pPr>
    <w:tblPr>
      <w:tblStyleRowBandSize w:val="1"/>
      <w:tblStyleColBandSize w:val="1"/>
      <w:tblBorders>
        <w:top w:val="single" w:sz="4" w:space="0" w:color="F3FF85" w:themeColor="accent3" w:themeTint="66"/>
        <w:left w:val="single" w:sz="4" w:space="0" w:color="F3FF85" w:themeColor="accent3" w:themeTint="66"/>
        <w:bottom w:val="single" w:sz="4" w:space="0" w:color="F3FF85" w:themeColor="accent3" w:themeTint="66"/>
        <w:right w:val="single" w:sz="4" w:space="0" w:color="F3FF85" w:themeColor="accent3" w:themeTint="66"/>
        <w:insideH w:val="single" w:sz="4" w:space="0" w:color="F3FF85" w:themeColor="accent3" w:themeTint="66"/>
        <w:insideV w:val="single" w:sz="4" w:space="0" w:color="F3FF85" w:themeColor="accent3" w:themeTint="66"/>
      </w:tblBorders>
    </w:tblPr>
    <w:tblStylePr w:type="firstRow">
      <w:rPr>
        <w:b/>
        <w:bCs/>
      </w:rPr>
      <w:tblPr/>
      <w:tcPr>
        <w:tcBorders>
          <w:bottom w:val="single" w:sz="12" w:space="0" w:color="EDFF49" w:themeColor="accent3" w:themeTint="99"/>
        </w:tcBorders>
      </w:tcPr>
    </w:tblStylePr>
    <w:tblStylePr w:type="lastRow">
      <w:rPr>
        <w:b/>
        <w:bCs/>
      </w:rPr>
      <w:tblPr/>
      <w:tcPr>
        <w:tcBorders>
          <w:top w:val="double" w:sz="2" w:space="0" w:color="EDFF4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C0151"/>
    <w:pPr>
      <w:spacing w:line="240" w:lineRule="auto"/>
    </w:pPr>
    <w:tblPr>
      <w:tblStyleRowBandSize w:val="1"/>
      <w:tblStyleColBandSize w:val="1"/>
      <w:tblBorders>
        <w:top w:val="single" w:sz="4" w:space="0" w:color="FFEF97" w:themeColor="accent4" w:themeTint="66"/>
        <w:left w:val="single" w:sz="4" w:space="0" w:color="FFEF97" w:themeColor="accent4" w:themeTint="66"/>
        <w:bottom w:val="single" w:sz="4" w:space="0" w:color="FFEF97" w:themeColor="accent4" w:themeTint="66"/>
        <w:right w:val="single" w:sz="4" w:space="0" w:color="FFEF97" w:themeColor="accent4" w:themeTint="66"/>
        <w:insideH w:val="single" w:sz="4" w:space="0" w:color="FFEF97" w:themeColor="accent4" w:themeTint="66"/>
        <w:insideV w:val="single" w:sz="4" w:space="0" w:color="FFEF97" w:themeColor="accent4" w:themeTint="66"/>
      </w:tblBorders>
    </w:tblPr>
    <w:tblStylePr w:type="firstRow">
      <w:rPr>
        <w:b/>
        <w:bCs/>
      </w:rPr>
      <w:tblPr/>
      <w:tcPr>
        <w:tcBorders>
          <w:bottom w:val="single" w:sz="12" w:space="0" w:color="FFE763" w:themeColor="accent4" w:themeTint="99"/>
        </w:tcBorders>
      </w:tcPr>
    </w:tblStylePr>
    <w:tblStylePr w:type="lastRow">
      <w:rPr>
        <w:b/>
        <w:bCs/>
      </w:rPr>
      <w:tblPr/>
      <w:tcPr>
        <w:tcBorders>
          <w:top w:val="double" w:sz="2" w:space="0" w:color="FFE7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C0151"/>
    <w:pPr>
      <w:spacing w:line="240" w:lineRule="auto"/>
    </w:pPr>
    <w:tblPr>
      <w:tblStyleRowBandSize w:val="1"/>
      <w:tblStyleColBandSize w:val="1"/>
      <w:tblBorders>
        <w:top w:val="single" w:sz="4" w:space="0" w:color="FFD993" w:themeColor="accent5" w:themeTint="66"/>
        <w:left w:val="single" w:sz="4" w:space="0" w:color="FFD993" w:themeColor="accent5" w:themeTint="66"/>
        <w:bottom w:val="single" w:sz="4" w:space="0" w:color="FFD993" w:themeColor="accent5" w:themeTint="66"/>
        <w:right w:val="single" w:sz="4" w:space="0" w:color="FFD993" w:themeColor="accent5" w:themeTint="66"/>
        <w:insideH w:val="single" w:sz="4" w:space="0" w:color="FFD993" w:themeColor="accent5" w:themeTint="66"/>
        <w:insideV w:val="single" w:sz="4" w:space="0" w:color="FFD993" w:themeColor="accent5" w:themeTint="66"/>
      </w:tblBorders>
    </w:tblPr>
    <w:tblStylePr w:type="firstRow">
      <w:rPr>
        <w:b/>
        <w:bCs/>
      </w:rPr>
      <w:tblPr/>
      <w:tcPr>
        <w:tcBorders>
          <w:bottom w:val="single" w:sz="12" w:space="0" w:color="FFC65E" w:themeColor="accent5" w:themeTint="99"/>
        </w:tcBorders>
      </w:tcPr>
    </w:tblStylePr>
    <w:tblStylePr w:type="lastRow">
      <w:rPr>
        <w:b/>
        <w:bCs/>
      </w:rPr>
      <w:tblPr/>
      <w:tcPr>
        <w:tcBorders>
          <w:top w:val="double" w:sz="2" w:space="0" w:color="FFC65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C0151"/>
    <w:pPr>
      <w:spacing w:line="240" w:lineRule="auto"/>
    </w:pPr>
    <w:tblPr>
      <w:tblStyleRowBandSize w:val="1"/>
      <w:tblStyleColBandSize w:val="1"/>
      <w:tblBorders>
        <w:top w:val="single" w:sz="4" w:space="0" w:color="F2B599" w:themeColor="accent6" w:themeTint="66"/>
        <w:left w:val="single" w:sz="4" w:space="0" w:color="F2B599" w:themeColor="accent6" w:themeTint="66"/>
        <w:bottom w:val="single" w:sz="4" w:space="0" w:color="F2B599" w:themeColor="accent6" w:themeTint="66"/>
        <w:right w:val="single" w:sz="4" w:space="0" w:color="F2B599" w:themeColor="accent6" w:themeTint="66"/>
        <w:insideH w:val="single" w:sz="4" w:space="0" w:color="F2B599" w:themeColor="accent6" w:themeTint="66"/>
        <w:insideV w:val="single" w:sz="4" w:space="0" w:color="F2B599" w:themeColor="accent6" w:themeTint="66"/>
      </w:tblBorders>
    </w:tblPr>
    <w:tblStylePr w:type="firstRow">
      <w:rPr>
        <w:b/>
        <w:bCs/>
      </w:rPr>
      <w:tblPr/>
      <w:tcPr>
        <w:tcBorders>
          <w:bottom w:val="single" w:sz="12" w:space="0" w:color="EC9067" w:themeColor="accent6" w:themeTint="99"/>
        </w:tcBorders>
      </w:tcPr>
    </w:tblStylePr>
    <w:tblStylePr w:type="lastRow">
      <w:rPr>
        <w:b/>
        <w:bCs/>
      </w:rPr>
      <w:tblPr/>
      <w:tcPr>
        <w:tcBorders>
          <w:top w:val="double" w:sz="2" w:space="0" w:color="EC9067"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C0151"/>
    <w:pPr>
      <w:spacing w:line="240" w:lineRule="auto"/>
    </w:pPr>
    <w:tblPr>
      <w:tblStyleRowBandSize w:val="1"/>
      <w:tblStyleColBandSize w:val="1"/>
      <w:tblBorders>
        <w:top w:val="single" w:sz="2" w:space="0" w:color="9A9B9D" w:themeColor="text1" w:themeTint="99"/>
        <w:bottom w:val="single" w:sz="2" w:space="0" w:color="9A9B9D" w:themeColor="text1" w:themeTint="99"/>
        <w:insideH w:val="single" w:sz="2" w:space="0" w:color="9A9B9D" w:themeColor="text1" w:themeTint="99"/>
        <w:insideV w:val="single" w:sz="2" w:space="0" w:color="9A9B9D" w:themeColor="text1" w:themeTint="99"/>
      </w:tblBorders>
    </w:tblPr>
    <w:tblStylePr w:type="firstRow">
      <w:rPr>
        <w:b/>
        <w:bCs/>
      </w:rPr>
      <w:tblPr/>
      <w:tcPr>
        <w:tcBorders>
          <w:top w:val="nil"/>
          <w:bottom w:val="single" w:sz="12" w:space="0" w:color="9A9B9D" w:themeColor="text1" w:themeTint="99"/>
          <w:insideH w:val="nil"/>
          <w:insideV w:val="nil"/>
        </w:tcBorders>
        <w:shd w:val="clear" w:color="auto" w:fill="A5A5A5" w:themeFill="background1"/>
      </w:tcPr>
    </w:tblStylePr>
    <w:tblStylePr w:type="lastRow">
      <w:rPr>
        <w:b/>
        <w:bCs/>
      </w:rPr>
      <w:tblPr/>
      <w:tcPr>
        <w:tcBorders>
          <w:top w:val="double" w:sz="2" w:space="0" w:color="9A9B9D" w:themeColor="text1"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table" w:styleId="GridTable2-Accent1">
    <w:name w:val="Grid Table 2 Accent 1"/>
    <w:basedOn w:val="TableNormal"/>
    <w:uiPriority w:val="47"/>
    <w:rsid w:val="002C0151"/>
    <w:pPr>
      <w:spacing w:line="240" w:lineRule="auto"/>
    </w:pPr>
    <w:tblPr>
      <w:tblStyleRowBandSize w:val="1"/>
      <w:tblStyleColBandSize w:val="1"/>
      <w:tblBorders>
        <w:top w:val="single" w:sz="2" w:space="0" w:color="7FD67B" w:themeColor="accent1" w:themeTint="99"/>
        <w:bottom w:val="single" w:sz="2" w:space="0" w:color="7FD67B" w:themeColor="accent1" w:themeTint="99"/>
        <w:insideH w:val="single" w:sz="2" w:space="0" w:color="7FD67B" w:themeColor="accent1" w:themeTint="99"/>
        <w:insideV w:val="single" w:sz="2" w:space="0" w:color="7FD67B" w:themeColor="accent1" w:themeTint="99"/>
      </w:tblBorders>
    </w:tblPr>
    <w:tblStylePr w:type="firstRow">
      <w:rPr>
        <w:b/>
        <w:bCs/>
      </w:rPr>
      <w:tblPr/>
      <w:tcPr>
        <w:tcBorders>
          <w:top w:val="nil"/>
          <w:bottom w:val="single" w:sz="12" w:space="0" w:color="7FD67B" w:themeColor="accent1" w:themeTint="99"/>
          <w:insideH w:val="nil"/>
          <w:insideV w:val="nil"/>
        </w:tcBorders>
        <w:shd w:val="clear" w:color="auto" w:fill="A5A5A5" w:themeFill="background1"/>
      </w:tcPr>
    </w:tblStylePr>
    <w:tblStylePr w:type="lastRow">
      <w:rPr>
        <w:b/>
        <w:bCs/>
      </w:rPr>
      <w:tblPr/>
      <w:tcPr>
        <w:tcBorders>
          <w:top w:val="double" w:sz="2" w:space="0" w:color="7FD67B" w:themeColor="accent1"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D4F1D3" w:themeFill="accent1" w:themeFillTint="33"/>
      </w:tcPr>
    </w:tblStylePr>
    <w:tblStylePr w:type="band1Horz">
      <w:tblPr/>
      <w:tcPr>
        <w:shd w:val="clear" w:color="auto" w:fill="D4F1D3" w:themeFill="accent1" w:themeFillTint="33"/>
      </w:tcPr>
    </w:tblStylePr>
  </w:style>
  <w:style w:type="table" w:styleId="GridTable2-Accent2">
    <w:name w:val="Grid Table 2 Accent 2"/>
    <w:basedOn w:val="TableNormal"/>
    <w:uiPriority w:val="47"/>
    <w:rsid w:val="002C0151"/>
    <w:pPr>
      <w:spacing w:line="240" w:lineRule="auto"/>
    </w:pPr>
    <w:tblPr>
      <w:tblStyleRowBandSize w:val="1"/>
      <w:tblStyleColBandSize w:val="1"/>
      <w:tblBorders>
        <w:top w:val="single" w:sz="2" w:space="0" w:color="0AFF84" w:themeColor="accent2" w:themeTint="99"/>
        <w:bottom w:val="single" w:sz="2" w:space="0" w:color="0AFF84" w:themeColor="accent2" w:themeTint="99"/>
        <w:insideH w:val="single" w:sz="2" w:space="0" w:color="0AFF84" w:themeColor="accent2" w:themeTint="99"/>
        <w:insideV w:val="single" w:sz="2" w:space="0" w:color="0AFF84" w:themeColor="accent2" w:themeTint="99"/>
      </w:tblBorders>
    </w:tblPr>
    <w:tblStylePr w:type="firstRow">
      <w:rPr>
        <w:b/>
        <w:bCs/>
      </w:rPr>
      <w:tblPr/>
      <w:tcPr>
        <w:tcBorders>
          <w:top w:val="nil"/>
          <w:bottom w:val="single" w:sz="12" w:space="0" w:color="0AFF84" w:themeColor="accent2" w:themeTint="99"/>
          <w:insideH w:val="nil"/>
          <w:insideV w:val="nil"/>
        </w:tcBorders>
        <w:shd w:val="clear" w:color="auto" w:fill="A5A5A5" w:themeFill="background1"/>
      </w:tcPr>
    </w:tblStylePr>
    <w:tblStylePr w:type="lastRow">
      <w:rPr>
        <w:b/>
        <w:bCs/>
      </w:rPr>
      <w:tblPr/>
      <w:tcPr>
        <w:tcBorders>
          <w:top w:val="double" w:sz="2" w:space="0" w:color="0AFF84" w:themeColor="accent2"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ADFFD6" w:themeFill="accent2" w:themeFillTint="33"/>
      </w:tcPr>
    </w:tblStylePr>
    <w:tblStylePr w:type="band1Horz">
      <w:tblPr/>
      <w:tcPr>
        <w:shd w:val="clear" w:color="auto" w:fill="ADFFD6" w:themeFill="accent2" w:themeFillTint="33"/>
      </w:tcPr>
    </w:tblStylePr>
  </w:style>
  <w:style w:type="table" w:styleId="GridTable2-Accent3">
    <w:name w:val="Grid Table 2 Accent 3"/>
    <w:basedOn w:val="TableNormal"/>
    <w:uiPriority w:val="47"/>
    <w:rsid w:val="002C0151"/>
    <w:pPr>
      <w:spacing w:line="240" w:lineRule="auto"/>
    </w:pPr>
    <w:tblPr>
      <w:tblStyleRowBandSize w:val="1"/>
      <w:tblStyleColBandSize w:val="1"/>
      <w:tblBorders>
        <w:top w:val="single" w:sz="2" w:space="0" w:color="EDFF49" w:themeColor="accent3" w:themeTint="99"/>
        <w:bottom w:val="single" w:sz="2" w:space="0" w:color="EDFF49" w:themeColor="accent3" w:themeTint="99"/>
        <w:insideH w:val="single" w:sz="2" w:space="0" w:color="EDFF49" w:themeColor="accent3" w:themeTint="99"/>
        <w:insideV w:val="single" w:sz="2" w:space="0" w:color="EDFF49" w:themeColor="accent3" w:themeTint="99"/>
      </w:tblBorders>
    </w:tblPr>
    <w:tblStylePr w:type="firstRow">
      <w:rPr>
        <w:b/>
        <w:bCs/>
      </w:rPr>
      <w:tblPr/>
      <w:tcPr>
        <w:tcBorders>
          <w:top w:val="nil"/>
          <w:bottom w:val="single" w:sz="12" w:space="0" w:color="EDFF49" w:themeColor="accent3" w:themeTint="99"/>
          <w:insideH w:val="nil"/>
          <w:insideV w:val="nil"/>
        </w:tcBorders>
        <w:shd w:val="clear" w:color="auto" w:fill="A5A5A5" w:themeFill="background1"/>
      </w:tcPr>
    </w:tblStylePr>
    <w:tblStylePr w:type="lastRow">
      <w:rPr>
        <w:b/>
        <w:bCs/>
      </w:rPr>
      <w:tblPr/>
      <w:tcPr>
        <w:tcBorders>
          <w:top w:val="double" w:sz="2" w:space="0" w:color="EDFF49" w:themeColor="accent3"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GridTable2-Accent4">
    <w:name w:val="Grid Table 2 Accent 4"/>
    <w:basedOn w:val="TableNormal"/>
    <w:uiPriority w:val="47"/>
    <w:rsid w:val="002C0151"/>
    <w:pPr>
      <w:spacing w:line="240" w:lineRule="auto"/>
    </w:pPr>
    <w:tblPr>
      <w:tblStyleRowBandSize w:val="1"/>
      <w:tblStyleColBandSize w:val="1"/>
      <w:tblBorders>
        <w:top w:val="single" w:sz="2" w:space="0" w:color="FFE763" w:themeColor="accent4" w:themeTint="99"/>
        <w:bottom w:val="single" w:sz="2" w:space="0" w:color="FFE763" w:themeColor="accent4" w:themeTint="99"/>
        <w:insideH w:val="single" w:sz="2" w:space="0" w:color="FFE763" w:themeColor="accent4" w:themeTint="99"/>
        <w:insideV w:val="single" w:sz="2" w:space="0" w:color="FFE763" w:themeColor="accent4" w:themeTint="99"/>
      </w:tblBorders>
    </w:tblPr>
    <w:tblStylePr w:type="firstRow">
      <w:rPr>
        <w:b/>
        <w:bCs/>
      </w:rPr>
      <w:tblPr/>
      <w:tcPr>
        <w:tcBorders>
          <w:top w:val="nil"/>
          <w:bottom w:val="single" w:sz="12" w:space="0" w:color="FFE763" w:themeColor="accent4" w:themeTint="99"/>
          <w:insideH w:val="nil"/>
          <w:insideV w:val="nil"/>
        </w:tcBorders>
        <w:shd w:val="clear" w:color="auto" w:fill="A5A5A5" w:themeFill="background1"/>
      </w:tcPr>
    </w:tblStylePr>
    <w:tblStylePr w:type="lastRow">
      <w:rPr>
        <w:b/>
        <w:bCs/>
      </w:rPr>
      <w:tblPr/>
      <w:tcPr>
        <w:tcBorders>
          <w:top w:val="double" w:sz="2" w:space="0" w:color="FFE763" w:themeColor="accent4"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GridTable2-Accent5">
    <w:name w:val="Grid Table 2 Accent 5"/>
    <w:basedOn w:val="TableNormal"/>
    <w:uiPriority w:val="47"/>
    <w:rsid w:val="002C0151"/>
    <w:pPr>
      <w:spacing w:line="240" w:lineRule="auto"/>
    </w:pPr>
    <w:tblPr>
      <w:tblStyleRowBandSize w:val="1"/>
      <w:tblStyleColBandSize w:val="1"/>
      <w:tblBorders>
        <w:top w:val="single" w:sz="2" w:space="0" w:color="FFC65E" w:themeColor="accent5" w:themeTint="99"/>
        <w:bottom w:val="single" w:sz="2" w:space="0" w:color="FFC65E" w:themeColor="accent5" w:themeTint="99"/>
        <w:insideH w:val="single" w:sz="2" w:space="0" w:color="FFC65E" w:themeColor="accent5" w:themeTint="99"/>
        <w:insideV w:val="single" w:sz="2" w:space="0" w:color="FFC65E" w:themeColor="accent5" w:themeTint="99"/>
      </w:tblBorders>
    </w:tblPr>
    <w:tblStylePr w:type="firstRow">
      <w:rPr>
        <w:b/>
        <w:bCs/>
      </w:rPr>
      <w:tblPr/>
      <w:tcPr>
        <w:tcBorders>
          <w:top w:val="nil"/>
          <w:bottom w:val="single" w:sz="12" w:space="0" w:color="FFC65E" w:themeColor="accent5" w:themeTint="99"/>
          <w:insideH w:val="nil"/>
          <w:insideV w:val="nil"/>
        </w:tcBorders>
        <w:shd w:val="clear" w:color="auto" w:fill="A5A5A5" w:themeFill="background1"/>
      </w:tcPr>
    </w:tblStylePr>
    <w:tblStylePr w:type="lastRow">
      <w:rPr>
        <w:b/>
        <w:bCs/>
      </w:rPr>
      <w:tblPr/>
      <w:tcPr>
        <w:tcBorders>
          <w:top w:val="double" w:sz="2" w:space="0" w:color="FFC65E" w:themeColor="accent5"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GridTable2-Accent6">
    <w:name w:val="Grid Table 2 Accent 6"/>
    <w:basedOn w:val="TableNormal"/>
    <w:uiPriority w:val="47"/>
    <w:rsid w:val="002C0151"/>
    <w:pPr>
      <w:spacing w:line="240" w:lineRule="auto"/>
    </w:pPr>
    <w:tblPr>
      <w:tblStyleRowBandSize w:val="1"/>
      <w:tblStyleColBandSize w:val="1"/>
      <w:tblBorders>
        <w:top w:val="single" w:sz="2" w:space="0" w:color="EC9067" w:themeColor="accent6" w:themeTint="99"/>
        <w:bottom w:val="single" w:sz="2" w:space="0" w:color="EC9067" w:themeColor="accent6" w:themeTint="99"/>
        <w:insideH w:val="single" w:sz="2" w:space="0" w:color="EC9067" w:themeColor="accent6" w:themeTint="99"/>
        <w:insideV w:val="single" w:sz="2" w:space="0" w:color="EC9067" w:themeColor="accent6" w:themeTint="99"/>
      </w:tblBorders>
    </w:tblPr>
    <w:tblStylePr w:type="firstRow">
      <w:rPr>
        <w:b/>
        <w:bCs/>
      </w:rPr>
      <w:tblPr/>
      <w:tcPr>
        <w:tcBorders>
          <w:top w:val="nil"/>
          <w:bottom w:val="single" w:sz="12" w:space="0" w:color="EC9067" w:themeColor="accent6" w:themeTint="99"/>
          <w:insideH w:val="nil"/>
          <w:insideV w:val="nil"/>
        </w:tcBorders>
        <w:shd w:val="clear" w:color="auto" w:fill="A5A5A5" w:themeFill="background1"/>
      </w:tcPr>
    </w:tblStylePr>
    <w:tblStylePr w:type="lastRow">
      <w:rPr>
        <w:b/>
        <w:bCs/>
      </w:rPr>
      <w:tblPr/>
      <w:tcPr>
        <w:tcBorders>
          <w:top w:val="double" w:sz="2" w:space="0" w:color="EC9067" w:themeColor="accent6" w:themeTint="99"/>
          <w:bottom w:val="nil"/>
          <w:insideH w:val="nil"/>
          <w:insideV w:val="nil"/>
        </w:tcBorders>
        <w:shd w:val="clear" w:color="auto" w:fill="A5A5A5" w:themeFill="background1"/>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GridTable3">
    <w:name w:val="Grid Table 3"/>
    <w:basedOn w:val="TableNormal"/>
    <w:uiPriority w:val="48"/>
    <w:rsid w:val="002C0151"/>
    <w:pPr>
      <w:spacing w:line="240" w:lineRule="auto"/>
    </w:p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insideV w:val="single" w:sz="4" w:space="0" w:color="9A9B9D" w:themeColor="text1"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DDDDDE" w:themeFill="text1" w:themeFillTint="33"/>
      </w:tcPr>
    </w:tblStylePr>
    <w:tblStylePr w:type="band1Horz">
      <w:tblPr/>
      <w:tcPr>
        <w:shd w:val="clear" w:color="auto" w:fill="DDDDDE" w:themeFill="text1" w:themeFillTint="33"/>
      </w:tcPr>
    </w:tblStylePr>
    <w:tblStylePr w:type="neCell">
      <w:tblPr/>
      <w:tcPr>
        <w:tcBorders>
          <w:bottom w:val="single" w:sz="4" w:space="0" w:color="9A9B9D" w:themeColor="text1" w:themeTint="99"/>
        </w:tcBorders>
      </w:tcPr>
    </w:tblStylePr>
    <w:tblStylePr w:type="nwCell">
      <w:tblPr/>
      <w:tcPr>
        <w:tcBorders>
          <w:bottom w:val="single" w:sz="4" w:space="0" w:color="9A9B9D" w:themeColor="text1" w:themeTint="99"/>
        </w:tcBorders>
      </w:tcPr>
    </w:tblStylePr>
    <w:tblStylePr w:type="seCell">
      <w:tblPr/>
      <w:tcPr>
        <w:tcBorders>
          <w:top w:val="single" w:sz="4" w:space="0" w:color="9A9B9D" w:themeColor="text1" w:themeTint="99"/>
        </w:tcBorders>
      </w:tcPr>
    </w:tblStylePr>
    <w:tblStylePr w:type="swCell">
      <w:tblPr/>
      <w:tcPr>
        <w:tcBorders>
          <w:top w:val="single" w:sz="4" w:space="0" w:color="9A9B9D" w:themeColor="text1" w:themeTint="99"/>
        </w:tcBorders>
      </w:tcPr>
    </w:tblStylePr>
  </w:style>
  <w:style w:type="table" w:styleId="GridTable3-Accent1">
    <w:name w:val="Grid Table 3 Accent 1"/>
    <w:basedOn w:val="TableNormal"/>
    <w:uiPriority w:val="48"/>
    <w:rsid w:val="002C0151"/>
    <w:pPr>
      <w:spacing w:line="240" w:lineRule="auto"/>
    </w:pPr>
    <w:tblPr>
      <w:tblStyleRowBandSize w:val="1"/>
      <w:tblStyleColBandSize w:val="1"/>
      <w:tblBorders>
        <w:top w:val="single" w:sz="4" w:space="0" w:color="7FD67B" w:themeColor="accent1" w:themeTint="99"/>
        <w:left w:val="single" w:sz="4" w:space="0" w:color="7FD67B" w:themeColor="accent1" w:themeTint="99"/>
        <w:bottom w:val="single" w:sz="4" w:space="0" w:color="7FD67B" w:themeColor="accent1" w:themeTint="99"/>
        <w:right w:val="single" w:sz="4" w:space="0" w:color="7FD67B" w:themeColor="accent1" w:themeTint="99"/>
        <w:insideH w:val="single" w:sz="4" w:space="0" w:color="7FD67B" w:themeColor="accent1" w:themeTint="99"/>
        <w:insideV w:val="single" w:sz="4" w:space="0" w:color="7FD67B" w:themeColor="accent1"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D4F1D3" w:themeFill="accent1" w:themeFillTint="33"/>
      </w:tcPr>
    </w:tblStylePr>
    <w:tblStylePr w:type="band1Horz">
      <w:tblPr/>
      <w:tcPr>
        <w:shd w:val="clear" w:color="auto" w:fill="D4F1D3" w:themeFill="accent1" w:themeFillTint="33"/>
      </w:tcPr>
    </w:tblStylePr>
    <w:tblStylePr w:type="neCell">
      <w:tblPr/>
      <w:tcPr>
        <w:tcBorders>
          <w:bottom w:val="single" w:sz="4" w:space="0" w:color="7FD67B" w:themeColor="accent1" w:themeTint="99"/>
        </w:tcBorders>
      </w:tcPr>
    </w:tblStylePr>
    <w:tblStylePr w:type="nwCell">
      <w:tblPr/>
      <w:tcPr>
        <w:tcBorders>
          <w:bottom w:val="single" w:sz="4" w:space="0" w:color="7FD67B" w:themeColor="accent1" w:themeTint="99"/>
        </w:tcBorders>
      </w:tcPr>
    </w:tblStylePr>
    <w:tblStylePr w:type="seCell">
      <w:tblPr/>
      <w:tcPr>
        <w:tcBorders>
          <w:top w:val="single" w:sz="4" w:space="0" w:color="7FD67B" w:themeColor="accent1" w:themeTint="99"/>
        </w:tcBorders>
      </w:tcPr>
    </w:tblStylePr>
    <w:tblStylePr w:type="swCell">
      <w:tblPr/>
      <w:tcPr>
        <w:tcBorders>
          <w:top w:val="single" w:sz="4" w:space="0" w:color="7FD67B" w:themeColor="accent1" w:themeTint="99"/>
        </w:tcBorders>
      </w:tcPr>
    </w:tblStylePr>
  </w:style>
  <w:style w:type="table" w:styleId="GridTable3-Accent2">
    <w:name w:val="Grid Table 3 Accent 2"/>
    <w:basedOn w:val="TableNormal"/>
    <w:uiPriority w:val="48"/>
    <w:rsid w:val="002C0151"/>
    <w:pPr>
      <w:spacing w:line="240" w:lineRule="auto"/>
    </w:pPr>
    <w:tblPr>
      <w:tblStyleRowBandSize w:val="1"/>
      <w:tblStyleColBandSize w:val="1"/>
      <w:tblBorders>
        <w:top w:val="single" w:sz="4" w:space="0" w:color="0AFF84" w:themeColor="accent2" w:themeTint="99"/>
        <w:left w:val="single" w:sz="4" w:space="0" w:color="0AFF84" w:themeColor="accent2" w:themeTint="99"/>
        <w:bottom w:val="single" w:sz="4" w:space="0" w:color="0AFF84" w:themeColor="accent2" w:themeTint="99"/>
        <w:right w:val="single" w:sz="4" w:space="0" w:color="0AFF84" w:themeColor="accent2" w:themeTint="99"/>
        <w:insideH w:val="single" w:sz="4" w:space="0" w:color="0AFF84" w:themeColor="accent2" w:themeTint="99"/>
        <w:insideV w:val="single" w:sz="4" w:space="0" w:color="0AFF84" w:themeColor="accent2"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ADFFD6" w:themeFill="accent2" w:themeFillTint="33"/>
      </w:tcPr>
    </w:tblStylePr>
    <w:tblStylePr w:type="band1Horz">
      <w:tblPr/>
      <w:tcPr>
        <w:shd w:val="clear" w:color="auto" w:fill="ADFFD6" w:themeFill="accent2" w:themeFillTint="33"/>
      </w:tcPr>
    </w:tblStylePr>
    <w:tblStylePr w:type="neCell">
      <w:tblPr/>
      <w:tcPr>
        <w:tcBorders>
          <w:bottom w:val="single" w:sz="4" w:space="0" w:color="0AFF84" w:themeColor="accent2" w:themeTint="99"/>
        </w:tcBorders>
      </w:tcPr>
    </w:tblStylePr>
    <w:tblStylePr w:type="nwCell">
      <w:tblPr/>
      <w:tcPr>
        <w:tcBorders>
          <w:bottom w:val="single" w:sz="4" w:space="0" w:color="0AFF84" w:themeColor="accent2" w:themeTint="99"/>
        </w:tcBorders>
      </w:tcPr>
    </w:tblStylePr>
    <w:tblStylePr w:type="seCell">
      <w:tblPr/>
      <w:tcPr>
        <w:tcBorders>
          <w:top w:val="single" w:sz="4" w:space="0" w:color="0AFF84" w:themeColor="accent2" w:themeTint="99"/>
        </w:tcBorders>
      </w:tcPr>
    </w:tblStylePr>
    <w:tblStylePr w:type="swCell">
      <w:tblPr/>
      <w:tcPr>
        <w:tcBorders>
          <w:top w:val="single" w:sz="4" w:space="0" w:color="0AFF84" w:themeColor="accent2" w:themeTint="99"/>
        </w:tcBorders>
      </w:tcPr>
    </w:tblStylePr>
  </w:style>
  <w:style w:type="table" w:styleId="GridTable3-Accent3">
    <w:name w:val="Grid Table 3 Accent 3"/>
    <w:basedOn w:val="TableNormal"/>
    <w:uiPriority w:val="48"/>
    <w:rsid w:val="002C0151"/>
    <w:pPr>
      <w:spacing w:line="240" w:lineRule="auto"/>
    </w:p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insideV w:val="single" w:sz="4" w:space="0" w:color="EDFF49" w:themeColor="accent3"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9FFC2" w:themeFill="accent3" w:themeFillTint="33"/>
      </w:tcPr>
    </w:tblStylePr>
    <w:tblStylePr w:type="band1Horz">
      <w:tblPr/>
      <w:tcPr>
        <w:shd w:val="clear" w:color="auto" w:fill="F9FFC2" w:themeFill="accent3" w:themeFillTint="33"/>
      </w:tcPr>
    </w:tblStylePr>
    <w:tblStylePr w:type="neCell">
      <w:tblPr/>
      <w:tcPr>
        <w:tcBorders>
          <w:bottom w:val="single" w:sz="4" w:space="0" w:color="EDFF49" w:themeColor="accent3" w:themeTint="99"/>
        </w:tcBorders>
      </w:tcPr>
    </w:tblStylePr>
    <w:tblStylePr w:type="nwCell">
      <w:tblPr/>
      <w:tcPr>
        <w:tcBorders>
          <w:bottom w:val="single" w:sz="4" w:space="0" w:color="EDFF49" w:themeColor="accent3" w:themeTint="99"/>
        </w:tcBorders>
      </w:tcPr>
    </w:tblStylePr>
    <w:tblStylePr w:type="seCell">
      <w:tblPr/>
      <w:tcPr>
        <w:tcBorders>
          <w:top w:val="single" w:sz="4" w:space="0" w:color="EDFF49" w:themeColor="accent3" w:themeTint="99"/>
        </w:tcBorders>
      </w:tcPr>
    </w:tblStylePr>
    <w:tblStylePr w:type="swCell">
      <w:tblPr/>
      <w:tcPr>
        <w:tcBorders>
          <w:top w:val="single" w:sz="4" w:space="0" w:color="EDFF49" w:themeColor="accent3" w:themeTint="99"/>
        </w:tcBorders>
      </w:tcPr>
    </w:tblStylePr>
  </w:style>
  <w:style w:type="table" w:styleId="GridTable3-Accent4">
    <w:name w:val="Grid Table 3 Accent 4"/>
    <w:basedOn w:val="TableNormal"/>
    <w:uiPriority w:val="48"/>
    <w:rsid w:val="002C0151"/>
    <w:pPr>
      <w:spacing w:line="240" w:lineRule="auto"/>
    </w:p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insideV w:val="single" w:sz="4" w:space="0" w:color="FFE763" w:themeColor="accent4"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FF7CB" w:themeFill="accent4" w:themeFillTint="33"/>
      </w:tcPr>
    </w:tblStylePr>
    <w:tblStylePr w:type="band1Horz">
      <w:tblPr/>
      <w:tcPr>
        <w:shd w:val="clear" w:color="auto" w:fill="FFF7CB" w:themeFill="accent4" w:themeFillTint="33"/>
      </w:tcPr>
    </w:tblStylePr>
    <w:tblStylePr w:type="neCell">
      <w:tblPr/>
      <w:tcPr>
        <w:tcBorders>
          <w:bottom w:val="single" w:sz="4" w:space="0" w:color="FFE763" w:themeColor="accent4" w:themeTint="99"/>
        </w:tcBorders>
      </w:tcPr>
    </w:tblStylePr>
    <w:tblStylePr w:type="nwCell">
      <w:tblPr/>
      <w:tcPr>
        <w:tcBorders>
          <w:bottom w:val="single" w:sz="4" w:space="0" w:color="FFE763" w:themeColor="accent4" w:themeTint="99"/>
        </w:tcBorders>
      </w:tcPr>
    </w:tblStylePr>
    <w:tblStylePr w:type="seCell">
      <w:tblPr/>
      <w:tcPr>
        <w:tcBorders>
          <w:top w:val="single" w:sz="4" w:space="0" w:color="FFE763" w:themeColor="accent4" w:themeTint="99"/>
        </w:tcBorders>
      </w:tcPr>
    </w:tblStylePr>
    <w:tblStylePr w:type="swCell">
      <w:tblPr/>
      <w:tcPr>
        <w:tcBorders>
          <w:top w:val="single" w:sz="4" w:space="0" w:color="FFE763" w:themeColor="accent4" w:themeTint="99"/>
        </w:tcBorders>
      </w:tcPr>
    </w:tblStylePr>
  </w:style>
  <w:style w:type="table" w:styleId="GridTable3-Accent5">
    <w:name w:val="Grid Table 3 Accent 5"/>
    <w:basedOn w:val="TableNormal"/>
    <w:uiPriority w:val="48"/>
    <w:rsid w:val="002C0151"/>
    <w:pPr>
      <w:spacing w:line="240" w:lineRule="auto"/>
    </w:p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insideV w:val="single" w:sz="4" w:space="0" w:color="FFC65E" w:themeColor="accent5"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FECC9" w:themeFill="accent5" w:themeFillTint="33"/>
      </w:tcPr>
    </w:tblStylePr>
    <w:tblStylePr w:type="band1Horz">
      <w:tblPr/>
      <w:tcPr>
        <w:shd w:val="clear" w:color="auto" w:fill="FFECC9" w:themeFill="accent5" w:themeFillTint="33"/>
      </w:tcPr>
    </w:tblStylePr>
    <w:tblStylePr w:type="neCell">
      <w:tblPr/>
      <w:tcPr>
        <w:tcBorders>
          <w:bottom w:val="single" w:sz="4" w:space="0" w:color="FFC65E" w:themeColor="accent5" w:themeTint="99"/>
        </w:tcBorders>
      </w:tcPr>
    </w:tblStylePr>
    <w:tblStylePr w:type="nwCell">
      <w:tblPr/>
      <w:tcPr>
        <w:tcBorders>
          <w:bottom w:val="single" w:sz="4" w:space="0" w:color="FFC65E" w:themeColor="accent5" w:themeTint="99"/>
        </w:tcBorders>
      </w:tcPr>
    </w:tblStylePr>
    <w:tblStylePr w:type="seCell">
      <w:tblPr/>
      <w:tcPr>
        <w:tcBorders>
          <w:top w:val="single" w:sz="4" w:space="0" w:color="FFC65E" w:themeColor="accent5" w:themeTint="99"/>
        </w:tcBorders>
      </w:tcPr>
    </w:tblStylePr>
    <w:tblStylePr w:type="swCell">
      <w:tblPr/>
      <w:tcPr>
        <w:tcBorders>
          <w:top w:val="single" w:sz="4" w:space="0" w:color="FFC65E" w:themeColor="accent5" w:themeTint="99"/>
        </w:tcBorders>
      </w:tcPr>
    </w:tblStylePr>
  </w:style>
  <w:style w:type="table" w:styleId="GridTable3-Accent6">
    <w:name w:val="Grid Table 3 Accent 6"/>
    <w:basedOn w:val="TableNormal"/>
    <w:uiPriority w:val="48"/>
    <w:rsid w:val="002C0151"/>
    <w:pPr>
      <w:spacing w:line="240" w:lineRule="auto"/>
    </w:p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insideV w:val="single" w:sz="4" w:space="0" w:color="EC9067" w:themeColor="accent6"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8DACC" w:themeFill="accent6" w:themeFillTint="33"/>
      </w:tcPr>
    </w:tblStylePr>
    <w:tblStylePr w:type="band1Horz">
      <w:tblPr/>
      <w:tcPr>
        <w:shd w:val="clear" w:color="auto" w:fill="F8DACC" w:themeFill="accent6" w:themeFillTint="33"/>
      </w:tcPr>
    </w:tblStylePr>
    <w:tblStylePr w:type="neCell">
      <w:tblPr/>
      <w:tcPr>
        <w:tcBorders>
          <w:bottom w:val="single" w:sz="4" w:space="0" w:color="EC9067" w:themeColor="accent6" w:themeTint="99"/>
        </w:tcBorders>
      </w:tcPr>
    </w:tblStylePr>
    <w:tblStylePr w:type="nwCell">
      <w:tblPr/>
      <w:tcPr>
        <w:tcBorders>
          <w:bottom w:val="single" w:sz="4" w:space="0" w:color="EC9067" w:themeColor="accent6" w:themeTint="99"/>
        </w:tcBorders>
      </w:tcPr>
    </w:tblStylePr>
    <w:tblStylePr w:type="seCell">
      <w:tblPr/>
      <w:tcPr>
        <w:tcBorders>
          <w:top w:val="single" w:sz="4" w:space="0" w:color="EC9067" w:themeColor="accent6" w:themeTint="99"/>
        </w:tcBorders>
      </w:tcPr>
    </w:tblStylePr>
    <w:tblStylePr w:type="swCell">
      <w:tblPr/>
      <w:tcPr>
        <w:tcBorders>
          <w:top w:val="single" w:sz="4" w:space="0" w:color="EC9067" w:themeColor="accent6" w:themeTint="99"/>
        </w:tcBorders>
      </w:tcPr>
    </w:tblStylePr>
  </w:style>
  <w:style w:type="table" w:styleId="GridTable4">
    <w:name w:val="Grid Table 4"/>
    <w:basedOn w:val="TableNormal"/>
    <w:uiPriority w:val="49"/>
    <w:rsid w:val="002C0151"/>
    <w:pPr>
      <w:spacing w:line="240" w:lineRule="auto"/>
    </w:p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insideV w:val="single" w:sz="4" w:space="0" w:color="9A9B9D" w:themeColor="text1" w:themeTint="99"/>
      </w:tblBorders>
    </w:tblPr>
    <w:tblStylePr w:type="firstRow">
      <w:rPr>
        <w:b/>
        <w:bCs/>
        <w:color w:val="A5A5A5" w:themeColor="background1"/>
      </w:rPr>
      <w:tblPr/>
      <w:tcPr>
        <w:tcBorders>
          <w:top w:val="single" w:sz="4" w:space="0" w:color="58595B" w:themeColor="text1"/>
          <w:left w:val="single" w:sz="4" w:space="0" w:color="58595B" w:themeColor="text1"/>
          <w:bottom w:val="single" w:sz="4" w:space="0" w:color="58595B" w:themeColor="text1"/>
          <w:right w:val="single" w:sz="4" w:space="0" w:color="58595B" w:themeColor="text1"/>
          <w:insideH w:val="nil"/>
          <w:insideV w:val="nil"/>
        </w:tcBorders>
        <w:shd w:val="clear" w:color="auto" w:fill="58595B" w:themeFill="text1"/>
      </w:tcPr>
    </w:tblStylePr>
    <w:tblStylePr w:type="lastRow">
      <w:rPr>
        <w:b/>
        <w:bCs/>
      </w:rPr>
      <w:tblPr/>
      <w:tcPr>
        <w:tcBorders>
          <w:top w:val="double" w:sz="4" w:space="0" w:color="58595B" w:themeColor="text1"/>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table" w:styleId="GridTable4-Accent1">
    <w:name w:val="Grid Table 4 Accent 1"/>
    <w:basedOn w:val="TableNormal"/>
    <w:uiPriority w:val="49"/>
    <w:rsid w:val="002C0151"/>
    <w:pPr>
      <w:spacing w:line="240" w:lineRule="auto"/>
    </w:pPr>
    <w:tblPr>
      <w:tblStyleRowBandSize w:val="1"/>
      <w:tblStyleColBandSize w:val="1"/>
      <w:tblBorders>
        <w:top w:val="single" w:sz="4" w:space="0" w:color="7FD67B" w:themeColor="accent1" w:themeTint="99"/>
        <w:left w:val="single" w:sz="4" w:space="0" w:color="7FD67B" w:themeColor="accent1" w:themeTint="99"/>
        <w:bottom w:val="single" w:sz="4" w:space="0" w:color="7FD67B" w:themeColor="accent1" w:themeTint="99"/>
        <w:right w:val="single" w:sz="4" w:space="0" w:color="7FD67B" w:themeColor="accent1" w:themeTint="99"/>
        <w:insideH w:val="single" w:sz="4" w:space="0" w:color="7FD67B" w:themeColor="accent1" w:themeTint="99"/>
        <w:insideV w:val="single" w:sz="4" w:space="0" w:color="7FD67B" w:themeColor="accent1" w:themeTint="99"/>
      </w:tblBorders>
    </w:tblPr>
    <w:tblStylePr w:type="firstRow">
      <w:rPr>
        <w:b/>
        <w:bCs/>
        <w:color w:val="A5A5A5" w:themeColor="background1"/>
      </w:rPr>
      <w:tblPr/>
      <w:tcPr>
        <w:tcBorders>
          <w:top w:val="single" w:sz="4" w:space="0" w:color="3AAA35" w:themeColor="accent1"/>
          <w:left w:val="single" w:sz="4" w:space="0" w:color="3AAA35" w:themeColor="accent1"/>
          <w:bottom w:val="single" w:sz="4" w:space="0" w:color="3AAA35" w:themeColor="accent1"/>
          <w:right w:val="single" w:sz="4" w:space="0" w:color="3AAA35" w:themeColor="accent1"/>
          <w:insideH w:val="nil"/>
          <w:insideV w:val="nil"/>
        </w:tcBorders>
        <w:shd w:val="clear" w:color="auto" w:fill="3AAA35" w:themeFill="accent1"/>
      </w:tcPr>
    </w:tblStylePr>
    <w:tblStylePr w:type="lastRow">
      <w:rPr>
        <w:b/>
        <w:bCs/>
      </w:rPr>
      <w:tblPr/>
      <w:tcPr>
        <w:tcBorders>
          <w:top w:val="double" w:sz="4" w:space="0" w:color="3AAA35" w:themeColor="accent1"/>
        </w:tcBorders>
      </w:tcPr>
    </w:tblStylePr>
    <w:tblStylePr w:type="firstCol">
      <w:rPr>
        <w:b/>
        <w:bCs/>
      </w:rPr>
    </w:tblStylePr>
    <w:tblStylePr w:type="lastCol">
      <w:rPr>
        <w:b/>
        <w:bCs/>
      </w:rPr>
    </w:tblStylePr>
    <w:tblStylePr w:type="band1Vert">
      <w:tblPr/>
      <w:tcPr>
        <w:shd w:val="clear" w:color="auto" w:fill="D4F1D3" w:themeFill="accent1" w:themeFillTint="33"/>
      </w:tcPr>
    </w:tblStylePr>
    <w:tblStylePr w:type="band1Horz">
      <w:tblPr/>
      <w:tcPr>
        <w:shd w:val="clear" w:color="auto" w:fill="D4F1D3" w:themeFill="accent1" w:themeFillTint="33"/>
      </w:tcPr>
    </w:tblStylePr>
  </w:style>
  <w:style w:type="table" w:styleId="GridTable4-Accent2">
    <w:name w:val="Grid Table 4 Accent 2"/>
    <w:basedOn w:val="TableNormal"/>
    <w:uiPriority w:val="49"/>
    <w:rsid w:val="002C0151"/>
    <w:pPr>
      <w:spacing w:line="240" w:lineRule="auto"/>
    </w:pPr>
    <w:tblPr>
      <w:tblStyleRowBandSize w:val="1"/>
      <w:tblStyleColBandSize w:val="1"/>
      <w:tblBorders>
        <w:top w:val="single" w:sz="4" w:space="0" w:color="0AFF84" w:themeColor="accent2" w:themeTint="99"/>
        <w:left w:val="single" w:sz="4" w:space="0" w:color="0AFF84" w:themeColor="accent2" w:themeTint="99"/>
        <w:bottom w:val="single" w:sz="4" w:space="0" w:color="0AFF84" w:themeColor="accent2" w:themeTint="99"/>
        <w:right w:val="single" w:sz="4" w:space="0" w:color="0AFF84" w:themeColor="accent2" w:themeTint="99"/>
        <w:insideH w:val="single" w:sz="4" w:space="0" w:color="0AFF84" w:themeColor="accent2" w:themeTint="99"/>
        <w:insideV w:val="single" w:sz="4" w:space="0" w:color="0AFF84" w:themeColor="accent2" w:themeTint="99"/>
      </w:tblBorders>
    </w:tblPr>
    <w:tblStylePr w:type="firstRow">
      <w:rPr>
        <w:b/>
        <w:bCs/>
        <w:color w:val="A5A5A5" w:themeColor="background1"/>
      </w:rPr>
      <w:tblPr/>
      <w:tcPr>
        <w:tcBorders>
          <w:top w:val="single" w:sz="4" w:space="0" w:color="006633" w:themeColor="accent2"/>
          <w:left w:val="single" w:sz="4" w:space="0" w:color="006633" w:themeColor="accent2"/>
          <w:bottom w:val="single" w:sz="4" w:space="0" w:color="006633" w:themeColor="accent2"/>
          <w:right w:val="single" w:sz="4" w:space="0" w:color="006633" w:themeColor="accent2"/>
          <w:insideH w:val="nil"/>
          <w:insideV w:val="nil"/>
        </w:tcBorders>
        <w:shd w:val="clear" w:color="auto" w:fill="006633" w:themeFill="accent2"/>
      </w:tcPr>
    </w:tblStylePr>
    <w:tblStylePr w:type="lastRow">
      <w:rPr>
        <w:b/>
        <w:bCs/>
      </w:rPr>
      <w:tblPr/>
      <w:tcPr>
        <w:tcBorders>
          <w:top w:val="double" w:sz="4" w:space="0" w:color="006633" w:themeColor="accent2"/>
        </w:tcBorders>
      </w:tcPr>
    </w:tblStylePr>
    <w:tblStylePr w:type="firstCol">
      <w:rPr>
        <w:b/>
        <w:bCs/>
      </w:rPr>
    </w:tblStylePr>
    <w:tblStylePr w:type="lastCol">
      <w:rPr>
        <w:b/>
        <w:bCs/>
      </w:rPr>
    </w:tblStylePr>
    <w:tblStylePr w:type="band1Vert">
      <w:tblPr/>
      <w:tcPr>
        <w:shd w:val="clear" w:color="auto" w:fill="ADFFD6" w:themeFill="accent2" w:themeFillTint="33"/>
      </w:tcPr>
    </w:tblStylePr>
    <w:tblStylePr w:type="band1Horz">
      <w:tblPr/>
      <w:tcPr>
        <w:shd w:val="clear" w:color="auto" w:fill="ADFFD6" w:themeFill="accent2" w:themeFillTint="33"/>
      </w:tcPr>
    </w:tblStylePr>
  </w:style>
  <w:style w:type="table" w:styleId="GridTable4-Accent3">
    <w:name w:val="Grid Table 4 Accent 3"/>
    <w:basedOn w:val="TableNormal"/>
    <w:uiPriority w:val="49"/>
    <w:rsid w:val="002C0151"/>
    <w:pPr>
      <w:spacing w:line="240" w:lineRule="auto"/>
    </w:p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insideV w:val="single" w:sz="4" w:space="0" w:color="EDFF49" w:themeColor="accent3" w:themeTint="99"/>
      </w:tblBorders>
    </w:tblPr>
    <w:tblStylePr w:type="firstRow">
      <w:rPr>
        <w:b/>
        <w:bCs/>
        <w:color w:val="A5A5A5" w:themeColor="background1"/>
      </w:rPr>
      <w:tblPr/>
      <w:tcPr>
        <w:tcBorders>
          <w:top w:val="single" w:sz="4" w:space="0" w:color="BCCF00" w:themeColor="accent3"/>
          <w:left w:val="single" w:sz="4" w:space="0" w:color="BCCF00" w:themeColor="accent3"/>
          <w:bottom w:val="single" w:sz="4" w:space="0" w:color="BCCF00" w:themeColor="accent3"/>
          <w:right w:val="single" w:sz="4" w:space="0" w:color="BCCF00" w:themeColor="accent3"/>
          <w:insideH w:val="nil"/>
          <w:insideV w:val="nil"/>
        </w:tcBorders>
        <w:shd w:val="clear" w:color="auto" w:fill="BCCF00" w:themeFill="accent3"/>
      </w:tcPr>
    </w:tblStylePr>
    <w:tblStylePr w:type="lastRow">
      <w:rPr>
        <w:b/>
        <w:bCs/>
      </w:rPr>
      <w:tblPr/>
      <w:tcPr>
        <w:tcBorders>
          <w:top w:val="double" w:sz="4" w:space="0" w:color="BCCF00" w:themeColor="accent3"/>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GridTable4-Accent4">
    <w:name w:val="Grid Table 4 Accent 4"/>
    <w:basedOn w:val="TableNormal"/>
    <w:uiPriority w:val="49"/>
    <w:rsid w:val="002C0151"/>
    <w:pPr>
      <w:spacing w:line="240" w:lineRule="auto"/>
    </w:p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insideV w:val="single" w:sz="4" w:space="0" w:color="FFE763" w:themeColor="accent4" w:themeTint="99"/>
      </w:tblBorders>
    </w:tblPr>
    <w:tblStylePr w:type="firstRow">
      <w:rPr>
        <w:b/>
        <w:bCs/>
        <w:color w:val="A5A5A5" w:themeColor="background1"/>
      </w:rPr>
      <w:tblPr/>
      <w:tcPr>
        <w:tcBorders>
          <w:top w:val="single" w:sz="4" w:space="0" w:color="FAD500" w:themeColor="accent4"/>
          <w:left w:val="single" w:sz="4" w:space="0" w:color="FAD500" w:themeColor="accent4"/>
          <w:bottom w:val="single" w:sz="4" w:space="0" w:color="FAD500" w:themeColor="accent4"/>
          <w:right w:val="single" w:sz="4" w:space="0" w:color="FAD500" w:themeColor="accent4"/>
          <w:insideH w:val="nil"/>
          <w:insideV w:val="nil"/>
        </w:tcBorders>
        <w:shd w:val="clear" w:color="auto" w:fill="FAD500" w:themeFill="accent4"/>
      </w:tcPr>
    </w:tblStylePr>
    <w:tblStylePr w:type="lastRow">
      <w:rPr>
        <w:b/>
        <w:bCs/>
      </w:rPr>
      <w:tblPr/>
      <w:tcPr>
        <w:tcBorders>
          <w:top w:val="double" w:sz="4" w:space="0" w:color="FAD500" w:themeColor="accent4"/>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GridTable4-Accent5">
    <w:name w:val="Grid Table 4 Accent 5"/>
    <w:basedOn w:val="TableNormal"/>
    <w:uiPriority w:val="49"/>
    <w:rsid w:val="002C0151"/>
    <w:pPr>
      <w:spacing w:line="240" w:lineRule="auto"/>
    </w:p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insideV w:val="single" w:sz="4" w:space="0" w:color="FFC65E" w:themeColor="accent5" w:themeTint="99"/>
      </w:tblBorders>
    </w:tblPr>
    <w:tblStylePr w:type="firstRow">
      <w:rPr>
        <w:b/>
        <w:bCs/>
        <w:color w:val="A5A5A5" w:themeColor="background1"/>
      </w:rPr>
      <w:tblPr/>
      <w:tcPr>
        <w:tcBorders>
          <w:top w:val="single" w:sz="4" w:space="0" w:color="F29D00" w:themeColor="accent5"/>
          <w:left w:val="single" w:sz="4" w:space="0" w:color="F29D00" w:themeColor="accent5"/>
          <w:bottom w:val="single" w:sz="4" w:space="0" w:color="F29D00" w:themeColor="accent5"/>
          <w:right w:val="single" w:sz="4" w:space="0" w:color="F29D00" w:themeColor="accent5"/>
          <w:insideH w:val="nil"/>
          <w:insideV w:val="nil"/>
        </w:tcBorders>
        <w:shd w:val="clear" w:color="auto" w:fill="F29D00" w:themeFill="accent5"/>
      </w:tcPr>
    </w:tblStylePr>
    <w:tblStylePr w:type="lastRow">
      <w:rPr>
        <w:b/>
        <w:bCs/>
      </w:rPr>
      <w:tblPr/>
      <w:tcPr>
        <w:tcBorders>
          <w:top w:val="double" w:sz="4" w:space="0" w:color="F29D00" w:themeColor="accent5"/>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GridTable4-Accent6">
    <w:name w:val="Grid Table 4 Accent 6"/>
    <w:basedOn w:val="TableNormal"/>
    <w:uiPriority w:val="49"/>
    <w:rsid w:val="002C0151"/>
    <w:pPr>
      <w:spacing w:line="240" w:lineRule="auto"/>
    </w:p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insideV w:val="single" w:sz="4" w:space="0" w:color="EC9067" w:themeColor="accent6" w:themeTint="99"/>
      </w:tblBorders>
    </w:tblPr>
    <w:tblStylePr w:type="firstRow">
      <w:rPr>
        <w:b/>
        <w:bCs/>
        <w:color w:val="A5A5A5" w:themeColor="background1"/>
      </w:rPr>
      <w:tblPr/>
      <w:tcPr>
        <w:tcBorders>
          <w:top w:val="single" w:sz="4" w:space="0" w:color="C85019" w:themeColor="accent6"/>
          <w:left w:val="single" w:sz="4" w:space="0" w:color="C85019" w:themeColor="accent6"/>
          <w:bottom w:val="single" w:sz="4" w:space="0" w:color="C85019" w:themeColor="accent6"/>
          <w:right w:val="single" w:sz="4" w:space="0" w:color="C85019" w:themeColor="accent6"/>
          <w:insideH w:val="nil"/>
          <w:insideV w:val="nil"/>
        </w:tcBorders>
        <w:shd w:val="clear" w:color="auto" w:fill="C85019" w:themeFill="accent6"/>
      </w:tcPr>
    </w:tblStylePr>
    <w:tblStylePr w:type="lastRow">
      <w:rPr>
        <w:b/>
        <w:bCs/>
      </w:rPr>
      <w:tblPr/>
      <w:tcPr>
        <w:tcBorders>
          <w:top w:val="double" w:sz="4" w:space="0" w:color="C85019" w:themeColor="accent6"/>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GridTable5Dark">
    <w:name w:val="Grid Table 5 Dark"/>
    <w:basedOn w:val="TableNormal"/>
    <w:uiPriority w:val="50"/>
    <w:rsid w:val="002C0151"/>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DDDDDE" w:themeFill="text1"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58595B" w:themeFill="text1"/>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58595B" w:themeFill="text1"/>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58595B" w:themeFill="text1"/>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58595B" w:themeFill="text1"/>
      </w:tcPr>
    </w:tblStylePr>
    <w:tblStylePr w:type="band1Vert">
      <w:tblPr/>
      <w:tcPr>
        <w:shd w:val="clear" w:color="auto" w:fill="BBBCBD" w:themeFill="text1" w:themeFillTint="66"/>
      </w:tcPr>
    </w:tblStylePr>
    <w:tblStylePr w:type="band1Horz">
      <w:tblPr/>
      <w:tcPr>
        <w:shd w:val="clear" w:color="auto" w:fill="BBBCBD" w:themeFill="text1" w:themeFillTint="66"/>
      </w:tcPr>
    </w:tblStylePr>
  </w:style>
  <w:style w:type="table" w:styleId="GridTable5Dark-Accent1">
    <w:name w:val="Grid Table 5 Dark Accent 1"/>
    <w:basedOn w:val="TableNormal"/>
    <w:uiPriority w:val="50"/>
    <w:rsid w:val="002C0151"/>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D4F1D3" w:themeFill="accent1"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3AAA35" w:themeFill="accent1"/>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3AAA35" w:themeFill="accent1"/>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3AAA35" w:themeFill="accent1"/>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3AAA35" w:themeFill="accent1"/>
      </w:tcPr>
    </w:tblStylePr>
    <w:tblStylePr w:type="band1Vert">
      <w:tblPr/>
      <w:tcPr>
        <w:shd w:val="clear" w:color="auto" w:fill="A9E3A7" w:themeFill="accent1" w:themeFillTint="66"/>
      </w:tcPr>
    </w:tblStylePr>
    <w:tblStylePr w:type="band1Horz">
      <w:tblPr/>
      <w:tcPr>
        <w:shd w:val="clear" w:color="auto" w:fill="A9E3A7" w:themeFill="accent1" w:themeFillTint="66"/>
      </w:tcPr>
    </w:tblStylePr>
  </w:style>
  <w:style w:type="table" w:styleId="GridTable5Dark-Accent2">
    <w:name w:val="Grid Table 5 Dark Accent 2"/>
    <w:basedOn w:val="TableNormal"/>
    <w:uiPriority w:val="50"/>
    <w:rsid w:val="002C0151"/>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ADFFD6" w:themeFill="accent2"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006633" w:themeFill="accent2"/>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006633" w:themeFill="accent2"/>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006633" w:themeFill="accent2"/>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006633" w:themeFill="accent2"/>
      </w:tcPr>
    </w:tblStylePr>
    <w:tblStylePr w:type="band1Vert">
      <w:tblPr/>
      <w:tcPr>
        <w:shd w:val="clear" w:color="auto" w:fill="5BFFAD" w:themeFill="accent2" w:themeFillTint="66"/>
      </w:tcPr>
    </w:tblStylePr>
    <w:tblStylePr w:type="band1Horz">
      <w:tblPr/>
      <w:tcPr>
        <w:shd w:val="clear" w:color="auto" w:fill="5BFFAD" w:themeFill="accent2" w:themeFillTint="66"/>
      </w:tcPr>
    </w:tblStylePr>
  </w:style>
  <w:style w:type="table" w:styleId="GridTable5Dark-Accent3">
    <w:name w:val="Grid Table 5 Dark Accent 3"/>
    <w:basedOn w:val="TableNormal"/>
    <w:uiPriority w:val="50"/>
    <w:rsid w:val="002C0151"/>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F9FFC2" w:themeFill="accent3"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BCCF00" w:themeFill="accent3"/>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BCCF00" w:themeFill="accent3"/>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BCCF00" w:themeFill="accent3"/>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BCCF00" w:themeFill="accent3"/>
      </w:tcPr>
    </w:tblStylePr>
    <w:tblStylePr w:type="band1Vert">
      <w:tblPr/>
      <w:tcPr>
        <w:shd w:val="clear" w:color="auto" w:fill="F3FF85" w:themeFill="accent3" w:themeFillTint="66"/>
      </w:tcPr>
    </w:tblStylePr>
    <w:tblStylePr w:type="band1Horz">
      <w:tblPr/>
      <w:tcPr>
        <w:shd w:val="clear" w:color="auto" w:fill="F3FF85" w:themeFill="accent3" w:themeFillTint="66"/>
      </w:tcPr>
    </w:tblStylePr>
  </w:style>
  <w:style w:type="table" w:styleId="GridTable5Dark-Accent4">
    <w:name w:val="Grid Table 5 Dark Accent 4"/>
    <w:basedOn w:val="TableNormal"/>
    <w:uiPriority w:val="50"/>
    <w:rsid w:val="002C0151"/>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FFF7CB" w:themeFill="accent4"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FAD500" w:themeFill="accent4"/>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FAD500" w:themeFill="accent4"/>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FAD500" w:themeFill="accent4"/>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FAD500" w:themeFill="accent4"/>
      </w:tcPr>
    </w:tblStylePr>
    <w:tblStylePr w:type="band1Vert">
      <w:tblPr/>
      <w:tcPr>
        <w:shd w:val="clear" w:color="auto" w:fill="FFEF97" w:themeFill="accent4" w:themeFillTint="66"/>
      </w:tcPr>
    </w:tblStylePr>
    <w:tblStylePr w:type="band1Horz">
      <w:tblPr/>
      <w:tcPr>
        <w:shd w:val="clear" w:color="auto" w:fill="FFEF97" w:themeFill="accent4" w:themeFillTint="66"/>
      </w:tcPr>
    </w:tblStylePr>
  </w:style>
  <w:style w:type="table" w:styleId="GridTable5Dark-Accent5">
    <w:name w:val="Grid Table 5 Dark Accent 5"/>
    <w:basedOn w:val="TableNormal"/>
    <w:uiPriority w:val="50"/>
    <w:rsid w:val="002C0151"/>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FFECC9" w:themeFill="accent5"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F29D00" w:themeFill="accent5"/>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F29D00" w:themeFill="accent5"/>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F29D00" w:themeFill="accent5"/>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F29D00" w:themeFill="accent5"/>
      </w:tcPr>
    </w:tblStylePr>
    <w:tblStylePr w:type="band1Vert">
      <w:tblPr/>
      <w:tcPr>
        <w:shd w:val="clear" w:color="auto" w:fill="FFD993" w:themeFill="accent5" w:themeFillTint="66"/>
      </w:tcPr>
    </w:tblStylePr>
    <w:tblStylePr w:type="band1Horz">
      <w:tblPr/>
      <w:tcPr>
        <w:shd w:val="clear" w:color="auto" w:fill="FFD993" w:themeFill="accent5" w:themeFillTint="66"/>
      </w:tcPr>
    </w:tblStylePr>
  </w:style>
  <w:style w:type="table" w:styleId="GridTable5Dark-Accent6">
    <w:name w:val="Grid Table 5 Dark Accent 6"/>
    <w:basedOn w:val="TableNormal"/>
    <w:uiPriority w:val="50"/>
    <w:rsid w:val="002C0151"/>
    <w:pPr>
      <w:spacing w:line="240" w:lineRule="auto"/>
    </w:pPr>
    <w:tblPr>
      <w:tblStyleRowBandSize w:val="1"/>
      <w:tblStyleColBandSize w:val="1"/>
      <w:tblBorders>
        <w:top w:val="single" w:sz="4" w:space="0" w:color="A5A5A5" w:themeColor="background1"/>
        <w:left w:val="single" w:sz="4" w:space="0" w:color="A5A5A5" w:themeColor="background1"/>
        <w:bottom w:val="single" w:sz="4" w:space="0" w:color="A5A5A5" w:themeColor="background1"/>
        <w:right w:val="single" w:sz="4" w:space="0" w:color="A5A5A5" w:themeColor="background1"/>
        <w:insideH w:val="single" w:sz="4" w:space="0" w:color="A5A5A5" w:themeColor="background1"/>
        <w:insideV w:val="single" w:sz="4" w:space="0" w:color="A5A5A5" w:themeColor="background1"/>
      </w:tblBorders>
    </w:tblPr>
    <w:tcPr>
      <w:shd w:val="clear" w:color="auto" w:fill="F8DACC" w:themeFill="accent6" w:themeFillTint="33"/>
    </w:tcPr>
    <w:tblStylePr w:type="firstRow">
      <w:rPr>
        <w:b/>
        <w:bCs/>
        <w:color w:val="A5A5A5" w:themeColor="background1"/>
      </w:rPr>
      <w:tblPr/>
      <w:tcPr>
        <w:tcBorders>
          <w:top w:val="single" w:sz="4" w:space="0" w:color="A5A5A5" w:themeColor="background1"/>
          <w:left w:val="single" w:sz="4" w:space="0" w:color="A5A5A5" w:themeColor="background1"/>
          <w:right w:val="single" w:sz="4" w:space="0" w:color="A5A5A5" w:themeColor="background1"/>
          <w:insideH w:val="nil"/>
          <w:insideV w:val="nil"/>
        </w:tcBorders>
        <w:shd w:val="clear" w:color="auto" w:fill="C85019" w:themeFill="accent6"/>
      </w:tcPr>
    </w:tblStylePr>
    <w:tblStylePr w:type="lastRow">
      <w:rPr>
        <w:b/>
        <w:bCs/>
        <w:color w:val="A5A5A5" w:themeColor="background1"/>
      </w:rPr>
      <w:tblPr/>
      <w:tcPr>
        <w:tcBorders>
          <w:left w:val="single" w:sz="4" w:space="0" w:color="A5A5A5" w:themeColor="background1"/>
          <w:bottom w:val="single" w:sz="4" w:space="0" w:color="A5A5A5" w:themeColor="background1"/>
          <w:right w:val="single" w:sz="4" w:space="0" w:color="A5A5A5" w:themeColor="background1"/>
          <w:insideH w:val="nil"/>
          <w:insideV w:val="nil"/>
        </w:tcBorders>
        <w:shd w:val="clear" w:color="auto" w:fill="C85019" w:themeFill="accent6"/>
      </w:tcPr>
    </w:tblStylePr>
    <w:tblStylePr w:type="firstCol">
      <w:rPr>
        <w:b/>
        <w:bCs/>
        <w:color w:val="A5A5A5" w:themeColor="background1"/>
      </w:rPr>
      <w:tblPr/>
      <w:tcPr>
        <w:tcBorders>
          <w:top w:val="single" w:sz="4" w:space="0" w:color="A5A5A5" w:themeColor="background1"/>
          <w:left w:val="single" w:sz="4" w:space="0" w:color="A5A5A5" w:themeColor="background1"/>
          <w:bottom w:val="single" w:sz="4" w:space="0" w:color="A5A5A5" w:themeColor="background1"/>
          <w:insideV w:val="nil"/>
        </w:tcBorders>
        <w:shd w:val="clear" w:color="auto" w:fill="C85019" w:themeFill="accent6"/>
      </w:tcPr>
    </w:tblStylePr>
    <w:tblStylePr w:type="lastCol">
      <w:rPr>
        <w:b/>
        <w:bCs/>
        <w:color w:val="A5A5A5" w:themeColor="background1"/>
      </w:rPr>
      <w:tblPr/>
      <w:tcPr>
        <w:tcBorders>
          <w:top w:val="single" w:sz="4" w:space="0" w:color="A5A5A5" w:themeColor="background1"/>
          <w:bottom w:val="single" w:sz="4" w:space="0" w:color="A5A5A5" w:themeColor="background1"/>
          <w:right w:val="single" w:sz="4" w:space="0" w:color="A5A5A5" w:themeColor="background1"/>
          <w:insideV w:val="nil"/>
        </w:tcBorders>
        <w:shd w:val="clear" w:color="auto" w:fill="C85019" w:themeFill="accent6"/>
      </w:tcPr>
    </w:tblStylePr>
    <w:tblStylePr w:type="band1Vert">
      <w:tblPr/>
      <w:tcPr>
        <w:shd w:val="clear" w:color="auto" w:fill="F2B599" w:themeFill="accent6" w:themeFillTint="66"/>
      </w:tcPr>
    </w:tblStylePr>
    <w:tblStylePr w:type="band1Horz">
      <w:tblPr/>
      <w:tcPr>
        <w:shd w:val="clear" w:color="auto" w:fill="F2B599" w:themeFill="accent6" w:themeFillTint="66"/>
      </w:tcPr>
    </w:tblStylePr>
  </w:style>
  <w:style w:type="table" w:styleId="GridTable6Colorful">
    <w:name w:val="Grid Table 6 Colorful"/>
    <w:basedOn w:val="TableNormal"/>
    <w:uiPriority w:val="51"/>
    <w:rsid w:val="002C0151"/>
    <w:pPr>
      <w:spacing w:line="240" w:lineRule="auto"/>
    </w:pPr>
    <w:rPr>
      <w:color w:val="58595B" w:themeColor="text1"/>
    </w:r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insideV w:val="single" w:sz="4" w:space="0" w:color="9A9B9D" w:themeColor="text1" w:themeTint="99"/>
      </w:tblBorders>
    </w:tblPr>
    <w:tblStylePr w:type="firstRow">
      <w:rPr>
        <w:b/>
        <w:bCs/>
      </w:rPr>
      <w:tblPr/>
      <w:tcPr>
        <w:tcBorders>
          <w:bottom w:val="single" w:sz="12" w:space="0" w:color="9A9B9D" w:themeColor="text1" w:themeTint="99"/>
        </w:tcBorders>
      </w:tcPr>
    </w:tblStylePr>
    <w:tblStylePr w:type="lastRow">
      <w:rPr>
        <w:b/>
        <w:bCs/>
      </w:rPr>
      <w:tblPr/>
      <w:tcPr>
        <w:tcBorders>
          <w:top w:val="double" w:sz="4" w:space="0" w:color="9A9B9D" w:themeColor="text1" w:themeTint="99"/>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table" w:styleId="GridTable6Colorful-Accent1">
    <w:name w:val="Grid Table 6 Colorful Accent 1"/>
    <w:basedOn w:val="TableNormal"/>
    <w:uiPriority w:val="51"/>
    <w:rsid w:val="002C0151"/>
    <w:pPr>
      <w:spacing w:line="240" w:lineRule="auto"/>
    </w:pPr>
    <w:rPr>
      <w:color w:val="2B7F27" w:themeColor="accent1" w:themeShade="BF"/>
    </w:rPr>
    <w:tblPr>
      <w:tblStyleRowBandSize w:val="1"/>
      <w:tblStyleColBandSize w:val="1"/>
      <w:tblBorders>
        <w:top w:val="single" w:sz="4" w:space="0" w:color="7FD67B" w:themeColor="accent1" w:themeTint="99"/>
        <w:left w:val="single" w:sz="4" w:space="0" w:color="7FD67B" w:themeColor="accent1" w:themeTint="99"/>
        <w:bottom w:val="single" w:sz="4" w:space="0" w:color="7FD67B" w:themeColor="accent1" w:themeTint="99"/>
        <w:right w:val="single" w:sz="4" w:space="0" w:color="7FD67B" w:themeColor="accent1" w:themeTint="99"/>
        <w:insideH w:val="single" w:sz="4" w:space="0" w:color="7FD67B" w:themeColor="accent1" w:themeTint="99"/>
        <w:insideV w:val="single" w:sz="4" w:space="0" w:color="7FD67B" w:themeColor="accent1" w:themeTint="99"/>
      </w:tblBorders>
    </w:tblPr>
    <w:tblStylePr w:type="firstRow">
      <w:rPr>
        <w:b/>
        <w:bCs/>
      </w:rPr>
      <w:tblPr/>
      <w:tcPr>
        <w:tcBorders>
          <w:bottom w:val="single" w:sz="12" w:space="0" w:color="7FD67B" w:themeColor="accent1" w:themeTint="99"/>
        </w:tcBorders>
      </w:tcPr>
    </w:tblStylePr>
    <w:tblStylePr w:type="lastRow">
      <w:rPr>
        <w:b/>
        <w:bCs/>
      </w:rPr>
      <w:tblPr/>
      <w:tcPr>
        <w:tcBorders>
          <w:top w:val="double" w:sz="4" w:space="0" w:color="7FD67B" w:themeColor="accent1" w:themeTint="99"/>
        </w:tcBorders>
      </w:tcPr>
    </w:tblStylePr>
    <w:tblStylePr w:type="firstCol">
      <w:rPr>
        <w:b/>
        <w:bCs/>
      </w:rPr>
    </w:tblStylePr>
    <w:tblStylePr w:type="lastCol">
      <w:rPr>
        <w:b/>
        <w:bCs/>
      </w:rPr>
    </w:tblStylePr>
    <w:tblStylePr w:type="band1Vert">
      <w:tblPr/>
      <w:tcPr>
        <w:shd w:val="clear" w:color="auto" w:fill="D4F1D3" w:themeFill="accent1" w:themeFillTint="33"/>
      </w:tcPr>
    </w:tblStylePr>
    <w:tblStylePr w:type="band1Horz">
      <w:tblPr/>
      <w:tcPr>
        <w:shd w:val="clear" w:color="auto" w:fill="D4F1D3" w:themeFill="accent1" w:themeFillTint="33"/>
      </w:tcPr>
    </w:tblStylePr>
  </w:style>
  <w:style w:type="table" w:styleId="GridTable6Colorful-Accent2">
    <w:name w:val="Grid Table 6 Colorful Accent 2"/>
    <w:basedOn w:val="TableNormal"/>
    <w:uiPriority w:val="51"/>
    <w:rsid w:val="002C0151"/>
    <w:pPr>
      <w:spacing w:line="240" w:lineRule="auto"/>
    </w:pPr>
    <w:rPr>
      <w:color w:val="004C26" w:themeColor="accent2" w:themeShade="BF"/>
    </w:rPr>
    <w:tblPr>
      <w:tblStyleRowBandSize w:val="1"/>
      <w:tblStyleColBandSize w:val="1"/>
      <w:tblBorders>
        <w:top w:val="single" w:sz="4" w:space="0" w:color="0AFF84" w:themeColor="accent2" w:themeTint="99"/>
        <w:left w:val="single" w:sz="4" w:space="0" w:color="0AFF84" w:themeColor="accent2" w:themeTint="99"/>
        <w:bottom w:val="single" w:sz="4" w:space="0" w:color="0AFF84" w:themeColor="accent2" w:themeTint="99"/>
        <w:right w:val="single" w:sz="4" w:space="0" w:color="0AFF84" w:themeColor="accent2" w:themeTint="99"/>
        <w:insideH w:val="single" w:sz="4" w:space="0" w:color="0AFF84" w:themeColor="accent2" w:themeTint="99"/>
        <w:insideV w:val="single" w:sz="4" w:space="0" w:color="0AFF84" w:themeColor="accent2" w:themeTint="99"/>
      </w:tblBorders>
    </w:tblPr>
    <w:tblStylePr w:type="firstRow">
      <w:rPr>
        <w:b/>
        <w:bCs/>
      </w:rPr>
      <w:tblPr/>
      <w:tcPr>
        <w:tcBorders>
          <w:bottom w:val="single" w:sz="12" w:space="0" w:color="0AFF84" w:themeColor="accent2" w:themeTint="99"/>
        </w:tcBorders>
      </w:tcPr>
    </w:tblStylePr>
    <w:tblStylePr w:type="lastRow">
      <w:rPr>
        <w:b/>
        <w:bCs/>
      </w:rPr>
      <w:tblPr/>
      <w:tcPr>
        <w:tcBorders>
          <w:top w:val="double" w:sz="4" w:space="0" w:color="0AFF84" w:themeColor="accent2" w:themeTint="99"/>
        </w:tcBorders>
      </w:tcPr>
    </w:tblStylePr>
    <w:tblStylePr w:type="firstCol">
      <w:rPr>
        <w:b/>
        <w:bCs/>
      </w:rPr>
    </w:tblStylePr>
    <w:tblStylePr w:type="lastCol">
      <w:rPr>
        <w:b/>
        <w:bCs/>
      </w:rPr>
    </w:tblStylePr>
    <w:tblStylePr w:type="band1Vert">
      <w:tblPr/>
      <w:tcPr>
        <w:shd w:val="clear" w:color="auto" w:fill="ADFFD6" w:themeFill="accent2" w:themeFillTint="33"/>
      </w:tcPr>
    </w:tblStylePr>
    <w:tblStylePr w:type="band1Horz">
      <w:tblPr/>
      <w:tcPr>
        <w:shd w:val="clear" w:color="auto" w:fill="ADFFD6" w:themeFill="accent2" w:themeFillTint="33"/>
      </w:tcPr>
    </w:tblStylePr>
  </w:style>
  <w:style w:type="table" w:styleId="GridTable6Colorful-Accent3">
    <w:name w:val="Grid Table 6 Colorful Accent 3"/>
    <w:basedOn w:val="TableNormal"/>
    <w:uiPriority w:val="51"/>
    <w:rsid w:val="002C0151"/>
    <w:pPr>
      <w:spacing w:line="240" w:lineRule="auto"/>
    </w:pPr>
    <w:rPr>
      <w:color w:val="8C9B00" w:themeColor="accent3" w:themeShade="BF"/>
    </w:r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insideV w:val="single" w:sz="4" w:space="0" w:color="EDFF49" w:themeColor="accent3" w:themeTint="99"/>
      </w:tblBorders>
    </w:tblPr>
    <w:tblStylePr w:type="firstRow">
      <w:rPr>
        <w:b/>
        <w:bCs/>
      </w:rPr>
      <w:tblPr/>
      <w:tcPr>
        <w:tcBorders>
          <w:bottom w:val="single" w:sz="12" w:space="0" w:color="EDFF49" w:themeColor="accent3" w:themeTint="99"/>
        </w:tcBorders>
      </w:tcPr>
    </w:tblStylePr>
    <w:tblStylePr w:type="lastRow">
      <w:rPr>
        <w:b/>
        <w:bCs/>
      </w:rPr>
      <w:tblPr/>
      <w:tcPr>
        <w:tcBorders>
          <w:top w:val="double" w:sz="4" w:space="0" w:color="EDFF49" w:themeColor="accent3" w:themeTint="99"/>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GridTable6Colorful-Accent4">
    <w:name w:val="Grid Table 6 Colorful Accent 4"/>
    <w:basedOn w:val="TableNormal"/>
    <w:uiPriority w:val="51"/>
    <w:rsid w:val="002C0151"/>
    <w:pPr>
      <w:spacing w:line="240" w:lineRule="auto"/>
    </w:pPr>
    <w:rPr>
      <w:color w:val="BB9F00" w:themeColor="accent4" w:themeShade="BF"/>
    </w:r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insideV w:val="single" w:sz="4" w:space="0" w:color="FFE763" w:themeColor="accent4" w:themeTint="99"/>
      </w:tblBorders>
    </w:tblPr>
    <w:tblStylePr w:type="firstRow">
      <w:rPr>
        <w:b/>
        <w:bCs/>
      </w:rPr>
      <w:tblPr/>
      <w:tcPr>
        <w:tcBorders>
          <w:bottom w:val="single" w:sz="12" w:space="0" w:color="FFE763" w:themeColor="accent4" w:themeTint="99"/>
        </w:tcBorders>
      </w:tcPr>
    </w:tblStylePr>
    <w:tblStylePr w:type="lastRow">
      <w:rPr>
        <w:b/>
        <w:bCs/>
      </w:rPr>
      <w:tblPr/>
      <w:tcPr>
        <w:tcBorders>
          <w:top w:val="double" w:sz="4" w:space="0" w:color="FFE763" w:themeColor="accent4" w:themeTint="99"/>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GridTable6Colorful-Accent5">
    <w:name w:val="Grid Table 6 Colorful Accent 5"/>
    <w:basedOn w:val="TableNormal"/>
    <w:uiPriority w:val="51"/>
    <w:rsid w:val="002C0151"/>
    <w:pPr>
      <w:spacing w:line="240" w:lineRule="auto"/>
    </w:pPr>
    <w:rPr>
      <w:color w:val="B57500" w:themeColor="accent5" w:themeShade="BF"/>
    </w:r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insideV w:val="single" w:sz="4" w:space="0" w:color="FFC65E" w:themeColor="accent5" w:themeTint="99"/>
      </w:tblBorders>
    </w:tblPr>
    <w:tblStylePr w:type="firstRow">
      <w:rPr>
        <w:b/>
        <w:bCs/>
      </w:rPr>
      <w:tblPr/>
      <w:tcPr>
        <w:tcBorders>
          <w:bottom w:val="single" w:sz="12" w:space="0" w:color="FFC65E" w:themeColor="accent5" w:themeTint="99"/>
        </w:tcBorders>
      </w:tcPr>
    </w:tblStylePr>
    <w:tblStylePr w:type="lastRow">
      <w:rPr>
        <w:b/>
        <w:bCs/>
      </w:rPr>
      <w:tblPr/>
      <w:tcPr>
        <w:tcBorders>
          <w:top w:val="double" w:sz="4" w:space="0" w:color="FFC65E" w:themeColor="accent5" w:themeTint="99"/>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GridTable6Colorful-Accent6">
    <w:name w:val="Grid Table 6 Colorful Accent 6"/>
    <w:basedOn w:val="TableNormal"/>
    <w:uiPriority w:val="51"/>
    <w:rsid w:val="002C0151"/>
    <w:pPr>
      <w:spacing w:line="240" w:lineRule="auto"/>
    </w:pPr>
    <w:rPr>
      <w:color w:val="953B12" w:themeColor="accent6" w:themeShade="BF"/>
    </w:r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insideV w:val="single" w:sz="4" w:space="0" w:color="EC9067" w:themeColor="accent6" w:themeTint="99"/>
      </w:tblBorders>
    </w:tblPr>
    <w:tblStylePr w:type="firstRow">
      <w:rPr>
        <w:b/>
        <w:bCs/>
      </w:rPr>
      <w:tblPr/>
      <w:tcPr>
        <w:tcBorders>
          <w:bottom w:val="single" w:sz="12" w:space="0" w:color="EC9067" w:themeColor="accent6" w:themeTint="99"/>
        </w:tcBorders>
      </w:tcPr>
    </w:tblStylePr>
    <w:tblStylePr w:type="lastRow">
      <w:rPr>
        <w:b/>
        <w:bCs/>
      </w:rPr>
      <w:tblPr/>
      <w:tcPr>
        <w:tcBorders>
          <w:top w:val="double" w:sz="4" w:space="0" w:color="EC9067" w:themeColor="accent6" w:themeTint="99"/>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GridTable7Colorful">
    <w:name w:val="Grid Table 7 Colorful"/>
    <w:basedOn w:val="TableNormal"/>
    <w:uiPriority w:val="52"/>
    <w:rsid w:val="002C0151"/>
    <w:pPr>
      <w:spacing w:line="240" w:lineRule="auto"/>
    </w:pPr>
    <w:rPr>
      <w:color w:val="58595B" w:themeColor="text1"/>
    </w:r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insideV w:val="single" w:sz="4" w:space="0" w:color="9A9B9D" w:themeColor="text1"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DDDDDE" w:themeFill="text1" w:themeFillTint="33"/>
      </w:tcPr>
    </w:tblStylePr>
    <w:tblStylePr w:type="band1Horz">
      <w:tblPr/>
      <w:tcPr>
        <w:shd w:val="clear" w:color="auto" w:fill="DDDDDE" w:themeFill="text1" w:themeFillTint="33"/>
      </w:tcPr>
    </w:tblStylePr>
    <w:tblStylePr w:type="neCell">
      <w:tblPr/>
      <w:tcPr>
        <w:tcBorders>
          <w:bottom w:val="single" w:sz="4" w:space="0" w:color="9A9B9D" w:themeColor="text1" w:themeTint="99"/>
        </w:tcBorders>
      </w:tcPr>
    </w:tblStylePr>
    <w:tblStylePr w:type="nwCell">
      <w:tblPr/>
      <w:tcPr>
        <w:tcBorders>
          <w:bottom w:val="single" w:sz="4" w:space="0" w:color="9A9B9D" w:themeColor="text1" w:themeTint="99"/>
        </w:tcBorders>
      </w:tcPr>
    </w:tblStylePr>
    <w:tblStylePr w:type="seCell">
      <w:tblPr/>
      <w:tcPr>
        <w:tcBorders>
          <w:top w:val="single" w:sz="4" w:space="0" w:color="9A9B9D" w:themeColor="text1" w:themeTint="99"/>
        </w:tcBorders>
      </w:tcPr>
    </w:tblStylePr>
    <w:tblStylePr w:type="swCell">
      <w:tblPr/>
      <w:tcPr>
        <w:tcBorders>
          <w:top w:val="single" w:sz="4" w:space="0" w:color="9A9B9D" w:themeColor="text1" w:themeTint="99"/>
        </w:tcBorders>
      </w:tcPr>
    </w:tblStylePr>
  </w:style>
  <w:style w:type="table" w:styleId="GridTable7Colorful-Accent1">
    <w:name w:val="Grid Table 7 Colorful Accent 1"/>
    <w:basedOn w:val="TableNormal"/>
    <w:uiPriority w:val="52"/>
    <w:rsid w:val="002C0151"/>
    <w:pPr>
      <w:spacing w:line="240" w:lineRule="auto"/>
    </w:pPr>
    <w:rPr>
      <w:color w:val="2B7F27" w:themeColor="accent1" w:themeShade="BF"/>
    </w:rPr>
    <w:tblPr>
      <w:tblStyleRowBandSize w:val="1"/>
      <w:tblStyleColBandSize w:val="1"/>
      <w:tblBorders>
        <w:top w:val="single" w:sz="4" w:space="0" w:color="7FD67B" w:themeColor="accent1" w:themeTint="99"/>
        <w:left w:val="single" w:sz="4" w:space="0" w:color="7FD67B" w:themeColor="accent1" w:themeTint="99"/>
        <w:bottom w:val="single" w:sz="4" w:space="0" w:color="7FD67B" w:themeColor="accent1" w:themeTint="99"/>
        <w:right w:val="single" w:sz="4" w:space="0" w:color="7FD67B" w:themeColor="accent1" w:themeTint="99"/>
        <w:insideH w:val="single" w:sz="4" w:space="0" w:color="7FD67B" w:themeColor="accent1" w:themeTint="99"/>
        <w:insideV w:val="single" w:sz="4" w:space="0" w:color="7FD67B" w:themeColor="accent1"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D4F1D3" w:themeFill="accent1" w:themeFillTint="33"/>
      </w:tcPr>
    </w:tblStylePr>
    <w:tblStylePr w:type="band1Horz">
      <w:tblPr/>
      <w:tcPr>
        <w:shd w:val="clear" w:color="auto" w:fill="D4F1D3" w:themeFill="accent1" w:themeFillTint="33"/>
      </w:tcPr>
    </w:tblStylePr>
    <w:tblStylePr w:type="neCell">
      <w:tblPr/>
      <w:tcPr>
        <w:tcBorders>
          <w:bottom w:val="single" w:sz="4" w:space="0" w:color="7FD67B" w:themeColor="accent1" w:themeTint="99"/>
        </w:tcBorders>
      </w:tcPr>
    </w:tblStylePr>
    <w:tblStylePr w:type="nwCell">
      <w:tblPr/>
      <w:tcPr>
        <w:tcBorders>
          <w:bottom w:val="single" w:sz="4" w:space="0" w:color="7FD67B" w:themeColor="accent1" w:themeTint="99"/>
        </w:tcBorders>
      </w:tcPr>
    </w:tblStylePr>
    <w:tblStylePr w:type="seCell">
      <w:tblPr/>
      <w:tcPr>
        <w:tcBorders>
          <w:top w:val="single" w:sz="4" w:space="0" w:color="7FD67B" w:themeColor="accent1" w:themeTint="99"/>
        </w:tcBorders>
      </w:tcPr>
    </w:tblStylePr>
    <w:tblStylePr w:type="swCell">
      <w:tblPr/>
      <w:tcPr>
        <w:tcBorders>
          <w:top w:val="single" w:sz="4" w:space="0" w:color="7FD67B" w:themeColor="accent1" w:themeTint="99"/>
        </w:tcBorders>
      </w:tcPr>
    </w:tblStylePr>
  </w:style>
  <w:style w:type="table" w:styleId="GridTable7Colorful-Accent2">
    <w:name w:val="Grid Table 7 Colorful Accent 2"/>
    <w:basedOn w:val="TableNormal"/>
    <w:uiPriority w:val="52"/>
    <w:rsid w:val="002C0151"/>
    <w:pPr>
      <w:spacing w:line="240" w:lineRule="auto"/>
    </w:pPr>
    <w:rPr>
      <w:color w:val="004C26" w:themeColor="accent2" w:themeShade="BF"/>
    </w:rPr>
    <w:tblPr>
      <w:tblStyleRowBandSize w:val="1"/>
      <w:tblStyleColBandSize w:val="1"/>
      <w:tblBorders>
        <w:top w:val="single" w:sz="4" w:space="0" w:color="0AFF84" w:themeColor="accent2" w:themeTint="99"/>
        <w:left w:val="single" w:sz="4" w:space="0" w:color="0AFF84" w:themeColor="accent2" w:themeTint="99"/>
        <w:bottom w:val="single" w:sz="4" w:space="0" w:color="0AFF84" w:themeColor="accent2" w:themeTint="99"/>
        <w:right w:val="single" w:sz="4" w:space="0" w:color="0AFF84" w:themeColor="accent2" w:themeTint="99"/>
        <w:insideH w:val="single" w:sz="4" w:space="0" w:color="0AFF84" w:themeColor="accent2" w:themeTint="99"/>
        <w:insideV w:val="single" w:sz="4" w:space="0" w:color="0AFF84" w:themeColor="accent2"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ADFFD6" w:themeFill="accent2" w:themeFillTint="33"/>
      </w:tcPr>
    </w:tblStylePr>
    <w:tblStylePr w:type="band1Horz">
      <w:tblPr/>
      <w:tcPr>
        <w:shd w:val="clear" w:color="auto" w:fill="ADFFD6" w:themeFill="accent2" w:themeFillTint="33"/>
      </w:tcPr>
    </w:tblStylePr>
    <w:tblStylePr w:type="neCell">
      <w:tblPr/>
      <w:tcPr>
        <w:tcBorders>
          <w:bottom w:val="single" w:sz="4" w:space="0" w:color="0AFF84" w:themeColor="accent2" w:themeTint="99"/>
        </w:tcBorders>
      </w:tcPr>
    </w:tblStylePr>
    <w:tblStylePr w:type="nwCell">
      <w:tblPr/>
      <w:tcPr>
        <w:tcBorders>
          <w:bottom w:val="single" w:sz="4" w:space="0" w:color="0AFF84" w:themeColor="accent2" w:themeTint="99"/>
        </w:tcBorders>
      </w:tcPr>
    </w:tblStylePr>
    <w:tblStylePr w:type="seCell">
      <w:tblPr/>
      <w:tcPr>
        <w:tcBorders>
          <w:top w:val="single" w:sz="4" w:space="0" w:color="0AFF84" w:themeColor="accent2" w:themeTint="99"/>
        </w:tcBorders>
      </w:tcPr>
    </w:tblStylePr>
    <w:tblStylePr w:type="swCell">
      <w:tblPr/>
      <w:tcPr>
        <w:tcBorders>
          <w:top w:val="single" w:sz="4" w:space="0" w:color="0AFF84" w:themeColor="accent2" w:themeTint="99"/>
        </w:tcBorders>
      </w:tcPr>
    </w:tblStylePr>
  </w:style>
  <w:style w:type="table" w:styleId="GridTable7Colorful-Accent3">
    <w:name w:val="Grid Table 7 Colorful Accent 3"/>
    <w:basedOn w:val="TableNormal"/>
    <w:uiPriority w:val="52"/>
    <w:rsid w:val="002C0151"/>
    <w:pPr>
      <w:spacing w:line="240" w:lineRule="auto"/>
    </w:pPr>
    <w:rPr>
      <w:color w:val="8C9B00" w:themeColor="accent3" w:themeShade="BF"/>
    </w:r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insideV w:val="single" w:sz="4" w:space="0" w:color="EDFF49" w:themeColor="accent3"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9FFC2" w:themeFill="accent3" w:themeFillTint="33"/>
      </w:tcPr>
    </w:tblStylePr>
    <w:tblStylePr w:type="band1Horz">
      <w:tblPr/>
      <w:tcPr>
        <w:shd w:val="clear" w:color="auto" w:fill="F9FFC2" w:themeFill="accent3" w:themeFillTint="33"/>
      </w:tcPr>
    </w:tblStylePr>
    <w:tblStylePr w:type="neCell">
      <w:tblPr/>
      <w:tcPr>
        <w:tcBorders>
          <w:bottom w:val="single" w:sz="4" w:space="0" w:color="EDFF49" w:themeColor="accent3" w:themeTint="99"/>
        </w:tcBorders>
      </w:tcPr>
    </w:tblStylePr>
    <w:tblStylePr w:type="nwCell">
      <w:tblPr/>
      <w:tcPr>
        <w:tcBorders>
          <w:bottom w:val="single" w:sz="4" w:space="0" w:color="EDFF49" w:themeColor="accent3" w:themeTint="99"/>
        </w:tcBorders>
      </w:tcPr>
    </w:tblStylePr>
    <w:tblStylePr w:type="seCell">
      <w:tblPr/>
      <w:tcPr>
        <w:tcBorders>
          <w:top w:val="single" w:sz="4" w:space="0" w:color="EDFF49" w:themeColor="accent3" w:themeTint="99"/>
        </w:tcBorders>
      </w:tcPr>
    </w:tblStylePr>
    <w:tblStylePr w:type="swCell">
      <w:tblPr/>
      <w:tcPr>
        <w:tcBorders>
          <w:top w:val="single" w:sz="4" w:space="0" w:color="EDFF49" w:themeColor="accent3" w:themeTint="99"/>
        </w:tcBorders>
      </w:tcPr>
    </w:tblStylePr>
  </w:style>
  <w:style w:type="table" w:styleId="GridTable7Colorful-Accent4">
    <w:name w:val="Grid Table 7 Colorful Accent 4"/>
    <w:basedOn w:val="TableNormal"/>
    <w:uiPriority w:val="52"/>
    <w:rsid w:val="002C0151"/>
    <w:pPr>
      <w:spacing w:line="240" w:lineRule="auto"/>
    </w:pPr>
    <w:rPr>
      <w:color w:val="BB9F00" w:themeColor="accent4" w:themeShade="BF"/>
    </w:r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insideV w:val="single" w:sz="4" w:space="0" w:color="FFE763" w:themeColor="accent4"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FF7CB" w:themeFill="accent4" w:themeFillTint="33"/>
      </w:tcPr>
    </w:tblStylePr>
    <w:tblStylePr w:type="band1Horz">
      <w:tblPr/>
      <w:tcPr>
        <w:shd w:val="clear" w:color="auto" w:fill="FFF7CB" w:themeFill="accent4" w:themeFillTint="33"/>
      </w:tcPr>
    </w:tblStylePr>
    <w:tblStylePr w:type="neCell">
      <w:tblPr/>
      <w:tcPr>
        <w:tcBorders>
          <w:bottom w:val="single" w:sz="4" w:space="0" w:color="FFE763" w:themeColor="accent4" w:themeTint="99"/>
        </w:tcBorders>
      </w:tcPr>
    </w:tblStylePr>
    <w:tblStylePr w:type="nwCell">
      <w:tblPr/>
      <w:tcPr>
        <w:tcBorders>
          <w:bottom w:val="single" w:sz="4" w:space="0" w:color="FFE763" w:themeColor="accent4" w:themeTint="99"/>
        </w:tcBorders>
      </w:tcPr>
    </w:tblStylePr>
    <w:tblStylePr w:type="seCell">
      <w:tblPr/>
      <w:tcPr>
        <w:tcBorders>
          <w:top w:val="single" w:sz="4" w:space="0" w:color="FFE763" w:themeColor="accent4" w:themeTint="99"/>
        </w:tcBorders>
      </w:tcPr>
    </w:tblStylePr>
    <w:tblStylePr w:type="swCell">
      <w:tblPr/>
      <w:tcPr>
        <w:tcBorders>
          <w:top w:val="single" w:sz="4" w:space="0" w:color="FFE763" w:themeColor="accent4" w:themeTint="99"/>
        </w:tcBorders>
      </w:tcPr>
    </w:tblStylePr>
  </w:style>
  <w:style w:type="table" w:styleId="GridTable7Colorful-Accent5">
    <w:name w:val="Grid Table 7 Colorful Accent 5"/>
    <w:basedOn w:val="TableNormal"/>
    <w:uiPriority w:val="52"/>
    <w:rsid w:val="002C0151"/>
    <w:pPr>
      <w:spacing w:line="240" w:lineRule="auto"/>
    </w:pPr>
    <w:rPr>
      <w:color w:val="B57500" w:themeColor="accent5" w:themeShade="BF"/>
    </w:r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insideV w:val="single" w:sz="4" w:space="0" w:color="FFC65E" w:themeColor="accent5"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FECC9" w:themeFill="accent5" w:themeFillTint="33"/>
      </w:tcPr>
    </w:tblStylePr>
    <w:tblStylePr w:type="band1Horz">
      <w:tblPr/>
      <w:tcPr>
        <w:shd w:val="clear" w:color="auto" w:fill="FFECC9" w:themeFill="accent5" w:themeFillTint="33"/>
      </w:tcPr>
    </w:tblStylePr>
    <w:tblStylePr w:type="neCell">
      <w:tblPr/>
      <w:tcPr>
        <w:tcBorders>
          <w:bottom w:val="single" w:sz="4" w:space="0" w:color="FFC65E" w:themeColor="accent5" w:themeTint="99"/>
        </w:tcBorders>
      </w:tcPr>
    </w:tblStylePr>
    <w:tblStylePr w:type="nwCell">
      <w:tblPr/>
      <w:tcPr>
        <w:tcBorders>
          <w:bottom w:val="single" w:sz="4" w:space="0" w:color="FFC65E" w:themeColor="accent5" w:themeTint="99"/>
        </w:tcBorders>
      </w:tcPr>
    </w:tblStylePr>
    <w:tblStylePr w:type="seCell">
      <w:tblPr/>
      <w:tcPr>
        <w:tcBorders>
          <w:top w:val="single" w:sz="4" w:space="0" w:color="FFC65E" w:themeColor="accent5" w:themeTint="99"/>
        </w:tcBorders>
      </w:tcPr>
    </w:tblStylePr>
    <w:tblStylePr w:type="swCell">
      <w:tblPr/>
      <w:tcPr>
        <w:tcBorders>
          <w:top w:val="single" w:sz="4" w:space="0" w:color="FFC65E" w:themeColor="accent5" w:themeTint="99"/>
        </w:tcBorders>
      </w:tcPr>
    </w:tblStylePr>
  </w:style>
  <w:style w:type="table" w:styleId="GridTable7Colorful-Accent6">
    <w:name w:val="Grid Table 7 Colorful Accent 6"/>
    <w:basedOn w:val="TableNormal"/>
    <w:uiPriority w:val="52"/>
    <w:rsid w:val="002C0151"/>
    <w:pPr>
      <w:spacing w:line="240" w:lineRule="auto"/>
    </w:pPr>
    <w:rPr>
      <w:color w:val="953B12" w:themeColor="accent6" w:themeShade="BF"/>
    </w:r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insideV w:val="single" w:sz="4" w:space="0" w:color="EC9067" w:themeColor="accent6" w:themeTint="99"/>
      </w:tblBorders>
    </w:tblPr>
    <w:tblStylePr w:type="firstRow">
      <w:rPr>
        <w:b/>
        <w:bCs/>
      </w:rPr>
      <w:tblPr/>
      <w:tcPr>
        <w:tcBorders>
          <w:top w:val="nil"/>
          <w:left w:val="nil"/>
          <w:right w:val="nil"/>
          <w:insideH w:val="nil"/>
          <w:insideV w:val="nil"/>
        </w:tcBorders>
        <w:shd w:val="clear" w:color="auto" w:fill="A5A5A5" w:themeFill="background1"/>
      </w:tcPr>
    </w:tblStylePr>
    <w:tblStylePr w:type="lastRow">
      <w:rPr>
        <w:b/>
        <w:bCs/>
      </w:rPr>
      <w:tblPr/>
      <w:tcPr>
        <w:tcBorders>
          <w:left w:val="nil"/>
          <w:bottom w:val="nil"/>
          <w:right w:val="nil"/>
          <w:insideH w:val="nil"/>
          <w:insideV w:val="nil"/>
        </w:tcBorders>
        <w:shd w:val="clear" w:color="auto" w:fill="A5A5A5" w:themeFill="background1"/>
      </w:tcPr>
    </w:tblStylePr>
    <w:tblStylePr w:type="firstCol">
      <w:pPr>
        <w:jc w:val="right"/>
      </w:pPr>
      <w:rPr>
        <w:i/>
        <w:iCs/>
      </w:rPr>
      <w:tblPr/>
      <w:tcPr>
        <w:tcBorders>
          <w:top w:val="nil"/>
          <w:left w:val="nil"/>
          <w:bottom w:val="nil"/>
          <w:insideH w:val="nil"/>
          <w:insideV w:val="nil"/>
        </w:tcBorders>
        <w:shd w:val="clear" w:color="auto" w:fill="A5A5A5" w:themeFill="background1"/>
      </w:tcPr>
    </w:tblStylePr>
    <w:tblStylePr w:type="lastCol">
      <w:rPr>
        <w:i/>
        <w:iCs/>
      </w:rPr>
      <w:tblPr/>
      <w:tcPr>
        <w:tcBorders>
          <w:top w:val="nil"/>
          <w:bottom w:val="nil"/>
          <w:right w:val="nil"/>
          <w:insideH w:val="nil"/>
          <w:insideV w:val="nil"/>
        </w:tcBorders>
        <w:shd w:val="clear" w:color="auto" w:fill="A5A5A5" w:themeFill="background1"/>
      </w:tcPr>
    </w:tblStylePr>
    <w:tblStylePr w:type="band1Vert">
      <w:tblPr/>
      <w:tcPr>
        <w:shd w:val="clear" w:color="auto" w:fill="F8DACC" w:themeFill="accent6" w:themeFillTint="33"/>
      </w:tcPr>
    </w:tblStylePr>
    <w:tblStylePr w:type="band1Horz">
      <w:tblPr/>
      <w:tcPr>
        <w:shd w:val="clear" w:color="auto" w:fill="F8DACC" w:themeFill="accent6" w:themeFillTint="33"/>
      </w:tcPr>
    </w:tblStylePr>
    <w:tblStylePr w:type="neCell">
      <w:tblPr/>
      <w:tcPr>
        <w:tcBorders>
          <w:bottom w:val="single" w:sz="4" w:space="0" w:color="EC9067" w:themeColor="accent6" w:themeTint="99"/>
        </w:tcBorders>
      </w:tcPr>
    </w:tblStylePr>
    <w:tblStylePr w:type="nwCell">
      <w:tblPr/>
      <w:tcPr>
        <w:tcBorders>
          <w:bottom w:val="single" w:sz="4" w:space="0" w:color="EC9067" w:themeColor="accent6" w:themeTint="99"/>
        </w:tcBorders>
      </w:tcPr>
    </w:tblStylePr>
    <w:tblStylePr w:type="seCell">
      <w:tblPr/>
      <w:tcPr>
        <w:tcBorders>
          <w:top w:val="single" w:sz="4" w:space="0" w:color="EC9067" w:themeColor="accent6" w:themeTint="99"/>
        </w:tcBorders>
      </w:tcPr>
    </w:tblStylePr>
    <w:tblStylePr w:type="swCell">
      <w:tblPr/>
      <w:tcPr>
        <w:tcBorders>
          <w:top w:val="single" w:sz="4" w:space="0" w:color="EC9067" w:themeColor="accent6" w:themeTint="99"/>
        </w:tcBorders>
      </w:tcPr>
    </w:tblStylePr>
  </w:style>
  <w:style w:type="table" w:styleId="ListTable1Light">
    <w:name w:val="List Table 1 Light"/>
    <w:basedOn w:val="TableNormal"/>
    <w:uiPriority w:val="46"/>
    <w:rsid w:val="002C0151"/>
    <w:pPr>
      <w:spacing w:line="240" w:lineRule="auto"/>
    </w:pPr>
    <w:tblPr>
      <w:tblStyleRowBandSize w:val="1"/>
      <w:tblStyleColBandSize w:val="1"/>
    </w:tblPr>
    <w:tblStylePr w:type="firstRow">
      <w:rPr>
        <w:b/>
        <w:bCs/>
      </w:rPr>
      <w:tblPr/>
      <w:tcPr>
        <w:tcBorders>
          <w:bottom w:val="single" w:sz="4" w:space="0" w:color="9A9B9D" w:themeColor="text1" w:themeTint="99"/>
        </w:tcBorders>
      </w:tcPr>
    </w:tblStylePr>
    <w:tblStylePr w:type="lastRow">
      <w:rPr>
        <w:b/>
        <w:bCs/>
      </w:rPr>
      <w:tblPr/>
      <w:tcPr>
        <w:tcBorders>
          <w:top w:val="single" w:sz="4" w:space="0" w:color="9A9B9D" w:themeColor="text1" w:themeTint="99"/>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table" w:styleId="ListTable1Light-Accent1">
    <w:name w:val="List Table 1 Light Accent 1"/>
    <w:basedOn w:val="TableNormal"/>
    <w:uiPriority w:val="46"/>
    <w:rsid w:val="002C0151"/>
    <w:pPr>
      <w:spacing w:line="240" w:lineRule="auto"/>
    </w:pPr>
    <w:tblPr>
      <w:tblStyleRowBandSize w:val="1"/>
      <w:tblStyleColBandSize w:val="1"/>
    </w:tblPr>
    <w:tblStylePr w:type="firstRow">
      <w:rPr>
        <w:b/>
        <w:bCs/>
      </w:rPr>
      <w:tblPr/>
      <w:tcPr>
        <w:tcBorders>
          <w:bottom w:val="single" w:sz="4" w:space="0" w:color="7FD67B" w:themeColor="accent1" w:themeTint="99"/>
        </w:tcBorders>
      </w:tcPr>
    </w:tblStylePr>
    <w:tblStylePr w:type="lastRow">
      <w:rPr>
        <w:b/>
        <w:bCs/>
      </w:rPr>
      <w:tblPr/>
      <w:tcPr>
        <w:tcBorders>
          <w:top w:val="single" w:sz="4" w:space="0" w:color="7FD67B" w:themeColor="accent1" w:themeTint="99"/>
        </w:tcBorders>
      </w:tcPr>
    </w:tblStylePr>
    <w:tblStylePr w:type="firstCol">
      <w:rPr>
        <w:b/>
        <w:bCs/>
      </w:rPr>
    </w:tblStylePr>
    <w:tblStylePr w:type="lastCol">
      <w:rPr>
        <w:b/>
        <w:bCs/>
      </w:rPr>
    </w:tblStylePr>
    <w:tblStylePr w:type="band1Vert">
      <w:tblPr/>
      <w:tcPr>
        <w:shd w:val="clear" w:color="auto" w:fill="D4F1D3" w:themeFill="accent1" w:themeFillTint="33"/>
      </w:tcPr>
    </w:tblStylePr>
    <w:tblStylePr w:type="band1Horz">
      <w:tblPr/>
      <w:tcPr>
        <w:shd w:val="clear" w:color="auto" w:fill="D4F1D3" w:themeFill="accent1" w:themeFillTint="33"/>
      </w:tcPr>
    </w:tblStylePr>
  </w:style>
  <w:style w:type="table" w:styleId="ListTable1Light-Accent2">
    <w:name w:val="List Table 1 Light Accent 2"/>
    <w:basedOn w:val="TableNormal"/>
    <w:uiPriority w:val="46"/>
    <w:rsid w:val="002C0151"/>
    <w:pPr>
      <w:spacing w:line="240" w:lineRule="auto"/>
    </w:pPr>
    <w:tblPr>
      <w:tblStyleRowBandSize w:val="1"/>
      <w:tblStyleColBandSize w:val="1"/>
    </w:tblPr>
    <w:tblStylePr w:type="firstRow">
      <w:rPr>
        <w:b/>
        <w:bCs/>
      </w:rPr>
      <w:tblPr/>
      <w:tcPr>
        <w:tcBorders>
          <w:bottom w:val="single" w:sz="4" w:space="0" w:color="0AFF84" w:themeColor="accent2" w:themeTint="99"/>
        </w:tcBorders>
      </w:tcPr>
    </w:tblStylePr>
    <w:tblStylePr w:type="lastRow">
      <w:rPr>
        <w:b/>
        <w:bCs/>
      </w:rPr>
      <w:tblPr/>
      <w:tcPr>
        <w:tcBorders>
          <w:top w:val="single" w:sz="4" w:space="0" w:color="0AFF84" w:themeColor="accent2" w:themeTint="99"/>
        </w:tcBorders>
      </w:tcPr>
    </w:tblStylePr>
    <w:tblStylePr w:type="firstCol">
      <w:rPr>
        <w:b/>
        <w:bCs/>
      </w:rPr>
    </w:tblStylePr>
    <w:tblStylePr w:type="lastCol">
      <w:rPr>
        <w:b/>
        <w:bCs/>
      </w:rPr>
    </w:tblStylePr>
    <w:tblStylePr w:type="band1Vert">
      <w:tblPr/>
      <w:tcPr>
        <w:shd w:val="clear" w:color="auto" w:fill="ADFFD6" w:themeFill="accent2" w:themeFillTint="33"/>
      </w:tcPr>
    </w:tblStylePr>
    <w:tblStylePr w:type="band1Horz">
      <w:tblPr/>
      <w:tcPr>
        <w:shd w:val="clear" w:color="auto" w:fill="ADFFD6" w:themeFill="accent2" w:themeFillTint="33"/>
      </w:tcPr>
    </w:tblStylePr>
  </w:style>
  <w:style w:type="table" w:styleId="ListTable1Light-Accent3">
    <w:name w:val="List Table 1 Light Accent 3"/>
    <w:basedOn w:val="TableNormal"/>
    <w:uiPriority w:val="46"/>
    <w:rsid w:val="002C0151"/>
    <w:pPr>
      <w:spacing w:line="240" w:lineRule="auto"/>
    </w:pPr>
    <w:tblPr>
      <w:tblStyleRowBandSize w:val="1"/>
      <w:tblStyleColBandSize w:val="1"/>
    </w:tblPr>
    <w:tblStylePr w:type="firstRow">
      <w:rPr>
        <w:b/>
        <w:bCs/>
      </w:rPr>
      <w:tblPr/>
      <w:tcPr>
        <w:tcBorders>
          <w:bottom w:val="single" w:sz="4" w:space="0" w:color="EDFF49" w:themeColor="accent3" w:themeTint="99"/>
        </w:tcBorders>
      </w:tcPr>
    </w:tblStylePr>
    <w:tblStylePr w:type="lastRow">
      <w:rPr>
        <w:b/>
        <w:bCs/>
      </w:rPr>
      <w:tblPr/>
      <w:tcPr>
        <w:tcBorders>
          <w:top w:val="single" w:sz="4" w:space="0" w:color="EDFF49" w:themeColor="accent3" w:themeTint="99"/>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ListTable1Light-Accent4">
    <w:name w:val="List Table 1 Light Accent 4"/>
    <w:basedOn w:val="TableNormal"/>
    <w:uiPriority w:val="46"/>
    <w:rsid w:val="002C0151"/>
    <w:pPr>
      <w:spacing w:line="240" w:lineRule="auto"/>
    </w:pPr>
    <w:tblPr>
      <w:tblStyleRowBandSize w:val="1"/>
      <w:tblStyleColBandSize w:val="1"/>
    </w:tblPr>
    <w:tblStylePr w:type="firstRow">
      <w:rPr>
        <w:b/>
        <w:bCs/>
      </w:rPr>
      <w:tblPr/>
      <w:tcPr>
        <w:tcBorders>
          <w:bottom w:val="single" w:sz="4" w:space="0" w:color="FFE763" w:themeColor="accent4" w:themeTint="99"/>
        </w:tcBorders>
      </w:tcPr>
    </w:tblStylePr>
    <w:tblStylePr w:type="lastRow">
      <w:rPr>
        <w:b/>
        <w:bCs/>
      </w:rPr>
      <w:tblPr/>
      <w:tcPr>
        <w:tcBorders>
          <w:top w:val="single" w:sz="4" w:space="0" w:color="FFE763" w:themeColor="accent4" w:themeTint="99"/>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ListTable1Light-Accent5">
    <w:name w:val="List Table 1 Light Accent 5"/>
    <w:basedOn w:val="TableNormal"/>
    <w:uiPriority w:val="46"/>
    <w:rsid w:val="002C0151"/>
    <w:pPr>
      <w:spacing w:line="240" w:lineRule="auto"/>
    </w:pPr>
    <w:tblPr>
      <w:tblStyleRowBandSize w:val="1"/>
      <w:tblStyleColBandSize w:val="1"/>
    </w:tblPr>
    <w:tblStylePr w:type="firstRow">
      <w:rPr>
        <w:b/>
        <w:bCs/>
      </w:rPr>
      <w:tblPr/>
      <w:tcPr>
        <w:tcBorders>
          <w:bottom w:val="single" w:sz="4" w:space="0" w:color="FFC65E" w:themeColor="accent5" w:themeTint="99"/>
        </w:tcBorders>
      </w:tcPr>
    </w:tblStylePr>
    <w:tblStylePr w:type="lastRow">
      <w:rPr>
        <w:b/>
        <w:bCs/>
      </w:rPr>
      <w:tblPr/>
      <w:tcPr>
        <w:tcBorders>
          <w:top w:val="single" w:sz="4" w:space="0" w:color="FFC65E" w:themeColor="accent5" w:themeTint="99"/>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ListTable1Light-Accent6">
    <w:name w:val="List Table 1 Light Accent 6"/>
    <w:basedOn w:val="TableNormal"/>
    <w:uiPriority w:val="46"/>
    <w:rsid w:val="002C0151"/>
    <w:pPr>
      <w:spacing w:line="240" w:lineRule="auto"/>
    </w:pPr>
    <w:tblPr>
      <w:tblStyleRowBandSize w:val="1"/>
      <w:tblStyleColBandSize w:val="1"/>
    </w:tblPr>
    <w:tblStylePr w:type="firstRow">
      <w:rPr>
        <w:b/>
        <w:bCs/>
      </w:rPr>
      <w:tblPr/>
      <w:tcPr>
        <w:tcBorders>
          <w:bottom w:val="single" w:sz="4" w:space="0" w:color="EC9067" w:themeColor="accent6" w:themeTint="99"/>
        </w:tcBorders>
      </w:tcPr>
    </w:tblStylePr>
    <w:tblStylePr w:type="lastRow">
      <w:rPr>
        <w:b/>
        <w:bCs/>
      </w:rPr>
      <w:tblPr/>
      <w:tcPr>
        <w:tcBorders>
          <w:top w:val="single" w:sz="4" w:space="0" w:color="EC9067" w:themeColor="accent6" w:themeTint="99"/>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ListTable2">
    <w:name w:val="List Table 2"/>
    <w:basedOn w:val="TableNormal"/>
    <w:uiPriority w:val="47"/>
    <w:rsid w:val="002C0151"/>
    <w:pPr>
      <w:spacing w:line="240" w:lineRule="auto"/>
    </w:pPr>
    <w:tblPr>
      <w:tblStyleRowBandSize w:val="1"/>
      <w:tblStyleColBandSize w:val="1"/>
      <w:tblBorders>
        <w:top w:val="single" w:sz="4" w:space="0" w:color="9A9B9D" w:themeColor="text1" w:themeTint="99"/>
        <w:bottom w:val="single" w:sz="4" w:space="0" w:color="9A9B9D" w:themeColor="text1" w:themeTint="99"/>
        <w:insideH w:val="single" w:sz="4" w:space="0" w:color="9A9B9D"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table" w:styleId="ListTable2-Accent1">
    <w:name w:val="List Table 2 Accent 1"/>
    <w:basedOn w:val="TableNormal"/>
    <w:uiPriority w:val="47"/>
    <w:rsid w:val="002C0151"/>
    <w:pPr>
      <w:spacing w:line="240" w:lineRule="auto"/>
    </w:pPr>
    <w:tblPr>
      <w:tblStyleRowBandSize w:val="1"/>
      <w:tblStyleColBandSize w:val="1"/>
      <w:tblBorders>
        <w:top w:val="single" w:sz="4" w:space="0" w:color="7FD67B" w:themeColor="accent1" w:themeTint="99"/>
        <w:bottom w:val="single" w:sz="4" w:space="0" w:color="7FD67B" w:themeColor="accent1" w:themeTint="99"/>
        <w:insideH w:val="single" w:sz="4" w:space="0" w:color="7FD67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F1D3" w:themeFill="accent1" w:themeFillTint="33"/>
      </w:tcPr>
    </w:tblStylePr>
    <w:tblStylePr w:type="band1Horz">
      <w:tblPr/>
      <w:tcPr>
        <w:shd w:val="clear" w:color="auto" w:fill="D4F1D3" w:themeFill="accent1" w:themeFillTint="33"/>
      </w:tcPr>
    </w:tblStylePr>
  </w:style>
  <w:style w:type="table" w:styleId="ListTable2-Accent2">
    <w:name w:val="List Table 2 Accent 2"/>
    <w:basedOn w:val="TableNormal"/>
    <w:uiPriority w:val="47"/>
    <w:rsid w:val="002C0151"/>
    <w:pPr>
      <w:spacing w:line="240" w:lineRule="auto"/>
    </w:pPr>
    <w:tblPr>
      <w:tblStyleRowBandSize w:val="1"/>
      <w:tblStyleColBandSize w:val="1"/>
      <w:tblBorders>
        <w:top w:val="single" w:sz="4" w:space="0" w:color="0AFF84" w:themeColor="accent2" w:themeTint="99"/>
        <w:bottom w:val="single" w:sz="4" w:space="0" w:color="0AFF84" w:themeColor="accent2" w:themeTint="99"/>
        <w:insideH w:val="single" w:sz="4" w:space="0" w:color="0AFF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FD6" w:themeFill="accent2" w:themeFillTint="33"/>
      </w:tcPr>
    </w:tblStylePr>
    <w:tblStylePr w:type="band1Horz">
      <w:tblPr/>
      <w:tcPr>
        <w:shd w:val="clear" w:color="auto" w:fill="ADFFD6" w:themeFill="accent2" w:themeFillTint="33"/>
      </w:tcPr>
    </w:tblStylePr>
  </w:style>
  <w:style w:type="table" w:styleId="ListTable2-Accent3">
    <w:name w:val="List Table 2 Accent 3"/>
    <w:basedOn w:val="TableNormal"/>
    <w:uiPriority w:val="47"/>
    <w:rsid w:val="002C0151"/>
    <w:pPr>
      <w:spacing w:line="240" w:lineRule="auto"/>
    </w:pPr>
    <w:tblPr>
      <w:tblStyleRowBandSize w:val="1"/>
      <w:tblStyleColBandSize w:val="1"/>
      <w:tblBorders>
        <w:top w:val="single" w:sz="4" w:space="0" w:color="EDFF49" w:themeColor="accent3" w:themeTint="99"/>
        <w:bottom w:val="single" w:sz="4" w:space="0" w:color="EDFF49" w:themeColor="accent3" w:themeTint="99"/>
        <w:insideH w:val="single" w:sz="4" w:space="0" w:color="EDFF4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ListTable2-Accent4">
    <w:name w:val="List Table 2 Accent 4"/>
    <w:basedOn w:val="TableNormal"/>
    <w:uiPriority w:val="47"/>
    <w:rsid w:val="002C0151"/>
    <w:pPr>
      <w:spacing w:line="240" w:lineRule="auto"/>
    </w:pPr>
    <w:tblPr>
      <w:tblStyleRowBandSize w:val="1"/>
      <w:tblStyleColBandSize w:val="1"/>
      <w:tblBorders>
        <w:top w:val="single" w:sz="4" w:space="0" w:color="FFE763" w:themeColor="accent4" w:themeTint="99"/>
        <w:bottom w:val="single" w:sz="4" w:space="0" w:color="FFE763" w:themeColor="accent4" w:themeTint="99"/>
        <w:insideH w:val="single" w:sz="4" w:space="0" w:color="FFE7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ListTable2-Accent5">
    <w:name w:val="List Table 2 Accent 5"/>
    <w:basedOn w:val="TableNormal"/>
    <w:uiPriority w:val="47"/>
    <w:rsid w:val="002C0151"/>
    <w:pPr>
      <w:spacing w:line="240" w:lineRule="auto"/>
    </w:pPr>
    <w:tblPr>
      <w:tblStyleRowBandSize w:val="1"/>
      <w:tblStyleColBandSize w:val="1"/>
      <w:tblBorders>
        <w:top w:val="single" w:sz="4" w:space="0" w:color="FFC65E" w:themeColor="accent5" w:themeTint="99"/>
        <w:bottom w:val="single" w:sz="4" w:space="0" w:color="FFC65E" w:themeColor="accent5" w:themeTint="99"/>
        <w:insideH w:val="single" w:sz="4" w:space="0" w:color="FFC65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ListTable2-Accent6">
    <w:name w:val="List Table 2 Accent 6"/>
    <w:basedOn w:val="TableNormal"/>
    <w:uiPriority w:val="47"/>
    <w:rsid w:val="002C0151"/>
    <w:pPr>
      <w:spacing w:line="240" w:lineRule="auto"/>
    </w:pPr>
    <w:tblPr>
      <w:tblStyleRowBandSize w:val="1"/>
      <w:tblStyleColBandSize w:val="1"/>
      <w:tblBorders>
        <w:top w:val="single" w:sz="4" w:space="0" w:color="EC9067" w:themeColor="accent6" w:themeTint="99"/>
        <w:bottom w:val="single" w:sz="4" w:space="0" w:color="EC9067" w:themeColor="accent6" w:themeTint="99"/>
        <w:insideH w:val="single" w:sz="4" w:space="0" w:color="EC9067"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ListTable3">
    <w:name w:val="List Table 3"/>
    <w:basedOn w:val="TableNormal"/>
    <w:uiPriority w:val="48"/>
    <w:rsid w:val="002C0151"/>
    <w:pPr>
      <w:spacing w:line="240" w:lineRule="auto"/>
    </w:pPr>
    <w:tblPr>
      <w:tblStyleRowBandSize w:val="1"/>
      <w:tblStyleColBandSize w:val="1"/>
      <w:tblBorders>
        <w:top w:val="single" w:sz="4" w:space="0" w:color="58595B" w:themeColor="text1"/>
        <w:left w:val="single" w:sz="4" w:space="0" w:color="58595B" w:themeColor="text1"/>
        <w:bottom w:val="single" w:sz="4" w:space="0" w:color="58595B" w:themeColor="text1"/>
        <w:right w:val="single" w:sz="4" w:space="0" w:color="58595B" w:themeColor="text1"/>
      </w:tblBorders>
    </w:tblPr>
    <w:tblStylePr w:type="firstRow">
      <w:rPr>
        <w:b/>
        <w:bCs/>
        <w:color w:val="A5A5A5" w:themeColor="background1"/>
      </w:rPr>
      <w:tblPr/>
      <w:tcPr>
        <w:shd w:val="clear" w:color="auto" w:fill="58595B" w:themeFill="text1"/>
      </w:tcPr>
    </w:tblStylePr>
    <w:tblStylePr w:type="lastRow">
      <w:rPr>
        <w:b/>
        <w:bCs/>
      </w:rPr>
      <w:tblPr/>
      <w:tcPr>
        <w:tcBorders>
          <w:top w:val="double" w:sz="4" w:space="0" w:color="58595B" w:themeColor="text1"/>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58595B" w:themeColor="text1"/>
          <w:right w:val="single" w:sz="4" w:space="0" w:color="58595B" w:themeColor="text1"/>
        </w:tcBorders>
      </w:tcPr>
    </w:tblStylePr>
    <w:tblStylePr w:type="band1Horz">
      <w:tblPr/>
      <w:tcPr>
        <w:tcBorders>
          <w:top w:val="single" w:sz="4" w:space="0" w:color="58595B" w:themeColor="text1"/>
          <w:bottom w:val="single" w:sz="4" w:space="0" w:color="58595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595B" w:themeColor="text1"/>
          <w:left w:val="nil"/>
        </w:tcBorders>
      </w:tcPr>
    </w:tblStylePr>
    <w:tblStylePr w:type="swCell">
      <w:tblPr/>
      <w:tcPr>
        <w:tcBorders>
          <w:top w:val="double" w:sz="4" w:space="0" w:color="58595B" w:themeColor="text1"/>
          <w:right w:val="nil"/>
        </w:tcBorders>
      </w:tcPr>
    </w:tblStylePr>
  </w:style>
  <w:style w:type="table" w:styleId="ListTable3-Accent1">
    <w:name w:val="List Table 3 Accent 1"/>
    <w:basedOn w:val="TableNormal"/>
    <w:uiPriority w:val="48"/>
    <w:rsid w:val="002C0151"/>
    <w:pPr>
      <w:spacing w:line="240" w:lineRule="auto"/>
    </w:pPr>
    <w:tblPr>
      <w:tblStyleRowBandSize w:val="1"/>
      <w:tblStyleColBandSize w:val="1"/>
      <w:tblBorders>
        <w:top w:val="single" w:sz="4" w:space="0" w:color="3AAA35" w:themeColor="accent1"/>
        <w:left w:val="single" w:sz="4" w:space="0" w:color="3AAA35" w:themeColor="accent1"/>
        <w:bottom w:val="single" w:sz="4" w:space="0" w:color="3AAA35" w:themeColor="accent1"/>
        <w:right w:val="single" w:sz="4" w:space="0" w:color="3AAA35" w:themeColor="accent1"/>
      </w:tblBorders>
    </w:tblPr>
    <w:tblStylePr w:type="firstRow">
      <w:rPr>
        <w:b/>
        <w:bCs/>
        <w:color w:val="A5A5A5" w:themeColor="background1"/>
      </w:rPr>
      <w:tblPr/>
      <w:tcPr>
        <w:shd w:val="clear" w:color="auto" w:fill="3AAA35" w:themeFill="accent1"/>
      </w:tcPr>
    </w:tblStylePr>
    <w:tblStylePr w:type="lastRow">
      <w:rPr>
        <w:b/>
        <w:bCs/>
      </w:rPr>
      <w:tblPr/>
      <w:tcPr>
        <w:tcBorders>
          <w:top w:val="double" w:sz="4" w:space="0" w:color="3AAA35" w:themeColor="accent1"/>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3AAA35" w:themeColor="accent1"/>
          <w:right w:val="single" w:sz="4" w:space="0" w:color="3AAA35" w:themeColor="accent1"/>
        </w:tcBorders>
      </w:tcPr>
    </w:tblStylePr>
    <w:tblStylePr w:type="band1Horz">
      <w:tblPr/>
      <w:tcPr>
        <w:tcBorders>
          <w:top w:val="single" w:sz="4" w:space="0" w:color="3AAA35" w:themeColor="accent1"/>
          <w:bottom w:val="single" w:sz="4" w:space="0" w:color="3AAA3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AAA35" w:themeColor="accent1"/>
          <w:left w:val="nil"/>
        </w:tcBorders>
      </w:tcPr>
    </w:tblStylePr>
    <w:tblStylePr w:type="swCell">
      <w:tblPr/>
      <w:tcPr>
        <w:tcBorders>
          <w:top w:val="double" w:sz="4" w:space="0" w:color="3AAA35" w:themeColor="accent1"/>
          <w:right w:val="nil"/>
        </w:tcBorders>
      </w:tcPr>
    </w:tblStylePr>
  </w:style>
  <w:style w:type="table" w:styleId="ListTable3-Accent2">
    <w:name w:val="List Table 3 Accent 2"/>
    <w:basedOn w:val="TableNormal"/>
    <w:uiPriority w:val="48"/>
    <w:rsid w:val="002C0151"/>
    <w:pPr>
      <w:spacing w:line="240" w:lineRule="auto"/>
    </w:pPr>
    <w:tblPr>
      <w:tblStyleRowBandSize w:val="1"/>
      <w:tblStyleColBandSize w:val="1"/>
      <w:tblBorders>
        <w:top w:val="single" w:sz="4" w:space="0" w:color="006633" w:themeColor="accent2"/>
        <w:left w:val="single" w:sz="4" w:space="0" w:color="006633" w:themeColor="accent2"/>
        <w:bottom w:val="single" w:sz="4" w:space="0" w:color="006633" w:themeColor="accent2"/>
        <w:right w:val="single" w:sz="4" w:space="0" w:color="006633" w:themeColor="accent2"/>
      </w:tblBorders>
    </w:tblPr>
    <w:tblStylePr w:type="firstRow">
      <w:rPr>
        <w:b/>
        <w:bCs/>
        <w:color w:val="A5A5A5" w:themeColor="background1"/>
      </w:rPr>
      <w:tblPr/>
      <w:tcPr>
        <w:shd w:val="clear" w:color="auto" w:fill="006633" w:themeFill="accent2"/>
      </w:tcPr>
    </w:tblStylePr>
    <w:tblStylePr w:type="lastRow">
      <w:rPr>
        <w:b/>
        <w:bCs/>
      </w:rPr>
      <w:tblPr/>
      <w:tcPr>
        <w:tcBorders>
          <w:top w:val="double" w:sz="4" w:space="0" w:color="006633" w:themeColor="accent2"/>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006633" w:themeColor="accent2"/>
          <w:right w:val="single" w:sz="4" w:space="0" w:color="006633" w:themeColor="accent2"/>
        </w:tcBorders>
      </w:tcPr>
    </w:tblStylePr>
    <w:tblStylePr w:type="band1Horz">
      <w:tblPr/>
      <w:tcPr>
        <w:tcBorders>
          <w:top w:val="single" w:sz="4" w:space="0" w:color="006633" w:themeColor="accent2"/>
          <w:bottom w:val="single" w:sz="4" w:space="0" w:color="0066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633" w:themeColor="accent2"/>
          <w:left w:val="nil"/>
        </w:tcBorders>
      </w:tcPr>
    </w:tblStylePr>
    <w:tblStylePr w:type="swCell">
      <w:tblPr/>
      <w:tcPr>
        <w:tcBorders>
          <w:top w:val="double" w:sz="4" w:space="0" w:color="006633" w:themeColor="accent2"/>
          <w:right w:val="nil"/>
        </w:tcBorders>
      </w:tcPr>
    </w:tblStylePr>
  </w:style>
  <w:style w:type="table" w:styleId="ListTable3-Accent3">
    <w:name w:val="List Table 3 Accent 3"/>
    <w:basedOn w:val="TableNormal"/>
    <w:uiPriority w:val="48"/>
    <w:rsid w:val="002C0151"/>
    <w:pPr>
      <w:spacing w:line="240" w:lineRule="auto"/>
    </w:pPr>
    <w:tblPr>
      <w:tblStyleRowBandSize w:val="1"/>
      <w:tblStyleColBandSize w:val="1"/>
      <w:tblBorders>
        <w:top w:val="single" w:sz="4" w:space="0" w:color="BCCF00" w:themeColor="accent3"/>
        <w:left w:val="single" w:sz="4" w:space="0" w:color="BCCF00" w:themeColor="accent3"/>
        <w:bottom w:val="single" w:sz="4" w:space="0" w:color="BCCF00" w:themeColor="accent3"/>
        <w:right w:val="single" w:sz="4" w:space="0" w:color="BCCF00" w:themeColor="accent3"/>
      </w:tblBorders>
    </w:tblPr>
    <w:tblStylePr w:type="firstRow">
      <w:rPr>
        <w:b/>
        <w:bCs/>
        <w:color w:val="A5A5A5" w:themeColor="background1"/>
      </w:rPr>
      <w:tblPr/>
      <w:tcPr>
        <w:shd w:val="clear" w:color="auto" w:fill="BCCF00" w:themeFill="accent3"/>
      </w:tcPr>
    </w:tblStylePr>
    <w:tblStylePr w:type="lastRow">
      <w:rPr>
        <w:b/>
        <w:bCs/>
      </w:rPr>
      <w:tblPr/>
      <w:tcPr>
        <w:tcBorders>
          <w:top w:val="double" w:sz="4" w:space="0" w:color="BCCF00" w:themeColor="accent3"/>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BCCF00" w:themeColor="accent3"/>
          <w:right w:val="single" w:sz="4" w:space="0" w:color="BCCF00" w:themeColor="accent3"/>
        </w:tcBorders>
      </w:tcPr>
    </w:tblStylePr>
    <w:tblStylePr w:type="band1Horz">
      <w:tblPr/>
      <w:tcPr>
        <w:tcBorders>
          <w:top w:val="single" w:sz="4" w:space="0" w:color="BCCF00" w:themeColor="accent3"/>
          <w:bottom w:val="single" w:sz="4" w:space="0" w:color="BCCF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CCF00" w:themeColor="accent3"/>
          <w:left w:val="nil"/>
        </w:tcBorders>
      </w:tcPr>
    </w:tblStylePr>
    <w:tblStylePr w:type="swCell">
      <w:tblPr/>
      <w:tcPr>
        <w:tcBorders>
          <w:top w:val="double" w:sz="4" w:space="0" w:color="BCCF00" w:themeColor="accent3"/>
          <w:right w:val="nil"/>
        </w:tcBorders>
      </w:tcPr>
    </w:tblStylePr>
  </w:style>
  <w:style w:type="table" w:styleId="ListTable3-Accent4">
    <w:name w:val="List Table 3 Accent 4"/>
    <w:basedOn w:val="TableNormal"/>
    <w:uiPriority w:val="48"/>
    <w:rsid w:val="002C0151"/>
    <w:pPr>
      <w:spacing w:line="240" w:lineRule="auto"/>
    </w:pPr>
    <w:tblPr>
      <w:tblStyleRowBandSize w:val="1"/>
      <w:tblStyleColBandSize w:val="1"/>
      <w:tblBorders>
        <w:top w:val="single" w:sz="4" w:space="0" w:color="FAD500" w:themeColor="accent4"/>
        <w:left w:val="single" w:sz="4" w:space="0" w:color="FAD500" w:themeColor="accent4"/>
        <w:bottom w:val="single" w:sz="4" w:space="0" w:color="FAD500" w:themeColor="accent4"/>
        <w:right w:val="single" w:sz="4" w:space="0" w:color="FAD500" w:themeColor="accent4"/>
      </w:tblBorders>
    </w:tblPr>
    <w:tblStylePr w:type="firstRow">
      <w:rPr>
        <w:b/>
        <w:bCs/>
        <w:color w:val="A5A5A5" w:themeColor="background1"/>
      </w:rPr>
      <w:tblPr/>
      <w:tcPr>
        <w:shd w:val="clear" w:color="auto" w:fill="FAD500" w:themeFill="accent4"/>
      </w:tcPr>
    </w:tblStylePr>
    <w:tblStylePr w:type="lastRow">
      <w:rPr>
        <w:b/>
        <w:bCs/>
      </w:rPr>
      <w:tblPr/>
      <w:tcPr>
        <w:tcBorders>
          <w:top w:val="double" w:sz="4" w:space="0" w:color="FAD500" w:themeColor="accent4"/>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FAD500" w:themeColor="accent4"/>
          <w:right w:val="single" w:sz="4" w:space="0" w:color="FAD500" w:themeColor="accent4"/>
        </w:tcBorders>
      </w:tcPr>
    </w:tblStylePr>
    <w:tblStylePr w:type="band1Horz">
      <w:tblPr/>
      <w:tcPr>
        <w:tcBorders>
          <w:top w:val="single" w:sz="4" w:space="0" w:color="FAD500" w:themeColor="accent4"/>
          <w:bottom w:val="single" w:sz="4" w:space="0" w:color="FAD5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D500" w:themeColor="accent4"/>
          <w:left w:val="nil"/>
        </w:tcBorders>
      </w:tcPr>
    </w:tblStylePr>
    <w:tblStylePr w:type="swCell">
      <w:tblPr/>
      <w:tcPr>
        <w:tcBorders>
          <w:top w:val="double" w:sz="4" w:space="0" w:color="FAD500" w:themeColor="accent4"/>
          <w:right w:val="nil"/>
        </w:tcBorders>
      </w:tcPr>
    </w:tblStylePr>
  </w:style>
  <w:style w:type="table" w:styleId="ListTable3-Accent5">
    <w:name w:val="List Table 3 Accent 5"/>
    <w:basedOn w:val="TableNormal"/>
    <w:uiPriority w:val="48"/>
    <w:rsid w:val="002C0151"/>
    <w:pPr>
      <w:spacing w:line="240" w:lineRule="auto"/>
    </w:pPr>
    <w:tblPr>
      <w:tblStyleRowBandSize w:val="1"/>
      <w:tblStyleColBandSize w:val="1"/>
      <w:tblBorders>
        <w:top w:val="single" w:sz="4" w:space="0" w:color="F29D00" w:themeColor="accent5"/>
        <w:left w:val="single" w:sz="4" w:space="0" w:color="F29D00" w:themeColor="accent5"/>
        <w:bottom w:val="single" w:sz="4" w:space="0" w:color="F29D00" w:themeColor="accent5"/>
        <w:right w:val="single" w:sz="4" w:space="0" w:color="F29D00" w:themeColor="accent5"/>
      </w:tblBorders>
    </w:tblPr>
    <w:tblStylePr w:type="firstRow">
      <w:rPr>
        <w:b/>
        <w:bCs/>
        <w:color w:val="A5A5A5" w:themeColor="background1"/>
      </w:rPr>
      <w:tblPr/>
      <w:tcPr>
        <w:shd w:val="clear" w:color="auto" w:fill="F29D00" w:themeFill="accent5"/>
      </w:tcPr>
    </w:tblStylePr>
    <w:tblStylePr w:type="lastRow">
      <w:rPr>
        <w:b/>
        <w:bCs/>
      </w:rPr>
      <w:tblPr/>
      <w:tcPr>
        <w:tcBorders>
          <w:top w:val="double" w:sz="4" w:space="0" w:color="F29D00" w:themeColor="accent5"/>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F29D00" w:themeColor="accent5"/>
          <w:right w:val="single" w:sz="4" w:space="0" w:color="F29D00" w:themeColor="accent5"/>
        </w:tcBorders>
      </w:tcPr>
    </w:tblStylePr>
    <w:tblStylePr w:type="band1Horz">
      <w:tblPr/>
      <w:tcPr>
        <w:tcBorders>
          <w:top w:val="single" w:sz="4" w:space="0" w:color="F29D00" w:themeColor="accent5"/>
          <w:bottom w:val="single" w:sz="4" w:space="0" w:color="F29D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9D00" w:themeColor="accent5"/>
          <w:left w:val="nil"/>
        </w:tcBorders>
      </w:tcPr>
    </w:tblStylePr>
    <w:tblStylePr w:type="swCell">
      <w:tblPr/>
      <w:tcPr>
        <w:tcBorders>
          <w:top w:val="double" w:sz="4" w:space="0" w:color="F29D00" w:themeColor="accent5"/>
          <w:right w:val="nil"/>
        </w:tcBorders>
      </w:tcPr>
    </w:tblStylePr>
  </w:style>
  <w:style w:type="table" w:styleId="ListTable3-Accent6">
    <w:name w:val="List Table 3 Accent 6"/>
    <w:basedOn w:val="TableNormal"/>
    <w:uiPriority w:val="48"/>
    <w:rsid w:val="002C0151"/>
    <w:pPr>
      <w:spacing w:line="240" w:lineRule="auto"/>
    </w:pPr>
    <w:tblPr>
      <w:tblStyleRowBandSize w:val="1"/>
      <w:tblStyleColBandSize w:val="1"/>
      <w:tblBorders>
        <w:top w:val="single" w:sz="4" w:space="0" w:color="C85019" w:themeColor="accent6"/>
        <w:left w:val="single" w:sz="4" w:space="0" w:color="C85019" w:themeColor="accent6"/>
        <w:bottom w:val="single" w:sz="4" w:space="0" w:color="C85019" w:themeColor="accent6"/>
        <w:right w:val="single" w:sz="4" w:space="0" w:color="C85019" w:themeColor="accent6"/>
      </w:tblBorders>
    </w:tblPr>
    <w:tblStylePr w:type="firstRow">
      <w:rPr>
        <w:b/>
        <w:bCs/>
        <w:color w:val="A5A5A5" w:themeColor="background1"/>
      </w:rPr>
      <w:tblPr/>
      <w:tcPr>
        <w:shd w:val="clear" w:color="auto" w:fill="C85019" w:themeFill="accent6"/>
      </w:tcPr>
    </w:tblStylePr>
    <w:tblStylePr w:type="lastRow">
      <w:rPr>
        <w:b/>
        <w:bCs/>
      </w:rPr>
      <w:tblPr/>
      <w:tcPr>
        <w:tcBorders>
          <w:top w:val="double" w:sz="4" w:space="0" w:color="C85019" w:themeColor="accent6"/>
        </w:tcBorders>
        <w:shd w:val="clear" w:color="auto" w:fill="A5A5A5" w:themeFill="background1"/>
      </w:tcPr>
    </w:tblStylePr>
    <w:tblStylePr w:type="firstCol">
      <w:rPr>
        <w:b/>
        <w:bCs/>
      </w:rPr>
      <w:tblPr/>
      <w:tcPr>
        <w:tcBorders>
          <w:right w:val="nil"/>
        </w:tcBorders>
        <w:shd w:val="clear" w:color="auto" w:fill="A5A5A5" w:themeFill="background1"/>
      </w:tcPr>
    </w:tblStylePr>
    <w:tblStylePr w:type="lastCol">
      <w:rPr>
        <w:b/>
        <w:bCs/>
      </w:rPr>
      <w:tblPr/>
      <w:tcPr>
        <w:tcBorders>
          <w:left w:val="nil"/>
        </w:tcBorders>
        <w:shd w:val="clear" w:color="auto" w:fill="A5A5A5" w:themeFill="background1"/>
      </w:tcPr>
    </w:tblStylePr>
    <w:tblStylePr w:type="band1Vert">
      <w:tblPr/>
      <w:tcPr>
        <w:tcBorders>
          <w:left w:val="single" w:sz="4" w:space="0" w:color="C85019" w:themeColor="accent6"/>
          <w:right w:val="single" w:sz="4" w:space="0" w:color="C85019" w:themeColor="accent6"/>
        </w:tcBorders>
      </w:tcPr>
    </w:tblStylePr>
    <w:tblStylePr w:type="band1Horz">
      <w:tblPr/>
      <w:tcPr>
        <w:tcBorders>
          <w:top w:val="single" w:sz="4" w:space="0" w:color="C85019" w:themeColor="accent6"/>
          <w:bottom w:val="single" w:sz="4" w:space="0" w:color="C8501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5019" w:themeColor="accent6"/>
          <w:left w:val="nil"/>
        </w:tcBorders>
      </w:tcPr>
    </w:tblStylePr>
    <w:tblStylePr w:type="swCell">
      <w:tblPr/>
      <w:tcPr>
        <w:tcBorders>
          <w:top w:val="double" w:sz="4" w:space="0" w:color="C85019" w:themeColor="accent6"/>
          <w:right w:val="nil"/>
        </w:tcBorders>
      </w:tcPr>
    </w:tblStylePr>
  </w:style>
  <w:style w:type="table" w:styleId="ListTable4">
    <w:name w:val="List Table 4"/>
    <w:basedOn w:val="TableNormal"/>
    <w:uiPriority w:val="49"/>
    <w:rsid w:val="002C0151"/>
    <w:pPr>
      <w:spacing w:line="240" w:lineRule="auto"/>
    </w:p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tblBorders>
    </w:tblPr>
    <w:tblStylePr w:type="firstRow">
      <w:rPr>
        <w:b/>
        <w:bCs/>
        <w:color w:val="A5A5A5" w:themeColor="background1"/>
      </w:rPr>
      <w:tblPr/>
      <w:tcPr>
        <w:tcBorders>
          <w:top w:val="single" w:sz="4" w:space="0" w:color="58595B" w:themeColor="text1"/>
          <w:left w:val="single" w:sz="4" w:space="0" w:color="58595B" w:themeColor="text1"/>
          <w:bottom w:val="single" w:sz="4" w:space="0" w:color="58595B" w:themeColor="text1"/>
          <w:right w:val="single" w:sz="4" w:space="0" w:color="58595B" w:themeColor="text1"/>
          <w:insideH w:val="nil"/>
        </w:tcBorders>
        <w:shd w:val="clear" w:color="auto" w:fill="58595B" w:themeFill="text1"/>
      </w:tcPr>
    </w:tblStylePr>
    <w:tblStylePr w:type="lastRow">
      <w:rPr>
        <w:b/>
        <w:bCs/>
      </w:rPr>
      <w:tblPr/>
      <w:tcPr>
        <w:tcBorders>
          <w:top w:val="double" w:sz="4" w:space="0" w:color="9A9B9D" w:themeColor="text1" w:themeTint="99"/>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table" w:styleId="ListTable4-Accent1">
    <w:name w:val="List Table 4 Accent 1"/>
    <w:basedOn w:val="TableNormal"/>
    <w:uiPriority w:val="49"/>
    <w:rsid w:val="002C0151"/>
    <w:pPr>
      <w:spacing w:line="240" w:lineRule="auto"/>
    </w:pPr>
    <w:tblPr>
      <w:tblStyleRowBandSize w:val="1"/>
      <w:tblStyleColBandSize w:val="1"/>
      <w:tblBorders>
        <w:top w:val="single" w:sz="4" w:space="0" w:color="7FD67B" w:themeColor="accent1" w:themeTint="99"/>
        <w:left w:val="single" w:sz="4" w:space="0" w:color="7FD67B" w:themeColor="accent1" w:themeTint="99"/>
        <w:bottom w:val="single" w:sz="4" w:space="0" w:color="7FD67B" w:themeColor="accent1" w:themeTint="99"/>
        <w:right w:val="single" w:sz="4" w:space="0" w:color="7FD67B" w:themeColor="accent1" w:themeTint="99"/>
        <w:insideH w:val="single" w:sz="4" w:space="0" w:color="7FD67B" w:themeColor="accent1" w:themeTint="99"/>
      </w:tblBorders>
    </w:tblPr>
    <w:tblStylePr w:type="firstRow">
      <w:rPr>
        <w:b/>
        <w:bCs/>
        <w:color w:val="A5A5A5" w:themeColor="background1"/>
      </w:rPr>
      <w:tblPr/>
      <w:tcPr>
        <w:tcBorders>
          <w:top w:val="single" w:sz="4" w:space="0" w:color="3AAA35" w:themeColor="accent1"/>
          <w:left w:val="single" w:sz="4" w:space="0" w:color="3AAA35" w:themeColor="accent1"/>
          <w:bottom w:val="single" w:sz="4" w:space="0" w:color="3AAA35" w:themeColor="accent1"/>
          <w:right w:val="single" w:sz="4" w:space="0" w:color="3AAA35" w:themeColor="accent1"/>
          <w:insideH w:val="nil"/>
        </w:tcBorders>
        <w:shd w:val="clear" w:color="auto" w:fill="3AAA35" w:themeFill="accent1"/>
      </w:tcPr>
    </w:tblStylePr>
    <w:tblStylePr w:type="lastRow">
      <w:rPr>
        <w:b/>
        <w:bCs/>
      </w:rPr>
      <w:tblPr/>
      <w:tcPr>
        <w:tcBorders>
          <w:top w:val="double" w:sz="4" w:space="0" w:color="7FD67B" w:themeColor="accent1" w:themeTint="99"/>
        </w:tcBorders>
      </w:tcPr>
    </w:tblStylePr>
    <w:tblStylePr w:type="firstCol">
      <w:rPr>
        <w:b/>
        <w:bCs/>
      </w:rPr>
    </w:tblStylePr>
    <w:tblStylePr w:type="lastCol">
      <w:rPr>
        <w:b/>
        <w:bCs/>
      </w:rPr>
    </w:tblStylePr>
    <w:tblStylePr w:type="band1Vert">
      <w:tblPr/>
      <w:tcPr>
        <w:shd w:val="clear" w:color="auto" w:fill="D4F1D3" w:themeFill="accent1" w:themeFillTint="33"/>
      </w:tcPr>
    </w:tblStylePr>
    <w:tblStylePr w:type="band1Horz">
      <w:tblPr/>
      <w:tcPr>
        <w:shd w:val="clear" w:color="auto" w:fill="D4F1D3" w:themeFill="accent1" w:themeFillTint="33"/>
      </w:tcPr>
    </w:tblStylePr>
  </w:style>
  <w:style w:type="table" w:styleId="ListTable4-Accent2">
    <w:name w:val="List Table 4 Accent 2"/>
    <w:basedOn w:val="TableNormal"/>
    <w:uiPriority w:val="49"/>
    <w:rsid w:val="002C0151"/>
    <w:pPr>
      <w:spacing w:line="240" w:lineRule="auto"/>
    </w:pPr>
    <w:tblPr>
      <w:tblStyleRowBandSize w:val="1"/>
      <w:tblStyleColBandSize w:val="1"/>
      <w:tblBorders>
        <w:top w:val="single" w:sz="4" w:space="0" w:color="0AFF84" w:themeColor="accent2" w:themeTint="99"/>
        <w:left w:val="single" w:sz="4" w:space="0" w:color="0AFF84" w:themeColor="accent2" w:themeTint="99"/>
        <w:bottom w:val="single" w:sz="4" w:space="0" w:color="0AFF84" w:themeColor="accent2" w:themeTint="99"/>
        <w:right w:val="single" w:sz="4" w:space="0" w:color="0AFF84" w:themeColor="accent2" w:themeTint="99"/>
        <w:insideH w:val="single" w:sz="4" w:space="0" w:color="0AFF84" w:themeColor="accent2" w:themeTint="99"/>
      </w:tblBorders>
    </w:tblPr>
    <w:tblStylePr w:type="firstRow">
      <w:rPr>
        <w:b/>
        <w:bCs/>
        <w:color w:val="A5A5A5" w:themeColor="background1"/>
      </w:rPr>
      <w:tblPr/>
      <w:tcPr>
        <w:tcBorders>
          <w:top w:val="single" w:sz="4" w:space="0" w:color="006633" w:themeColor="accent2"/>
          <w:left w:val="single" w:sz="4" w:space="0" w:color="006633" w:themeColor="accent2"/>
          <w:bottom w:val="single" w:sz="4" w:space="0" w:color="006633" w:themeColor="accent2"/>
          <w:right w:val="single" w:sz="4" w:space="0" w:color="006633" w:themeColor="accent2"/>
          <w:insideH w:val="nil"/>
        </w:tcBorders>
        <w:shd w:val="clear" w:color="auto" w:fill="006633" w:themeFill="accent2"/>
      </w:tcPr>
    </w:tblStylePr>
    <w:tblStylePr w:type="lastRow">
      <w:rPr>
        <w:b/>
        <w:bCs/>
      </w:rPr>
      <w:tblPr/>
      <w:tcPr>
        <w:tcBorders>
          <w:top w:val="double" w:sz="4" w:space="0" w:color="0AFF84" w:themeColor="accent2" w:themeTint="99"/>
        </w:tcBorders>
      </w:tcPr>
    </w:tblStylePr>
    <w:tblStylePr w:type="firstCol">
      <w:rPr>
        <w:b/>
        <w:bCs/>
      </w:rPr>
    </w:tblStylePr>
    <w:tblStylePr w:type="lastCol">
      <w:rPr>
        <w:b/>
        <w:bCs/>
      </w:rPr>
    </w:tblStylePr>
    <w:tblStylePr w:type="band1Vert">
      <w:tblPr/>
      <w:tcPr>
        <w:shd w:val="clear" w:color="auto" w:fill="ADFFD6" w:themeFill="accent2" w:themeFillTint="33"/>
      </w:tcPr>
    </w:tblStylePr>
    <w:tblStylePr w:type="band1Horz">
      <w:tblPr/>
      <w:tcPr>
        <w:shd w:val="clear" w:color="auto" w:fill="ADFFD6" w:themeFill="accent2" w:themeFillTint="33"/>
      </w:tcPr>
    </w:tblStylePr>
  </w:style>
  <w:style w:type="table" w:styleId="ListTable4-Accent3">
    <w:name w:val="List Table 4 Accent 3"/>
    <w:basedOn w:val="TableNormal"/>
    <w:uiPriority w:val="49"/>
    <w:rsid w:val="002C0151"/>
    <w:pPr>
      <w:spacing w:line="240" w:lineRule="auto"/>
    </w:pPr>
    <w:tblPr>
      <w:tblStyleRowBandSize w:val="1"/>
      <w:tblStyleColBandSize w:val="1"/>
      <w:tblBorders>
        <w:top w:val="single" w:sz="4" w:space="0" w:color="EDFF49" w:themeColor="accent3" w:themeTint="99"/>
        <w:left w:val="single" w:sz="4" w:space="0" w:color="EDFF49" w:themeColor="accent3" w:themeTint="99"/>
        <w:bottom w:val="single" w:sz="4" w:space="0" w:color="EDFF49" w:themeColor="accent3" w:themeTint="99"/>
        <w:right w:val="single" w:sz="4" w:space="0" w:color="EDFF49" w:themeColor="accent3" w:themeTint="99"/>
        <w:insideH w:val="single" w:sz="4" w:space="0" w:color="EDFF49" w:themeColor="accent3" w:themeTint="99"/>
      </w:tblBorders>
    </w:tblPr>
    <w:tblStylePr w:type="firstRow">
      <w:rPr>
        <w:b/>
        <w:bCs/>
        <w:color w:val="A5A5A5" w:themeColor="background1"/>
      </w:rPr>
      <w:tblPr/>
      <w:tcPr>
        <w:tcBorders>
          <w:top w:val="single" w:sz="4" w:space="0" w:color="BCCF00" w:themeColor="accent3"/>
          <w:left w:val="single" w:sz="4" w:space="0" w:color="BCCF00" w:themeColor="accent3"/>
          <w:bottom w:val="single" w:sz="4" w:space="0" w:color="BCCF00" w:themeColor="accent3"/>
          <w:right w:val="single" w:sz="4" w:space="0" w:color="BCCF00" w:themeColor="accent3"/>
          <w:insideH w:val="nil"/>
        </w:tcBorders>
        <w:shd w:val="clear" w:color="auto" w:fill="BCCF00" w:themeFill="accent3"/>
      </w:tcPr>
    </w:tblStylePr>
    <w:tblStylePr w:type="lastRow">
      <w:rPr>
        <w:b/>
        <w:bCs/>
      </w:rPr>
      <w:tblPr/>
      <w:tcPr>
        <w:tcBorders>
          <w:top w:val="double" w:sz="4" w:space="0" w:color="EDFF49" w:themeColor="accent3" w:themeTint="99"/>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ListTable4-Accent4">
    <w:name w:val="List Table 4 Accent 4"/>
    <w:basedOn w:val="TableNormal"/>
    <w:uiPriority w:val="49"/>
    <w:rsid w:val="002C0151"/>
    <w:pPr>
      <w:spacing w:line="240" w:lineRule="auto"/>
    </w:pPr>
    <w:tblPr>
      <w:tblStyleRowBandSize w:val="1"/>
      <w:tblStyleColBandSize w:val="1"/>
      <w:tblBorders>
        <w:top w:val="single" w:sz="4" w:space="0" w:color="FFE763" w:themeColor="accent4" w:themeTint="99"/>
        <w:left w:val="single" w:sz="4" w:space="0" w:color="FFE763" w:themeColor="accent4" w:themeTint="99"/>
        <w:bottom w:val="single" w:sz="4" w:space="0" w:color="FFE763" w:themeColor="accent4" w:themeTint="99"/>
        <w:right w:val="single" w:sz="4" w:space="0" w:color="FFE763" w:themeColor="accent4" w:themeTint="99"/>
        <w:insideH w:val="single" w:sz="4" w:space="0" w:color="FFE763" w:themeColor="accent4" w:themeTint="99"/>
      </w:tblBorders>
    </w:tblPr>
    <w:tblStylePr w:type="firstRow">
      <w:rPr>
        <w:b/>
        <w:bCs/>
        <w:color w:val="A5A5A5" w:themeColor="background1"/>
      </w:rPr>
      <w:tblPr/>
      <w:tcPr>
        <w:tcBorders>
          <w:top w:val="single" w:sz="4" w:space="0" w:color="FAD500" w:themeColor="accent4"/>
          <w:left w:val="single" w:sz="4" w:space="0" w:color="FAD500" w:themeColor="accent4"/>
          <w:bottom w:val="single" w:sz="4" w:space="0" w:color="FAD500" w:themeColor="accent4"/>
          <w:right w:val="single" w:sz="4" w:space="0" w:color="FAD500" w:themeColor="accent4"/>
          <w:insideH w:val="nil"/>
        </w:tcBorders>
        <w:shd w:val="clear" w:color="auto" w:fill="FAD500" w:themeFill="accent4"/>
      </w:tcPr>
    </w:tblStylePr>
    <w:tblStylePr w:type="lastRow">
      <w:rPr>
        <w:b/>
        <w:bCs/>
      </w:rPr>
      <w:tblPr/>
      <w:tcPr>
        <w:tcBorders>
          <w:top w:val="double" w:sz="4" w:space="0" w:color="FFE763" w:themeColor="accent4" w:themeTint="99"/>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ListTable4-Accent5">
    <w:name w:val="List Table 4 Accent 5"/>
    <w:basedOn w:val="TableNormal"/>
    <w:uiPriority w:val="49"/>
    <w:rsid w:val="002C0151"/>
    <w:pPr>
      <w:spacing w:line="240" w:lineRule="auto"/>
    </w:pPr>
    <w:tblPr>
      <w:tblStyleRowBandSize w:val="1"/>
      <w:tblStyleColBandSize w:val="1"/>
      <w:tblBorders>
        <w:top w:val="single" w:sz="4" w:space="0" w:color="FFC65E" w:themeColor="accent5" w:themeTint="99"/>
        <w:left w:val="single" w:sz="4" w:space="0" w:color="FFC65E" w:themeColor="accent5" w:themeTint="99"/>
        <w:bottom w:val="single" w:sz="4" w:space="0" w:color="FFC65E" w:themeColor="accent5" w:themeTint="99"/>
        <w:right w:val="single" w:sz="4" w:space="0" w:color="FFC65E" w:themeColor="accent5" w:themeTint="99"/>
        <w:insideH w:val="single" w:sz="4" w:space="0" w:color="FFC65E" w:themeColor="accent5" w:themeTint="99"/>
      </w:tblBorders>
    </w:tblPr>
    <w:tblStylePr w:type="firstRow">
      <w:rPr>
        <w:b/>
        <w:bCs/>
        <w:color w:val="A5A5A5" w:themeColor="background1"/>
      </w:rPr>
      <w:tblPr/>
      <w:tcPr>
        <w:tcBorders>
          <w:top w:val="single" w:sz="4" w:space="0" w:color="F29D00" w:themeColor="accent5"/>
          <w:left w:val="single" w:sz="4" w:space="0" w:color="F29D00" w:themeColor="accent5"/>
          <w:bottom w:val="single" w:sz="4" w:space="0" w:color="F29D00" w:themeColor="accent5"/>
          <w:right w:val="single" w:sz="4" w:space="0" w:color="F29D00" w:themeColor="accent5"/>
          <w:insideH w:val="nil"/>
        </w:tcBorders>
        <w:shd w:val="clear" w:color="auto" w:fill="F29D00" w:themeFill="accent5"/>
      </w:tcPr>
    </w:tblStylePr>
    <w:tblStylePr w:type="lastRow">
      <w:rPr>
        <w:b/>
        <w:bCs/>
      </w:rPr>
      <w:tblPr/>
      <w:tcPr>
        <w:tcBorders>
          <w:top w:val="double" w:sz="4" w:space="0" w:color="FFC65E" w:themeColor="accent5" w:themeTint="99"/>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ListTable4-Accent6">
    <w:name w:val="List Table 4 Accent 6"/>
    <w:basedOn w:val="TableNormal"/>
    <w:uiPriority w:val="49"/>
    <w:rsid w:val="002C0151"/>
    <w:pPr>
      <w:spacing w:line="240" w:lineRule="auto"/>
    </w:pPr>
    <w:tblPr>
      <w:tblStyleRowBandSize w:val="1"/>
      <w:tblStyleColBandSize w:val="1"/>
      <w:tblBorders>
        <w:top w:val="single" w:sz="4" w:space="0" w:color="EC9067" w:themeColor="accent6" w:themeTint="99"/>
        <w:left w:val="single" w:sz="4" w:space="0" w:color="EC9067" w:themeColor="accent6" w:themeTint="99"/>
        <w:bottom w:val="single" w:sz="4" w:space="0" w:color="EC9067" w:themeColor="accent6" w:themeTint="99"/>
        <w:right w:val="single" w:sz="4" w:space="0" w:color="EC9067" w:themeColor="accent6" w:themeTint="99"/>
        <w:insideH w:val="single" w:sz="4" w:space="0" w:color="EC9067" w:themeColor="accent6" w:themeTint="99"/>
      </w:tblBorders>
    </w:tblPr>
    <w:tblStylePr w:type="firstRow">
      <w:rPr>
        <w:b/>
        <w:bCs/>
        <w:color w:val="A5A5A5" w:themeColor="background1"/>
      </w:rPr>
      <w:tblPr/>
      <w:tcPr>
        <w:tcBorders>
          <w:top w:val="single" w:sz="4" w:space="0" w:color="C85019" w:themeColor="accent6"/>
          <w:left w:val="single" w:sz="4" w:space="0" w:color="C85019" w:themeColor="accent6"/>
          <w:bottom w:val="single" w:sz="4" w:space="0" w:color="C85019" w:themeColor="accent6"/>
          <w:right w:val="single" w:sz="4" w:space="0" w:color="C85019" w:themeColor="accent6"/>
          <w:insideH w:val="nil"/>
        </w:tcBorders>
        <w:shd w:val="clear" w:color="auto" w:fill="C85019" w:themeFill="accent6"/>
      </w:tcPr>
    </w:tblStylePr>
    <w:tblStylePr w:type="lastRow">
      <w:rPr>
        <w:b/>
        <w:bCs/>
      </w:rPr>
      <w:tblPr/>
      <w:tcPr>
        <w:tcBorders>
          <w:top w:val="double" w:sz="4" w:space="0" w:color="EC9067" w:themeColor="accent6" w:themeTint="99"/>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ListTable5Dark">
    <w:name w:val="List Table 5 Dark"/>
    <w:basedOn w:val="TableNormal"/>
    <w:uiPriority w:val="50"/>
    <w:rsid w:val="002C0151"/>
    <w:pPr>
      <w:spacing w:line="240" w:lineRule="auto"/>
    </w:pPr>
    <w:rPr>
      <w:color w:val="A5A5A5" w:themeColor="background1"/>
    </w:rPr>
    <w:tblPr>
      <w:tblStyleRowBandSize w:val="1"/>
      <w:tblStyleColBandSize w:val="1"/>
      <w:tblBorders>
        <w:top w:val="single" w:sz="24" w:space="0" w:color="58595B" w:themeColor="text1"/>
        <w:left w:val="single" w:sz="24" w:space="0" w:color="58595B" w:themeColor="text1"/>
        <w:bottom w:val="single" w:sz="24" w:space="0" w:color="58595B" w:themeColor="text1"/>
        <w:right w:val="single" w:sz="24" w:space="0" w:color="58595B" w:themeColor="text1"/>
      </w:tblBorders>
    </w:tblPr>
    <w:tcPr>
      <w:shd w:val="clear" w:color="auto" w:fill="58595B" w:themeFill="text1"/>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C0151"/>
    <w:pPr>
      <w:spacing w:line="240" w:lineRule="auto"/>
    </w:pPr>
    <w:rPr>
      <w:color w:val="A5A5A5" w:themeColor="background1"/>
    </w:rPr>
    <w:tblPr>
      <w:tblStyleRowBandSize w:val="1"/>
      <w:tblStyleColBandSize w:val="1"/>
      <w:tblBorders>
        <w:top w:val="single" w:sz="24" w:space="0" w:color="3AAA35" w:themeColor="accent1"/>
        <w:left w:val="single" w:sz="24" w:space="0" w:color="3AAA35" w:themeColor="accent1"/>
        <w:bottom w:val="single" w:sz="24" w:space="0" w:color="3AAA35" w:themeColor="accent1"/>
        <w:right w:val="single" w:sz="24" w:space="0" w:color="3AAA35" w:themeColor="accent1"/>
      </w:tblBorders>
    </w:tblPr>
    <w:tcPr>
      <w:shd w:val="clear" w:color="auto" w:fill="3AAA35" w:themeFill="accent1"/>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C0151"/>
    <w:pPr>
      <w:spacing w:line="240" w:lineRule="auto"/>
    </w:pPr>
    <w:rPr>
      <w:color w:val="A5A5A5" w:themeColor="background1"/>
    </w:rPr>
    <w:tblPr>
      <w:tblStyleRowBandSize w:val="1"/>
      <w:tblStyleColBandSize w:val="1"/>
      <w:tblBorders>
        <w:top w:val="single" w:sz="24" w:space="0" w:color="006633" w:themeColor="accent2"/>
        <w:left w:val="single" w:sz="24" w:space="0" w:color="006633" w:themeColor="accent2"/>
        <w:bottom w:val="single" w:sz="24" w:space="0" w:color="006633" w:themeColor="accent2"/>
        <w:right w:val="single" w:sz="24" w:space="0" w:color="006633" w:themeColor="accent2"/>
      </w:tblBorders>
    </w:tblPr>
    <w:tcPr>
      <w:shd w:val="clear" w:color="auto" w:fill="006633" w:themeFill="accent2"/>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C0151"/>
    <w:pPr>
      <w:spacing w:line="240" w:lineRule="auto"/>
    </w:pPr>
    <w:rPr>
      <w:color w:val="A5A5A5" w:themeColor="background1"/>
    </w:rPr>
    <w:tblPr>
      <w:tblStyleRowBandSize w:val="1"/>
      <w:tblStyleColBandSize w:val="1"/>
      <w:tblBorders>
        <w:top w:val="single" w:sz="24" w:space="0" w:color="BCCF00" w:themeColor="accent3"/>
        <w:left w:val="single" w:sz="24" w:space="0" w:color="BCCF00" w:themeColor="accent3"/>
        <w:bottom w:val="single" w:sz="24" w:space="0" w:color="BCCF00" w:themeColor="accent3"/>
        <w:right w:val="single" w:sz="24" w:space="0" w:color="BCCF00" w:themeColor="accent3"/>
      </w:tblBorders>
    </w:tblPr>
    <w:tcPr>
      <w:shd w:val="clear" w:color="auto" w:fill="BCCF00" w:themeFill="accent3"/>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C0151"/>
    <w:pPr>
      <w:spacing w:line="240" w:lineRule="auto"/>
    </w:pPr>
    <w:rPr>
      <w:color w:val="A5A5A5" w:themeColor="background1"/>
    </w:rPr>
    <w:tblPr>
      <w:tblStyleRowBandSize w:val="1"/>
      <w:tblStyleColBandSize w:val="1"/>
      <w:tblBorders>
        <w:top w:val="single" w:sz="24" w:space="0" w:color="FAD500" w:themeColor="accent4"/>
        <w:left w:val="single" w:sz="24" w:space="0" w:color="FAD500" w:themeColor="accent4"/>
        <w:bottom w:val="single" w:sz="24" w:space="0" w:color="FAD500" w:themeColor="accent4"/>
        <w:right w:val="single" w:sz="24" w:space="0" w:color="FAD500" w:themeColor="accent4"/>
      </w:tblBorders>
    </w:tblPr>
    <w:tcPr>
      <w:shd w:val="clear" w:color="auto" w:fill="FAD500" w:themeFill="accent4"/>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C0151"/>
    <w:pPr>
      <w:spacing w:line="240" w:lineRule="auto"/>
    </w:pPr>
    <w:rPr>
      <w:color w:val="A5A5A5" w:themeColor="background1"/>
    </w:rPr>
    <w:tblPr>
      <w:tblStyleRowBandSize w:val="1"/>
      <w:tblStyleColBandSize w:val="1"/>
      <w:tblBorders>
        <w:top w:val="single" w:sz="24" w:space="0" w:color="F29D00" w:themeColor="accent5"/>
        <w:left w:val="single" w:sz="24" w:space="0" w:color="F29D00" w:themeColor="accent5"/>
        <w:bottom w:val="single" w:sz="24" w:space="0" w:color="F29D00" w:themeColor="accent5"/>
        <w:right w:val="single" w:sz="24" w:space="0" w:color="F29D00" w:themeColor="accent5"/>
      </w:tblBorders>
    </w:tblPr>
    <w:tcPr>
      <w:shd w:val="clear" w:color="auto" w:fill="F29D00" w:themeFill="accent5"/>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C0151"/>
    <w:pPr>
      <w:spacing w:line="240" w:lineRule="auto"/>
    </w:pPr>
    <w:rPr>
      <w:color w:val="A5A5A5" w:themeColor="background1"/>
    </w:rPr>
    <w:tblPr>
      <w:tblStyleRowBandSize w:val="1"/>
      <w:tblStyleColBandSize w:val="1"/>
      <w:tblBorders>
        <w:top w:val="single" w:sz="24" w:space="0" w:color="C85019" w:themeColor="accent6"/>
        <w:left w:val="single" w:sz="24" w:space="0" w:color="C85019" w:themeColor="accent6"/>
        <w:bottom w:val="single" w:sz="24" w:space="0" w:color="C85019" w:themeColor="accent6"/>
        <w:right w:val="single" w:sz="24" w:space="0" w:color="C85019" w:themeColor="accent6"/>
      </w:tblBorders>
    </w:tblPr>
    <w:tcPr>
      <w:shd w:val="clear" w:color="auto" w:fill="C85019" w:themeFill="accent6"/>
    </w:tcPr>
    <w:tblStylePr w:type="firstRow">
      <w:rPr>
        <w:b/>
        <w:bCs/>
      </w:rPr>
      <w:tblPr/>
      <w:tcPr>
        <w:tcBorders>
          <w:bottom w:val="single" w:sz="18" w:space="0" w:color="A5A5A5" w:themeColor="background1"/>
        </w:tcBorders>
      </w:tcPr>
    </w:tblStylePr>
    <w:tblStylePr w:type="lastRow">
      <w:rPr>
        <w:b/>
        <w:bCs/>
      </w:rPr>
      <w:tblPr/>
      <w:tcPr>
        <w:tcBorders>
          <w:top w:val="single" w:sz="4" w:space="0" w:color="A5A5A5" w:themeColor="background1"/>
        </w:tcBorders>
      </w:tcPr>
    </w:tblStylePr>
    <w:tblStylePr w:type="firstCol">
      <w:rPr>
        <w:b/>
        <w:bCs/>
      </w:rPr>
      <w:tblPr/>
      <w:tcPr>
        <w:tcBorders>
          <w:right w:val="single" w:sz="4" w:space="0" w:color="A5A5A5" w:themeColor="background1"/>
        </w:tcBorders>
      </w:tcPr>
    </w:tblStylePr>
    <w:tblStylePr w:type="lastCol">
      <w:rPr>
        <w:b/>
        <w:bCs/>
      </w:rPr>
      <w:tblPr/>
      <w:tcPr>
        <w:tcBorders>
          <w:left w:val="single" w:sz="4" w:space="0" w:color="A5A5A5" w:themeColor="background1"/>
        </w:tcBorders>
      </w:tcPr>
    </w:tblStylePr>
    <w:tblStylePr w:type="band1Vert">
      <w:tblPr/>
      <w:tcPr>
        <w:tcBorders>
          <w:left w:val="single" w:sz="4" w:space="0" w:color="A5A5A5" w:themeColor="background1"/>
          <w:right w:val="single" w:sz="4" w:space="0" w:color="A5A5A5" w:themeColor="background1"/>
        </w:tcBorders>
      </w:tcPr>
    </w:tblStylePr>
    <w:tblStylePr w:type="band2Vert">
      <w:tblPr/>
      <w:tcPr>
        <w:tcBorders>
          <w:left w:val="single" w:sz="4" w:space="0" w:color="A5A5A5" w:themeColor="background1"/>
          <w:right w:val="single" w:sz="4" w:space="0" w:color="A5A5A5" w:themeColor="background1"/>
        </w:tcBorders>
      </w:tcPr>
    </w:tblStylePr>
    <w:tblStylePr w:type="band1Horz">
      <w:tblPr/>
      <w:tcPr>
        <w:tcBorders>
          <w:top w:val="single" w:sz="4" w:space="0" w:color="A5A5A5" w:themeColor="background1"/>
          <w:bottom w:val="single" w:sz="4" w:space="0" w:color="A5A5A5"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C0151"/>
    <w:pPr>
      <w:spacing w:line="240" w:lineRule="auto"/>
    </w:pPr>
    <w:rPr>
      <w:color w:val="58595B" w:themeColor="text1"/>
    </w:rPr>
    <w:tblPr>
      <w:tblStyleRowBandSize w:val="1"/>
      <w:tblStyleColBandSize w:val="1"/>
      <w:tblBorders>
        <w:top w:val="single" w:sz="4" w:space="0" w:color="58595B" w:themeColor="text1"/>
        <w:bottom w:val="single" w:sz="4" w:space="0" w:color="58595B" w:themeColor="text1"/>
      </w:tblBorders>
    </w:tblPr>
    <w:tblStylePr w:type="firstRow">
      <w:rPr>
        <w:b/>
        <w:bCs/>
      </w:rPr>
      <w:tblPr/>
      <w:tcPr>
        <w:tcBorders>
          <w:bottom w:val="single" w:sz="4" w:space="0" w:color="58595B" w:themeColor="text1"/>
        </w:tcBorders>
      </w:tcPr>
    </w:tblStylePr>
    <w:tblStylePr w:type="lastRow">
      <w:rPr>
        <w:b/>
        <w:bCs/>
      </w:rPr>
      <w:tblPr/>
      <w:tcPr>
        <w:tcBorders>
          <w:top w:val="double" w:sz="4" w:space="0" w:color="58595B" w:themeColor="text1"/>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table" w:styleId="ListTable6Colorful-Accent1">
    <w:name w:val="List Table 6 Colorful Accent 1"/>
    <w:basedOn w:val="TableNormal"/>
    <w:uiPriority w:val="51"/>
    <w:rsid w:val="002C0151"/>
    <w:pPr>
      <w:spacing w:line="240" w:lineRule="auto"/>
    </w:pPr>
    <w:rPr>
      <w:color w:val="2B7F27" w:themeColor="accent1" w:themeShade="BF"/>
    </w:rPr>
    <w:tblPr>
      <w:tblStyleRowBandSize w:val="1"/>
      <w:tblStyleColBandSize w:val="1"/>
      <w:tblBorders>
        <w:top w:val="single" w:sz="4" w:space="0" w:color="3AAA35" w:themeColor="accent1"/>
        <w:bottom w:val="single" w:sz="4" w:space="0" w:color="3AAA35" w:themeColor="accent1"/>
      </w:tblBorders>
    </w:tblPr>
    <w:tblStylePr w:type="firstRow">
      <w:rPr>
        <w:b/>
        <w:bCs/>
      </w:rPr>
      <w:tblPr/>
      <w:tcPr>
        <w:tcBorders>
          <w:bottom w:val="single" w:sz="4" w:space="0" w:color="3AAA35" w:themeColor="accent1"/>
        </w:tcBorders>
      </w:tcPr>
    </w:tblStylePr>
    <w:tblStylePr w:type="lastRow">
      <w:rPr>
        <w:b/>
        <w:bCs/>
      </w:rPr>
      <w:tblPr/>
      <w:tcPr>
        <w:tcBorders>
          <w:top w:val="double" w:sz="4" w:space="0" w:color="3AAA35" w:themeColor="accent1"/>
        </w:tcBorders>
      </w:tcPr>
    </w:tblStylePr>
    <w:tblStylePr w:type="firstCol">
      <w:rPr>
        <w:b/>
        <w:bCs/>
      </w:rPr>
    </w:tblStylePr>
    <w:tblStylePr w:type="lastCol">
      <w:rPr>
        <w:b/>
        <w:bCs/>
      </w:rPr>
    </w:tblStylePr>
    <w:tblStylePr w:type="band1Vert">
      <w:tblPr/>
      <w:tcPr>
        <w:shd w:val="clear" w:color="auto" w:fill="D4F1D3" w:themeFill="accent1" w:themeFillTint="33"/>
      </w:tcPr>
    </w:tblStylePr>
    <w:tblStylePr w:type="band1Horz">
      <w:tblPr/>
      <w:tcPr>
        <w:shd w:val="clear" w:color="auto" w:fill="D4F1D3" w:themeFill="accent1" w:themeFillTint="33"/>
      </w:tcPr>
    </w:tblStylePr>
  </w:style>
  <w:style w:type="table" w:styleId="ListTable6Colorful-Accent2">
    <w:name w:val="List Table 6 Colorful Accent 2"/>
    <w:basedOn w:val="TableNormal"/>
    <w:uiPriority w:val="51"/>
    <w:rsid w:val="002C0151"/>
    <w:pPr>
      <w:spacing w:line="240" w:lineRule="auto"/>
    </w:pPr>
    <w:rPr>
      <w:color w:val="004C26" w:themeColor="accent2" w:themeShade="BF"/>
    </w:rPr>
    <w:tblPr>
      <w:tblStyleRowBandSize w:val="1"/>
      <w:tblStyleColBandSize w:val="1"/>
      <w:tblBorders>
        <w:top w:val="single" w:sz="4" w:space="0" w:color="006633" w:themeColor="accent2"/>
        <w:bottom w:val="single" w:sz="4" w:space="0" w:color="006633" w:themeColor="accent2"/>
      </w:tblBorders>
    </w:tblPr>
    <w:tblStylePr w:type="firstRow">
      <w:rPr>
        <w:b/>
        <w:bCs/>
      </w:rPr>
      <w:tblPr/>
      <w:tcPr>
        <w:tcBorders>
          <w:bottom w:val="single" w:sz="4" w:space="0" w:color="006633" w:themeColor="accent2"/>
        </w:tcBorders>
      </w:tcPr>
    </w:tblStylePr>
    <w:tblStylePr w:type="lastRow">
      <w:rPr>
        <w:b/>
        <w:bCs/>
      </w:rPr>
      <w:tblPr/>
      <w:tcPr>
        <w:tcBorders>
          <w:top w:val="double" w:sz="4" w:space="0" w:color="006633" w:themeColor="accent2"/>
        </w:tcBorders>
      </w:tcPr>
    </w:tblStylePr>
    <w:tblStylePr w:type="firstCol">
      <w:rPr>
        <w:b/>
        <w:bCs/>
      </w:rPr>
    </w:tblStylePr>
    <w:tblStylePr w:type="lastCol">
      <w:rPr>
        <w:b/>
        <w:bCs/>
      </w:rPr>
    </w:tblStylePr>
    <w:tblStylePr w:type="band1Vert">
      <w:tblPr/>
      <w:tcPr>
        <w:shd w:val="clear" w:color="auto" w:fill="ADFFD6" w:themeFill="accent2" w:themeFillTint="33"/>
      </w:tcPr>
    </w:tblStylePr>
    <w:tblStylePr w:type="band1Horz">
      <w:tblPr/>
      <w:tcPr>
        <w:shd w:val="clear" w:color="auto" w:fill="ADFFD6" w:themeFill="accent2" w:themeFillTint="33"/>
      </w:tcPr>
    </w:tblStylePr>
  </w:style>
  <w:style w:type="table" w:styleId="ListTable6Colorful-Accent3">
    <w:name w:val="List Table 6 Colorful Accent 3"/>
    <w:basedOn w:val="TableNormal"/>
    <w:uiPriority w:val="51"/>
    <w:rsid w:val="002C0151"/>
    <w:pPr>
      <w:spacing w:line="240" w:lineRule="auto"/>
    </w:pPr>
    <w:rPr>
      <w:color w:val="8C9B00" w:themeColor="accent3" w:themeShade="BF"/>
    </w:rPr>
    <w:tblPr>
      <w:tblStyleRowBandSize w:val="1"/>
      <w:tblStyleColBandSize w:val="1"/>
      <w:tblBorders>
        <w:top w:val="single" w:sz="4" w:space="0" w:color="BCCF00" w:themeColor="accent3"/>
        <w:bottom w:val="single" w:sz="4" w:space="0" w:color="BCCF00" w:themeColor="accent3"/>
      </w:tblBorders>
    </w:tblPr>
    <w:tblStylePr w:type="firstRow">
      <w:rPr>
        <w:b/>
        <w:bCs/>
      </w:rPr>
      <w:tblPr/>
      <w:tcPr>
        <w:tcBorders>
          <w:bottom w:val="single" w:sz="4" w:space="0" w:color="BCCF00" w:themeColor="accent3"/>
        </w:tcBorders>
      </w:tcPr>
    </w:tblStylePr>
    <w:tblStylePr w:type="lastRow">
      <w:rPr>
        <w:b/>
        <w:bCs/>
      </w:rPr>
      <w:tblPr/>
      <w:tcPr>
        <w:tcBorders>
          <w:top w:val="double" w:sz="4" w:space="0" w:color="BCCF00" w:themeColor="accent3"/>
        </w:tcBorders>
      </w:tcPr>
    </w:tblStylePr>
    <w:tblStylePr w:type="firstCol">
      <w:rPr>
        <w:b/>
        <w:bCs/>
      </w:rPr>
    </w:tblStylePr>
    <w:tblStylePr w:type="lastCol">
      <w:rPr>
        <w:b/>
        <w:bCs/>
      </w:rPr>
    </w:tblStylePr>
    <w:tblStylePr w:type="band1Vert">
      <w:tblPr/>
      <w:tcPr>
        <w:shd w:val="clear" w:color="auto" w:fill="F9FFC2" w:themeFill="accent3" w:themeFillTint="33"/>
      </w:tcPr>
    </w:tblStylePr>
    <w:tblStylePr w:type="band1Horz">
      <w:tblPr/>
      <w:tcPr>
        <w:shd w:val="clear" w:color="auto" w:fill="F9FFC2" w:themeFill="accent3" w:themeFillTint="33"/>
      </w:tcPr>
    </w:tblStylePr>
  </w:style>
  <w:style w:type="table" w:styleId="ListTable6Colorful-Accent4">
    <w:name w:val="List Table 6 Colorful Accent 4"/>
    <w:basedOn w:val="TableNormal"/>
    <w:uiPriority w:val="51"/>
    <w:rsid w:val="002C0151"/>
    <w:pPr>
      <w:spacing w:line="240" w:lineRule="auto"/>
    </w:pPr>
    <w:rPr>
      <w:color w:val="BB9F00" w:themeColor="accent4" w:themeShade="BF"/>
    </w:rPr>
    <w:tblPr>
      <w:tblStyleRowBandSize w:val="1"/>
      <w:tblStyleColBandSize w:val="1"/>
      <w:tblBorders>
        <w:top w:val="single" w:sz="4" w:space="0" w:color="FAD500" w:themeColor="accent4"/>
        <w:bottom w:val="single" w:sz="4" w:space="0" w:color="FAD500" w:themeColor="accent4"/>
      </w:tblBorders>
    </w:tblPr>
    <w:tblStylePr w:type="firstRow">
      <w:rPr>
        <w:b/>
        <w:bCs/>
      </w:rPr>
      <w:tblPr/>
      <w:tcPr>
        <w:tcBorders>
          <w:bottom w:val="single" w:sz="4" w:space="0" w:color="FAD500" w:themeColor="accent4"/>
        </w:tcBorders>
      </w:tcPr>
    </w:tblStylePr>
    <w:tblStylePr w:type="lastRow">
      <w:rPr>
        <w:b/>
        <w:bCs/>
      </w:rPr>
      <w:tblPr/>
      <w:tcPr>
        <w:tcBorders>
          <w:top w:val="double" w:sz="4" w:space="0" w:color="FAD500" w:themeColor="accent4"/>
        </w:tcBorders>
      </w:tcPr>
    </w:tblStylePr>
    <w:tblStylePr w:type="firstCol">
      <w:rPr>
        <w:b/>
        <w:bCs/>
      </w:rPr>
    </w:tblStylePr>
    <w:tblStylePr w:type="lastCol">
      <w:rPr>
        <w:b/>
        <w:bCs/>
      </w:rPr>
    </w:tblStylePr>
    <w:tblStylePr w:type="band1Vert">
      <w:tblPr/>
      <w:tcPr>
        <w:shd w:val="clear" w:color="auto" w:fill="FFF7CB" w:themeFill="accent4" w:themeFillTint="33"/>
      </w:tcPr>
    </w:tblStylePr>
    <w:tblStylePr w:type="band1Horz">
      <w:tblPr/>
      <w:tcPr>
        <w:shd w:val="clear" w:color="auto" w:fill="FFF7CB" w:themeFill="accent4" w:themeFillTint="33"/>
      </w:tcPr>
    </w:tblStylePr>
  </w:style>
  <w:style w:type="table" w:styleId="ListTable6Colorful-Accent5">
    <w:name w:val="List Table 6 Colorful Accent 5"/>
    <w:basedOn w:val="TableNormal"/>
    <w:uiPriority w:val="51"/>
    <w:rsid w:val="002C0151"/>
    <w:pPr>
      <w:spacing w:line="240" w:lineRule="auto"/>
    </w:pPr>
    <w:rPr>
      <w:color w:val="B57500" w:themeColor="accent5" w:themeShade="BF"/>
    </w:rPr>
    <w:tblPr>
      <w:tblStyleRowBandSize w:val="1"/>
      <w:tblStyleColBandSize w:val="1"/>
      <w:tblBorders>
        <w:top w:val="single" w:sz="4" w:space="0" w:color="F29D00" w:themeColor="accent5"/>
        <w:bottom w:val="single" w:sz="4" w:space="0" w:color="F29D00" w:themeColor="accent5"/>
      </w:tblBorders>
    </w:tblPr>
    <w:tblStylePr w:type="firstRow">
      <w:rPr>
        <w:b/>
        <w:bCs/>
      </w:rPr>
      <w:tblPr/>
      <w:tcPr>
        <w:tcBorders>
          <w:bottom w:val="single" w:sz="4" w:space="0" w:color="F29D00" w:themeColor="accent5"/>
        </w:tcBorders>
      </w:tcPr>
    </w:tblStylePr>
    <w:tblStylePr w:type="lastRow">
      <w:rPr>
        <w:b/>
        <w:bCs/>
      </w:rPr>
      <w:tblPr/>
      <w:tcPr>
        <w:tcBorders>
          <w:top w:val="double" w:sz="4" w:space="0" w:color="F29D00" w:themeColor="accent5"/>
        </w:tcBorders>
      </w:tcPr>
    </w:tblStylePr>
    <w:tblStylePr w:type="firstCol">
      <w:rPr>
        <w:b/>
        <w:bCs/>
      </w:rPr>
    </w:tblStylePr>
    <w:tblStylePr w:type="lastCol">
      <w:rPr>
        <w:b/>
        <w:bCs/>
      </w:rPr>
    </w:tblStylePr>
    <w:tblStylePr w:type="band1Vert">
      <w:tblPr/>
      <w:tcPr>
        <w:shd w:val="clear" w:color="auto" w:fill="FFECC9" w:themeFill="accent5" w:themeFillTint="33"/>
      </w:tcPr>
    </w:tblStylePr>
    <w:tblStylePr w:type="band1Horz">
      <w:tblPr/>
      <w:tcPr>
        <w:shd w:val="clear" w:color="auto" w:fill="FFECC9" w:themeFill="accent5" w:themeFillTint="33"/>
      </w:tcPr>
    </w:tblStylePr>
  </w:style>
  <w:style w:type="table" w:styleId="ListTable6Colorful-Accent6">
    <w:name w:val="List Table 6 Colorful Accent 6"/>
    <w:basedOn w:val="TableNormal"/>
    <w:uiPriority w:val="51"/>
    <w:rsid w:val="002C0151"/>
    <w:pPr>
      <w:spacing w:line="240" w:lineRule="auto"/>
    </w:pPr>
    <w:rPr>
      <w:color w:val="953B12" w:themeColor="accent6" w:themeShade="BF"/>
    </w:rPr>
    <w:tblPr>
      <w:tblStyleRowBandSize w:val="1"/>
      <w:tblStyleColBandSize w:val="1"/>
      <w:tblBorders>
        <w:top w:val="single" w:sz="4" w:space="0" w:color="C85019" w:themeColor="accent6"/>
        <w:bottom w:val="single" w:sz="4" w:space="0" w:color="C85019" w:themeColor="accent6"/>
      </w:tblBorders>
    </w:tblPr>
    <w:tblStylePr w:type="firstRow">
      <w:rPr>
        <w:b/>
        <w:bCs/>
      </w:rPr>
      <w:tblPr/>
      <w:tcPr>
        <w:tcBorders>
          <w:bottom w:val="single" w:sz="4" w:space="0" w:color="C85019" w:themeColor="accent6"/>
        </w:tcBorders>
      </w:tcPr>
    </w:tblStylePr>
    <w:tblStylePr w:type="lastRow">
      <w:rPr>
        <w:b/>
        <w:bCs/>
      </w:rPr>
      <w:tblPr/>
      <w:tcPr>
        <w:tcBorders>
          <w:top w:val="double" w:sz="4" w:space="0" w:color="C85019" w:themeColor="accent6"/>
        </w:tcBorders>
      </w:tcPr>
    </w:tblStylePr>
    <w:tblStylePr w:type="firstCol">
      <w:rPr>
        <w:b/>
        <w:bCs/>
      </w:rPr>
    </w:tblStylePr>
    <w:tblStylePr w:type="lastCol">
      <w:rPr>
        <w:b/>
        <w:bCs/>
      </w:rPr>
    </w:tblStylePr>
    <w:tblStylePr w:type="band1Vert">
      <w:tblPr/>
      <w:tcPr>
        <w:shd w:val="clear" w:color="auto" w:fill="F8DACC" w:themeFill="accent6" w:themeFillTint="33"/>
      </w:tcPr>
    </w:tblStylePr>
    <w:tblStylePr w:type="band1Horz">
      <w:tblPr/>
      <w:tcPr>
        <w:shd w:val="clear" w:color="auto" w:fill="F8DACC" w:themeFill="accent6" w:themeFillTint="33"/>
      </w:tcPr>
    </w:tblStylePr>
  </w:style>
  <w:style w:type="table" w:styleId="ListTable7Colorful">
    <w:name w:val="List Table 7 Colorful"/>
    <w:basedOn w:val="TableNormal"/>
    <w:uiPriority w:val="52"/>
    <w:rsid w:val="002C0151"/>
    <w:pPr>
      <w:spacing w:line="240" w:lineRule="auto"/>
    </w:pPr>
    <w:rPr>
      <w:color w:val="58595B"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595B" w:themeColor="text1"/>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58595B" w:themeColor="text1"/>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595B" w:themeColor="text1"/>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58595B" w:themeColor="text1"/>
        </w:tcBorders>
        <w:shd w:val="clear" w:color="auto" w:fill="A5A5A5" w:themeFill="background1"/>
      </w:tcPr>
    </w:tblStylePr>
    <w:tblStylePr w:type="band1Vert">
      <w:tblPr/>
      <w:tcPr>
        <w:shd w:val="clear" w:color="auto" w:fill="DDDDDE" w:themeFill="text1" w:themeFillTint="33"/>
      </w:tcPr>
    </w:tblStylePr>
    <w:tblStylePr w:type="band1Horz">
      <w:tblPr/>
      <w:tcPr>
        <w:shd w:val="clear" w:color="auto" w:fill="DDDDDE"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C0151"/>
    <w:pPr>
      <w:spacing w:line="240" w:lineRule="auto"/>
    </w:pPr>
    <w:rPr>
      <w:color w:val="2B7F2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AAA35" w:themeColor="accent1"/>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3AAA35" w:themeColor="accent1"/>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AAA35" w:themeColor="accent1"/>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3AAA35" w:themeColor="accent1"/>
        </w:tcBorders>
        <w:shd w:val="clear" w:color="auto" w:fill="A5A5A5" w:themeFill="background1"/>
      </w:tcPr>
    </w:tblStylePr>
    <w:tblStylePr w:type="band1Vert">
      <w:tblPr/>
      <w:tcPr>
        <w:shd w:val="clear" w:color="auto" w:fill="D4F1D3" w:themeFill="accent1" w:themeFillTint="33"/>
      </w:tcPr>
    </w:tblStylePr>
    <w:tblStylePr w:type="band1Horz">
      <w:tblPr/>
      <w:tcPr>
        <w:shd w:val="clear" w:color="auto" w:fill="D4F1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C0151"/>
    <w:pPr>
      <w:spacing w:line="240" w:lineRule="auto"/>
    </w:pPr>
    <w:rPr>
      <w:color w:val="004C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633" w:themeColor="accent2"/>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006633" w:themeColor="accent2"/>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633" w:themeColor="accent2"/>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006633" w:themeColor="accent2"/>
        </w:tcBorders>
        <w:shd w:val="clear" w:color="auto" w:fill="A5A5A5" w:themeFill="background1"/>
      </w:tcPr>
    </w:tblStylePr>
    <w:tblStylePr w:type="band1Vert">
      <w:tblPr/>
      <w:tcPr>
        <w:shd w:val="clear" w:color="auto" w:fill="ADFFD6" w:themeFill="accent2" w:themeFillTint="33"/>
      </w:tcPr>
    </w:tblStylePr>
    <w:tblStylePr w:type="band1Horz">
      <w:tblPr/>
      <w:tcPr>
        <w:shd w:val="clear" w:color="auto" w:fill="ADFF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C0151"/>
    <w:pPr>
      <w:spacing w:line="240" w:lineRule="auto"/>
    </w:pPr>
    <w:rPr>
      <w:color w:val="8C9B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CCF00" w:themeColor="accent3"/>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BCCF00" w:themeColor="accent3"/>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CCF00" w:themeColor="accent3"/>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BCCF00" w:themeColor="accent3"/>
        </w:tcBorders>
        <w:shd w:val="clear" w:color="auto" w:fill="A5A5A5" w:themeFill="background1"/>
      </w:tcPr>
    </w:tblStylePr>
    <w:tblStylePr w:type="band1Vert">
      <w:tblPr/>
      <w:tcPr>
        <w:shd w:val="clear" w:color="auto" w:fill="F9FFC2" w:themeFill="accent3" w:themeFillTint="33"/>
      </w:tcPr>
    </w:tblStylePr>
    <w:tblStylePr w:type="band1Horz">
      <w:tblPr/>
      <w:tcPr>
        <w:shd w:val="clear" w:color="auto" w:fill="F9FFC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C0151"/>
    <w:pPr>
      <w:spacing w:line="240" w:lineRule="auto"/>
    </w:pPr>
    <w:rPr>
      <w:color w:val="BB9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D500" w:themeColor="accent4"/>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FAD500" w:themeColor="accent4"/>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D500" w:themeColor="accent4"/>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FAD500" w:themeColor="accent4"/>
        </w:tcBorders>
        <w:shd w:val="clear" w:color="auto" w:fill="A5A5A5" w:themeFill="background1"/>
      </w:tcPr>
    </w:tblStylePr>
    <w:tblStylePr w:type="band1Vert">
      <w:tblPr/>
      <w:tcPr>
        <w:shd w:val="clear" w:color="auto" w:fill="FFF7CB" w:themeFill="accent4" w:themeFillTint="33"/>
      </w:tcPr>
    </w:tblStylePr>
    <w:tblStylePr w:type="band1Horz">
      <w:tblPr/>
      <w:tcPr>
        <w:shd w:val="clear" w:color="auto" w:fill="FFF7C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C0151"/>
    <w:pPr>
      <w:spacing w:line="240" w:lineRule="auto"/>
    </w:pPr>
    <w:rPr>
      <w:color w:val="B575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9D00" w:themeColor="accent5"/>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F29D00" w:themeColor="accent5"/>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9D00" w:themeColor="accent5"/>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F29D00" w:themeColor="accent5"/>
        </w:tcBorders>
        <w:shd w:val="clear" w:color="auto" w:fill="A5A5A5" w:themeFill="background1"/>
      </w:tcPr>
    </w:tblStylePr>
    <w:tblStylePr w:type="band1Vert">
      <w:tblPr/>
      <w:tcPr>
        <w:shd w:val="clear" w:color="auto" w:fill="FFECC9" w:themeFill="accent5" w:themeFillTint="33"/>
      </w:tcPr>
    </w:tblStylePr>
    <w:tblStylePr w:type="band1Horz">
      <w:tblPr/>
      <w:tcPr>
        <w:shd w:val="clear" w:color="auto" w:fill="FFECC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C0151"/>
    <w:pPr>
      <w:spacing w:line="240" w:lineRule="auto"/>
    </w:pPr>
    <w:rPr>
      <w:color w:val="953B1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5019" w:themeColor="accent6"/>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C85019" w:themeColor="accent6"/>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5019" w:themeColor="accent6"/>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C85019" w:themeColor="accent6"/>
        </w:tcBorders>
        <w:shd w:val="clear" w:color="auto" w:fill="A5A5A5" w:themeFill="background1"/>
      </w:tcPr>
    </w:tblStylePr>
    <w:tblStylePr w:type="band1Vert">
      <w:tblPr/>
      <w:tcPr>
        <w:shd w:val="clear" w:color="auto" w:fill="F8DACC" w:themeFill="accent6" w:themeFillTint="33"/>
      </w:tcPr>
    </w:tblStylePr>
    <w:tblStylePr w:type="band1Horz">
      <w:tblPr/>
      <w:tcPr>
        <w:shd w:val="clear" w:color="auto" w:fill="F8DA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C0151"/>
    <w:pPr>
      <w:spacing w:line="240" w:lineRule="auto"/>
    </w:pPr>
    <w:tblPr>
      <w:tblStyleRowBandSize w:val="1"/>
      <w:tblStyleColBandSize w:val="1"/>
      <w:tblBorders>
        <w:top w:val="single" w:sz="4" w:space="0" w:color="7B7B7B" w:themeColor="background1" w:themeShade="BF"/>
        <w:left w:val="single" w:sz="4" w:space="0" w:color="7B7B7B" w:themeColor="background1" w:themeShade="BF"/>
        <w:bottom w:val="single" w:sz="4" w:space="0" w:color="7B7B7B" w:themeColor="background1" w:themeShade="BF"/>
        <w:right w:val="single" w:sz="4" w:space="0" w:color="7B7B7B" w:themeColor="background1" w:themeShade="BF"/>
        <w:insideH w:val="single" w:sz="4" w:space="0" w:color="7B7B7B" w:themeColor="background1" w:themeShade="BF"/>
        <w:insideV w:val="single" w:sz="4" w:space="0" w:color="7B7B7B" w:themeColor="background1" w:themeShade="BF"/>
      </w:tblBorders>
    </w:tblPr>
    <w:tblStylePr w:type="firstRow">
      <w:rPr>
        <w:b/>
        <w:bCs/>
      </w:rPr>
    </w:tblStylePr>
    <w:tblStylePr w:type="lastRow">
      <w:rPr>
        <w:b/>
        <w:bCs/>
      </w:rPr>
      <w:tblPr/>
      <w:tcPr>
        <w:tcBorders>
          <w:top w:val="double" w:sz="4" w:space="0" w:color="7B7B7B" w:themeColor="background1" w:themeShade="BF"/>
        </w:tcBorders>
      </w:tcPr>
    </w:tblStylePr>
    <w:tblStylePr w:type="firstCol">
      <w:rPr>
        <w:b/>
        <w:bCs/>
      </w:rPr>
    </w:tblStylePr>
    <w:tblStylePr w:type="lastCol">
      <w:rPr>
        <w:b/>
        <w:bCs/>
      </w:rPr>
    </w:tblStylePr>
    <w:tblStylePr w:type="band1Vert">
      <w:tblPr/>
      <w:tcPr>
        <w:shd w:val="clear" w:color="auto" w:fill="9C9C9C" w:themeFill="background1" w:themeFillShade="F2"/>
      </w:tcPr>
    </w:tblStylePr>
    <w:tblStylePr w:type="band1Horz">
      <w:tblPr/>
      <w:tcPr>
        <w:shd w:val="clear" w:color="auto" w:fill="9C9C9C" w:themeFill="background1" w:themeFillShade="F2"/>
      </w:tcPr>
    </w:tblStylePr>
  </w:style>
  <w:style w:type="table" w:styleId="PlainTable2">
    <w:name w:val="Plain Table 2"/>
    <w:basedOn w:val="TableNormal"/>
    <w:uiPriority w:val="42"/>
    <w:rsid w:val="002C0151"/>
    <w:pPr>
      <w:spacing w:line="240" w:lineRule="auto"/>
    </w:pPr>
    <w:tblPr>
      <w:tblStyleRowBandSize w:val="1"/>
      <w:tblStyleColBandSize w:val="1"/>
      <w:tblBorders>
        <w:top w:val="single" w:sz="4" w:space="0" w:color="AAABAD" w:themeColor="text1" w:themeTint="80"/>
        <w:bottom w:val="single" w:sz="4" w:space="0" w:color="AAABAD" w:themeColor="text1" w:themeTint="80"/>
      </w:tblBorders>
    </w:tblPr>
    <w:tblStylePr w:type="firstRow">
      <w:rPr>
        <w:b/>
        <w:bCs/>
      </w:rPr>
      <w:tblPr/>
      <w:tcPr>
        <w:tcBorders>
          <w:bottom w:val="single" w:sz="4" w:space="0" w:color="AAABAD" w:themeColor="text1" w:themeTint="80"/>
        </w:tcBorders>
      </w:tcPr>
    </w:tblStylePr>
    <w:tblStylePr w:type="lastRow">
      <w:rPr>
        <w:b/>
        <w:bCs/>
      </w:rPr>
      <w:tblPr/>
      <w:tcPr>
        <w:tcBorders>
          <w:top w:val="single" w:sz="4" w:space="0" w:color="AAABAD" w:themeColor="text1" w:themeTint="80"/>
        </w:tcBorders>
      </w:tcPr>
    </w:tblStylePr>
    <w:tblStylePr w:type="firstCol">
      <w:rPr>
        <w:b/>
        <w:bCs/>
      </w:rPr>
    </w:tblStylePr>
    <w:tblStylePr w:type="lastCol">
      <w:rPr>
        <w:b/>
        <w:bCs/>
      </w:rPr>
    </w:tblStylePr>
    <w:tblStylePr w:type="band1Vert">
      <w:tblPr/>
      <w:tcPr>
        <w:tcBorders>
          <w:left w:val="single" w:sz="4" w:space="0" w:color="AAABAD" w:themeColor="text1" w:themeTint="80"/>
          <w:right w:val="single" w:sz="4" w:space="0" w:color="AAABAD" w:themeColor="text1" w:themeTint="80"/>
        </w:tcBorders>
      </w:tcPr>
    </w:tblStylePr>
    <w:tblStylePr w:type="band2Vert">
      <w:tblPr/>
      <w:tcPr>
        <w:tcBorders>
          <w:left w:val="single" w:sz="4" w:space="0" w:color="AAABAD" w:themeColor="text1" w:themeTint="80"/>
          <w:right w:val="single" w:sz="4" w:space="0" w:color="AAABAD" w:themeColor="text1" w:themeTint="80"/>
        </w:tcBorders>
      </w:tcPr>
    </w:tblStylePr>
    <w:tblStylePr w:type="band1Horz">
      <w:tblPr/>
      <w:tcPr>
        <w:tcBorders>
          <w:top w:val="single" w:sz="4" w:space="0" w:color="AAABAD" w:themeColor="text1" w:themeTint="80"/>
          <w:bottom w:val="single" w:sz="4" w:space="0" w:color="AAABAD" w:themeColor="text1" w:themeTint="80"/>
        </w:tcBorders>
      </w:tcPr>
    </w:tblStylePr>
  </w:style>
  <w:style w:type="table" w:styleId="PlainTable3">
    <w:name w:val="Plain Table 3"/>
    <w:basedOn w:val="TableNormal"/>
    <w:uiPriority w:val="43"/>
    <w:rsid w:val="002C0151"/>
    <w:pPr>
      <w:spacing w:line="240" w:lineRule="auto"/>
    </w:pPr>
    <w:tblPr>
      <w:tblStyleRowBandSize w:val="1"/>
      <w:tblStyleColBandSize w:val="1"/>
    </w:tblPr>
    <w:tblStylePr w:type="firstRow">
      <w:rPr>
        <w:b/>
        <w:bCs/>
        <w:caps/>
      </w:rPr>
      <w:tblPr/>
      <w:tcPr>
        <w:tcBorders>
          <w:bottom w:val="single" w:sz="4" w:space="0" w:color="AAABA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AABAD" w:themeColor="text1" w:themeTint="80"/>
        </w:tcBorders>
      </w:tcPr>
    </w:tblStylePr>
    <w:tblStylePr w:type="lastCol">
      <w:rPr>
        <w:b/>
        <w:bCs/>
        <w:caps/>
      </w:rPr>
      <w:tblPr/>
      <w:tcPr>
        <w:tcBorders>
          <w:left w:val="nil"/>
        </w:tcBorders>
      </w:tcPr>
    </w:tblStylePr>
    <w:tblStylePr w:type="band1Vert">
      <w:tblPr/>
      <w:tcPr>
        <w:shd w:val="clear" w:color="auto" w:fill="9C9C9C" w:themeFill="background1" w:themeFillShade="F2"/>
      </w:tcPr>
    </w:tblStylePr>
    <w:tblStylePr w:type="band1Horz">
      <w:tblPr/>
      <w:tcPr>
        <w:shd w:val="clear" w:color="auto" w:fill="9C9C9C"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C0151"/>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9C9C9C" w:themeFill="background1" w:themeFillShade="F2"/>
      </w:tcPr>
    </w:tblStylePr>
    <w:tblStylePr w:type="band1Horz">
      <w:tblPr/>
      <w:tcPr>
        <w:shd w:val="clear" w:color="auto" w:fill="9C9C9C" w:themeFill="background1" w:themeFillShade="F2"/>
      </w:tcPr>
    </w:tblStylePr>
  </w:style>
  <w:style w:type="table" w:styleId="PlainTable5">
    <w:name w:val="Plain Table 5"/>
    <w:basedOn w:val="TableNormal"/>
    <w:uiPriority w:val="45"/>
    <w:rsid w:val="002C0151"/>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ABAD" w:themeColor="text1" w:themeTint="80"/>
        </w:tcBorders>
        <w:shd w:val="clear" w:color="auto" w:fill="A5A5A5" w:themeFill="background1"/>
      </w:tcPr>
    </w:tblStylePr>
    <w:tblStylePr w:type="lastRow">
      <w:rPr>
        <w:rFonts w:asciiTheme="majorHAnsi" w:eastAsiaTheme="majorEastAsia" w:hAnsiTheme="majorHAnsi" w:cstheme="majorBidi"/>
        <w:i/>
        <w:iCs/>
        <w:sz w:val="26"/>
      </w:rPr>
      <w:tblPr/>
      <w:tcPr>
        <w:tcBorders>
          <w:top w:val="single" w:sz="4" w:space="0" w:color="AAABAD" w:themeColor="text1" w:themeTint="80"/>
        </w:tcBorders>
        <w:shd w:val="clear" w:color="auto" w:fill="A5A5A5"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ABAD" w:themeColor="text1" w:themeTint="80"/>
        </w:tcBorders>
        <w:shd w:val="clear" w:color="auto" w:fill="A5A5A5" w:themeFill="background1"/>
      </w:tcPr>
    </w:tblStylePr>
    <w:tblStylePr w:type="lastCol">
      <w:rPr>
        <w:rFonts w:asciiTheme="majorHAnsi" w:eastAsiaTheme="majorEastAsia" w:hAnsiTheme="majorHAnsi" w:cstheme="majorBidi"/>
        <w:i/>
        <w:iCs/>
        <w:sz w:val="26"/>
      </w:rPr>
      <w:tblPr/>
      <w:tcPr>
        <w:tcBorders>
          <w:left w:val="single" w:sz="4" w:space="0" w:color="AAABAD" w:themeColor="text1" w:themeTint="80"/>
        </w:tcBorders>
        <w:shd w:val="clear" w:color="auto" w:fill="A5A5A5" w:themeFill="background1"/>
      </w:tcPr>
    </w:tblStylePr>
    <w:tblStylePr w:type="band1Vert">
      <w:tblPr/>
      <w:tcPr>
        <w:shd w:val="clear" w:color="auto" w:fill="9C9C9C" w:themeFill="background1" w:themeFillShade="F2"/>
      </w:tcPr>
    </w:tblStylePr>
    <w:tblStylePr w:type="band1Horz">
      <w:tblPr/>
      <w:tcPr>
        <w:shd w:val="clear" w:color="auto" w:fill="9C9C9C"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2C0151"/>
    <w:pPr>
      <w:spacing w:line="240" w:lineRule="auto"/>
    </w:pPr>
    <w:tblPr>
      <w:tblBorders>
        <w:top w:val="single" w:sz="4" w:space="0" w:color="7B7B7B" w:themeColor="background1" w:themeShade="BF"/>
        <w:left w:val="single" w:sz="4" w:space="0" w:color="7B7B7B" w:themeColor="background1" w:themeShade="BF"/>
        <w:bottom w:val="single" w:sz="4" w:space="0" w:color="7B7B7B" w:themeColor="background1" w:themeShade="BF"/>
        <w:right w:val="single" w:sz="4" w:space="0" w:color="7B7B7B" w:themeColor="background1" w:themeShade="BF"/>
        <w:insideH w:val="single" w:sz="4" w:space="0" w:color="7B7B7B" w:themeColor="background1" w:themeShade="BF"/>
        <w:insideV w:val="single" w:sz="4" w:space="0" w:color="7B7B7B" w:themeColor="background1" w:themeShade="BF"/>
      </w:tblBorders>
    </w:tblPr>
  </w:style>
  <w:style w:type="paragraph" w:customStyle="1" w:styleId="Default">
    <w:name w:val="Default"/>
    <w:rsid w:val="008C1483"/>
    <w:pPr>
      <w:autoSpaceDE w:val="0"/>
      <w:autoSpaceDN w:val="0"/>
      <w:adjustRightInd w:val="0"/>
      <w:spacing w:line="240" w:lineRule="auto"/>
      <w:jc w:val="left"/>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Sciensano">
      <a:dk1>
        <a:srgbClr val="58595B"/>
      </a:dk1>
      <a:lt1>
        <a:srgbClr val="A5A5A5"/>
      </a:lt1>
      <a:dk2>
        <a:srgbClr val="006633"/>
      </a:dk2>
      <a:lt2>
        <a:srgbClr val="3AAA35"/>
      </a:lt2>
      <a:accent1>
        <a:srgbClr val="3AAA35"/>
      </a:accent1>
      <a:accent2>
        <a:srgbClr val="006633"/>
      </a:accent2>
      <a:accent3>
        <a:srgbClr val="BCCF00"/>
      </a:accent3>
      <a:accent4>
        <a:srgbClr val="FAD500"/>
      </a:accent4>
      <a:accent5>
        <a:srgbClr val="F29D00"/>
      </a:accent5>
      <a:accent6>
        <a:srgbClr val="C85019"/>
      </a:accent6>
      <a:hlink>
        <a:srgbClr val="58595B"/>
      </a:hlink>
      <a:folHlink>
        <a:srgbClr val="3AAA35"/>
      </a:folHlink>
    </a:clrScheme>
    <a:fontScheme name="Sciensan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D02A2-EE46-478A-ADEA-0A79536C6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30</Pages>
  <Words>236414</Words>
  <Characters>1347564</Characters>
  <Application>Microsoft Office Word</Application>
  <DocSecurity>0</DocSecurity>
  <Lines>11229</Lines>
  <Paragraphs>3161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SCIENSANO</Company>
  <LinksUpToDate>false</LinksUpToDate>
  <CharactersWithSpaces>1580817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Flora Mbela Lusendi</dc:creator>
  <cp:keywords/>
  <dc:description/>
  <cp:lastModifiedBy>Flora Mbela Lusendi</cp:lastModifiedBy>
  <cp:revision>42</cp:revision>
  <cp:lastPrinted>2023-09-13T10:55:00Z</cp:lastPrinted>
  <dcterms:created xsi:type="dcterms:W3CDTF">2023-06-12T10:15:00Z</dcterms:created>
  <dcterms:modified xsi:type="dcterms:W3CDTF">2024-01-10T17:43:00Z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zotero-version="5.0.80"&gt;&lt;session id="XaW4QYnV"/&gt;&lt;style id="http://www.zotero.org/styles/vancouver" locale="en-US" hasBibliography="1" bibliographyStyleHasBeenSet="1"/&gt;&lt;prefs&gt;&lt;pref name="fieldType" value="Field"/&gt;&lt;pref name="automati</vt:lpwstr>
  </property>
  <property fmtid="{D5CDD505-2E9C-101B-9397-08002B2CF9AE}" pid="3" name="ZOTERO_PREF_2">
    <vt:lpwstr>cJournalAbbreviations" value="true"/&gt;&lt;pref name="dontAskDelayCitationUpdates" value="true"/&gt;&lt;/prefs&gt;&lt;/data&gt;</vt:lpwstr>
  </property>
</Properties>
</file>