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b w:val="0"/>
          <w:i w:val="0"/>
          <w:iCs/>
        </w:rPr>
      </w:pPr>
      <w:r>
        <w:rPr>
          <w:i w:val="0"/>
          <w:iCs/>
        </w:rPr>
        <w:t>Supplementary Material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</w:rPr>
        <w:t xml:space="preserve">Association of anthropometric measures with all-cause and cause-specific mortality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in</w:t>
      </w:r>
      <w:r>
        <w:rPr>
          <w:rFonts w:ascii="Times New Roman" w:hAnsi="Times New Roman" w:cs="Times New Roman"/>
          <w:b/>
          <w:bCs/>
        </w:rPr>
        <w:t xml:space="preserve"> US adults: </w:t>
      </w:r>
      <w:r>
        <w:rPr>
          <w:rFonts w:hint="eastAsia" w:cs="Times New Roman"/>
          <w:b/>
          <w:bCs/>
          <w:lang w:val="en-US" w:eastAsia="zh-CN"/>
        </w:rPr>
        <w:t>revisiting the obesity paradox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Times New Roman" w:hAnsi="Times New Roman" w:eastAsiaTheme="minorHAnsi"/>
          <w:b w:val="0"/>
          <w:bCs/>
          <w:color w:val="auto"/>
          <w:sz w:val="21"/>
          <w:szCs w:val="21"/>
          <w:vertAlign w:val="superscript"/>
          <w:lang w:val="en-US" w:eastAsia="en-US" w:bidi="ar-SA"/>
        </w:rPr>
      </w:pPr>
      <w:r>
        <w:rPr>
          <w:rFonts w:ascii="Times New Roman" w:hAnsi="Times New Roman" w:eastAsiaTheme="minorHAnsi"/>
          <w:b w:val="0"/>
          <w:bCs/>
          <w:color w:val="auto"/>
          <w:sz w:val="21"/>
          <w:szCs w:val="21"/>
          <w:lang w:eastAsia="zh-CN" w:bidi="ar-SA"/>
        </w:rPr>
        <w:t>Shan Li</w:t>
      </w:r>
      <w:r>
        <w:rPr>
          <w:rFonts w:ascii="Times New Roman" w:hAnsi="Times New Roman" w:eastAsiaTheme="minorHAnsi"/>
          <w:b w:val="0"/>
          <w:bCs/>
          <w:color w:val="auto"/>
          <w:sz w:val="21"/>
          <w:szCs w:val="21"/>
          <w:vertAlign w:val="superscript"/>
          <w:lang w:eastAsia="zh-CN" w:bidi="ar-SA"/>
        </w:rPr>
        <w:t>1,2</w:t>
      </w:r>
      <w:r>
        <w:rPr>
          <w:rFonts w:ascii="Times New Roman" w:hAnsi="Times New Roman" w:eastAsiaTheme="minorHAnsi"/>
          <w:b w:val="0"/>
          <w:bCs/>
          <w:color w:val="auto"/>
          <w:sz w:val="21"/>
          <w:szCs w:val="21"/>
          <w:lang w:eastAsia="en-US" w:bidi="ar-SA"/>
        </w:rPr>
        <w:t>,</w:t>
      </w:r>
      <w:r>
        <w:rPr>
          <w:rFonts w:ascii="Times New Roman" w:hAnsi="Times New Roman" w:eastAsiaTheme="minorHAnsi"/>
          <w:b w:val="0"/>
          <w:bCs/>
          <w:color w:val="auto"/>
          <w:sz w:val="21"/>
          <w:szCs w:val="21"/>
          <w:lang w:eastAsia="zh-CN" w:bidi="ar-SA"/>
        </w:rPr>
        <w:t xml:space="preserve"> </w:t>
      </w:r>
      <w:r>
        <w:rPr>
          <w:rFonts w:hint="eastAsia" w:ascii="Times New Roman" w:hAnsi="Times New Roman" w:eastAsiaTheme="minorHAnsi"/>
          <w:b w:val="0"/>
          <w:bCs/>
          <w:color w:val="auto"/>
          <w:sz w:val="21"/>
          <w:szCs w:val="21"/>
          <w:lang w:val="en-US" w:eastAsia="zh-CN" w:bidi="ar-SA"/>
        </w:rPr>
        <w:t>Zhiqing Fu</w:t>
      </w:r>
      <w:r>
        <w:rPr>
          <w:rFonts w:ascii="Times New Roman" w:hAnsi="Times New Roman" w:eastAsiaTheme="minorHAnsi"/>
          <w:b w:val="0"/>
          <w:bCs/>
          <w:color w:val="auto"/>
          <w:sz w:val="21"/>
          <w:szCs w:val="21"/>
          <w:vertAlign w:val="superscript"/>
          <w:lang w:eastAsia="zh-CN" w:bidi="ar-SA"/>
        </w:rPr>
        <w:t>1,2</w:t>
      </w:r>
      <w:r>
        <w:rPr>
          <w:rFonts w:hint="eastAsia" w:ascii="Times New Roman" w:hAnsi="Times New Roman" w:eastAsiaTheme="minorHAnsi"/>
          <w:b w:val="0"/>
          <w:bCs/>
          <w:color w:val="auto"/>
          <w:sz w:val="21"/>
          <w:szCs w:val="21"/>
          <w:lang w:val="en-US" w:eastAsia="zh-CN" w:bidi="ar-SA"/>
        </w:rPr>
        <w:t xml:space="preserve">, </w:t>
      </w:r>
      <w:r>
        <w:rPr>
          <w:rFonts w:ascii="Times New Roman" w:hAnsi="Times New Roman" w:eastAsiaTheme="minorHAnsi"/>
          <w:b w:val="0"/>
          <w:bCs/>
          <w:color w:val="auto"/>
          <w:sz w:val="21"/>
          <w:szCs w:val="21"/>
          <w:lang w:eastAsia="zh-CN" w:bidi="ar-SA"/>
        </w:rPr>
        <w:t>Wei Zhang</w:t>
      </w:r>
      <w:r>
        <w:rPr>
          <w:rFonts w:hint="eastAsia" w:ascii="Times New Roman" w:hAnsi="Times New Roman" w:eastAsiaTheme="minorHAnsi"/>
          <w:b w:val="0"/>
          <w:bCs/>
          <w:color w:val="auto"/>
          <w:sz w:val="21"/>
          <w:szCs w:val="21"/>
          <w:vertAlign w:val="superscript"/>
          <w:lang w:val="en-US" w:eastAsia="zh-CN" w:bidi="ar-SA"/>
        </w:rPr>
        <w:t>2</w:t>
      </w:r>
      <w:r>
        <w:rPr>
          <w:rFonts w:ascii="Times New Roman" w:hAnsi="Times New Roman" w:eastAsiaTheme="minorHAnsi"/>
          <w:b w:val="0"/>
          <w:bCs/>
          <w:color w:val="auto"/>
          <w:sz w:val="21"/>
          <w:szCs w:val="21"/>
          <w:vertAlign w:val="superscript"/>
          <w:lang w:eastAsia="zh-CN" w:bidi="ar-SA"/>
        </w:rPr>
        <w:t>,</w:t>
      </w:r>
      <w:r>
        <w:rPr>
          <w:rFonts w:hint="eastAsia" w:ascii="Times New Roman" w:hAnsi="Times New Roman" w:eastAsiaTheme="minorHAnsi"/>
          <w:b w:val="0"/>
          <w:bCs/>
          <w:color w:val="auto"/>
          <w:sz w:val="21"/>
          <w:szCs w:val="21"/>
          <w:vertAlign w:val="superscript"/>
          <w:lang w:val="en-US" w:eastAsia="zh-CN" w:bidi="ar-SA"/>
        </w:rPr>
        <w:t>3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0"/>
        <w:textAlignment w:val="auto"/>
        <w:rPr>
          <w:rFonts w:ascii="Times New Roman" w:hAnsi="Times New Roman" w:eastAsiaTheme="minorHAnsi"/>
          <w:color w:val="auto"/>
          <w:sz w:val="21"/>
          <w:szCs w:val="21"/>
          <w:lang w:eastAsia="en-US" w:bidi="ar-SA"/>
        </w:rPr>
      </w:pPr>
      <w:r>
        <w:rPr>
          <w:rFonts w:ascii="Times New Roman" w:hAnsi="Times New Roman" w:eastAsia="宋体"/>
          <w:color w:val="auto"/>
          <w:sz w:val="21"/>
          <w:szCs w:val="21"/>
          <w:vertAlign w:val="superscript"/>
          <w:lang w:eastAsia="zh-CN" w:bidi="ar-SA"/>
        </w:rPr>
        <w:t>1</w:t>
      </w:r>
      <w:r>
        <w:rPr>
          <w:rFonts w:ascii="Times New Roman" w:hAnsi="Times New Roman" w:eastAsiaTheme="minorHAnsi"/>
          <w:color w:val="auto"/>
          <w:sz w:val="21"/>
          <w:szCs w:val="21"/>
          <w:lang w:eastAsia="en-US" w:bidi="ar-SA"/>
        </w:rPr>
        <w:t xml:space="preserve">Department of </w:t>
      </w:r>
      <w:r>
        <w:rPr>
          <w:rFonts w:ascii="Times New Roman" w:hAnsi="Times New Roman" w:eastAsiaTheme="minorHAnsi"/>
          <w:color w:val="auto"/>
          <w:sz w:val="21"/>
          <w:szCs w:val="21"/>
          <w:lang w:eastAsia="zh-CN" w:bidi="ar-SA"/>
        </w:rPr>
        <w:t>C</w:t>
      </w:r>
      <w:r>
        <w:rPr>
          <w:rFonts w:ascii="Times New Roman" w:hAnsi="Times New Roman" w:eastAsiaTheme="minorHAnsi"/>
          <w:color w:val="auto"/>
          <w:sz w:val="21"/>
          <w:szCs w:val="21"/>
          <w:lang w:eastAsia="en-US" w:bidi="ar-SA"/>
        </w:rPr>
        <w:t>ardiology, Second Medical Center</w:t>
      </w:r>
      <w:r>
        <w:rPr>
          <w:rFonts w:ascii="Times New Roman" w:hAnsi="Times New Roman" w:eastAsia="宋体"/>
          <w:color w:val="auto"/>
          <w:sz w:val="21"/>
          <w:szCs w:val="21"/>
          <w:lang w:eastAsia="zh-CN" w:bidi="ar-SA"/>
        </w:rPr>
        <w:t xml:space="preserve">, </w:t>
      </w:r>
      <w:r>
        <w:rPr>
          <w:rFonts w:ascii="Times New Roman" w:hAnsi="Times New Roman" w:eastAsiaTheme="minorHAnsi"/>
          <w:color w:val="auto"/>
          <w:sz w:val="21"/>
          <w:szCs w:val="21"/>
          <w:lang w:eastAsia="en-US" w:bidi="ar-SA"/>
        </w:rPr>
        <w:t xml:space="preserve">Chinese </w:t>
      </w:r>
      <w:r>
        <w:rPr>
          <w:rFonts w:hint="eastAsia" w:ascii="Times New Roman" w:hAnsi="Times New Roman" w:eastAsiaTheme="minorHAnsi"/>
          <w:color w:val="auto"/>
          <w:sz w:val="21"/>
          <w:szCs w:val="21"/>
          <w:lang w:eastAsia="en-US" w:bidi="ar-SA"/>
        </w:rPr>
        <w:t>People’s Liberation Army</w:t>
      </w:r>
      <w:r>
        <w:rPr>
          <w:rFonts w:ascii="Times New Roman" w:hAnsi="Times New Roman" w:eastAsiaTheme="minorHAnsi"/>
          <w:color w:val="auto"/>
          <w:sz w:val="21"/>
          <w:szCs w:val="21"/>
          <w:lang w:eastAsia="en-US" w:bidi="ar-SA"/>
        </w:rPr>
        <w:t xml:space="preserve"> General Hospital, Beijing</w:t>
      </w:r>
      <w:r>
        <w:rPr>
          <w:rFonts w:hint="eastAsia" w:ascii="Times New Roman" w:hAnsi="Times New Roman" w:eastAsia="宋体"/>
          <w:color w:val="auto"/>
          <w:sz w:val="21"/>
          <w:szCs w:val="21"/>
          <w:lang w:val="en-US" w:eastAsia="zh-CN" w:bidi="ar-SA"/>
        </w:rPr>
        <w:t xml:space="preserve"> 100853</w:t>
      </w:r>
      <w:r>
        <w:rPr>
          <w:rFonts w:ascii="Times New Roman" w:hAnsi="Times New Roman" w:eastAsiaTheme="minorHAnsi"/>
          <w:color w:val="auto"/>
          <w:sz w:val="21"/>
          <w:szCs w:val="21"/>
          <w:lang w:eastAsia="en-US" w:bidi="ar-SA"/>
        </w:rPr>
        <w:t>, China</w:t>
      </w:r>
      <w:r>
        <w:rPr>
          <w:rFonts w:ascii="Times New Roman" w:hAnsi="Times New Roman" w:eastAsia="宋体"/>
          <w:color w:val="auto"/>
          <w:sz w:val="21"/>
          <w:szCs w:val="21"/>
          <w:lang w:eastAsia="zh-CN" w:bidi="ar-SA"/>
        </w:rPr>
        <w:t>.</w:t>
      </w:r>
      <w:r>
        <w:rPr>
          <w:rFonts w:ascii="Times New Roman" w:hAnsi="Times New Roman" w:eastAsiaTheme="minorHAnsi"/>
          <w:color w:val="auto"/>
          <w:sz w:val="21"/>
          <w:szCs w:val="21"/>
          <w:lang w:eastAsia="en-US" w:bidi="ar-SA"/>
        </w:rPr>
        <w:t xml:space="preserve"> 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0"/>
        <w:textAlignment w:val="auto"/>
        <w:rPr>
          <w:rFonts w:ascii="Times New Roman" w:hAnsi="Times New Roman" w:eastAsiaTheme="minorHAnsi"/>
          <w:color w:val="auto"/>
          <w:sz w:val="21"/>
          <w:szCs w:val="21"/>
          <w:lang w:eastAsia="en-US" w:bidi="ar-SA"/>
        </w:rPr>
      </w:pPr>
      <w:r>
        <w:rPr>
          <w:rFonts w:ascii="Times New Roman" w:hAnsi="Times New Roman" w:eastAsia="宋体"/>
          <w:color w:val="auto"/>
          <w:sz w:val="21"/>
          <w:szCs w:val="21"/>
          <w:vertAlign w:val="superscript"/>
          <w:lang w:eastAsia="zh-CN" w:bidi="ar-SA"/>
        </w:rPr>
        <w:t>2</w:t>
      </w:r>
      <w:r>
        <w:rPr>
          <w:rFonts w:ascii="Times New Roman" w:hAnsi="Times New Roman" w:eastAsiaTheme="minorHAnsi"/>
          <w:color w:val="auto"/>
          <w:sz w:val="21"/>
          <w:szCs w:val="21"/>
          <w:lang w:eastAsia="en-US" w:bidi="ar-SA"/>
        </w:rPr>
        <w:t>National Clinical Research Center for Geriatric</w:t>
      </w:r>
      <w:r>
        <w:rPr>
          <w:rFonts w:ascii="Times New Roman" w:hAnsi="Times New Roman" w:eastAsiaTheme="minorHAnsi"/>
          <w:color w:val="auto"/>
          <w:sz w:val="21"/>
          <w:szCs w:val="21"/>
          <w:lang w:eastAsia="zh-CN" w:bidi="ar-SA"/>
        </w:rPr>
        <w:t xml:space="preserve"> </w:t>
      </w:r>
      <w:r>
        <w:rPr>
          <w:rFonts w:ascii="Times New Roman" w:hAnsi="Times New Roman" w:eastAsiaTheme="minorHAnsi"/>
          <w:color w:val="auto"/>
          <w:sz w:val="21"/>
          <w:szCs w:val="21"/>
          <w:lang w:eastAsia="en-US" w:bidi="ar-SA"/>
        </w:rPr>
        <w:t xml:space="preserve">Diseases, Chinese </w:t>
      </w:r>
      <w:r>
        <w:rPr>
          <w:rFonts w:hint="eastAsia" w:ascii="Times New Roman" w:hAnsi="Times New Roman" w:eastAsiaTheme="minorHAnsi"/>
          <w:color w:val="auto"/>
          <w:sz w:val="21"/>
          <w:szCs w:val="21"/>
          <w:lang w:eastAsia="en-US" w:bidi="ar-SA"/>
        </w:rPr>
        <w:t xml:space="preserve">People’s Liberation Army </w:t>
      </w:r>
      <w:r>
        <w:rPr>
          <w:rFonts w:ascii="Times New Roman" w:hAnsi="Times New Roman" w:eastAsiaTheme="minorHAnsi"/>
          <w:color w:val="auto"/>
          <w:sz w:val="21"/>
          <w:szCs w:val="21"/>
          <w:lang w:eastAsia="en-US" w:bidi="ar-SA"/>
        </w:rPr>
        <w:t>General Hospital, Beijing</w:t>
      </w:r>
      <w:r>
        <w:rPr>
          <w:rFonts w:hint="eastAsia" w:ascii="Times New Roman" w:hAnsi="Times New Roman" w:eastAsia="宋体"/>
          <w:color w:val="auto"/>
          <w:sz w:val="21"/>
          <w:szCs w:val="21"/>
          <w:lang w:val="en-US" w:eastAsia="zh-CN" w:bidi="ar-SA"/>
        </w:rPr>
        <w:t xml:space="preserve"> 100853</w:t>
      </w:r>
      <w:r>
        <w:rPr>
          <w:rFonts w:ascii="Times New Roman" w:hAnsi="Times New Roman" w:eastAsiaTheme="minorHAnsi"/>
          <w:color w:val="auto"/>
          <w:sz w:val="21"/>
          <w:szCs w:val="21"/>
          <w:lang w:eastAsia="en-US" w:bidi="ar-SA"/>
        </w:rPr>
        <w:t>, China</w:t>
      </w:r>
    </w:p>
    <w:p>
      <w:pPr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textAlignment w:val="auto"/>
        <w:rPr>
          <w:rFonts w:cs="Times New Roman"/>
          <w:szCs w:val="24"/>
        </w:rPr>
      </w:pPr>
      <w:r>
        <w:rPr>
          <w:rFonts w:hint="eastAsia" w:ascii="Times New Roman" w:hAnsi="Times New Roman" w:eastAsiaTheme="minorHAnsi"/>
          <w:color w:val="auto"/>
          <w:sz w:val="21"/>
          <w:szCs w:val="21"/>
          <w:vertAlign w:val="superscript"/>
          <w:lang w:eastAsia="zh-CN" w:bidi="ar-SA"/>
        </w:rPr>
        <w:t>3</w:t>
      </w:r>
      <w:r>
        <w:rPr>
          <w:rFonts w:hint="eastAsia" w:ascii="Times New Roman" w:hAnsi="Times New Roman" w:eastAsiaTheme="minorHAnsi"/>
          <w:color w:val="auto"/>
          <w:sz w:val="21"/>
          <w:szCs w:val="21"/>
          <w:lang w:eastAsia="zh-CN" w:bidi="ar-SA"/>
        </w:rPr>
        <w:t xml:space="preserve">Department of Outpatient, The Second Medical Center, Chinese </w:t>
      </w:r>
      <w:r>
        <w:rPr>
          <w:rFonts w:hint="eastAsia" w:ascii="Times New Roman" w:hAnsi="Times New Roman" w:eastAsiaTheme="minorHAnsi"/>
          <w:color w:val="auto"/>
          <w:sz w:val="21"/>
          <w:szCs w:val="21"/>
          <w:lang w:eastAsia="en-US" w:bidi="ar-SA"/>
        </w:rPr>
        <w:t xml:space="preserve">People’s Liberation Army </w:t>
      </w:r>
      <w:r>
        <w:rPr>
          <w:rFonts w:hint="eastAsia" w:ascii="Times New Roman" w:hAnsi="Times New Roman" w:eastAsiaTheme="minorHAnsi"/>
          <w:color w:val="auto"/>
          <w:sz w:val="21"/>
          <w:szCs w:val="21"/>
          <w:lang w:eastAsia="zh-CN" w:bidi="ar-SA"/>
        </w:rPr>
        <w:t>General Hospital, Beijing</w:t>
      </w:r>
      <w:r>
        <w:rPr>
          <w:rFonts w:hint="eastAsia" w:ascii="Times New Roman" w:hAnsi="Times New Roman" w:eastAsiaTheme="minorHAnsi"/>
          <w:color w:val="auto"/>
          <w:sz w:val="21"/>
          <w:szCs w:val="21"/>
          <w:lang w:val="en-US" w:eastAsia="zh-CN" w:bidi="ar-SA"/>
        </w:rPr>
        <w:t xml:space="preserve"> 100853</w:t>
      </w:r>
      <w:r>
        <w:rPr>
          <w:rFonts w:hint="eastAsia" w:ascii="Times New Roman" w:hAnsi="Times New Roman" w:eastAsiaTheme="minorHAnsi"/>
          <w:color w:val="auto"/>
          <w:sz w:val="21"/>
          <w:szCs w:val="21"/>
          <w:lang w:eastAsia="zh-CN" w:bidi="ar-SA"/>
        </w:rPr>
        <w:t>, China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0"/>
        <w:textAlignment w:val="auto"/>
        <w:rPr>
          <w:rFonts w:ascii="Times New Roman" w:hAnsi="Times New Roman" w:eastAsiaTheme="minorHAnsi"/>
          <w:color w:val="auto"/>
          <w:sz w:val="21"/>
          <w:szCs w:val="21"/>
          <w:lang w:eastAsia="en-US" w:bidi="ar-SA"/>
        </w:rPr>
      </w:pPr>
    </w:p>
    <w:p/>
    <w:p/>
    <w:p/>
    <w:p/>
    <w:p/>
    <w:p/>
    <w:p/>
    <w:p/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eastAsia" w:cs="Times New Roman"/>
          <w:b/>
          <w:bCs/>
          <w:sz w:val="21"/>
          <w:szCs w:val="21"/>
          <w:lang w:val="en-US" w:eastAsia="zh-CN"/>
        </w:rPr>
        <w:t>Legends</w:t>
      </w: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Figure S1. Individual inclusion flowchart</w:t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Table S1. Missing data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 xml:space="preserve">Table S2. </w:t>
      </w:r>
      <w:r>
        <w:rPr>
          <w:rFonts w:hint="default" w:ascii="Times New Roman" w:hAnsi="Times New Roman" w:eastAsia="Calibri" w:cs="Times New Roman"/>
          <w:b/>
          <w:bCs/>
          <w:sz w:val="21"/>
          <w:szCs w:val="21"/>
          <w:lang w:val="en-US" w:eastAsia="zh-CN"/>
        </w:rPr>
        <w:t xml:space="preserve">Baseline </w:t>
      </w: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>c</w:t>
      </w:r>
      <w:r>
        <w:rPr>
          <w:rFonts w:hint="default" w:ascii="Times New Roman" w:hAnsi="Times New Roman" w:eastAsia="Calibri" w:cs="Times New Roman"/>
          <w:b/>
          <w:bCs/>
          <w:sz w:val="21"/>
          <w:szCs w:val="21"/>
          <w:lang w:val="en-US" w:eastAsia="zh-CN"/>
        </w:rPr>
        <w:t xml:space="preserve">haracteristics of individuals by </w:t>
      </w:r>
      <w:r>
        <w:rPr>
          <w:rFonts w:hint="eastAsia" w:eastAsia="Calibri" w:cs="Times New Roman"/>
          <w:b/>
          <w:bCs/>
          <w:sz w:val="21"/>
          <w:szCs w:val="21"/>
          <w:lang w:val="en-US" w:eastAsia="zh-CN"/>
        </w:rPr>
        <w:t>BMI</w:t>
      </w: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 xml:space="preserve"> categories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default" w:ascii="Times New Roman" w:hAnsi="Times New Roman" w:eastAsia="Calibri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Figure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Nonlinear a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ssociation between 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 xml:space="preserve">other </w:t>
      </w: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 xml:space="preserve">overall obesity indices </w:t>
      </w:r>
      <w:r>
        <w:rPr>
          <w:rFonts w:hint="default" w:ascii="Times New Roman" w:hAnsi="Times New Roman" w:eastAsia="Calibri" w:cs="Times New Roman"/>
          <w:b/>
          <w:bCs/>
          <w:sz w:val="21"/>
          <w:szCs w:val="21"/>
          <w:lang w:val="en-US" w:eastAsia="zh-CN"/>
        </w:rPr>
        <w:t xml:space="preserve">and </w:t>
      </w: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 xml:space="preserve">mortality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>Table S3. Association between oth</w:t>
      </w: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 xml:space="preserve">er anthropometric indices </w:t>
      </w: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>and mortality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>Figure</w:t>
      </w:r>
      <w:r>
        <w:rPr>
          <w:rFonts w:hint="default" w:ascii="Times New Roman" w:hAnsi="Times New Roman" w:eastAsia="Calibri" w:cs="Times New Roman"/>
          <w:b/>
          <w:bCs/>
          <w:sz w:val="21"/>
          <w:szCs w:val="21"/>
          <w:lang w:val="en-US" w:eastAsia="zh-CN"/>
        </w:rPr>
        <w:t xml:space="preserve"> S</w:t>
      </w: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eastAsia="Calibri" w:cs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>Association of BMI and WHtR with mortality, stratified by age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>Figure</w:t>
      </w:r>
      <w:r>
        <w:rPr>
          <w:rFonts w:hint="default" w:ascii="Times New Roman" w:hAnsi="Times New Roman" w:eastAsia="Calibri" w:cs="Times New Roman"/>
          <w:b/>
          <w:bCs/>
          <w:sz w:val="21"/>
          <w:szCs w:val="21"/>
          <w:lang w:val="en-US" w:eastAsia="zh-CN"/>
        </w:rPr>
        <w:t xml:space="preserve"> S</w:t>
      </w: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eastAsia="Calibri" w:cs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>Association of BMI and WHtR with mortality, stratified by sex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>Figure</w:t>
      </w:r>
      <w:r>
        <w:rPr>
          <w:rFonts w:hint="default" w:ascii="Times New Roman" w:hAnsi="Times New Roman" w:eastAsia="Calibri" w:cs="Times New Roman"/>
          <w:b/>
          <w:bCs/>
          <w:sz w:val="21"/>
          <w:szCs w:val="21"/>
          <w:lang w:val="en-US" w:eastAsia="zh-CN"/>
        </w:rPr>
        <w:t xml:space="preserve"> S</w:t>
      </w: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Calibri" w:cs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>Association of BMI and WHtR with mortality, stratified by ethnicity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>Figure</w:t>
      </w:r>
      <w:r>
        <w:rPr>
          <w:rFonts w:hint="default" w:ascii="Times New Roman" w:hAnsi="Times New Roman" w:eastAsia="Calibri" w:cs="Times New Roman"/>
          <w:b/>
          <w:bCs/>
          <w:sz w:val="21"/>
          <w:szCs w:val="21"/>
          <w:lang w:val="en-US" w:eastAsia="zh-CN"/>
        </w:rPr>
        <w:t xml:space="preserve"> S</w:t>
      </w: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>6</w:t>
      </w:r>
      <w:r>
        <w:rPr>
          <w:rFonts w:hint="default" w:ascii="Times New Roman" w:hAnsi="Times New Roman" w:eastAsia="Calibri" w:cs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 xml:space="preserve">Association of BMI and WHtR with mortality, stratified by presence of diabetes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>Figure</w:t>
      </w:r>
      <w:r>
        <w:rPr>
          <w:rFonts w:hint="default" w:ascii="Times New Roman" w:hAnsi="Times New Roman" w:eastAsia="Calibri" w:cs="Times New Roman"/>
          <w:b/>
          <w:bCs/>
          <w:sz w:val="21"/>
          <w:szCs w:val="21"/>
          <w:lang w:val="en-US" w:eastAsia="zh-CN"/>
        </w:rPr>
        <w:t xml:space="preserve"> S</w:t>
      </w: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>7</w:t>
      </w:r>
      <w:r>
        <w:rPr>
          <w:rFonts w:hint="default" w:ascii="Times New Roman" w:hAnsi="Times New Roman" w:eastAsia="Calibri" w:cs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 xml:space="preserve">Association of BMI and WHtR with mortality, excluding individuals with less than 1 year of follow-up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default" w:ascii="Times New Roman" w:hAnsi="Times New Roman" w:eastAsia="Calibri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default" w:ascii="Times New Roman" w:hAnsi="Times New Roman" w:eastAsia="Calibri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>Figure</w:t>
      </w:r>
      <w:r>
        <w:rPr>
          <w:rFonts w:hint="default" w:ascii="Times New Roman" w:hAnsi="Times New Roman" w:eastAsia="Calibri" w:cs="Times New Roman"/>
          <w:b/>
          <w:bCs/>
          <w:sz w:val="21"/>
          <w:szCs w:val="21"/>
          <w:lang w:val="en-US" w:eastAsia="zh-CN"/>
        </w:rPr>
        <w:t xml:space="preserve"> S</w:t>
      </w: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>8</w:t>
      </w:r>
      <w:r>
        <w:rPr>
          <w:rFonts w:hint="default" w:ascii="Times New Roman" w:hAnsi="Times New Roman" w:eastAsia="Calibri" w:cs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>Association of BMI and WHtR with mortality, complete case analysis</w:t>
      </w:r>
    </w:p>
    <w:p>
      <w:pPr>
        <w:rPr>
          <w:rFonts w:hint="default" w:cs="Times New Roman"/>
          <w:b/>
          <w:bCs/>
          <w:sz w:val="21"/>
          <w:szCs w:val="21"/>
          <w:lang w:val="en-US" w:eastAsia="zh-CN"/>
        </w:rPr>
      </w:pPr>
    </w:p>
    <w:p/>
    <w:p/>
    <w:p/>
    <w:p/>
    <w:p/>
    <w:p/>
    <w:p/>
    <w:p/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Figure S1. Individual inclusion flowchart</w:t>
      </w: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448945</wp:posOffset>
                </wp:positionH>
                <wp:positionV relativeFrom="page">
                  <wp:posOffset>1299210</wp:posOffset>
                </wp:positionV>
                <wp:extent cx="4220210" cy="2819400"/>
                <wp:effectExtent l="6350" t="6350" r="15240" b="19050"/>
                <wp:wrapTight wrapText="bothSides">
                  <wp:wrapPolygon>
                    <wp:start x="98" y="-49"/>
                    <wp:lineTo x="98" y="8027"/>
                    <wp:lineTo x="3543" y="9292"/>
                    <wp:lineTo x="4258" y="9292"/>
                    <wp:lineTo x="4258" y="15519"/>
                    <wp:lineTo x="3998" y="17076"/>
                    <wp:lineTo x="-33" y="17562"/>
                    <wp:lineTo x="-33" y="21551"/>
                    <wp:lineTo x="13228" y="21551"/>
                    <wp:lineTo x="13358" y="17659"/>
                    <wp:lineTo x="12838" y="17562"/>
                    <wp:lineTo x="4843" y="17076"/>
                    <wp:lineTo x="21548" y="16589"/>
                    <wp:lineTo x="21548" y="7151"/>
                    <wp:lineTo x="8808" y="6178"/>
                    <wp:lineTo x="8808" y="-49"/>
                    <wp:lineTo x="98" y="-49"/>
                  </wp:wrapPolygon>
                </wp:wrapTight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0210" cy="2819400"/>
                          <a:chOff x="3519" y="2953"/>
                          <a:chExt cx="6646" cy="4440"/>
                        </a:xfrm>
                      </wpg:grpSpPr>
                      <wps:wsp>
                        <wps:cNvPr id="31" name="文本框 5"/>
                        <wps:cNvSpPr txBox="1"/>
                        <wps:spPr>
                          <a:xfrm>
                            <a:off x="3612" y="2953"/>
                            <a:ext cx="2572" cy="1645"/>
                          </a:xfrm>
                          <a:prstGeom prst="rect">
                            <a:avLst/>
                          </a:prstGeom>
                          <a:ln w="12700" cap="flat" cmpd="sng" algn="ctr">
                            <a:solidFill>
                              <a:schemeClr val="accent1"/>
                            </a:solidFill>
                            <a:prstDash val="solid"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before="0" w:after="0" w:line="192" w:lineRule="auto"/>
                                <w:jc w:val="both"/>
                                <w:textAlignment w:val="auto"/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  <w:t>NHANES   2009-2018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before="0" w:after="0" w:line="192" w:lineRule="auto"/>
                                <w:ind w:firstLine="420" w:firstLineChars="200"/>
                                <w:jc w:val="both"/>
                                <w:textAlignment w:val="auto"/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  <w:t>n=49,693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before="0" w:after="0" w:line="192" w:lineRule="auto"/>
                                <w:ind w:firstLine="1051" w:firstLineChars="500"/>
                                <w:jc w:val="both"/>
                                <w:textAlignment w:val="auto"/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before="0" w:after="0" w:line="192" w:lineRule="auto"/>
                                <w:jc w:val="both"/>
                                <w:textAlignment w:val="auto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>2009-2010     n=10,537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before="0" w:after="0" w:line="192" w:lineRule="auto"/>
                                <w:jc w:val="both"/>
                                <w:textAlignment w:val="auto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>2011-2012     n=9,756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before="0" w:after="0" w:line="192" w:lineRule="auto"/>
                                <w:jc w:val="both"/>
                                <w:textAlignment w:val="auto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>2013-2014     n=10,175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before="0" w:after="0" w:line="192" w:lineRule="auto"/>
                                <w:jc w:val="both"/>
                                <w:textAlignment w:val="auto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>2015-2016     n=9,971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before="0" w:after="120" w:line="192" w:lineRule="auto"/>
                                <w:jc w:val="both"/>
                                <w:textAlignment w:val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>2017-2018     n=9,254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2" name="文本框 7"/>
                        <wps:cNvSpPr txBox="1"/>
                        <wps:spPr>
                          <a:xfrm>
                            <a:off x="6929" y="4465"/>
                            <a:ext cx="3237" cy="1882"/>
                          </a:xfrm>
                          <a:prstGeom prst="rect">
                            <a:avLst/>
                          </a:prstGeom>
                          <a:ln w="12700" cap="flat" cmpd="sng" algn="ctr">
                            <a:solidFill>
                              <a:schemeClr val="accent1"/>
                            </a:solidFill>
                            <a:prstDash val="solid"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before="0" w:after="0" w:line="192" w:lineRule="auto"/>
                                <w:jc w:val="both"/>
                                <w:textAlignment w:val="auto"/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  <w:t xml:space="preserve">21,340 were excluded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before="0" w:after="0" w:line="264" w:lineRule="auto"/>
                                <w:jc w:val="both"/>
                                <w:textAlignment w:val="auto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before="0" w:after="0" w:line="288" w:lineRule="auto"/>
                                <w:jc w:val="both"/>
                                <w:textAlignment w:val="auto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&lt;18years  </w:t>
                              </w:r>
                              <w:r>
                                <w:rPr>
                                  <w:rFonts w:hint="eastAsia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               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>n=19,341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before="0" w:after="0" w:line="288" w:lineRule="auto"/>
                                <w:jc w:val="both"/>
                                <w:textAlignment w:val="auto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Pregnant   </w:t>
                              </w:r>
                              <w:r>
                                <w:rPr>
                                  <w:rFonts w:hint="eastAsia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               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>n=247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before="0" w:after="0" w:line="288" w:lineRule="auto"/>
                                <w:jc w:val="both"/>
                                <w:textAlignment w:val="auto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Without weight or height  </w:t>
                              </w:r>
                              <w:r>
                                <w:rPr>
                                  <w:rFonts w:hint="eastAsia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   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>n=1,596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before="0" w:after="0" w:line="288" w:lineRule="auto"/>
                                <w:jc w:val="both"/>
                                <w:textAlignment w:val="auto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>BMI &lt;10 or &gt;60 kg/m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vertAlign w:val="superscript"/>
                                  <w:lang w:val="en-US" w:eastAsia="zh-CN"/>
                                </w:rPr>
                                <w:t>2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  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n=73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before="0" w:after="0" w:line="288" w:lineRule="auto"/>
                                <w:jc w:val="both"/>
                                <w:textAlignment w:val="auto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Without follow-up data   </w:t>
                              </w:r>
                              <w:r>
                                <w:rPr>
                                  <w:rFonts w:hint="eastAsia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  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>n=83</w:t>
                              </w:r>
                            </w:p>
                            <w:p>
                              <w:pPr>
                                <w:ind w:firstLine="4800" w:firstLineChars="2000"/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  <w:p>
                              <w:pPr>
                                <w:ind w:firstLine="4800" w:firstLineChars="2000"/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文本框 8"/>
                        <wps:cNvSpPr txBox="1"/>
                        <wps:spPr>
                          <a:xfrm>
                            <a:off x="3519" y="6599"/>
                            <a:ext cx="4031" cy="795"/>
                          </a:xfrm>
                          <a:prstGeom prst="rect">
                            <a:avLst/>
                          </a:prstGeom>
                          <a:ln w="12700" cap="flat" cmpd="sng" algn="ctr">
                            <a:solidFill>
                              <a:schemeClr val="accent1"/>
                            </a:solidFill>
                            <a:prstDash val="solid"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before="0" w:after="0" w:line="192" w:lineRule="auto"/>
                                <w:jc w:val="both"/>
                                <w:textAlignment w:val="auto"/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  <w:t>28,353 individuals were included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before="0" w:after="0" w:line="192" w:lineRule="auto"/>
                                <w:jc w:val="both"/>
                                <w:textAlignment w:val="auto"/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before="0" w:after="0" w:line="192" w:lineRule="auto"/>
                                <w:jc w:val="both"/>
                                <w:textAlignment w:val="auto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>(26,998 individuals had waist circumference data)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直接箭头连接符 12"/>
                        <wps:cNvCnPr>
                          <a:stCxn id="5" idx="2"/>
                        </wps:cNvCnPr>
                        <wps:spPr>
                          <a:xfrm>
                            <a:off x="4898" y="4597"/>
                            <a:ext cx="1" cy="2026"/>
                          </a:xfrm>
                          <a:prstGeom prst="straightConnector1">
                            <a:avLst/>
                          </a:prstGeom>
                          <a:ln w="12700" cap="flat" cmpd="sng" algn="ctr">
                            <a:solidFill>
                              <a:schemeClr val="accent1"/>
                            </a:solidFill>
                            <a:prstDash val="solid"/>
                            <a:tailEnd type="arrow" w="med" len="med"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dk1"/>
                          </a:fontRef>
                        </wps:style>
                        <wps:bodyPr anchor="ctr" anchorCtr="0"/>
                      </wps:wsp>
                      <wps:wsp>
                        <wps:cNvPr id="34" name="直接箭头连接符 14"/>
                        <wps:cNvCnPr/>
                        <wps:spPr>
                          <a:xfrm flipV="1">
                            <a:off x="4940" y="5415"/>
                            <a:ext cx="1979" cy="7"/>
                          </a:xfrm>
                          <a:prstGeom prst="straightConnector1">
                            <a:avLst/>
                          </a:prstGeom>
                          <a:ln w="12700" cap="flat" cmpd="sng" algn="ctr">
                            <a:solidFill>
                              <a:schemeClr val="accent1"/>
                            </a:solidFill>
                            <a:prstDash val="solid"/>
                            <a:tailEnd type="arrow" w="med" len="med"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dk1"/>
                          </a:fontRef>
                        </wps:style>
                        <wps:bodyPr anchor="ctr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.35pt;margin-top:102.3pt;height:222pt;width:332.3pt;mso-position-vertical-relative:page;mso-wrap-distance-left:9pt;mso-wrap-distance-right:9pt;z-index:-251657216;mso-width-relative:page;mso-height-relative:page;" coordorigin="3519,2953" coordsize="6646,4440" wrapcoords="98 -49 98 8027 3543 9292 4258 9292 4258 15519 3998 17076 -33 17562 -33 21551 13228 21551 13358 17659 12838 17562 4843 17076 21548 16589 21548 7151 8808 6178 8808 -49 98 -49" o:gfxdata="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">
                <o:lock v:ext="edit" aspectratio="f"/>
                <v:shape id="文本框 5" o:spid="_x0000_s1026" o:spt="202" type="#_x0000_t202" style="position:absolute;left:3612;top:2953;height:1645;width:2572;v-text-anchor:middle;" filled="f" stroked="t" coordsize="21600,21600" o:gfxdata="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1XrwB7gAAADbAAAA&#10;DwAAAAAAAAABACAAAAAiAAAAZHJzL2Rvd25yZXYueG1sUEsBAhQAFAAAAAgAh07iQDMvBZ47AAAA&#10;OQAAABAAAAAAAAAAAQAgAAAABwEAAGRycy9zaGFwZXhtbC54bWxQSwUGAAAAAAYABgBbAQAAsQMA&#10;AAAA&#10;">
                  <v:fill on="f" focussize="0,0"/>
                  <v:stroke weight="1pt" color="#4874CB [3204]" joinstyle="round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before="0" w:after="0" w:line="192" w:lineRule="auto"/>
                          <w:jc w:val="both"/>
                          <w:textAlignment w:val="auto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  <w:t>NHANES   2009-2018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before="0" w:after="0" w:line="192" w:lineRule="auto"/>
                          <w:ind w:firstLine="420" w:firstLineChars="200"/>
                          <w:jc w:val="both"/>
                          <w:textAlignment w:val="auto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  <w:t>n=49,693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before="0" w:after="0" w:line="192" w:lineRule="auto"/>
                          <w:ind w:firstLine="1051" w:firstLineChars="500"/>
                          <w:jc w:val="both"/>
                          <w:textAlignment w:val="auto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before="0" w:after="0" w:line="192" w:lineRule="auto"/>
                          <w:jc w:val="both"/>
                          <w:textAlignment w:val="auto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>2009-2010     n=10,537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before="0" w:after="0" w:line="192" w:lineRule="auto"/>
                          <w:jc w:val="both"/>
                          <w:textAlignment w:val="auto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>2011-2012     n=9,756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before="0" w:after="0" w:line="192" w:lineRule="auto"/>
                          <w:jc w:val="both"/>
                          <w:textAlignment w:val="auto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>2013-2014     n=10,175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before="0" w:after="0" w:line="192" w:lineRule="auto"/>
                          <w:jc w:val="both"/>
                          <w:textAlignment w:val="auto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>2015-2016     n=9,971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before="0" w:after="120" w:line="192" w:lineRule="auto"/>
                          <w:jc w:val="both"/>
                          <w:textAlignment w:val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>2017-2018     n=9,254</w:t>
                        </w:r>
                      </w:p>
                    </w:txbxContent>
                  </v:textbox>
                </v:shape>
                <v:shape id="文本框 7" o:spid="_x0000_s1026" o:spt="202" type="#_x0000_t202" style="position:absolute;left:6929;top:4465;height:1882;width:3237;v-text-anchor:middle;" filled="f" stroked="t" coordsize="21600,21600" o:gfxdata="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PC17C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4874CB [3204]" joinstyle="round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 w:val="0"/>
                          <w:snapToGrid w:val="0"/>
                          <w:spacing w:before="0" w:after="0" w:line="192" w:lineRule="auto"/>
                          <w:jc w:val="both"/>
                          <w:textAlignment w:val="auto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  <w:t xml:space="preserve">21,340 were excluded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before="0" w:after="0" w:line="264" w:lineRule="auto"/>
                          <w:jc w:val="both"/>
                          <w:textAlignment w:val="auto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before="0" w:after="0" w:line="288" w:lineRule="auto"/>
                          <w:jc w:val="both"/>
                          <w:textAlignment w:val="auto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 xml:space="preserve">&lt;18years  </w:t>
                        </w:r>
                        <w:r>
                          <w:rPr>
                            <w:rFonts w:hint="eastAsia" w:cs="Times New Roman"/>
                            <w:sz w:val="18"/>
                            <w:szCs w:val="18"/>
                            <w:lang w:val="en-US" w:eastAsia="zh-CN"/>
                          </w:rPr>
                          <w:t xml:space="preserve">               </w:t>
                        </w: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>n=19,341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before="0" w:after="0" w:line="288" w:lineRule="auto"/>
                          <w:jc w:val="both"/>
                          <w:textAlignment w:val="auto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 xml:space="preserve">Pregnant   </w:t>
                        </w:r>
                        <w:r>
                          <w:rPr>
                            <w:rFonts w:hint="eastAsia" w:cs="Times New Roman"/>
                            <w:sz w:val="18"/>
                            <w:szCs w:val="18"/>
                            <w:lang w:val="en-US" w:eastAsia="zh-CN"/>
                          </w:rPr>
                          <w:t xml:space="preserve">               </w:t>
                        </w: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>n=247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before="0" w:after="0" w:line="288" w:lineRule="auto"/>
                          <w:jc w:val="both"/>
                          <w:textAlignment w:val="auto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 xml:space="preserve">Without weight or height  </w:t>
                        </w:r>
                        <w:r>
                          <w:rPr>
                            <w:rFonts w:hint="eastAsia" w:cs="Times New Roman"/>
                            <w:sz w:val="18"/>
                            <w:szCs w:val="18"/>
                            <w:lang w:val="en-US" w:eastAsia="zh-CN"/>
                          </w:rPr>
                          <w:t xml:space="preserve">   </w:t>
                        </w: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>n=1,596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before="0" w:after="0" w:line="288" w:lineRule="auto"/>
                          <w:jc w:val="both"/>
                          <w:textAlignment w:val="auto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>BMI &lt;10 or &gt;60 kg/m</w:t>
                        </w: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vertAlign w:val="superscript"/>
                            <w:lang w:val="en-US" w:eastAsia="zh-CN"/>
                          </w:rPr>
                          <w:t>2</w:t>
                        </w: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 xml:space="preserve">   </w:t>
                        </w:r>
                        <w:r>
                          <w:rPr>
                            <w:rFonts w:hint="eastAsia" w:cs="Times New Roman"/>
                            <w:sz w:val="18"/>
                            <w:szCs w:val="18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eastAsia" w:cs="Times New Roman"/>
                            <w:sz w:val="18"/>
                            <w:szCs w:val="18"/>
                            <w:lang w:val="en-US" w:eastAsia="zh-CN"/>
                          </w:rPr>
                          <w:t xml:space="preserve">  </w:t>
                        </w: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 xml:space="preserve">n=73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before="0" w:after="0" w:line="288" w:lineRule="auto"/>
                          <w:jc w:val="both"/>
                          <w:textAlignment w:val="auto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 xml:space="preserve">Without follow-up data   </w:t>
                        </w:r>
                        <w:r>
                          <w:rPr>
                            <w:rFonts w:hint="eastAsia" w:cs="Times New Roman"/>
                            <w:sz w:val="18"/>
                            <w:szCs w:val="18"/>
                            <w:lang w:val="en-US" w:eastAsia="zh-CN"/>
                          </w:rPr>
                          <w:t xml:space="preserve">  </w:t>
                        </w: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eastAsia" w:cs="Times New Roman"/>
                            <w:sz w:val="18"/>
                            <w:szCs w:val="18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>n=83</w:t>
                        </w:r>
                      </w:p>
                      <w:p>
                        <w:pPr>
                          <w:ind w:firstLine="4800" w:firstLineChars="2000"/>
                          <w:rPr>
                            <w:rFonts w:hint="eastAsia"/>
                            <w:lang w:val="en-US" w:eastAsia="zh-CN"/>
                          </w:rPr>
                        </w:pPr>
                      </w:p>
                      <w:p>
                        <w:pPr>
                          <w:ind w:firstLine="4800" w:firstLineChars="2000"/>
                          <w:rPr>
                            <w:rFonts w:hint="eastAsia"/>
                            <w:lang w:val="en-US" w:eastAsia="zh-CN"/>
                          </w:rPr>
                        </w:pPr>
                      </w:p>
                      <w:p/>
                    </w:txbxContent>
                  </v:textbox>
                </v:shape>
                <v:shape id="文本框 8" o:spid="_x0000_s1026" o:spt="202" type="#_x0000_t202" style="position:absolute;left:3519;top:6599;height:795;width:4031;v-text-anchor:middle;" filled="f" stroked="t" coordsize="21600,21600" o:gfxdata="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WobnC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4874CB [3204]" joinstyle="round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 w:val="0"/>
                          <w:snapToGrid w:val="0"/>
                          <w:spacing w:before="0" w:after="0" w:line="192" w:lineRule="auto"/>
                          <w:jc w:val="both"/>
                          <w:textAlignment w:val="auto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  <w:t>28,353 individuals were included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 w:val="0"/>
                          <w:snapToGrid w:val="0"/>
                          <w:spacing w:before="0" w:after="0" w:line="192" w:lineRule="auto"/>
                          <w:jc w:val="both"/>
                          <w:textAlignment w:val="auto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before="0" w:after="0" w:line="192" w:lineRule="auto"/>
                          <w:jc w:val="both"/>
                          <w:textAlignment w:val="auto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>(26,998 individuals had waist circumference data)</w:t>
                        </w:r>
                      </w:p>
                    </w:txbxContent>
                  </v:textbox>
                </v:shape>
                <v:shape id="直接箭头连接符 12" o:spid="_x0000_s1026" o:spt="32" type="#_x0000_t32" style="position:absolute;left:4898;top:4597;height:2026;width:1;" filled="f" stroked="t" coordsize="21600,21600" o:gfxdata="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HsaDb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4874CB [3204]" joinstyle="round" endarrow="open"/>
                  <v:imagedata o:title=""/>
                  <o:lock v:ext="edit" aspectratio="f"/>
                </v:shape>
                <v:shape id="直接箭头连接符 14" o:spid="_x0000_s1026" o:spt="32" type="#_x0000_t32" style="position:absolute;left:4940;top:5415;flip:y;height:7;width:1979;" filled="f" stroked="t" coordsize="21600,21600" o:gfxdata="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ZmUE6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4874CB [3204]" joinstyle="round" endarrow="open"/>
                  <v:imagedata o:title=""/>
                  <o:lock v:ext="edit" aspectratio="f"/>
                </v:shape>
                <w10:wrap type="tight"/>
              </v:group>
            </w:pict>
          </mc:Fallback>
        </mc:AlternateContent>
      </w: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Table S1. Missing data</w:t>
      </w:r>
    </w:p>
    <w:tbl>
      <w:tblPr>
        <w:tblStyle w:val="4"/>
        <w:tblpPr w:leftFromText="180" w:rightFromText="180" w:vertAnchor="text" w:horzAnchor="page" w:tblpX="1892" w:tblpY="66"/>
        <w:tblOverlap w:val="never"/>
        <w:tblW w:w="8278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4"/>
        <w:gridCol w:w="2131"/>
        <w:gridCol w:w="210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Missing data (Unweighted)</w:t>
            </w:r>
          </w:p>
        </w:tc>
        <w:tc>
          <w:tcPr>
            <w:tcW w:w="213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BMI analysis</w:t>
            </w:r>
          </w:p>
        </w:tc>
        <w:tc>
          <w:tcPr>
            <w:tcW w:w="210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vertAlign w:val="baseline"/>
                <w:lang w:val="en-US" w:eastAsia="zh-CN"/>
              </w:rPr>
              <w:t>WHtR analysis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Waist circumference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1350 (4.8%)</w:t>
            </w:r>
          </w:p>
        </w:tc>
        <w:tc>
          <w:tcPr>
            <w:tcW w:w="21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40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Heart rate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1026 (3.6%)</w:t>
            </w:r>
          </w:p>
        </w:tc>
        <w:tc>
          <w:tcPr>
            <w:tcW w:w="21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729 (2.7%)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40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ystolic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 blood pressure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1170 (4.1%)</w:t>
            </w:r>
          </w:p>
        </w:tc>
        <w:tc>
          <w:tcPr>
            <w:tcW w:w="21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855 (3.2%)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40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Laboratory measurement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21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40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ind w:firstLine="180" w:firstLineChars="100"/>
              <w:jc w:val="left"/>
              <w:textAlignment w:val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White blood cell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1341 (4.7%)</w:t>
            </w:r>
          </w:p>
        </w:tc>
        <w:tc>
          <w:tcPr>
            <w:tcW w:w="21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1061 (3.9%)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40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ind w:firstLine="180" w:firstLineChars="100"/>
              <w:jc w:val="left"/>
              <w:textAlignment w:val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Hemoglobin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1330 (4.7%)</w:t>
            </w:r>
          </w:p>
        </w:tc>
        <w:tc>
          <w:tcPr>
            <w:tcW w:w="21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1050 (3.9%)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40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ind w:firstLine="180" w:firstLineChars="100"/>
              <w:jc w:val="left"/>
              <w:textAlignment w:val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Albumin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1763 (6.2%)</w:t>
            </w:r>
          </w:p>
        </w:tc>
        <w:tc>
          <w:tcPr>
            <w:tcW w:w="21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1446 (5.4%)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40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ind w:firstLine="180" w:firstLineChars="100"/>
              <w:jc w:val="left"/>
              <w:textAlignment w:val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Creatinine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1782 (6.3%)</w:t>
            </w:r>
          </w:p>
        </w:tc>
        <w:tc>
          <w:tcPr>
            <w:tcW w:w="21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1460 (5.4%)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40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ind w:firstLine="180" w:firstLineChars="100"/>
              <w:jc w:val="left"/>
              <w:textAlignment w:val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Urea nitrogen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1768 (6.2%)</w:t>
            </w:r>
          </w:p>
        </w:tc>
        <w:tc>
          <w:tcPr>
            <w:tcW w:w="21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1449 (5.4%)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40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ind w:firstLine="180" w:firstLineChars="100"/>
              <w:jc w:val="left"/>
              <w:textAlignment w:val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Glycohemoglobin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1339 (4.7%)</w:t>
            </w:r>
          </w:p>
        </w:tc>
        <w:tc>
          <w:tcPr>
            <w:tcW w:w="21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1055 (3.9%)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40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ind w:firstLine="180" w:firstLineChars="100"/>
              <w:jc w:val="left"/>
              <w:textAlignment w:val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otal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instrText xml:space="preserve"> HYPERLINK "https://wwwn.cdc.gov/Nchs/Nhanes/2017-2018/BIOPRO_J.htm" \l "LBXSCH" </w:instrTex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cholesterol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fldChar w:fldCharType="end"/>
            </w:r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1693 (6.0%)</w:t>
            </w:r>
          </w:p>
        </w:tc>
        <w:tc>
          <w:tcPr>
            <w:tcW w:w="21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1379 (5.1%)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04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ind w:firstLine="180" w:firstLineChars="100"/>
              <w:jc w:val="left"/>
              <w:textAlignment w:val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H</w:t>
            </w:r>
            <w:bookmarkStart w:id="0" w:name="OLE_LINK1"/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igh-density lipoprotein cholesterol</w:t>
            </w:r>
            <w:bookmarkEnd w:id="0"/>
          </w:p>
        </w:tc>
        <w:tc>
          <w:tcPr>
            <w:tcW w:w="21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1701 (6.0%)</w:t>
            </w:r>
          </w:p>
        </w:tc>
        <w:tc>
          <w:tcPr>
            <w:tcW w:w="210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160" w:lineRule="atLeast"/>
              <w:jc w:val="left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1385 (5.1%)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20" w:line="240" w:lineRule="atLeast"/>
        <w:textAlignment w:val="auto"/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default" w:ascii="Times New Roman" w:hAnsi="Times New Roman" w:eastAsia="Calibri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 xml:space="preserve">Table S2. </w:t>
      </w:r>
      <w:r>
        <w:rPr>
          <w:rFonts w:hint="default" w:ascii="Times New Roman" w:hAnsi="Times New Roman" w:eastAsia="Calibri" w:cs="Times New Roman"/>
          <w:b/>
          <w:bCs/>
          <w:sz w:val="21"/>
          <w:szCs w:val="21"/>
          <w:lang w:val="en-US" w:eastAsia="zh-CN"/>
        </w:rPr>
        <w:t xml:space="preserve">Baseline </w:t>
      </w: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>c</w:t>
      </w:r>
      <w:r>
        <w:rPr>
          <w:rFonts w:hint="default" w:ascii="Times New Roman" w:hAnsi="Times New Roman" w:eastAsia="Calibri" w:cs="Times New Roman"/>
          <w:b/>
          <w:bCs/>
          <w:sz w:val="21"/>
          <w:szCs w:val="21"/>
          <w:lang w:val="en-US" w:eastAsia="zh-CN"/>
        </w:rPr>
        <w:t xml:space="preserve">haracteristics of individuals by </w:t>
      </w:r>
      <w:r>
        <w:rPr>
          <w:rFonts w:hint="eastAsia" w:eastAsia="Calibri" w:cs="Times New Roman"/>
          <w:b/>
          <w:bCs/>
          <w:sz w:val="21"/>
          <w:szCs w:val="21"/>
          <w:lang w:val="en-US" w:eastAsia="zh-CN"/>
        </w:rPr>
        <w:t>BMI</w:t>
      </w: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 xml:space="preserve"> categories</w:t>
      </w:r>
    </w:p>
    <w:tbl>
      <w:tblPr>
        <w:tblStyle w:val="4"/>
        <w:tblpPr w:leftFromText="180" w:rightFromText="180" w:vertAnchor="text" w:horzAnchor="page" w:tblpX="1644" w:tblpY="66"/>
        <w:tblOverlap w:val="never"/>
        <w:tblW w:w="9177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3"/>
        <w:gridCol w:w="1184"/>
        <w:gridCol w:w="1184"/>
        <w:gridCol w:w="1184"/>
        <w:gridCol w:w="1184"/>
        <w:gridCol w:w="1187"/>
        <w:gridCol w:w="93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jc w:val="left"/>
              <w:textAlignment w:val="auto"/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15"/>
                <w:szCs w:val="15"/>
                <w:vertAlign w:val="baseline"/>
                <w:lang w:val="en-US" w:eastAsia="zh-CN"/>
              </w:rPr>
              <w:t>Characteristic</w:t>
            </w:r>
            <w:r>
              <w:rPr>
                <w:rFonts w:hint="eastAsia" w:ascii="Times New Roman" w:hAnsi="Times New Roman" w:eastAsia="Calibri" w:cs="Times New Roman"/>
                <w:b/>
                <w:bCs/>
                <w:color w:val="000000"/>
                <w:sz w:val="15"/>
                <w:szCs w:val="15"/>
                <w:vertAlign w:val="baseline"/>
                <w:lang w:val="en-US" w:eastAsia="zh-CN"/>
              </w:rPr>
              <w:t>s</w:t>
            </w:r>
          </w:p>
        </w:tc>
        <w:tc>
          <w:tcPr>
            <w:tcW w:w="6854" w:type="dxa"/>
            <w:gridSpan w:val="6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15"/>
                <w:szCs w:val="15"/>
                <w:vertAlign w:val="baseline"/>
                <w:lang w:val="en-US" w:eastAsia="zh-CN"/>
              </w:rPr>
              <w:t>Body mass index, kg/m</w:t>
            </w: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15"/>
                <w:szCs w:val="15"/>
                <w:vertAlign w:val="superscript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15"/>
                <w:szCs w:val="15"/>
                <w:vertAlign w:val="baseline"/>
                <w:lang w:val="en-US" w:eastAsia="zh-CN"/>
              </w:rPr>
              <w:t>&lt; 18.5</w:t>
            </w:r>
          </w:p>
        </w:tc>
        <w:tc>
          <w:tcPr>
            <w:tcW w:w="11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15"/>
                <w:szCs w:val="15"/>
                <w:vertAlign w:val="baseline"/>
                <w:lang w:val="en-US" w:eastAsia="zh-CN"/>
              </w:rPr>
              <w:t>18.5- 24.9</w:t>
            </w:r>
          </w:p>
        </w:tc>
        <w:tc>
          <w:tcPr>
            <w:tcW w:w="11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15"/>
                <w:szCs w:val="15"/>
                <w:vertAlign w:val="baseline"/>
                <w:lang w:val="en-US" w:eastAsia="zh-CN"/>
              </w:rPr>
              <w:t>25.0- 29.9</w:t>
            </w:r>
          </w:p>
        </w:tc>
        <w:tc>
          <w:tcPr>
            <w:tcW w:w="11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15"/>
                <w:szCs w:val="15"/>
                <w:vertAlign w:val="baseline"/>
                <w:lang w:val="en-US" w:eastAsia="zh-CN"/>
              </w:rPr>
              <w:t>30.0- 34.9</w:t>
            </w:r>
          </w:p>
        </w:tc>
        <w:tc>
          <w:tcPr>
            <w:tcW w:w="118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15"/>
                <w:szCs w:val="15"/>
                <w:vertAlign w:val="baseline"/>
                <w:lang w:val="en-US" w:eastAsia="zh-CN"/>
              </w:rPr>
              <w:t>≥ 35.0</w:t>
            </w:r>
          </w:p>
        </w:tc>
        <w:tc>
          <w:tcPr>
            <w:tcW w:w="931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15"/>
                <w:szCs w:val="15"/>
                <w:vertAlign w:val="baseline"/>
                <w:lang w:val="en-US" w:eastAsia="zh-CN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op w:val="single" w:color="auto" w:sz="4" w:space="0"/>
              <w:bottom w:val="single" w:color="auto" w:sz="4" w:space="0"/>
            </w:tcBorders>
            <w:shd w:val="clear" w:color="auto" w:fill="DBE3F4" w:themeFill="accent1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15"/>
                <w:szCs w:val="15"/>
                <w:vertAlign w:val="baseline"/>
                <w:lang w:val="en-US" w:eastAsia="zh-CN"/>
              </w:rPr>
              <w:t>Unweighted</w:t>
            </w:r>
          </w:p>
        </w:tc>
        <w:tc>
          <w:tcPr>
            <w:tcW w:w="1184" w:type="dxa"/>
            <w:tcBorders>
              <w:top w:val="single" w:color="auto" w:sz="4" w:space="0"/>
              <w:bottom w:val="single" w:color="auto" w:sz="4" w:space="0"/>
            </w:tcBorders>
            <w:shd w:val="clear" w:color="auto" w:fill="DBE3F4" w:themeFill="accent1" w:themeFillTint="3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op w:val="single" w:color="auto" w:sz="4" w:space="0"/>
              <w:bottom w:val="single" w:color="auto" w:sz="4" w:space="0"/>
            </w:tcBorders>
            <w:shd w:val="clear" w:color="auto" w:fill="DBE3F4" w:themeFill="accent1" w:themeFillTint="3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op w:val="single" w:color="auto" w:sz="4" w:space="0"/>
              <w:bottom w:val="single" w:color="auto" w:sz="4" w:space="0"/>
            </w:tcBorders>
            <w:shd w:val="clear" w:color="auto" w:fill="DBE3F4" w:themeFill="accent1" w:themeFillTint="3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op w:val="single" w:color="auto" w:sz="4" w:space="0"/>
              <w:bottom w:val="single" w:color="auto" w:sz="4" w:space="0"/>
            </w:tcBorders>
            <w:shd w:val="clear" w:color="auto" w:fill="DBE3F4" w:themeFill="accent1" w:themeFillTint="3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tcBorders>
              <w:top w:val="single" w:color="auto" w:sz="4" w:space="0"/>
              <w:bottom w:val="single" w:color="auto" w:sz="4" w:space="0"/>
            </w:tcBorders>
            <w:shd w:val="clear" w:color="auto" w:fill="DBE3F4" w:themeFill="accent1" w:themeFillTint="3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tcBorders>
              <w:top w:val="single" w:color="auto" w:sz="4" w:space="0"/>
              <w:bottom w:val="single" w:color="auto" w:sz="4" w:space="0"/>
            </w:tcBorders>
            <w:shd w:val="clear" w:color="auto" w:fill="DBE3F4" w:themeFill="accent1" w:themeFillTint="3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N (%)</w:t>
            </w:r>
          </w:p>
        </w:tc>
        <w:tc>
          <w:tcPr>
            <w:tcW w:w="1184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528 (1.9)</w:t>
            </w:r>
          </w:p>
        </w:tc>
        <w:tc>
          <w:tcPr>
            <w:tcW w:w="1184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8006 (28.2)</w:t>
            </w:r>
          </w:p>
        </w:tc>
        <w:tc>
          <w:tcPr>
            <w:tcW w:w="1184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9104 (32.1)</w:t>
            </w:r>
          </w:p>
        </w:tc>
        <w:tc>
          <w:tcPr>
            <w:tcW w:w="1184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5905 (20.8)</w:t>
            </w:r>
          </w:p>
        </w:tc>
        <w:tc>
          <w:tcPr>
            <w:tcW w:w="1187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4810 (17.0)</w:t>
            </w:r>
          </w:p>
        </w:tc>
        <w:tc>
          <w:tcPr>
            <w:tcW w:w="931" w:type="dxa"/>
            <w:tcBorders>
              <w:top w:val="single" w:color="auto" w:sz="4" w:space="0"/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All-cause mortality, n (%)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62 (11.7)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590 (7.4)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668 (7.3)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438 (7.4)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333 (6.9)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Cardiovascular mortality, n (%)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10 (1.9)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153 (1.9)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201 (2.2)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141 (2.4)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101 (2.1)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0.389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Cancer mortality, n (%)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16 (3.0)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134 (1.7)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173 (1.9)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122 (2.1)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74 (1.5)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0.046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bottom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Other mortality, n (%)</w:t>
            </w:r>
          </w:p>
        </w:tc>
        <w:tc>
          <w:tcPr>
            <w:tcW w:w="1184" w:type="dxa"/>
            <w:tcBorders>
              <w:bottom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36 (6.8)</w:t>
            </w:r>
          </w:p>
        </w:tc>
        <w:tc>
          <w:tcPr>
            <w:tcW w:w="1184" w:type="dxa"/>
            <w:tcBorders>
              <w:bottom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303 (3.8)</w:t>
            </w:r>
          </w:p>
        </w:tc>
        <w:tc>
          <w:tcPr>
            <w:tcW w:w="1184" w:type="dxa"/>
            <w:tcBorders>
              <w:bottom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294 (3.2)</w:t>
            </w:r>
          </w:p>
        </w:tc>
        <w:tc>
          <w:tcPr>
            <w:tcW w:w="1184" w:type="dxa"/>
            <w:tcBorders>
              <w:bottom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175 (3.0)</w:t>
            </w:r>
          </w:p>
        </w:tc>
        <w:tc>
          <w:tcPr>
            <w:tcW w:w="1187" w:type="dxa"/>
            <w:tcBorders>
              <w:bottom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158 (3.3)</w:t>
            </w:r>
          </w:p>
        </w:tc>
        <w:tc>
          <w:tcPr>
            <w:tcW w:w="931" w:type="dxa"/>
            <w:tcBorders>
              <w:bottom w:val="single" w:color="auto" w:sz="4" w:space="0"/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op w:val="single" w:color="auto" w:sz="4" w:space="0"/>
              <w:bottom w:val="single" w:color="auto" w:sz="4" w:space="0"/>
            </w:tcBorders>
            <w:shd w:val="clear" w:color="auto" w:fill="DBE3F4" w:themeFill="accent1" w:themeFillTint="3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/>
                <w:bCs/>
                <w:color w:val="000000"/>
                <w:sz w:val="15"/>
                <w:szCs w:val="15"/>
                <w:vertAlign w:val="baseline"/>
                <w:lang w:val="en-US" w:eastAsia="zh-CN"/>
              </w:rPr>
              <w:t>Weighted</w:t>
            </w:r>
          </w:p>
        </w:tc>
        <w:tc>
          <w:tcPr>
            <w:tcW w:w="1184" w:type="dxa"/>
            <w:tcBorders>
              <w:top w:val="single" w:color="auto" w:sz="4" w:space="0"/>
              <w:bottom w:val="single" w:color="auto" w:sz="4" w:space="0"/>
            </w:tcBorders>
            <w:shd w:val="clear" w:color="auto" w:fill="DBE3F4" w:themeFill="accent1" w:themeFillTint="3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op w:val="single" w:color="auto" w:sz="4" w:space="0"/>
              <w:bottom w:val="single" w:color="auto" w:sz="4" w:space="0"/>
            </w:tcBorders>
            <w:shd w:val="clear" w:color="auto" w:fill="DBE3F4" w:themeFill="accent1" w:themeFillTint="3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op w:val="single" w:color="auto" w:sz="4" w:space="0"/>
              <w:bottom w:val="single" w:color="auto" w:sz="4" w:space="0"/>
            </w:tcBorders>
            <w:shd w:val="clear" w:color="auto" w:fill="DBE3F4" w:themeFill="accent1" w:themeFillTint="3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op w:val="single" w:color="auto" w:sz="4" w:space="0"/>
              <w:bottom w:val="single" w:color="auto" w:sz="4" w:space="0"/>
            </w:tcBorders>
            <w:shd w:val="clear" w:color="auto" w:fill="DBE3F4" w:themeFill="accent1" w:themeFillTint="3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tcBorders>
              <w:top w:val="single" w:color="auto" w:sz="4" w:space="0"/>
              <w:bottom w:val="single" w:color="auto" w:sz="4" w:space="0"/>
            </w:tcBorders>
            <w:shd w:val="clear" w:color="auto" w:fill="DBE3F4" w:themeFill="accent1" w:themeFillTint="3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tcBorders>
              <w:top w:val="single" w:color="auto" w:sz="4" w:space="0"/>
              <w:bottom w:val="single" w:color="auto" w:sz="4" w:space="0"/>
            </w:tcBorders>
            <w:shd w:val="clear" w:color="auto" w:fill="DBE3F4" w:themeFill="accent1" w:themeFillTint="3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Age, years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39.1 ± 19.3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43.4 ± 18.5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48.6 ± 17.3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49.0 ± 16.6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47.1 ± 16.1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Male, %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35.0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43.9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55.6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53.0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40.0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Ethnicity, %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Non-Hispanic White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64.7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66.6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65.5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64.3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62.5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Non-Hispanic Black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12.1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9.4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9.7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12.2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16.7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Hispanic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8.4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11.1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16.6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17.5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15.9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Other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14.8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12.9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8.2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6.0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4.8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Education level</w:t>
            </w:r>
            <w:r>
              <w:rPr>
                <w:rFonts w:hint="eastAsia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, %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Under high school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17.8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14.8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16.6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16.4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15.3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High school graduate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25.6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21.0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22.4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24.4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26.4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Above high school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56.7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64.3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61.0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59.2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58.3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Marital status</w:t>
            </w:r>
            <w:r>
              <w:rPr>
                <w:rFonts w:hint="eastAsia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, %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Married/cohabiting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42.6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55.3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65.5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62.8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59.7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Separated/divorced/widowed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16.4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15.5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17.8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20.2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20.0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Never married</w:t>
            </w:r>
            <w:r>
              <w:rPr>
                <w:rFonts w:hint="eastAsia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/other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41.0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29.2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16.7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17.0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20.2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Poverty income ratio (PIR)*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jc w:val="both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188</w:t>
            </w:r>
            <w:r>
              <w:rPr>
                <w:rFonts w:hint="eastAsia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(101, 372)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jc w:val="both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306</w:t>
            </w:r>
            <w:r>
              <w:rPr>
                <w:rFonts w:hint="eastAsia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(145, 500)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jc w:val="both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314</w:t>
            </w:r>
            <w:r>
              <w:rPr>
                <w:rFonts w:hint="eastAsia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(152, 500)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jc w:val="both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297</w:t>
            </w:r>
            <w:r>
              <w:rPr>
                <w:rFonts w:hint="eastAsia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(148, 500)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jc w:val="both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247</w:t>
            </w:r>
            <w:r>
              <w:rPr>
                <w:rFonts w:hint="eastAsia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(126, 446)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Smoking status</w:t>
            </w:r>
            <w:r>
              <w:rPr>
                <w:rFonts w:hint="eastAsia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, %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Never smoker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56.4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60.0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56.7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55.7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56.9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 xml:space="preserve">Former smoker 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12.7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18.4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25.5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26.5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26.8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 xml:space="preserve">Current smoker 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31.0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21.6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17.7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17.8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16.3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Alcohol consumption**</w:t>
            </w:r>
            <w:r>
              <w:rPr>
                <w:rFonts w:hint="eastAsia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, %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Never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39.4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30.6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31.7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32.7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34.1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Less than once a week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33.6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34.9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34.6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38.9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47.3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More than once a week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27.0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34.5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33.6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28.4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18.6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Waist circumference, cm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70.7 ± 4.7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82.9 ± 7.2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96.5 ± 7.2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107.7 ± 7.7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123.8 ± 12.2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Heart rate, bpm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74.0 ± 13.5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71.5 ± 11.6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71.2 ± 11.4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72.7 ± 11.2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75.7 ± 12.4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Systolic blood pressure, mmHg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115.7 ± 20.9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118.8 ± 18.0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122.8 ± 17.3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124.5 ± 16.6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127.0 ± 17.1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Medical conditions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ASCVD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, %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6.6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5.6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7.3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9.8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9.3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Diabetes mellitus, %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2.2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3.8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8.1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13.3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19.5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COPD, %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8.7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3.8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4.0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4.4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6.6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Cancer, %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8.5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9.5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10.8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10.3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10.7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0.0357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Laboratory measurement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White blood cell, ×10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superscript"/>
                <w:lang w:val="en-US" w:eastAsia="zh-CN"/>
              </w:rPr>
              <w:t>9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/L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7.0 ± 2.1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6.8 ± 2.0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7.1 ± 2.0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7.4 ± 2.1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8.1 ± 2.3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 xml:space="preserve">Hemoglobin, g/dL 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14.0 ± 1.4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14.0 ± 1.4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14.3 ± 1.4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14.3 ± 1.5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14.0 ± 1.5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Albumin, g/L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44.0 ± 3.9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43.6 ± 3.3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43.1 ± 3.2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42.3 ± 3.2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40.8 ± 3.3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Creatinine, umol/L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71.5 ± 34.9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75.9 ± 27.4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79.5 ± 24.0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79.6 ± 26.0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76.7 ± 29.0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Urea nitrogen, mmol/L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4.3 ± 2.0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4.8 ± 1.8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5.1 ± 1.9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5.1 ± 2.0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4.9 ± 2.1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Glycohemoglobin, %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5.3 ± 0.5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5.4 ± 0.7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5.6 ± 0.8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5.8 ± 1.0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6.0 ± 1.2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 xml:space="preserve">Total 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instrText xml:space="preserve"> HYPERLINK "https://wwwn.cdc.gov/Nchs/Nhanes/2017-2018/BIOPRO_J.htm" \l "LBXSCH" </w:instrTex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cholesterol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fldChar w:fldCharType="end"/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, m</w:t>
            </w:r>
            <w:r>
              <w:rPr>
                <w:rFonts w:hint="eastAsia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g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d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L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177.8 ± 36.5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185.5 ± 39.5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195.5 ± 41.6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195.1 ± 40.7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189.1 ± 38.6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HDL-C, m</w:t>
            </w:r>
            <w:r>
              <w:rPr>
                <w:rFonts w:hint="eastAsia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g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d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L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63.3 ± 16.5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60.8 ± 16.8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53.0 ± 15.4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49.0 ± 13.9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46.6 ± 12.3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Medicat</w:t>
            </w:r>
            <w:r>
              <w:rPr>
                <w:rFonts w:hint="eastAsia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i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ons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Aspirin, %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9.1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10.0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16.8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19.2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19.0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Lipid-lowering drugs, %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5.2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10.3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18.1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22.6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21.9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3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300" w:firstLineChars="2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 xml:space="preserve">Hypoglycemic </w:t>
            </w:r>
            <w:r>
              <w:rPr>
                <w:rFonts w:hint="eastAsia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agents</w:t>
            </w: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, %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1.8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3.2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7.2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12.2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center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18.5</w:t>
            </w:r>
          </w:p>
        </w:tc>
        <w:tc>
          <w:tcPr>
            <w:tcW w:w="9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80" w:lineRule="atLeast"/>
              <w:ind w:firstLine="150" w:firstLineChars="100"/>
              <w:jc w:val="left"/>
              <w:textAlignment w:val="auto"/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Calibri" w:cs="Times New Roman"/>
                <w:b w:val="0"/>
                <w:bCs w:val="0"/>
                <w:color w:val="000000"/>
                <w:sz w:val="15"/>
                <w:szCs w:val="15"/>
                <w:vertAlign w:val="baseline"/>
                <w:lang w:val="en-US" w:eastAsia="zh-CN"/>
              </w:rPr>
              <w:t>&lt;0.0001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/>
        <w:textAlignment w:val="auto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*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The P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IR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is calculated by dividing family income by family size, year, and geographic location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,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based on the Department of Health and Human Services' poverty measure.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**A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drink means at least 12 ounces of beer, 5 ounces of wine, or 1.5 ounces of liquor.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ASCVD, atherosclerotic cardiovascular disease. COPD, chronic obstructive pulmonary disease. HDL-C, high-density lipoprotein cholesterol.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Figure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Nonlinear a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ssociation between 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 xml:space="preserve">other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overall obesity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indices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and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mortality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/>
        <w:jc w:val="center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sz w:val="21"/>
          <w:szCs w:val="21"/>
          <w:u w:val="singl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1"/>
          <w:szCs w:val="21"/>
          <w:u w:val="single"/>
          <w:lang w:val="en-US" w:eastAsia="zh-CN"/>
        </w:rPr>
        <w:t>Body surface area (BSA)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437505" cy="1223645"/>
            <wp:effectExtent l="0" t="0" r="10795" b="8255"/>
            <wp:docPr id="2" name="图片 2" descr="B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S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37505" cy="122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1"/>
          <w:szCs w:val="21"/>
          <w:u w:val="single"/>
          <w:lang w:val="en-US" w:eastAsia="zh-CN"/>
        </w:rPr>
        <w:t>Standardized weight percentage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/>
        <w:textAlignment w:val="auto"/>
        <w:rPr>
          <w:rFonts w:hint="eastAsia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521325" cy="1240790"/>
            <wp:effectExtent l="0" t="0" r="3175" b="3810"/>
            <wp:docPr id="3" name="图片 3" descr="标准体重百分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标准体重百分比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21325" cy="124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H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Rs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(solid line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s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) and 95%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CIs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(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shaded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areas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)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are based on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weighted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restricted cubic splines.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The models were adjusted for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age, sex, ethnicity, </w:t>
      </w:r>
      <w:r>
        <w:rPr>
          <w:rFonts w:hint="eastAsia" w:cs="Times New Roman"/>
          <w:sz w:val="16"/>
          <w:szCs w:val="16"/>
          <w:lang w:val="en-US" w:eastAsia="zh-CN"/>
        </w:rPr>
        <w:t>waist circumference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, education, marital status, poverty income ratio, smoking status, alcohol consumption, systolic blood pressure, heart rate, ASCVD, diabetes mellitus, COPD, cancer, aspirin, lipid-lowering drugs, hypoglycemic agents, and laboratory measurements (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white blood cell count, hemoglobin, albumin, creatinine, urea nitrogen, glycohemoglobin, total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instrText xml:space="preserve"> HYPERLINK "https://wwwn.cdc.gov/Nchs/Nhanes/2017-2018/BIOPRO_J.htm" \l "LBXSCH" </w:instrTex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cholesterol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, and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HDL-C).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Times New Roman" w:hAnsi="Times New Roman" w:cs="Times New Roman"/>
          <w:sz w:val="16"/>
          <w:szCs w:val="16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 xml:space="preserve">Table S3. Association between 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oth</w:t>
      </w: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>er anthropometric indice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 </w:t>
      </w:r>
      <w:r>
        <w:rPr>
          <w:rFonts w:hint="eastAsia" w:ascii="Times New Roman" w:hAnsi="Times New Roman" w:eastAsia="Calibri" w:cs="Times New Roman"/>
          <w:b/>
          <w:bCs/>
          <w:sz w:val="21"/>
          <w:szCs w:val="21"/>
          <w:lang w:val="en-US" w:eastAsia="zh-CN"/>
        </w:rPr>
        <w:t>and mortality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1686"/>
        <w:gridCol w:w="1900"/>
        <w:gridCol w:w="1625"/>
        <w:gridCol w:w="170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  <w:t>All-cause mortality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ind w:firstLine="300" w:firstLineChars="2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/>
              </w:rPr>
              <w:t>HR (95% CI)</w:t>
            </w:r>
          </w:p>
        </w:tc>
        <w:tc>
          <w:tcPr>
            <w:tcW w:w="1900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  <w:t>Cardiovascular mortality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/>
              </w:rPr>
              <w:t>HR (95% CI)</w:t>
            </w:r>
          </w:p>
        </w:tc>
        <w:tc>
          <w:tcPr>
            <w:tcW w:w="1625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  <w:t>Cancer mortality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/>
              </w:rPr>
              <w:t>HR (95% CI)</w:t>
            </w:r>
          </w:p>
        </w:tc>
        <w:tc>
          <w:tcPr>
            <w:tcW w:w="1705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15"/>
                <w:szCs w:val="15"/>
                <w:vertAlign w:val="baseline"/>
                <w:lang w:val="en-US" w:eastAsia="zh-CN"/>
              </w:rPr>
              <w:t>Other-cause mortality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tLeas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/>
              </w:rPr>
              <w:t>HR (95% CI)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tcBorders>
              <w:top w:val="single" w:color="auto" w:sz="4" w:space="0"/>
              <w:tl2br w:val="nil"/>
              <w:tr2bl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kern w:val="2"/>
                <w:sz w:val="15"/>
                <w:szCs w:val="15"/>
                <w:shd w:val="clear"/>
                <w:vertAlign w:val="baseline"/>
                <w:lang w:val="en-US" w:eastAsia="zh-CN"/>
              </w:rPr>
              <w:t>Waist circumference (WC)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Per-10 cm increase</w:t>
            </w: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1.064 (1.063, 1.065)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1.061 (1.059, 1.063)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1.001 (0.999, 1.003)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1.044 (1.043, 1.046)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Per-SD increase</w:t>
            </w: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1.109 (1.107, 1.111)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1.103 (1.099, 1.106)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1.002 (0.999, 1.004)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1.075 (1.072, 1.077)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tcBorders>
              <w:tl2br w:val="nil"/>
              <w:tr2bl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Body roundness index (BRI)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  <w:tcBorders>
              <w:tl2br w:val="nil"/>
              <w:tr2bl w:val="nil"/>
            </w:tcBorders>
            <w:shd w:val="clear" w:color="auto" w:fill="FDECE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Per-1 unit increase</w:t>
            </w: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1.190 (1.189, 1.190)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1.190 (1.188, 1.192)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0.999 (0.998, 1.001)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1.261 (1.260, 1.262)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  <w:tcBorders>
              <w:tl2br w:val="nil"/>
              <w:tr2bl w:val="nil"/>
            </w:tcBorders>
            <w:shd w:val="clear" w:color="auto" w:fill="FDECE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Per-SD increase</w:t>
            </w: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1.505 (1.502, 1.508)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1.506 (1.501, 1.511)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1.001 (0.997, 1.005)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1.727 (1.722, 1.731)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tcBorders>
              <w:tl2br w:val="nil"/>
              <w:tr2bl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Weight-adjusted-waist index (WWI)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  <w:tcBorders>
              <w:tl2br w:val="nil"/>
              <w:tr2bl w:val="nil"/>
            </w:tcBorders>
            <w:shd w:val="clear" w:color="auto" w:fill="FDECE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Per-1 unit increase</w:t>
            </w: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FDECE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1.214 (1.213, 1.216)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DECE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1.277 (1.275, 1.280)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shd w:val="clear" w:color="auto" w:fill="FDECE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1.001 (1.000, 1.001)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FDECE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1.274 (1.272, 1.276)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  <w:tcBorders>
              <w:tl2br w:val="nil"/>
              <w:tr2bl w:val="nil"/>
            </w:tcBorders>
            <w:shd w:val="clear" w:color="auto" w:fill="FDECE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Per-SD increase</w:t>
            </w: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FDECE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1.185 (1.184, 1.186)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DECE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1.238 (1.236, 1.240)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shd w:val="clear" w:color="auto" w:fill="FDECE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1.000 (0.999, 1.001)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FDECE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1.235 (1.234, 1.237)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tcBorders>
              <w:tl2br w:val="nil"/>
              <w:tr2bl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Relative fat mass (RFM)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1606" w:type="dxa"/>
            <w:tcBorders>
              <w:tl2br w:val="nil"/>
              <w:tr2bl w:val="nil"/>
            </w:tcBorders>
            <w:shd w:val="clear" w:color="auto" w:fill="FDECE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Per-1 unit increase</w:t>
            </w: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1.013 (1.012, 1.013)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1.040 (1.039, 1.041)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0.999 (0.996, 1.003)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1.004 (1.003, 1.004)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  <w:tcBorders>
              <w:tl2br w:val="nil"/>
              <w:tr2bl w:val="nil"/>
            </w:tcBorders>
            <w:shd w:val="clear" w:color="auto" w:fill="FDECE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Per-SD increase</w:t>
            </w: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1.117 (1.114, 1.120)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1.416 (1.409, 1.424)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0.997 (0.994, 1.001)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1.034 (1.030, 1.037)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tcBorders>
              <w:tl2br w:val="nil"/>
              <w:tr2bl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Body shape index (BSI)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  <w:tcBorders>
              <w:tl2br w:val="nil"/>
              <w:tr2bl w:val="nil"/>
            </w:tcBorders>
            <w:shd w:val="clear" w:color="auto" w:fill="FDECE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Per-0.01 increase</w:t>
            </w: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1.262 (1.260, 1.264)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1.301 (1.297, 1.305)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1.000 (0.995, 1.006)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1.318 (1.315, 1.321)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  <w:tcBorders>
              <w:tl2br w:val="nil"/>
              <w:tr2bl w:val="nil"/>
            </w:tcBorders>
            <w:shd w:val="clear" w:color="auto" w:fill="FDECE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Per-SD increase</w:t>
            </w: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1.122 (1.121, 1.123)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1.139 (1.137, 1.141)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0.998 (0.996, 1.000)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FDECE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1.146 (1.145, 1.148)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tcBorders>
              <w:tl2br w:val="nil"/>
              <w:tr2bl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Body mass index (BMI)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  <w:tcBorders>
              <w:tl2br w:val="nil"/>
              <w:tr2bl w:val="nil"/>
            </w:tcBorders>
            <w:shd w:val="clear" w:color="auto" w:fill="DBE3F4" w:themeFill="accent1" w:themeFillTint="3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Per-5 kg/m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superscript"/>
                <w:lang w:val="en-US" w:eastAsia="zh-CN"/>
              </w:rPr>
              <w:t xml:space="preserve">2 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increase</w:t>
            </w: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DBE3F4" w:themeFill="accent1" w:themeFillTint="3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 xml:space="preserve"> 0.937 (0.937, 0.938)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DBE3F4" w:themeFill="accent1" w:themeFillTint="3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 xml:space="preserve"> 0.998 (0.997, 0.998)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shd w:val="clear" w:color="auto" w:fill="DBE3F4" w:themeFill="accent1" w:themeFillTint="3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 xml:space="preserve"> 0.925 (0.923, 0.927)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DBE3F4" w:themeFill="accent1" w:themeFillTint="3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 xml:space="preserve"> 0.905 (0.904, 0.906)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  <w:tcBorders>
              <w:tl2br w:val="nil"/>
              <w:tr2bl w:val="nil"/>
            </w:tcBorders>
            <w:shd w:val="clear" w:color="auto" w:fill="DBE3F4" w:themeFill="accent1" w:themeFillTint="3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Per-SD increase</w:t>
            </w: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DBE3F4" w:themeFill="accent1" w:themeFillTint="3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 xml:space="preserve"> 0.915 (0.914, 0.916)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DBE3F4" w:themeFill="accent1" w:themeFillTint="3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 xml:space="preserve"> 0.995 (0.994, 0.996)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shd w:val="clear" w:color="auto" w:fill="DBE3F4" w:themeFill="accent1" w:themeFillTint="3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 xml:space="preserve"> 0.898 (0.896, 0.901)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DBE3F4" w:themeFill="accent1" w:themeFillTint="3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 xml:space="preserve"> 0.872 (0.871, 0.873)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tcBorders>
              <w:tl2br w:val="nil"/>
              <w:tr2bl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Body surface area (BSA)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  <w:tcBorders>
              <w:tl2br w:val="nil"/>
              <w:tr2bl w:val="nil"/>
            </w:tcBorders>
            <w:shd w:val="clear" w:color="auto" w:fill="DBE3F4" w:themeFill="accent1" w:themeFillTint="3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Per-1 unit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superscript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increase</w:t>
            </w: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DBE3F4" w:themeFill="accent1" w:themeFillTint="3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 xml:space="preserve"> 0.765 (0.763, 0.767)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DBE3F4" w:themeFill="accent1" w:themeFillTint="3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 xml:space="preserve"> 0.952 (0.946, 0.957)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shd w:val="clear" w:color="auto" w:fill="DBE3F4" w:themeFill="accent1" w:themeFillTint="3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/>
              </w:rPr>
              <w:t>1.007 (1.000, 1.016)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DBE3F4" w:themeFill="accent1" w:themeFillTint="3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 xml:space="preserve"> 0.768 (0.766, 0.770)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  <w:tcBorders>
              <w:tl2br w:val="nil"/>
              <w:tr2bl w:val="nil"/>
            </w:tcBorders>
            <w:shd w:val="clear" w:color="auto" w:fill="DBE3F4" w:themeFill="accent1" w:themeFillTint="3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Per-SD increase</w:t>
            </w: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DBE3F4" w:themeFill="accent1" w:themeFillTint="3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 xml:space="preserve"> 0.901 (0.900, 0.901)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DBE3F4" w:themeFill="accent1" w:themeFillTint="3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 xml:space="preserve"> 0.987 (0.986, 0.989)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shd w:val="clear" w:color="auto" w:fill="DBE3F4" w:themeFill="accent1" w:themeFillTint="3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5"/>
                <w:szCs w:val="15"/>
                <w:vertAlign w:val="baseline"/>
                <w:lang w:val="en-US" w:eastAsia="zh-CN"/>
              </w:rPr>
              <w:t>1.003 (0.998, 1.008)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DBE3F4" w:themeFill="accent1" w:themeFillTint="3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 xml:space="preserve"> 0.823 (0.822, 0.824)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686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62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tcBorders>
              <w:tl2br w:val="nil"/>
              <w:tr2bl w:val="nil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Standardized weight percentage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  <w:tcBorders>
              <w:tl2br w:val="nil"/>
              <w:tr2bl w:val="nil"/>
            </w:tcBorders>
            <w:shd w:val="clear" w:color="auto" w:fill="DBE3F4" w:themeFill="accent1" w:themeFillTint="3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Per-100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superscript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increase</w:t>
            </w: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DBE3F4" w:themeFill="accent1" w:themeFillTint="3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0.724 (0.721, 0.726)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DBE3F4" w:themeFill="accent1" w:themeFillTint="3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300" w:firstLineChars="2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0.990 (0.083, 0.097)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shd w:val="clear" w:color="auto" w:fill="DBE3F4" w:themeFill="accent1" w:themeFillTint="3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0.717 (0.711, 0.723)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DBE3F4" w:themeFill="accent1" w:themeFillTint="3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0.618 (0.615, 0.621)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  <w:tcBorders>
              <w:tl2br w:val="nil"/>
              <w:tr2bl w:val="nil"/>
            </w:tcBorders>
            <w:shd w:val="clear" w:color="auto" w:fill="DBE3F4" w:themeFill="accent1" w:themeFillTint="3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Per-SD increase</w:t>
            </w:r>
          </w:p>
        </w:tc>
        <w:tc>
          <w:tcPr>
            <w:tcW w:w="1686" w:type="dxa"/>
            <w:tcBorders>
              <w:tl2br w:val="nil"/>
              <w:tr2bl w:val="nil"/>
            </w:tcBorders>
            <w:shd w:val="clear" w:color="auto" w:fill="DBE3F4" w:themeFill="accent1" w:themeFillTint="3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0.901 (0.900, 0.902)</w:t>
            </w:r>
          </w:p>
        </w:tc>
        <w:tc>
          <w:tcPr>
            <w:tcW w:w="1900" w:type="dxa"/>
            <w:tcBorders>
              <w:tl2br w:val="nil"/>
              <w:tr2bl w:val="nil"/>
            </w:tcBorders>
            <w:shd w:val="clear" w:color="auto" w:fill="DBE3F4" w:themeFill="accent1" w:themeFillTint="3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300" w:firstLineChars="2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0.995 (0.992, 0.998)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shd w:val="clear" w:color="auto" w:fill="DBE3F4" w:themeFill="accent1" w:themeFillTint="3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0.898 (0.895, 0.900)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shd w:val="clear" w:color="auto" w:fill="DBE3F4" w:themeFill="accent1" w:themeFillTint="3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88" w:lineRule="auto"/>
              <w:ind w:firstLine="150" w:firstLineChars="1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5"/>
                <w:szCs w:val="15"/>
                <w:vertAlign w:val="baseline"/>
                <w:lang w:val="en-US" w:eastAsia="zh-CN"/>
              </w:rPr>
              <w:t>0.855 (0.854, 0.857)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/>
        <w:textAlignment w:val="auto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Model</w:t>
      </w:r>
      <w:r>
        <w:rPr>
          <w:rFonts w:hint="eastAsia" w:cs="Times New Roman"/>
          <w:sz w:val="16"/>
          <w:szCs w:val="16"/>
          <w:lang w:val="en-US" w:eastAsia="zh-CN"/>
        </w:rPr>
        <w:t>s were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adjusted for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age,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sex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, ethnicity</w:t>
      </w:r>
      <w:r>
        <w:rPr>
          <w:rFonts w:hint="eastAsia" w:cs="Times New Roman"/>
          <w:sz w:val="16"/>
          <w:szCs w:val="16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BMI</w:t>
      </w:r>
      <w:r>
        <w:rPr>
          <w:rFonts w:hint="eastAsia" w:cs="Times New Roman"/>
          <w:sz w:val="16"/>
          <w:szCs w:val="16"/>
          <w:lang w:val="en-US" w:eastAsia="zh-CN"/>
        </w:rPr>
        <w:t xml:space="preserve"> or waist circumference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education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level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, marital status, poverty income ratio, smoking status, alcohol consumption, systolic blood pressure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heart rate,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ASCVD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, diabetes mellitus,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COPD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, cancer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,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aspirin, lipid-lowering drugs, hypoglycemic drugs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, and laboratory measurements (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white blood cell count, hemoglobin, albumin, creatinine, urea nitrogen, glycohemoglobin, total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instrText xml:space="preserve"> HYPERLINK "https://wwwn.cdc.gov/Nchs/Nhanes/2017-2018/BIOPRO_J.htm" \l "LBXSCH" </w:instrTex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cholesterol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, and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HDL-C)</w:t>
      </w:r>
      <w:r>
        <w:rPr>
          <w:rFonts w:hint="eastAsia" w:cs="Times New Roman"/>
          <w:sz w:val="16"/>
          <w:szCs w:val="16"/>
          <w:lang w:val="en-US" w:eastAsia="zh-CN"/>
        </w:rPr>
        <w:t>.</w:t>
      </w: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Figure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S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Association of 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BMI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and 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WHtR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with mortality, stratified by age</w:t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607050" cy="2441575"/>
            <wp:effectExtent l="0" t="0" r="6350" b="9525"/>
            <wp:docPr id="11" name="图片 11" descr="age分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age分层"/>
                    <pic:cNvPicPr>
                      <a:picLocks noChangeAspect="1"/>
                    </pic:cNvPicPr>
                  </pic:nvPicPr>
                  <pic:blipFill>
                    <a:blip r:embed="rId8"/>
                    <a:srcRect t="740" b="3804"/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textAlignment w:val="auto"/>
        <w:rPr>
          <w:rFonts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Hazard ratio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s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(solid line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s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) and 95% confidence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interval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s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(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shaded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areas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)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are based on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weighted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restricted cubic splines. The models were adjusted for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all predefined covariates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>except age</w:t>
      </w:r>
      <w:r>
        <w:rPr>
          <w:rFonts w:ascii="Times New Roman" w:hAnsi="Times New Roman" w:cs="Times New Roman"/>
          <w:sz w:val="16"/>
          <w:szCs w:val="16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textAlignment w:val="auto"/>
        <w:rPr>
          <w:rFonts w:ascii="Times New Roman" w:hAnsi="Times New Roman" w:cs="Times New Roman"/>
          <w:sz w:val="16"/>
          <w:szCs w:val="16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Figure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S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Association of 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BMI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and 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WHtR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with mortality, stratified by 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sex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textAlignment w:val="auto"/>
        <w:rPr>
          <w:rFonts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drawing>
          <wp:inline distT="0" distB="0" distL="114300" distR="114300">
            <wp:extent cx="5674360" cy="2530475"/>
            <wp:effectExtent l="0" t="0" r="2540" b="9525"/>
            <wp:docPr id="8" name="图片 8" descr="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74360" cy="253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Hazard ratio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s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(solid line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s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) and 95% confidence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interval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s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(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shaded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areas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)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are based on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weighted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restricted cubic splines. The models were adjusted for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all predefined covariates </w:t>
      </w:r>
      <w:r>
        <w:rPr>
          <w:rFonts w:hint="eastAsia" w:ascii="Times New Roman" w:hAnsi="Times New Roman" w:cs="Times New Roman"/>
          <w:b/>
          <w:bCs/>
          <w:sz w:val="16"/>
          <w:szCs w:val="16"/>
          <w:lang w:val="en-US" w:eastAsia="zh-CN"/>
        </w:rPr>
        <w:t xml:space="preserve">except </w:t>
      </w:r>
      <w:r>
        <w:rPr>
          <w:rFonts w:hint="eastAsia" w:cs="Times New Roman"/>
          <w:b/>
          <w:bCs/>
          <w:sz w:val="16"/>
          <w:szCs w:val="16"/>
          <w:lang w:val="en-US" w:eastAsia="zh-CN"/>
        </w:rPr>
        <w:t>sex</w:t>
      </w:r>
      <w:r>
        <w:rPr>
          <w:rFonts w:ascii="Times New Roman" w:hAnsi="Times New Roman" w:cs="Times New Roman"/>
          <w:sz w:val="16"/>
          <w:szCs w:val="16"/>
        </w:rPr>
        <w:t xml:space="preserve">. </w:t>
      </w: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Figure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Association of 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BMI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and 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WHtR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with mortality, stratified by ethnicity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drawing>
          <wp:inline distT="0" distB="0" distL="114300" distR="114300">
            <wp:extent cx="5579745" cy="2550795"/>
            <wp:effectExtent l="0" t="0" r="8255" b="1905"/>
            <wp:docPr id="12" name="图片 12" descr="ethnicity分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ethnicity分层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255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textAlignment w:val="auto"/>
        <w:rPr>
          <w:rFonts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Hazard ratio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s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(solid line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s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 and 95% confidence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interval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s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(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shaded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areas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)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are based on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weighted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restricted cubic splines. The models were adjusted for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all predefined covariates 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except ethnicity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textAlignment w:val="auto"/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Figure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S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Association of 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BMI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and 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WHtR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with mortality, stratified by presence of diabetes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textAlignment w:val="auto"/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drawing>
          <wp:inline distT="0" distB="0" distL="114300" distR="114300">
            <wp:extent cx="5579745" cy="2550160"/>
            <wp:effectExtent l="0" t="0" r="8255" b="2540"/>
            <wp:docPr id="14" name="图片 14" descr="DM分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DM分层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textAlignment w:val="auto"/>
        <w:rPr>
          <w:rFonts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Hazard ratio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s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(solid line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s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) and 95% confidence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interval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s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(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shaded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areas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)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are based on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weighted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restricted cubic splines. The models were adjusted for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all predefined covariates 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except diabetes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Figure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S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Association of 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BMI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and 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WHtR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with mortality, excluding 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individuals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with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 xml:space="preserve"> less than 1 year of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follow-up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drawing>
          <wp:inline distT="0" distB="0" distL="114300" distR="114300">
            <wp:extent cx="5579745" cy="2518410"/>
            <wp:effectExtent l="0" t="0" r="8255" b="8890"/>
            <wp:docPr id="15" name="图片 15" descr="删除1年死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删除1年死亡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textAlignment w:val="auto"/>
        <w:rPr>
          <w:rFonts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Hazard ratio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s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(solid line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s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) and 95% confidence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interval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s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(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shaded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areas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)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are based on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weighted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restricted cubic splines. The models were adjusted for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all predefined covariates, as well as waist circumference for modeling BMI and BMI for modeling WHtR</w:t>
      </w:r>
      <w:r>
        <w:rPr>
          <w:rFonts w:ascii="Times New Roman" w:hAnsi="Times New Roman" w:cs="Times New Roman"/>
          <w:sz w:val="16"/>
          <w:szCs w:val="16"/>
        </w:rPr>
        <w:t xml:space="preserve">.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textAlignment w:val="auto"/>
        <w:rPr>
          <w:rFonts w:ascii="Times New Roman" w:hAnsi="Times New Roman" w:cs="Times New Roman"/>
          <w:sz w:val="16"/>
          <w:szCs w:val="16"/>
        </w:rPr>
      </w:pPr>
    </w:p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Figure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S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8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Association of 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BMI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and 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>WHtR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with</w:t>
      </w:r>
      <w:r>
        <w:rPr>
          <w:rFonts w:hint="eastAsia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mortality, complete case analysis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579745" cy="2503170"/>
            <wp:effectExtent l="0" t="0" r="8255" b="11430"/>
            <wp:docPr id="16" name="图片 16" descr="完整病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完整病例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textAlignment w:val="auto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Hazard ratio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s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(solid line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s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) and 95% confidence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interval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s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(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shaded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areas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)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>are based on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weighted </w:t>
      </w:r>
      <w:r>
        <w:rPr>
          <w:rFonts w:hint="default" w:ascii="Times New Roman" w:hAnsi="Times New Roman" w:cs="Times New Roman"/>
          <w:sz w:val="16"/>
          <w:szCs w:val="16"/>
          <w:lang w:val="en-US" w:eastAsia="zh-CN"/>
        </w:rPr>
        <w:t>restricted cubic splines. The models were adjusted for</w:t>
      </w:r>
      <w:r>
        <w:rPr>
          <w:rFonts w:hint="eastAsia" w:ascii="Times New Roman" w:hAnsi="Times New Roman" w:cs="Times New Roman"/>
          <w:sz w:val="16"/>
          <w:szCs w:val="16"/>
          <w:lang w:val="en-US" w:eastAsia="zh-CN"/>
        </w:rPr>
        <w:t xml:space="preserve"> all predefined covariates, as well as waist circumference for modeling BMI and BMI for modeling WHtR</w:t>
      </w:r>
      <w:r>
        <w:rPr>
          <w:rFonts w:ascii="Times New Roman" w:hAnsi="Times New Roman" w:cs="Times New Roman"/>
          <w:sz w:val="16"/>
          <w:szCs w:val="16"/>
        </w:rPr>
        <w:t xml:space="preserve">. </w:t>
      </w:r>
    </w:p>
    <w:p>
      <w:pPr>
        <w:jc w:val="left"/>
        <w:rPr>
          <w:rFonts w:hint="default" w:ascii="Times New Roman" w:hAnsi="Times New Roman" w:cs="Times New Roma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NmRmODJkMDE2ZDFjYWVlMTViZWZlNzc1MmI1ZWMifQ=="/>
  </w:docVars>
  <w:rsids>
    <w:rsidRoot w:val="7DF34211"/>
    <w:rsid w:val="01EF572E"/>
    <w:rsid w:val="067C0B5A"/>
    <w:rsid w:val="08E10C23"/>
    <w:rsid w:val="1229523A"/>
    <w:rsid w:val="18B753BC"/>
    <w:rsid w:val="19362169"/>
    <w:rsid w:val="1B435847"/>
    <w:rsid w:val="2F75602D"/>
    <w:rsid w:val="3BD72EE0"/>
    <w:rsid w:val="40EA035E"/>
    <w:rsid w:val="52F804B8"/>
    <w:rsid w:val="55575D1B"/>
    <w:rsid w:val="5B303F63"/>
    <w:rsid w:val="5FB44AA0"/>
    <w:rsid w:val="694A4441"/>
    <w:rsid w:val="74EF63FA"/>
    <w:rsid w:val="76A01B45"/>
    <w:rsid w:val="7DF3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table" w:styleId="4">
    <w:name w:val="Table Grid"/>
    <w:basedOn w:val="3"/>
    <w:qFormat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Supplementary Material"/>
    <w:basedOn w:val="2"/>
    <w:next w:val="2"/>
    <w:qFormat/>
    <w:uiPriority w:val="0"/>
    <w:pPr>
      <w:spacing w:after="120"/>
    </w:pPr>
    <w:rPr>
      <w:i/>
    </w:rPr>
  </w:style>
  <w:style w:type="paragraph" w:customStyle="1" w:styleId="7">
    <w:name w:val="MDPI_1.3_authornames"/>
    <w:next w:val="1"/>
    <w:qFormat/>
    <w:uiPriority w:val="0"/>
    <w:pPr>
      <w:adjustRightInd w:val="0"/>
      <w:snapToGrid w:val="0"/>
      <w:spacing w:after="360" w:line="260" w:lineRule="atLeast"/>
    </w:pPr>
    <w:rPr>
      <w:rFonts w:ascii="Palatino Linotype" w:hAnsi="Palatino Linotype" w:eastAsia="Times New Roman" w:cs="Times New Roman"/>
      <w:b/>
      <w:color w:val="000000"/>
      <w:szCs w:val="22"/>
      <w:lang w:val="en-US" w:eastAsia="de-DE" w:bidi="en-US"/>
    </w:rPr>
  </w:style>
  <w:style w:type="paragraph" w:customStyle="1" w:styleId="8">
    <w:name w:val="MDPI_1.6_affiliation"/>
    <w:qFormat/>
    <w:uiPriority w:val="0"/>
    <w:pPr>
      <w:adjustRightInd w:val="0"/>
      <w:snapToGrid w:val="0"/>
      <w:spacing w:line="200" w:lineRule="atLeast"/>
      <w:ind w:left="2806" w:hanging="198"/>
    </w:pPr>
    <w:rPr>
      <w:rFonts w:ascii="Palatino Linotype" w:hAnsi="Palatino Linotype" w:eastAsia="Times New Roman" w:cs="Times New Roman"/>
      <w:color w:val="000000"/>
      <w:sz w:val="16"/>
      <w:szCs w:val="18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tiff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8.tiff"/><Relationship Id="rId12" Type="http://schemas.openxmlformats.org/officeDocument/2006/relationships/image" Target="media/image7.tiff"/><Relationship Id="rId11" Type="http://schemas.openxmlformats.org/officeDocument/2006/relationships/image" Target="media/image6.tiff"/><Relationship Id="rId10" Type="http://schemas.openxmlformats.org/officeDocument/2006/relationships/image" Target="media/image5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2023-11-21T07:50:00Z</dcterms:created>
  <dc:creator>李珊</dc:creator>
  <cp:lastModifiedBy>李珊</cp:lastModifiedBy>
  <dcterms:modified xsi:type="dcterms:W3CDTF">2023-11-22T06:54:33Z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8D8261D2B95E4597AFD4FF658961080F_11</vt:lpwstr>
  </property>
</Properties>
</file>