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B27F" w14:textId="6A37D361" w:rsidR="00B346CB" w:rsidRPr="00721532" w:rsidRDefault="0003564F" w:rsidP="00B346CB">
      <w:pPr>
        <w:tabs>
          <w:tab w:val="left" w:pos="2375"/>
        </w:tabs>
        <w:rPr>
          <w:b/>
          <w:bCs/>
        </w:rPr>
      </w:pPr>
      <w:r w:rsidRPr="00721532">
        <w:rPr>
          <w:b/>
          <w:bCs/>
        </w:rPr>
        <w:t xml:space="preserve">Appendix 2. </w:t>
      </w:r>
      <w:r w:rsidR="00F8053D" w:rsidRPr="00721532">
        <w:rPr>
          <w:b/>
          <w:bCs/>
        </w:rPr>
        <w:t>Definitions of IDSR indicators</w:t>
      </w:r>
      <w:r w:rsidR="00B346CB" w:rsidRPr="00721532">
        <w:rPr>
          <w:b/>
          <w:bCs/>
        </w:rPr>
        <w:tab/>
      </w:r>
    </w:p>
    <w:tbl>
      <w:tblPr>
        <w:tblW w:w="13280" w:type="dxa"/>
        <w:tblLook w:val="04A0" w:firstRow="1" w:lastRow="0" w:firstColumn="1" w:lastColumn="0" w:noHBand="0" w:noVBand="1"/>
      </w:tblPr>
      <w:tblGrid>
        <w:gridCol w:w="1520"/>
        <w:gridCol w:w="2560"/>
        <w:gridCol w:w="5480"/>
        <w:gridCol w:w="3720"/>
      </w:tblGrid>
      <w:tr w:rsidR="00B346CB" w:rsidRPr="00B346CB" w14:paraId="7FC5453D" w14:textId="77777777" w:rsidTr="00B346CB">
        <w:trPr>
          <w:trHeight w:val="300"/>
        </w:trPr>
        <w:tc>
          <w:tcPr>
            <w:tcW w:w="1520" w:type="dxa"/>
            <w:tcBorders>
              <w:top w:val="nil"/>
              <w:left w:val="nil"/>
              <w:bottom w:val="single" w:sz="4" w:space="0" w:color="auto"/>
              <w:right w:val="nil"/>
            </w:tcBorders>
            <w:shd w:val="clear" w:color="auto" w:fill="auto"/>
            <w:noWrap/>
            <w:vAlign w:val="center"/>
            <w:hideMark/>
          </w:tcPr>
          <w:p w14:paraId="4AD8501C" w14:textId="77777777" w:rsidR="00B346CB" w:rsidRPr="00B346CB" w:rsidRDefault="00B346CB" w:rsidP="00B346CB">
            <w:pPr>
              <w:spacing w:after="0" w:line="240" w:lineRule="auto"/>
              <w:rPr>
                <w:rFonts w:ascii="Calibri" w:eastAsia="Times New Roman" w:hAnsi="Calibri" w:cs="Calibri"/>
                <w:b/>
                <w:bCs/>
                <w:color w:val="000000"/>
              </w:rPr>
            </w:pPr>
            <w:r w:rsidRPr="00B346CB">
              <w:rPr>
                <w:rFonts w:ascii="Calibri" w:eastAsia="Times New Roman" w:hAnsi="Calibri" w:cs="Calibri"/>
                <w:b/>
                <w:bCs/>
                <w:color w:val="000000"/>
              </w:rPr>
              <w:t>Component</w:t>
            </w:r>
          </w:p>
        </w:tc>
        <w:tc>
          <w:tcPr>
            <w:tcW w:w="2560" w:type="dxa"/>
            <w:tcBorders>
              <w:top w:val="nil"/>
              <w:left w:val="nil"/>
              <w:bottom w:val="single" w:sz="4" w:space="0" w:color="auto"/>
              <w:right w:val="nil"/>
            </w:tcBorders>
            <w:shd w:val="clear" w:color="auto" w:fill="auto"/>
            <w:vAlign w:val="center"/>
            <w:hideMark/>
          </w:tcPr>
          <w:p w14:paraId="67860ED3" w14:textId="77777777" w:rsidR="00B346CB" w:rsidRPr="00B346CB" w:rsidRDefault="00B346CB" w:rsidP="00B346CB">
            <w:pPr>
              <w:spacing w:after="0" w:line="240" w:lineRule="auto"/>
              <w:rPr>
                <w:rFonts w:ascii="Calibri" w:eastAsia="Times New Roman" w:hAnsi="Calibri" w:cs="Calibri"/>
                <w:b/>
                <w:bCs/>
                <w:color w:val="000000"/>
              </w:rPr>
            </w:pPr>
            <w:r w:rsidRPr="00B346CB">
              <w:rPr>
                <w:rFonts w:ascii="Calibri" w:eastAsia="Times New Roman" w:hAnsi="Calibri" w:cs="Calibri"/>
                <w:b/>
                <w:bCs/>
                <w:color w:val="000000"/>
              </w:rPr>
              <w:t>Indicator</w:t>
            </w:r>
          </w:p>
        </w:tc>
        <w:tc>
          <w:tcPr>
            <w:tcW w:w="5480" w:type="dxa"/>
            <w:tcBorders>
              <w:top w:val="nil"/>
              <w:left w:val="nil"/>
              <w:bottom w:val="single" w:sz="4" w:space="0" w:color="auto"/>
              <w:right w:val="nil"/>
            </w:tcBorders>
            <w:shd w:val="clear" w:color="auto" w:fill="auto"/>
            <w:vAlign w:val="center"/>
            <w:hideMark/>
          </w:tcPr>
          <w:p w14:paraId="1CF392FD" w14:textId="77777777" w:rsidR="00B346CB" w:rsidRPr="00B346CB" w:rsidRDefault="00B346CB" w:rsidP="00B346CB">
            <w:pPr>
              <w:spacing w:after="0" w:line="240" w:lineRule="auto"/>
              <w:rPr>
                <w:rFonts w:ascii="Calibri" w:eastAsia="Times New Roman" w:hAnsi="Calibri" w:cs="Calibri"/>
                <w:b/>
                <w:bCs/>
                <w:color w:val="000000"/>
              </w:rPr>
            </w:pPr>
            <w:r w:rsidRPr="00B346CB">
              <w:rPr>
                <w:rFonts w:ascii="Calibri" w:eastAsia="Times New Roman" w:hAnsi="Calibri" w:cs="Calibri"/>
                <w:b/>
                <w:bCs/>
                <w:color w:val="000000"/>
              </w:rPr>
              <w:t>Numerator</w:t>
            </w:r>
          </w:p>
        </w:tc>
        <w:tc>
          <w:tcPr>
            <w:tcW w:w="3720" w:type="dxa"/>
            <w:tcBorders>
              <w:top w:val="nil"/>
              <w:left w:val="nil"/>
              <w:bottom w:val="single" w:sz="4" w:space="0" w:color="auto"/>
              <w:right w:val="nil"/>
            </w:tcBorders>
            <w:shd w:val="clear" w:color="auto" w:fill="auto"/>
            <w:vAlign w:val="center"/>
            <w:hideMark/>
          </w:tcPr>
          <w:p w14:paraId="475AC1B0" w14:textId="77777777" w:rsidR="00B346CB" w:rsidRPr="00B346CB" w:rsidRDefault="00B346CB" w:rsidP="00B346CB">
            <w:pPr>
              <w:spacing w:after="0" w:line="240" w:lineRule="auto"/>
              <w:rPr>
                <w:rFonts w:ascii="Calibri" w:eastAsia="Times New Roman" w:hAnsi="Calibri" w:cs="Calibri"/>
                <w:b/>
                <w:bCs/>
                <w:color w:val="000000"/>
              </w:rPr>
            </w:pPr>
            <w:r w:rsidRPr="00B346CB">
              <w:rPr>
                <w:rFonts w:ascii="Calibri" w:eastAsia="Times New Roman" w:hAnsi="Calibri" w:cs="Calibri"/>
                <w:b/>
                <w:bCs/>
                <w:color w:val="000000"/>
              </w:rPr>
              <w:t>Denominator</w:t>
            </w:r>
          </w:p>
        </w:tc>
      </w:tr>
      <w:tr w:rsidR="00B346CB" w:rsidRPr="00B346CB" w14:paraId="67904720" w14:textId="77777777" w:rsidTr="00B346CB">
        <w:trPr>
          <w:trHeight w:val="620"/>
        </w:trPr>
        <w:tc>
          <w:tcPr>
            <w:tcW w:w="1520" w:type="dxa"/>
            <w:tcBorders>
              <w:top w:val="nil"/>
              <w:left w:val="nil"/>
              <w:bottom w:val="nil"/>
              <w:right w:val="nil"/>
            </w:tcBorders>
            <w:shd w:val="clear" w:color="000000" w:fill="D9D9D9"/>
            <w:noWrap/>
            <w:hideMark/>
          </w:tcPr>
          <w:p w14:paraId="4DFE403A" w14:textId="77777777" w:rsidR="00B346CB" w:rsidRPr="00B346CB" w:rsidRDefault="00B346CB" w:rsidP="00B346CB">
            <w:pPr>
              <w:spacing w:after="0" w:line="240" w:lineRule="auto"/>
              <w:rPr>
                <w:rFonts w:ascii="Calibri" w:eastAsia="Times New Roman" w:hAnsi="Calibri" w:cs="Calibri"/>
                <w:color w:val="000000"/>
              </w:rPr>
            </w:pPr>
            <w:r w:rsidRPr="00B346CB">
              <w:rPr>
                <w:rFonts w:ascii="Calibri" w:eastAsia="Times New Roman" w:hAnsi="Calibri" w:cs="Calibri"/>
                <w:color w:val="000000"/>
              </w:rPr>
              <w:t>Identification</w:t>
            </w:r>
          </w:p>
        </w:tc>
        <w:tc>
          <w:tcPr>
            <w:tcW w:w="2560" w:type="dxa"/>
            <w:tcBorders>
              <w:top w:val="nil"/>
              <w:left w:val="nil"/>
              <w:bottom w:val="nil"/>
              <w:right w:val="nil"/>
            </w:tcBorders>
            <w:shd w:val="clear" w:color="000000" w:fill="D9D9D9"/>
            <w:hideMark/>
          </w:tcPr>
          <w:p w14:paraId="2DF2CFB5"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Standard list of reportable diseases</w:t>
            </w:r>
          </w:p>
        </w:tc>
        <w:tc>
          <w:tcPr>
            <w:tcW w:w="5480" w:type="dxa"/>
            <w:tcBorders>
              <w:top w:val="nil"/>
              <w:left w:val="nil"/>
              <w:bottom w:val="nil"/>
              <w:right w:val="nil"/>
            </w:tcBorders>
            <w:shd w:val="clear" w:color="000000" w:fill="D9D9D9"/>
            <w:hideMark/>
          </w:tcPr>
          <w:p w14:paraId="5717160A"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surveyed health structures with the MSP standard list of reportable diseases</w:t>
            </w:r>
          </w:p>
        </w:tc>
        <w:tc>
          <w:tcPr>
            <w:tcW w:w="3720" w:type="dxa"/>
            <w:tcBorders>
              <w:top w:val="nil"/>
              <w:left w:val="nil"/>
              <w:bottom w:val="nil"/>
              <w:right w:val="nil"/>
            </w:tcBorders>
            <w:shd w:val="clear" w:color="000000" w:fill="D9D9D9"/>
            <w:hideMark/>
          </w:tcPr>
          <w:p w14:paraId="2BB55BD2"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r w:rsidR="00B346CB" w:rsidRPr="00B346CB" w14:paraId="082B6C06" w14:textId="77777777" w:rsidTr="00B346CB">
        <w:trPr>
          <w:trHeight w:val="960"/>
        </w:trPr>
        <w:tc>
          <w:tcPr>
            <w:tcW w:w="1520" w:type="dxa"/>
            <w:tcBorders>
              <w:top w:val="nil"/>
              <w:left w:val="nil"/>
              <w:bottom w:val="nil"/>
              <w:right w:val="nil"/>
            </w:tcBorders>
            <w:shd w:val="clear" w:color="auto" w:fill="auto"/>
            <w:noWrap/>
            <w:hideMark/>
          </w:tcPr>
          <w:p w14:paraId="25058D8A" w14:textId="77777777" w:rsidR="00B346CB" w:rsidRPr="00B346CB" w:rsidRDefault="00B346CB" w:rsidP="00B346CB">
            <w:pPr>
              <w:spacing w:after="0" w:line="240" w:lineRule="auto"/>
              <w:rPr>
                <w:rFonts w:ascii="Calibri" w:eastAsia="Times New Roman" w:hAnsi="Calibri" w:cs="Calibri"/>
              </w:rPr>
            </w:pPr>
          </w:p>
        </w:tc>
        <w:tc>
          <w:tcPr>
            <w:tcW w:w="2560" w:type="dxa"/>
            <w:tcBorders>
              <w:top w:val="nil"/>
              <w:left w:val="nil"/>
              <w:bottom w:val="nil"/>
              <w:right w:val="nil"/>
            </w:tcBorders>
            <w:shd w:val="clear" w:color="auto" w:fill="auto"/>
            <w:hideMark/>
          </w:tcPr>
          <w:p w14:paraId="6113A4B9"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No standard case definitions</w:t>
            </w:r>
          </w:p>
        </w:tc>
        <w:tc>
          <w:tcPr>
            <w:tcW w:w="5480" w:type="dxa"/>
            <w:tcBorders>
              <w:top w:val="nil"/>
              <w:left w:val="nil"/>
              <w:bottom w:val="nil"/>
              <w:right w:val="nil"/>
            </w:tcBorders>
            <w:shd w:val="clear" w:color="auto" w:fill="auto"/>
            <w:hideMark/>
          </w:tcPr>
          <w:p w14:paraId="49A332E2"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surveyed health structures that did not have MSP standard case definitions for any reportable disease or condition</w:t>
            </w:r>
          </w:p>
        </w:tc>
        <w:tc>
          <w:tcPr>
            <w:tcW w:w="3720" w:type="dxa"/>
            <w:tcBorders>
              <w:top w:val="nil"/>
              <w:left w:val="nil"/>
              <w:bottom w:val="nil"/>
              <w:right w:val="nil"/>
            </w:tcBorders>
            <w:shd w:val="clear" w:color="auto" w:fill="auto"/>
            <w:hideMark/>
          </w:tcPr>
          <w:p w14:paraId="14E3F49A"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r w:rsidR="00B346CB" w:rsidRPr="00B346CB" w14:paraId="030BE63F" w14:textId="77777777" w:rsidTr="00B346CB">
        <w:trPr>
          <w:trHeight w:val="580"/>
        </w:trPr>
        <w:tc>
          <w:tcPr>
            <w:tcW w:w="1520" w:type="dxa"/>
            <w:tcBorders>
              <w:top w:val="nil"/>
              <w:left w:val="nil"/>
              <w:bottom w:val="nil"/>
              <w:right w:val="nil"/>
            </w:tcBorders>
            <w:shd w:val="clear" w:color="000000" w:fill="D9D9D9"/>
            <w:noWrap/>
            <w:hideMark/>
          </w:tcPr>
          <w:p w14:paraId="04DBDEE0"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Reporting</w:t>
            </w:r>
          </w:p>
        </w:tc>
        <w:tc>
          <w:tcPr>
            <w:tcW w:w="2560" w:type="dxa"/>
            <w:tcBorders>
              <w:top w:val="nil"/>
              <w:left w:val="nil"/>
              <w:bottom w:val="nil"/>
              <w:right w:val="nil"/>
            </w:tcBorders>
            <w:shd w:val="clear" w:color="000000" w:fill="D9D9D9"/>
            <w:hideMark/>
          </w:tcPr>
          <w:p w14:paraId="0201EFCD"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Standard DRC MSP Patient register</w:t>
            </w:r>
          </w:p>
        </w:tc>
        <w:tc>
          <w:tcPr>
            <w:tcW w:w="5480" w:type="dxa"/>
            <w:tcBorders>
              <w:top w:val="nil"/>
              <w:left w:val="nil"/>
              <w:bottom w:val="nil"/>
              <w:right w:val="nil"/>
            </w:tcBorders>
            <w:shd w:val="clear" w:color="000000" w:fill="D9D9D9"/>
            <w:hideMark/>
          </w:tcPr>
          <w:p w14:paraId="1F593655"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surveyed health facilities with a standard MSP patient register</w:t>
            </w:r>
          </w:p>
        </w:tc>
        <w:tc>
          <w:tcPr>
            <w:tcW w:w="3720" w:type="dxa"/>
            <w:tcBorders>
              <w:top w:val="nil"/>
              <w:left w:val="nil"/>
              <w:bottom w:val="nil"/>
              <w:right w:val="nil"/>
            </w:tcBorders>
            <w:shd w:val="clear" w:color="000000" w:fill="D9D9D9"/>
            <w:hideMark/>
          </w:tcPr>
          <w:p w14:paraId="3C8630D3"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facilities</w:t>
            </w:r>
          </w:p>
        </w:tc>
      </w:tr>
      <w:tr w:rsidR="00B346CB" w:rsidRPr="00B346CB" w14:paraId="3437DEE5" w14:textId="77777777" w:rsidTr="00B346CB">
        <w:trPr>
          <w:trHeight w:val="1160"/>
        </w:trPr>
        <w:tc>
          <w:tcPr>
            <w:tcW w:w="1520" w:type="dxa"/>
            <w:tcBorders>
              <w:top w:val="nil"/>
              <w:left w:val="nil"/>
              <w:bottom w:val="nil"/>
              <w:right w:val="nil"/>
            </w:tcBorders>
            <w:shd w:val="clear" w:color="auto" w:fill="auto"/>
            <w:noWrap/>
            <w:hideMark/>
          </w:tcPr>
          <w:p w14:paraId="7A8CBF52" w14:textId="77777777" w:rsidR="00B346CB" w:rsidRPr="00B346CB" w:rsidRDefault="00B346CB" w:rsidP="00B346CB">
            <w:pPr>
              <w:spacing w:after="0" w:line="240" w:lineRule="auto"/>
              <w:rPr>
                <w:rFonts w:ascii="Calibri" w:eastAsia="Times New Roman" w:hAnsi="Calibri" w:cs="Calibri"/>
              </w:rPr>
            </w:pPr>
          </w:p>
        </w:tc>
        <w:tc>
          <w:tcPr>
            <w:tcW w:w="2560" w:type="dxa"/>
            <w:tcBorders>
              <w:top w:val="nil"/>
              <w:left w:val="nil"/>
              <w:bottom w:val="nil"/>
              <w:right w:val="nil"/>
            </w:tcBorders>
            <w:shd w:val="clear" w:color="auto" w:fill="auto"/>
            <w:hideMark/>
          </w:tcPr>
          <w:p w14:paraId="0494B517"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≥75% complete patient register</w:t>
            </w:r>
          </w:p>
        </w:tc>
        <w:tc>
          <w:tcPr>
            <w:tcW w:w="5480" w:type="dxa"/>
            <w:tcBorders>
              <w:top w:val="nil"/>
              <w:left w:val="nil"/>
              <w:bottom w:val="nil"/>
              <w:right w:val="nil"/>
            </w:tcBorders>
            <w:shd w:val="clear" w:color="auto" w:fill="auto"/>
            <w:hideMark/>
          </w:tcPr>
          <w:p w14:paraId="57F3E6FB"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surveyed health facilities that had 75% or more of 4 key variables (patient name, date of visit, signs and symptoms and presence/absence of fever) in the patient register that had been filled out for the past 20 entries</w:t>
            </w:r>
          </w:p>
        </w:tc>
        <w:tc>
          <w:tcPr>
            <w:tcW w:w="3720" w:type="dxa"/>
            <w:tcBorders>
              <w:top w:val="nil"/>
              <w:left w:val="nil"/>
              <w:bottom w:val="nil"/>
              <w:right w:val="nil"/>
            </w:tcBorders>
            <w:shd w:val="clear" w:color="auto" w:fill="auto"/>
            <w:hideMark/>
          </w:tcPr>
          <w:p w14:paraId="42F10ACB"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facilities</w:t>
            </w:r>
          </w:p>
        </w:tc>
      </w:tr>
      <w:tr w:rsidR="00B346CB" w:rsidRPr="00B346CB" w14:paraId="72CD31CC" w14:textId="77777777" w:rsidTr="00B346CB">
        <w:trPr>
          <w:trHeight w:val="580"/>
        </w:trPr>
        <w:tc>
          <w:tcPr>
            <w:tcW w:w="1520" w:type="dxa"/>
            <w:tcBorders>
              <w:top w:val="nil"/>
              <w:left w:val="nil"/>
              <w:bottom w:val="nil"/>
              <w:right w:val="nil"/>
            </w:tcBorders>
            <w:shd w:val="clear" w:color="000000" w:fill="D9D9D9"/>
            <w:noWrap/>
            <w:hideMark/>
          </w:tcPr>
          <w:p w14:paraId="5E6EC62A" w14:textId="77777777" w:rsidR="00B346CB" w:rsidRPr="00B346CB" w:rsidRDefault="00B346CB" w:rsidP="00B346CB">
            <w:pPr>
              <w:spacing w:after="0" w:line="240" w:lineRule="auto"/>
              <w:rPr>
                <w:rFonts w:ascii="Calibri" w:eastAsia="Times New Roman" w:hAnsi="Calibri" w:cs="Calibri"/>
                <w:color w:val="4472C4"/>
              </w:rPr>
            </w:pPr>
            <w:r w:rsidRPr="00B346CB">
              <w:rPr>
                <w:rFonts w:ascii="Calibri" w:eastAsia="Times New Roman" w:hAnsi="Calibri" w:cs="Calibri"/>
                <w:color w:val="4472C4"/>
              </w:rPr>
              <w:t> </w:t>
            </w:r>
          </w:p>
        </w:tc>
        <w:tc>
          <w:tcPr>
            <w:tcW w:w="2560" w:type="dxa"/>
            <w:tcBorders>
              <w:top w:val="nil"/>
              <w:left w:val="nil"/>
              <w:bottom w:val="nil"/>
              <w:right w:val="nil"/>
            </w:tcBorders>
            <w:shd w:val="clear" w:color="000000" w:fill="D9D9D9"/>
            <w:hideMark/>
          </w:tcPr>
          <w:p w14:paraId="5AB52454"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No blank case reporting forms</w:t>
            </w:r>
          </w:p>
        </w:tc>
        <w:tc>
          <w:tcPr>
            <w:tcW w:w="5480" w:type="dxa"/>
            <w:tcBorders>
              <w:top w:val="nil"/>
              <w:left w:val="nil"/>
              <w:bottom w:val="nil"/>
              <w:right w:val="nil"/>
            </w:tcBorders>
            <w:shd w:val="clear" w:color="000000" w:fill="D9D9D9"/>
            <w:hideMark/>
          </w:tcPr>
          <w:p w14:paraId="723F9A02"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surveyed health structures that did not have blank case reporting forms for any reportable disease or condition</w:t>
            </w:r>
          </w:p>
        </w:tc>
        <w:tc>
          <w:tcPr>
            <w:tcW w:w="3720" w:type="dxa"/>
            <w:tcBorders>
              <w:top w:val="nil"/>
              <w:left w:val="nil"/>
              <w:bottom w:val="nil"/>
              <w:right w:val="nil"/>
            </w:tcBorders>
            <w:shd w:val="clear" w:color="000000" w:fill="D9D9D9"/>
            <w:hideMark/>
          </w:tcPr>
          <w:p w14:paraId="0D04235C"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r w:rsidR="00B346CB" w:rsidRPr="00B346CB" w14:paraId="1F2F37F6" w14:textId="77777777" w:rsidTr="00B346CB">
        <w:trPr>
          <w:trHeight w:val="1740"/>
        </w:trPr>
        <w:tc>
          <w:tcPr>
            <w:tcW w:w="1520" w:type="dxa"/>
            <w:tcBorders>
              <w:top w:val="nil"/>
              <w:left w:val="nil"/>
              <w:bottom w:val="nil"/>
              <w:right w:val="nil"/>
            </w:tcBorders>
            <w:shd w:val="clear" w:color="auto" w:fill="auto"/>
            <w:noWrap/>
            <w:hideMark/>
          </w:tcPr>
          <w:p w14:paraId="44FC53D9" w14:textId="77777777" w:rsidR="00B346CB" w:rsidRPr="00B346CB" w:rsidRDefault="00B346CB" w:rsidP="00B346CB">
            <w:pPr>
              <w:spacing w:after="0" w:line="240" w:lineRule="auto"/>
              <w:rPr>
                <w:rFonts w:ascii="Calibri" w:eastAsia="Times New Roman" w:hAnsi="Calibri" w:cs="Calibri"/>
              </w:rPr>
            </w:pPr>
          </w:p>
        </w:tc>
        <w:tc>
          <w:tcPr>
            <w:tcW w:w="2560" w:type="dxa"/>
            <w:tcBorders>
              <w:top w:val="nil"/>
              <w:left w:val="nil"/>
              <w:bottom w:val="nil"/>
              <w:right w:val="nil"/>
            </w:tcBorders>
            <w:shd w:val="clear" w:color="auto" w:fill="auto"/>
            <w:hideMark/>
          </w:tcPr>
          <w:p w14:paraId="1F2985AC"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Completeness (denominators listed)</w:t>
            </w:r>
          </w:p>
        </w:tc>
        <w:tc>
          <w:tcPr>
            <w:tcW w:w="5480" w:type="dxa"/>
            <w:tcBorders>
              <w:top w:val="nil"/>
              <w:left w:val="nil"/>
              <w:bottom w:val="nil"/>
              <w:right w:val="nil"/>
            </w:tcBorders>
            <w:shd w:val="clear" w:color="auto" w:fill="auto"/>
            <w:hideMark/>
          </w:tcPr>
          <w:p w14:paraId="16F9E929"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structures that the health zone/provincial office reported receiving weekly surveillance data from that included data for every reportable disease and condition, including those with zero cases over the 3-month period prior to the data collection (12 complete weekly reports expected per facility)</w:t>
            </w:r>
          </w:p>
        </w:tc>
        <w:tc>
          <w:tcPr>
            <w:tcW w:w="3720" w:type="dxa"/>
            <w:tcBorders>
              <w:top w:val="nil"/>
              <w:left w:val="nil"/>
              <w:bottom w:val="nil"/>
              <w:right w:val="nil"/>
            </w:tcBorders>
            <w:shd w:val="clear" w:color="auto" w:fill="auto"/>
            <w:hideMark/>
          </w:tcPr>
          <w:p w14:paraId="0C727CED"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health structures integrated into the IDSR system in each health zone</w:t>
            </w:r>
          </w:p>
        </w:tc>
      </w:tr>
      <w:tr w:rsidR="00B346CB" w:rsidRPr="00B346CB" w14:paraId="3949C987" w14:textId="77777777" w:rsidTr="00B346CB">
        <w:trPr>
          <w:trHeight w:val="1450"/>
        </w:trPr>
        <w:tc>
          <w:tcPr>
            <w:tcW w:w="1520" w:type="dxa"/>
            <w:tcBorders>
              <w:top w:val="nil"/>
              <w:left w:val="nil"/>
              <w:bottom w:val="nil"/>
              <w:right w:val="nil"/>
            </w:tcBorders>
            <w:shd w:val="clear" w:color="000000" w:fill="D9D9D9"/>
            <w:noWrap/>
            <w:hideMark/>
          </w:tcPr>
          <w:p w14:paraId="7182A41E" w14:textId="77777777" w:rsidR="00B346CB" w:rsidRPr="00B346CB" w:rsidRDefault="00B346CB" w:rsidP="00B346CB">
            <w:pPr>
              <w:spacing w:after="0" w:line="240" w:lineRule="auto"/>
              <w:rPr>
                <w:rFonts w:ascii="Calibri" w:eastAsia="Times New Roman" w:hAnsi="Calibri" w:cs="Calibri"/>
                <w:color w:val="4472C4"/>
              </w:rPr>
            </w:pPr>
            <w:r w:rsidRPr="00B346CB">
              <w:rPr>
                <w:rFonts w:ascii="Calibri" w:eastAsia="Times New Roman" w:hAnsi="Calibri" w:cs="Calibri"/>
                <w:color w:val="4472C4"/>
              </w:rPr>
              <w:t> </w:t>
            </w:r>
          </w:p>
        </w:tc>
        <w:tc>
          <w:tcPr>
            <w:tcW w:w="2560" w:type="dxa"/>
            <w:tcBorders>
              <w:top w:val="nil"/>
              <w:left w:val="nil"/>
              <w:bottom w:val="nil"/>
              <w:right w:val="nil"/>
            </w:tcBorders>
            <w:shd w:val="clear" w:color="000000" w:fill="D9D9D9"/>
            <w:hideMark/>
          </w:tcPr>
          <w:p w14:paraId="3BDF053D"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Timeliness (denominators listed)</w:t>
            </w:r>
          </w:p>
        </w:tc>
        <w:tc>
          <w:tcPr>
            <w:tcW w:w="5480" w:type="dxa"/>
            <w:tcBorders>
              <w:top w:val="nil"/>
              <w:left w:val="nil"/>
              <w:bottom w:val="nil"/>
              <w:right w:val="nil"/>
            </w:tcBorders>
            <w:shd w:val="clear" w:color="000000" w:fill="D9D9D9"/>
            <w:hideMark/>
          </w:tcPr>
          <w:p w14:paraId="75D8D630"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structures that the health zone/provincial office reported receiving weekly IDSR data for by the established deadline of submission consistently during the 3 months prior to the data collection (12 on time weekly reports expected per facility)</w:t>
            </w:r>
          </w:p>
        </w:tc>
        <w:tc>
          <w:tcPr>
            <w:tcW w:w="3720" w:type="dxa"/>
            <w:tcBorders>
              <w:top w:val="nil"/>
              <w:left w:val="nil"/>
              <w:bottom w:val="nil"/>
              <w:right w:val="nil"/>
            </w:tcBorders>
            <w:shd w:val="clear" w:color="000000" w:fill="D9D9D9"/>
            <w:hideMark/>
          </w:tcPr>
          <w:p w14:paraId="1A9DF842"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health structures integrated into the IDSR system in each health zone</w:t>
            </w:r>
          </w:p>
        </w:tc>
      </w:tr>
      <w:tr w:rsidR="00B346CB" w:rsidRPr="00B346CB" w14:paraId="234786D7" w14:textId="77777777" w:rsidTr="00B346CB">
        <w:trPr>
          <w:trHeight w:val="1160"/>
        </w:trPr>
        <w:tc>
          <w:tcPr>
            <w:tcW w:w="1520" w:type="dxa"/>
            <w:tcBorders>
              <w:top w:val="nil"/>
              <w:left w:val="nil"/>
              <w:bottom w:val="nil"/>
              <w:right w:val="nil"/>
            </w:tcBorders>
            <w:shd w:val="clear" w:color="auto" w:fill="auto"/>
            <w:noWrap/>
            <w:hideMark/>
          </w:tcPr>
          <w:p w14:paraId="5EC519CE"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lastRenderedPageBreak/>
              <w:t>Investigation</w:t>
            </w:r>
          </w:p>
        </w:tc>
        <w:tc>
          <w:tcPr>
            <w:tcW w:w="2560" w:type="dxa"/>
            <w:tcBorders>
              <w:top w:val="nil"/>
              <w:left w:val="nil"/>
              <w:bottom w:val="nil"/>
              <w:right w:val="nil"/>
            </w:tcBorders>
            <w:shd w:val="clear" w:color="auto" w:fill="auto"/>
            <w:hideMark/>
          </w:tcPr>
          <w:p w14:paraId="4A7BE4E7"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Capability to collect specimens for lab testing</w:t>
            </w:r>
          </w:p>
        </w:tc>
        <w:tc>
          <w:tcPr>
            <w:tcW w:w="5480" w:type="dxa"/>
            <w:tcBorders>
              <w:top w:val="nil"/>
              <w:left w:val="nil"/>
              <w:bottom w:val="nil"/>
              <w:right w:val="nil"/>
            </w:tcBorders>
            <w:shd w:val="clear" w:color="auto" w:fill="auto"/>
            <w:hideMark/>
          </w:tcPr>
          <w:p w14:paraId="0E094F6F"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structures where the surveillance focal point self-reported that structure staff have the capability to collect specimen for lab testing for any reportable disease or condition</w:t>
            </w:r>
          </w:p>
        </w:tc>
        <w:tc>
          <w:tcPr>
            <w:tcW w:w="3720" w:type="dxa"/>
            <w:tcBorders>
              <w:top w:val="nil"/>
              <w:left w:val="nil"/>
              <w:bottom w:val="nil"/>
              <w:right w:val="nil"/>
            </w:tcBorders>
            <w:shd w:val="clear" w:color="auto" w:fill="auto"/>
            <w:hideMark/>
          </w:tcPr>
          <w:p w14:paraId="1638FCD0"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r w:rsidR="00B346CB" w:rsidRPr="00B346CB" w14:paraId="30145B8E" w14:textId="77777777" w:rsidTr="00B346CB">
        <w:trPr>
          <w:trHeight w:val="870"/>
        </w:trPr>
        <w:tc>
          <w:tcPr>
            <w:tcW w:w="1520" w:type="dxa"/>
            <w:tcBorders>
              <w:top w:val="nil"/>
              <w:left w:val="nil"/>
              <w:bottom w:val="nil"/>
              <w:right w:val="nil"/>
            </w:tcBorders>
            <w:shd w:val="clear" w:color="000000" w:fill="D9D9D9"/>
            <w:noWrap/>
            <w:hideMark/>
          </w:tcPr>
          <w:p w14:paraId="0A0CA054" w14:textId="77777777" w:rsidR="00B346CB" w:rsidRPr="00B346CB" w:rsidRDefault="00B346CB" w:rsidP="00B346CB">
            <w:pPr>
              <w:spacing w:after="0" w:line="240" w:lineRule="auto"/>
              <w:rPr>
                <w:rFonts w:ascii="Calibri" w:eastAsia="Times New Roman" w:hAnsi="Calibri" w:cs="Calibri"/>
                <w:color w:val="4472C4"/>
              </w:rPr>
            </w:pPr>
            <w:r w:rsidRPr="00B346CB">
              <w:rPr>
                <w:rFonts w:ascii="Calibri" w:eastAsia="Times New Roman" w:hAnsi="Calibri" w:cs="Calibri"/>
                <w:color w:val="4472C4"/>
              </w:rPr>
              <w:t> </w:t>
            </w:r>
          </w:p>
        </w:tc>
        <w:tc>
          <w:tcPr>
            <w:tcW w:w="2560" w:type="dxa"/>
            <w:tcBorders>
              <w:top w:val="nil"/>
              <w:left w:val="nil"/>
              <w:bottom w:val="nil"/>
              <w:right w:val="nil"/>
            </w:tcBorders>
            <w:shd w:val="clear" w:color="000000" w:fill="D9D9D9"/>
            <w:hideMark/>
          </w:tcPr>
          <w:p w14:paraId="216F6F2A"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Test kits to collect specimens</w:t>
            </w:r>
          </w:p>
        </w:tc>
        <w:tc>
          <w:tcPr>
            <w:tcW w:w="5480" w:type="dxa"/>
            <w:tcBorders>
              <w:top w:val="nil"/>
              <w:left w:val="nil"/>
              <w:bottom w:val="nil"/>
              <w:right w:val="nil"/>
            </w:tcBorders>
            <w:shd w:val="clear" w:color="000000" w:fill="D9D9D9"/>
            <w:hideMark/>
          </w:tcPr>
          <w:p w14:paraId="4B085E05"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structures that were able to produce at the time of interview at least one test kit to collect specimen for lab testing for any reportable disease or condition</w:t>
            </w:r>
          </w:p>
        </w:tc>
        <w:tc>
          <w:tcPr>
            <w:tcW w:w="3720" w:type="dxa"/>
            <w:tcBorders>
              <w:top w:val="nil"/>
              <w:left w:val="nil"/>
              <w:bottom w:val="nil"/>
              <w:right w:val="nil"/>
            </w:tcBorders>
            <w:shd w:val="clear" w:color="000000" w:fill="D9D9D9"/>
            <w:hideMark/>
          </w:tcPr>
          <w:p w14:paraId="1B0BD5C3"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r w:rsidR="00B346CB" w:rsidRPr="00B346CB" w14:paraId="22E2AD38" w14:textId="77777777" w:rsidTr="00B346CB">
        <w:trPr>
          <w:trHeight w:val="1160"/>
        </w:trPr>
        <w:tc>
          <w:tcPr>
            <w:tcW w:w="1520" w:type="dxa"/>
            <w:tcBorders>
              <w:top w:val="nil"/>
              <w:left w:val="nil"/>
              <w:bottom w:val="nil"/>
              <w:right w:val="nil"/>
            </w:tcBorders>
            <w:shd w:val="clear" w:color="auto" w:fill="auto"/>
            <w:noWrap/>
            <w:hideMark/>
          </w:tcPr>
          <w:p w14:paraId="18091587" w14:textId="77777777" w:rsidR="00B346CB" w:rsidRPr="00B346CB" w:rsidRDefault="00B346CB" w:rsidP="00B346CB">
            <w:pPr>
              <w:spacing w:after="0" w:line="240" w:lineRule="auto"/>
              <w:rPr>
                <w:rFonts w:ascii="Calibri" w:eastAsia="Times New Roman" w:hAnsi="Calibri" w:cs="Calibri"/>
              </w:rPr>
            </w:pPr>
          </w:p>
        </w:tc>
        <w:tc>
          <w:tcPr>
            <w:tcW w:w="2560" w:type="dxa"/>
            <w:tcBorders>
              <w:top w:val="nil"/>
              <w:left w:val="nil"/>
              <w:bottom w:val="nil"/>
              <w:right w:val="nil"/>
            </w:tcBorders>
            <w:shd w:val="clear" w:color="auto" w:fill="auto"/>
            <w:hideMark/>
          </w:tcPr>
          <w:p w14:paraId="2F8BA5B3"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Avg time to receive EVD lab test results &lt;3 days</w:t>
            </w:r>
          </w:p>
        </w:tc>
        <w:tc>
          <w:tcPr>
            <w:tcW w:w="5480" w:type="dxa"/>
            <w:tcBorders>
              <w:top w:val="nil"/>
              <w:left w:val="nil"/>
              <w:bottom w:val="nil"/>
              <w:right w:val="nil"/>
            </w:tcBorders>
            <w:shd w:val="clear" w:color="auto" w:fill="auto"/>
            <w:hideMark/>
          </w:tcPr>
          <w:p w14:paraId="1B608CB6"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structures where the surveillance focal point self-reported that the average time it took to receive EVD RT-PCR test results from the time of collection was less than 3 days</w:t>
            </w:r>
          </w:p>
        </w:tc>
        <w:tc>
          <w:tcPr>
            <w:tcW w:w="3720" w:type="dxa"/>
            <w:tcBorders>
              <w:top w:val="nil"/>
              <w:left w:val="nil"/>
              <w:bottom w:val="nil"/>
              <w:right w:val="nil"/>
            </w:tcBorders>
            <w:shd w:val="clear" w:color="auto" w:fill="auto"/>
            <w:hideMark/>
          </w:tcPr>
          <w:p w14:paraId="6202DCEF"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r w:rsidR="00B346CB" w:rsidRPr="00B346CB" w14:paraId="1E1BC703" w14:textId="77777777" w:rsidTr="00B346CB">
        <w:trPr>
          <w:trHeight w:val="870"/>
        </w:trPr>
        <w:tc>
          <w:tcPr>
            <w:tcW w:w="1520" w:type="dxa"/>
            <w:tcBorders>
              <w:top w:val="nil"/>
              <w:left w:val="nil"/>
              <w:bottom w:val="nil"/>
              <w:right w:val="nil"/>
            </w:tcBorders>
            <w:shd w:val="clear" w:color="000000" w:fill="D9D9D9"/>
            <w:hideMark/>
          </w:tcPr>
          <w:p w14:paraId="6D1C0280" w14:textId="77777777" w:rsidR="00B346CB" w:rsidRPr="00B346CB" w:rsidRDefault="00B346CB" w:rsidP="00B346CB">
            <w:pPr>
              <w:spacing w:after="0" w:line="240" w:lineRule="auto"/>
              <w:rPr>
                <w:rFonts w:ascii="Calibri" w:eastAsia="Times New Roman" w:hAnsi="Calibri" w:cs="Calibri"/>
                <w:color w:val="000000"/>
              </w:rPr>
            </w:pPr>
            <w:r w:rsidRPr="00B346CB">
              <w:rPr>
                <w:rFonts w:ascii="Calibri" w:eastAsia="Times New Roman" w:hAnsi="Calibri" w:cs="Calibri"/>
                <w:color w:val="000000"/>
              </w:rPr>
              <w:t> </w:t>
            </w:r>
          </w:p>
        </w:tc>
        <w:tc>
          <w:tcPr>
            <w:tcW w:w="2560" w:type="dxa"/>
            <w:tcBorders>
              <w:top w:val="nil"/>
              <w:left w:val="nil"/>
              <w:bottom w:val="nil"/>
              <w:right w:val="nil"/>
            </w:tcBorders>
            <w:shd w:val="clear" w:color="000000" w:fill="D9D9D9"/>
            <w:hideMark/>
          </w:tcPr>
          <w:p w14:paraId="6698DB70"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Have laboratory</w:t>
            </w:r>
          </w:p>
        </w:tc>
        <w:tc>
          <w:tcPr>
            <w:tcW w:w="5480" w:type="dxa"/>
            <w:tcBorders>
              <w:top w:val="nil"/>
              <w:left w:val="nil"/>
              <w:bottom w:val="nil"/>
              <w:right w:val="nil"/>
            </w:tcBorders>
            <w:shd w:val="clear" w:color="000000" w:fill="D9D9D9"/>
            <w:hideMark/>
          </w:tcPr>
          <w:p w14:paraId="11274A1B"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zones with a private or public laboratory able to test specimens</w:t>
            </w:r>
          </w:p>
        </w:tc>
        <w:tc>
          <w:tcPr>
            <w:tcW w:w="3720" w:type="dxa"/>
            <w:tcBorders>
              <w:top w:val="nil"/>
              <w:left w:val="nil"/>
              <w:bottom w:val="nil"/>
              <w:right w:val="nil"/>
            </w:tcBorders>
            <w:shd w:val="clear" w:color="000000" w:fill="D9D9D9"/>
            <w:hideMark/>
          </w:tcPr>
          <w:p w14:paraId="2B52AF4C"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zones/provincial offices</w:t>
            </w:r>
          </w:p>
        </w:tc>
      </w:tr>
      <w:tr w:rsidR="00B346CB" w:rsidRPr="00B346CB" w14:paraId="690580B8" w14:textId="77777777" w:rsidTr="00B346CB">
        <w:trPr>
          <w:trHeight w:val="1160"/>
        </w:trPr>
        <w:tc>
          <w:tcPr>
            <w:tcW w:w="1520" w:type="dxa"/>
            <w:tcBorders>
              <w:top w:val="nil"/>
              <w:left w:val="nil"/>
              <w:bottom w:val="nil"/>
              <w:right w:val="nil"/>
            </w:tcBorders>
            <w:shd w:val="clear" w:color="auto" w:fill="auto"/>
            <w:noWrap/>
            <w:hideMark/>
          </w:tcPr>
          <w:p w14:paraId="2AAE6DBF" w14:textId="77777777" w:rsidR="00B346CB" w:rsidRPr="00B346CB" w:rsidRDefault="00B346CB" w:rsidP="00B346CB">
            <w:pPr>
              <w:spacing w:after="0" w:line="240" w:lineRule="auto"/>
              <w:rPr>
                <w:rFonts w:ascii="Calibri" w:eastAsia="Times New Roman" w:hAnsi="Calibri" w:cs="Calibri"/>
              </w:rPr>
            </w:pPr>
          </w:p>
        </w:tc>
        <w:tc>
          <w:tcPr>
            <w:tcW w:w="2560" w:type="dxa"/>
            <w:tcBorders>
              <w:top w:val="nil"/>
              <w:left w:val="nil"/>
              <w:bottom w:val="nil"/>
              <w:right w:val="nil"/>
            </w:tcBorders>
            <w:shd w:val="clear" w:color="auto" w:fill="auto"/>
            <w:hideMark/>
          </w:tcPr>
          <w:p w14:paraId="00B4FFF3"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Suspected outbreaks notified within 24 hours (denominators listed)</w:t>
            </w:r>
          </w:p>
        </w:tc>
        <w:tc>
          <w:tcPr>
            <w:tcW w:w="5480" w:type="dxa"/>
            <w:tcBorders>
              <w:top w:val="nil"/>
              <w:left w:val="nil"/>
              <w:bottom w:val="nil"/>
              <w:right w:val="nil"/>
            </w:tcBorders>
            <w:shd w:val="clear" w:color="auto" w:fill="auto"/>
            <w:hideMark/>
          </w:tcPr>
          <w:p w14:paraId="3ACBAC4C"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Number of suspected outbreaks notified to the next level of the health system within 24 hours over the past 12 months</w:t>
            </w:r>
          </w:p>
        </w:tc>
        <w:tc>
          <w:tcPr>
            <w:tcW w:w="3720" w:type="dxa"/>
            <w:tcBorders>
              <w:top w:val="nil"/>
              <w:left w:val="nil"/>
              <w:bottom w:val="nil"/>
              <w:right w:val="nil"/>
            </w:tcBorders>
            <w:shd w:val="clear" w:color="auto" w:fill="auto"/>
            <w:hideMark/>
          </w:tcPr>
          <w:p w14:paraId="329DC118"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Number of total suspected outbreaks reported in the health zone in the past 12 months</w:t>
            </w:r>
          </w:p>
        </w:tc>
      </w:tr>
      <w:tr w:rsidR="00B346CB" w:rsidRPr="00B346CB" w14:paraId="100937EC" w14:textId="77777777" w:rsidTr="00B346CB">
        <w:trPr>
          <w:trHeight w:val="1160"/>
        </w:trPr>
        <w:tc>
          <w:tcPr>
            <w:tcW w:w="1520" w:type="dxa"/>
            <w:tcBorders>
              <w:top w:val="nil"/>
              <w:left w:val="nil"/>
              <w:bottom w:val="nil"/>
              <w:right w:val="nil"/>
            </w:tcBorders>
            <w:shd w:val="clear" w:color="000000" w:fill="D9D9D9"/>
            <w:noWrap/>
            <w:hideMark/>
          </w:tcPr>
          <w:p w14:paraId="13280C3B" w14:textId="77777777" w:rsidR="00B346CB" w:rsidRPr="00B346CB" w:rsidRDefault="00B346CB" w:rsidP="00B346CB">
            <w:pPr>
              <w:spacing w:after="0" w:line="240" w:lineRule="auto"/>
              <w:rPr>
                <w:rFonts w:ascii="Calibri" w:eastAsia="Times New Roman" w:hAnsi="Calibri" w:cs="Calibri"/>
                <w:color w:val="4472C4"/>
              </w:rPr>
            </w:pPr>
            <w:r w:rsidRPr="00B346CB">
              <w:rPr>
                <w:rFonts w:ascii="Calibri" w:eastAsia="Times New Roman" w:hAnsi="Calibri" w:cs="Calibri"/>
                <w:color w:val="4472C4"/>
              </w:rPr>
              <w:t> </w:t>
            </w:r>
          </w:p>
        </w:tc>
        <w:tc>
          <w:tcPr>
            <w:tcW w:w="2560" w:type="dxa"/>
            <w:tcBorders>
              <w:top w:val="nil"/>
              <w:left w:val="nil"/>
              <w:bottom w:val="nil"/>
              <w:right w:val="nil"/>
            </w:tcBorders>
            <w:shd w:val="clear" w:color="000000" w:fill="D9D9D9"/>
            <w:hideMark/>
          </w:tcPr>
          <w:p w14:paraId="0269F0CE"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Investigated epidemics with lab results (denominators listed)</w:t>
            </w:r>
          </w:p>
        </w:tc>
        <w:tc>
          <w:tcPr>
            <w:tcW w:w="5480" w:type="dxa"/>
            <w:tcBorders>
              <w:top w:val="nil"/>
              <w:left w:val="nil"/>
              <w:bottom w:val="nil"/>
              <w:right w:val="nil"/>
            </w:tcBorders>
            <w:shd w:val="clear" w:color="000000" w:fill="D9D9D9"/>
            <w:hideMark/>
          </w:tcPr>
          <w:p w14:paraId="3547B93F"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Number of suspected outbreaks reported with lab results over the past 12 months</w:t>
            </w:r>
          </w:p>
        </w:tc>
        <w:tc>
          <w:tcPr>
            <w:tcW w:w="3720" w:type="dxa"/>
            <w:tcBorders>
              <w:top w:val="nil"/>
              <w:left w:val="nil"/>
              <w:bottom w:val="nil"/>
              <w:right w:val="nil"/>
            </w:tcBorders>
            <w:shd w:val="clear" w:color="000000" w:fill="D9D9D9"/>
            <w:hideMark/>
          </w:tcPr>
          <w:p w14:paraId="1B9A7863" w14:textId="77777777" w:rsidR="00B346CB" w:rsidRPr="00B346CB" w:rsidRDefault="00B346CB" w:rsidP="00B346CB">
            <w:pPr>
              <w:spacing w:after="0" w:line="240" w:lineRule="auto"/>
              <w:rPr>
                <w:rFonts w:ascii="Calibri" w:eastAsia="Times New Roman" w:hAnsi="Calibri" w:cs="Calibri"/>
                <w:i/>
                <w:iCs/>
              </w:rPr>
            </w:pPr>
            <w:r w:rsidRPr="00B346CB">
              <w:rPr>
                <w:rFonts w:ascii="Calibri" w:eastAsia="Times New Roman" w:hAnsi="Calibri" w:cs="Calibri"/>
                <w:i/>
                <w:iCs/>
              </w:rPr>
              <w:t>Number of total suspected outbreaks reported in the health zone in the past 12 months</w:t>
            </w:r>
          </w:p>
        </w:tc>
      </w:tr>
      <w:tr w:rsidR="00B346CB" w:rsidRPr="00B346CB" w14:paraId="2E034E8E" w14:textId="77777777" w:rsidTr="00B346CB">
        <w:trPr>
          <w:trHeight w:val="580"/>
        </w:trPr>
        <w:tc>
          <w:tcPr>
            <w:tcW w:w="1520" w:type="dxa"/>
            <w:tcBorders>
              <w:top w:val="nil"/>
              <w:left w:val="nil"/>
              <w:bottom w:val="nil"/>
              <w:right w:val="nil"/>
            </w:tcBorders>
            <w:shd w:val="clear" w:color="auto" w:fill="auto"/>
            <w:noWrap/>
            <w:hideMark/>
          </w:tcPr>
          <w:p w14:paraId="4CB316ED"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Response</w:t>
            </w:r>
          </w:p>
        </w:tc>
        <w:tc>
          <w:tcPr>
            <w:tcW w:w="2560" w:type="dxa"/>
            <w:tcBorders>
              <w:top w:val="nil"/>
              <w:left w:val="nil"/>
              <w:bottom w:val="nil"/>
              <w:right w:val="nil"/>
            </w:tcBorders>
            <w:shd w:val="clear" w:color="auto" w:fill="auto"/>
            <w:hideMark/>
          </w:tcPr>
          <w:p w14:paraId="0D8352CD"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Have RRT</w:t>
            </w:r>
          </w:p>
        </w:tc>
        <w:tc>
          <w:tcPr>
            <w:tcW w:w="5480" w:type="dxa"/>
            <w:tcBorders>
              <w:top w:val="nil"/>
              <w:left w:val="nil"/>
              <w:bottom w:val="nil"/>
              <w:right w:val="nil"/>
            </w:tcBorders>
            <w:shd w:val="clear" w:color="auto" w:fill="auto"/>
            <w:hideMark/>
          </w:tcPr>
          <w:p w14:paraId="020C27A4"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zone/provincial offices with a functioning rapid response team</w:t>
            </w:r>
          </w:p>
        </w:tc>
        <w:tc>
          <w:tcPr>
            <w:tcW w:w="3720" w:type="dxa"/>
            <w:tcBorders>
              <w:top w:val="nil"/>
              <w:left w:val="nil"/>
              <w:bottom w:val="nil"/>
              <w:right w:val="nil"/>
            </w:tcBorders>
            <w:shd w:val="clear" w:color="auto" w:fill="auto"/>
            <w:hideMark/>
          </w:tcPr>
          <w:p w14:paraId="275975A7"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health zone/provincial offices</w:t>
            </w:r>
          </w:p>
        </w:tc>
      </w:tr>
      <w:tr w:rsidR="00B346CB" w:rsidRPr="00B346CB" w14:paraId="2046D950" w14:textId="77777777" w:rsidTr="00B346CB">
        <w:trPr>
          <w:trHeight w:val="870"/>
        </w:trPr>
        <w:tc>
          <w:tcPr>
            <w:tcW w:w="1520" w:type="dxa"/>
            <w:tcBorders>
              <w:top w:val="nil"/>
              <w:left w:val="nil"/>
              <w:bottom w:val="nil"/>
              <w:right w:val="nil"/>
            </w:tcBorders>
            <w:shd w:val="clear" w:color="000000" w:fill="D9D9D9"/>
            <w:noWrap/>
            <w:hideMark/>
          </w:tcPr>
          <w:p w14:paraId="4FE9619F" w14:textId="77777777" w:rsidR="00B346CB" w:rsidRPr="00B346CB" w:rsidRDefault="00B346CB" w:rsidP="00B346CB">
            <w:pPr>
              <w:spacing w:after="0" w:line="240" w:lineRule="auto"/>
              <w:rPr>
                <w:rFonts w:ascii="Calibri" w:eastAsia="Times New Roman" w:hAnsi="Calibri" w:cs="Calibri"/>
                <w:color w:val="4472C4"/>
              </w:rPr>
            </w:pPr>
            <w:r w:rsidRPr="00B346CB">
              <w:rPr>
                <w:rFonts w:ascii="Calibri" w:eastAsia="Times New Roman" w:hAnsi="Calibri" w:cs="Calibri"/>
                <w:color w:val="4472C4"/>
              </w:rPr>
              <w:t> </w:t>
            </w:r>
          </w:p>
        </w:tc>
        <w:tc>
          <w:tcPr>
            <w:tcW w:w="2560" w:type="dxa"/>
            <w:tcBorders>
              <w:top w:val="nil"/>
              <w:left w:val="nil"/>
              <w:bottom w:val="nil"/>
              <w:right w:val="nil"/>
            </w:tcBorders>
            <w:shd w:val="clear" w:color="000000" w:fill="D9D9D9"/>
            <w:hideMark/>
          </w:tcPr>
          <w:p w14:paraId="4752E7E7"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RRT members have SOP</w:t>
            </w:r>
          </w:p>
        </w:tc>
        <w:tc>
          <w:tcPr>
            <w:tcW w:w="5480" w:type="dxa"/>
            <w:tcBorders>
              <w:top w:val="nil"/>
              <w:left w:val="nil"/>
              <w:bottom w:val="nil"/>
              <w:right w:val="nil"/>
            </w:tcBorders>
            <w:shd w:val="clear" w:color="000000" w:fill="D9D9D9"/>
            <w:hideMark/>
          </w:tcPr>
          <w:p w14:paraId="52976C46"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zone/provincial offices with a rapid response team where the members have a standard operating procedure</w:t>
            </w:r>
          </w:p>
        </w:tc>
        <w:tc>
          <w:tcPr>
            <w:tcW w:w="3720" w:type="dxa"/>
            <w:tcBorders>
              <w:top w:val="nil"/>
              <w:left w:val="nil"/>
              <w:bottom w:val="nil"/>
              <w:right w:val="nil"/>
            </w:tcBorders>
            <w:shd w:val="clear" w:color="000000" w:fill="D9D9D9"/>
            <w:hideMark/>
          </w:tcPr>
          <w:p w14:paraId="16218DBA"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health zone/provincial offices</w:t>
            </w:r>
          </w:p>
        </w:tc>
      </w:tr>
      <w:tr w:rsidR="00B346CB" w:rsidRPr="00B346CB" w14:paraId="079BEE8F" w14:textId="77777777" w:rsidTr="00B346CB">
        <w:trPr>
          <w:trHeight w:val="870"/>
        </w:trPr>
        <w:tc>
          <w:tcPr>
            <w:tcW w:w="1520" w:type="dxa"/>
            <w:tcBorders>
              <w:top w:val="nil"/>
              <w:left w:val="nil"/>
              <w:bottom w:val="nil"/>
              <w:right w:val="nil"/>
            </w:tcBorders>
            <w:shd w:val="clear" w:color="auto" w:fill="auto"/>
            <w:noWrap/>
            <w:hideMark/>
          </w:tcPr>
          <w:p w14:paraId="590B8324" w14:textId="77777777" w:rsidR="00B346CB" w:rsidRPr="00B346CB" w:rsidRDefault="00B346CB" w:rsidP="00B346CB">
            <w:pPr>
              <w:spacing w:after="0" w:line="240" w:lineRule="auto"/>
              <w:rPr>
                <w:rFonts w:ascii="Calibri" w:eastAsia="Times New Roman" w:hAnsi="Calibri" w:cs="Calibri"/>
              </w:rPr>
            </w:pPr>
          </w:p>
        </w:tc>
        <w:tc>
          <w:tcPr>
            <w:tcW w:w="2560" w:type="dxa"/>
            <w:tcBorders>
              <w:top w:val="nil"/>
              <w:left w:val="nil"/>
              <w:bottom w:val="nil"/>
              <w:right w:val="nil"/>
            </w:tcBorders>
            <w:shd w:val="clear" w:color="auto" w:fill="auto"/>
            <w:hideMark/>
          </w:tcPr>
          <w:p w14:paraId="29B2D4F2"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Average RRT response time  &lt;24 hours</w:t>
            </w:r>
          </w:p>
        </w:tc>
        <w:tc>
          <w:tcPr>
            <w:tcW w:w="5480" w:type="dxa"/>
            <w:tcBorders>
              <w:top w:val="nil"/>
              <w:left w:val="nil"/>
              <w:bottom w:val="nil"/>
              <w:right w:val="nil"/>
            </w:tcBorders>
            <w:shd w:val="clear" w:color="auto" w:fill="auto"/>
            <w:hideMark/>
          </w:tcPr>
          <w:p w14:paraId="4CA00BB9" w14:textId="2AC213F8"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zone/provincial offices with a rapid response team that has an average response time of less than 24 hours to res</w:t>
            </w:r>
            <w:r>
              <w:rPr>
                <w:rFonts w:ascii="Calibri" w:eastAsia="Times New Roman" w:hAnsi="Calibri" w:cs="Calibri"/>
              </w:rPr>
              <w:t>p</w:t>
            </w:r>
            <w:r w:rsidRPr="00B346CB">
              <w:rPr>
                <w:rFonts w:ascii="Calibri" w:eastAsia="Times New Roman" w:hAnsi="Calibri" w:cs="Calibri"/>
              </w:rPr>
              <w:t>ond to alerts of suspected disease</w:t>
            </w:r>
          </w:p>
        </w:tc>
        <w:tc>
          <w:tcPr>
            <w:tcW w:w="3720" w:type="dxa"/>
            <w:tcBorders>
              <w:top w:val="nil"/>
              <w:left w:val="nil"/>
              <w:bottom w:val="nil"/>
              <w:right w:val="nil"/>
            </w:tcBorders>
            <w:shd w:val="clear" w:color="auto" w:fill="auto"/>
            <w:hideMark/>
          </w:tcPr>
          <w:p w14:paraId="32EEA0CF"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health zone/provincial offices</w:t>
            </w:r>
          </w:p>
        </w:tc>
      </w:tr>
      <w:tr w:rsidR="00B346CB" w:rsidRPr="00B346CB" w14:paraId="22FCE9D9" w14:textId="77777777" w:rsidTr="00B346CB">
        <w:trPr>
          <w:trHeight w:val="580"/>
        </w:trPr>
        <w:tc>
          <w:tcPr>
            <w:tcW w:w="1520" w:type="dxa"/>
            <w:tcBorders>
              <w:top w:val="nil"/>
              <w:left w:val="nil"/>
              <w:bottom w:val="nil"/>
              <w:right w:val="nil"/>
            </w:tcBorders>
            <w:shd w:val="clear" w:color="000000" w:fill="D9D9D9"/>
            <w:noWrap/>
            <w:hideMark/>
          </w:tcPr>
          <w:p w14:paraId="041B90C3" w14:textId="77777777" w:rsidR="00B346CB" w:rsidRPr="00B346CB" w:rsidRDefault="00B346CB" w:rsidP="00B346CB">
            <w:pPr>
              <w:spacing w:after="0" w:line="240" w:lineRule="auto"/>
              <w:rPr>
                <w:rFonts w:ascii="Calibri" w:eastAsia="Times New Roman" w:hAnsi="Calibri" w:cs="Calibri"/>
                <w:color w:val="000000"/>
              </w:rPr>
            </w:pPr>
            <w:r w:rsidRPr="00B346CB">
              <w:rPr>
                <w:rFonts w:ascii="Calibri" w:eastAsia="Times New Roman" w:hAnsi="Calibri" w:cs="Calibri"/>
                <w:color w:val="000000"/>
              </w:rPr>
              <w:lastRenderedPageBreak/>
              <w:t>Training</w:t>
            </w:r>
          </w:p>
        </w:tc>
        <w:tc>
          <w:tcPr>
            <w:tcW w:w="2560" w:type="dxa"/>
            <w:tcBorders>
              <w:top w:val="nil"/>
              <w:left w:val="nil"/>
              <w:bottom w:val="nil"/>
              <w:right w:val="nil"/>
            </w:tcBorders>
            <w:shd w:val="clear" w:color="000000" w:fill="D9D9D9"/>
            <w:hideMark/>
          </w:tcPr>
          <w:p w14:paraId="308D2DC8"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Surveillance focal point trained in IDSR</w:t>
            </w:r>
          </w:p>
        </w:tc>
        <w:tc>
          <w:tcPr>
            <w:tcW w:w="5480" w:type="dxa"/>
            <w:tcBorders>
              <w:top w:val="nil"/>
              <w:left w:val="nil"/>
              <w:bottom w:val="nil"/>
              <w:right w:val="nil"/>
            </w:tcBorders>
            <w:shd w:val="clear" w:color="000000" w:fill="D9D9D9"/>
            <w:hideMark/>
          </w:tcPr>
          <w:p w14:paraId="33221A30"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Number of health structures where the surveillance focal point self-reported to have received training in IDSR</w:t>
            </w:r>
          </w:p>
        </w:tc>
        <w:tc>
          <w:tcPr>
            <w:tcW w:w="3720" w:type="dxa"/>
            <w:tcBorders>
              <w:top w:val="nil"/>
              <w:left w:val="nil"/>
              <w:bottom w:val="nil"/>
              <w:right w:val="nil"/>
            </w:tcBorders>
            <w:shd w:val="clear" w:color="000000" w:fill="D9D9D9"/>
            <w:hideMark/>
          </w:tcPr>
          <w:p w14:paraId="3E5376AF" w14:textId="77777777" w:rsidR="00B346CB" w:rsidRPr="00B346CB" w:rsidRDefault="00B346CB" w:rsidP="00B346CB">
            <w:pPr>
              <w:spacing w:after="0" w:line="240" w:lineRule="auto"/>
              <w:rPr>
                <w:rFonts w:ascii="Calibri" w:eastAsia="Times New Roman" w:hAnsi="Calibri" w:cs="Calibri"/>
              </w:rPr>
            </w:pPr>
            <w:r w:rsidRPr="00B346CB">
              <w:rPr>
                <w:rFonts w:ascii="Calibri" w:eastAsia="Times New Roman" w:hAnsi="Calibri" w:cs="Calibri"/>
              </w:rPr>
              <w:t>Total number of surveyed health structures</w:t>
            </w:r>
          </w:p>
        </w:tc>
      </w:tr>
    </w:tbl>
    <w:p w14:paraId="281BF4C4" w14:textId="5044F520" w:rsidR="00B346CB" w:rsidRPr="00B346CB" w:rsidRDefault="00B346CB" w:rsidP="00B346CB">
      <w:pPr>
        <w:tabs>
          <w:tab w:val="left" w:pos="2375"/>
        </w:tabs>
      </w:pPr>
    </w:p>
    <w:sectPr w:rsidR="00B346CB" w:rsidRPr="00B346CB" w:rsidSect="00B346C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27E8" w14:textId="77777777" w:rsidR="0003564F" w:rsidRDefault="0003564F" w:rsidP="0003564F">
      <w:pPr>
        <w:spacing w:after="0" w:line="240" w:lineRule="auto"/>
      </w:pPr>
      <w:r>
        <w:separator/>
      </w:r>
    </w:p>
  </w:endnote>
  <w:endnote w:type="continuationSeparator" w:id="0">
    <w:p w14:paraId="335076F8" w14:textId="77777777" w:rsidR="0003564F" w:rsidRDefault="0003564F" w:rsidP="0003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B84D7" w14:textId="77777777" w:rsidR="0003564F" w:rsidRDefault="0003564F" w:rsidP="0003564F">
      <w:pPr>
        <w:spacing w:after="0" w:line="240" w:lineRule="auto"/>
      </w:pPr>
      <w:r>
        <w:separator/>
      </w:r>
    </w:p>
  </w:footnote>
  <w:footnote w:type="continuationSeparator" w:id="0">
    <w:p w14:paraId="0D597A08" w14:textId="77777777" w:rsidR="0003564F" w:rsidRDefault="0003564F" w:rsidP="000356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6CB"/>
    <w:rsid w:val="0003564F"/>
    <w:rsid w:val="003E60EF"/>
    <w:rsid w:val="00721532"/>
    <w:rsid w:val="00B346CB"/>
    <w:rsid w:val="00F80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BA69"/>
  <w15:chartTrackingRefBased/>
  <w15:docId w15:val="{F0F39701-B7CB-432F-9211-A88D95F3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64F"/>
  </w:style>
  <w:style w:type="paragraph" w:styleId="Footer">
    <w:name w:val="footer"/>
    <w:basedOn w:val="Normal"/>
    <w:link w:val="FooterChar"/>
    <w:uiPriority w:val="99"/>
    <w:unhideWhenUsed/>
    <w:rsid w:val="00035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6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Kallay, Ruth (CDC/GHC/GID)</dc:creator>
  <cp:keywords/>
  <dc:description/>
  <cp:lastModifiedBy>Kallay, Ruth (CDC/GHC/GID)</cp:lastModifiedBy>
  <cp:revision>4</cp:revision>
  <dcterms:created xsi:type="dcterms:W3CDTF">2023-11-01T02:31:00Z</dcterms:created>
  <dcterms:modified xsi:type="dcterms:W3CDTF">2023-11-01T02:34:00Z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2023-11-01T02:32:55Z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bee47e99-fc4a-45d0-87d4-717810655312</vt:lpwstr>
  </property>
  <property fmtid="{D5CDD505-2E9C-101B-9397-08002B2CF9AE}" pid="8" name="MSIP_Label_7b94a7b8-f06c-4dfe-bdcc-9b548fd58c31_ContentBits">
    <vt:lpwstr>0</vt:lpwstr>
  </property>
</Properties>
</file>