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Regular" w:hAnsi="Times New Roman Regular" w:cs="Times New Roman Regular"/>
          <w:b/>
          <w:sz w:val="30"/>
          <w:szCs w:val="30"/>
        </w:rPr>
      </w:pPr>
      <w:r>
        <w:rPr>
          <w:rFonts w:ascii="Times New Roman Regular" w:hAnsi="Times New Roman Regular" w:cs="Times New Roman Regular"/>
          <w:b/>
          <w:sz w:val="30"/>
          <w:szCs w:val="30"/>
          <w:lang w:eastAsia="zh-Hans"/>
        </w:rPr>
        <w:t>S</w:t>
      </w:r>
      <w:r>
        <w:rPr>
          <w:rFonts w:ascii="Times New Roman Regular" w:hAnsi="Times New Roman Regular" w:cs="Times New Roman Regular"/>
          <w:b/>
          <w:sz w:val="30"/>
          <w:szCs w:val="30"/>
        </w:rPr>
        <w:t>upplementary materials</w:t>
      </w:r>
    </w:p>
    <w:p>
      <w:pPr>
        <w:rPr>
          <w:rFonts w:hint="eastAsia" w:ascii="Times New Roman Regular" w:hAnsi="Times New Roman Regular" w:cs="Times New Roman Regular"/>
          <w:b/>
          <w:sz w:val="28"/>
          <w:szCs w:val="28"/>
        </w:rPr>
      </w:pPr>
      <w:r>
        <w:rPr>
          <w:rFonts w:ascii="Times New Roman Regular" w:hAnsi="Times New Roman Regular" w:cs="Times New Roman Regular"/>
          <w:b/>
          <w:sz w:val="28"/>
          <w:szCs w:val="28"/>
        </w:rPr>
        <w:t>1 Aging-related hospitalizations</w:t>
      </w:r>
    </w:p>
    <w:p>
      <w:pPr>
        <w:rPr>
          <w:rFonts w:hint="eastAsia" w:ascii="Times New Roman Regular" w:hAnsi="Times New Roman Regular" w:cs="Times New Roman Regular"/>
          <w:b/>
          <w:sz w:val="24"/>
          <w:lang w:eastAsia="zh-Hans"/>
        </w:rPr>
      </w:pPr>
    </w:p>
    <w:p>
      <w:pPr>
        <w:rPr>
          <w:rFonts w:hint="eastAsia" w:ascii="Times New Roman Regular" w:hAnsi="Times New Roman Regular" w:cs="Times New Roman Regular"/>
          <w:b/>
          <w:sz w:val="24"/>
          <w:lang w:eastAsia="zh-Hans"/>
        </w:rPr>
      </w:pPr>
      <w:r>
        <w:rPr>
          <w:rFonts w:ascii="Times New Roman Regular" w:hAnsi="Times New Roman Regular" w:cs="Times New Roman Regular"/>
          <w:b/>
          <w:sz w:val="24"/>
          <w:lang w:eastAsia="zh-Hans"/>
        </w:rPr>
        <w:t>1.1 Details of the ICD-10 codes for the final 23 age-related diseases</w:t>
      </w:r>
    </w:p>
    <w:p>
      <w:pPr>
        <w:rPr>
          <w:rFonts w:hint="eastAsia" w:ascii="Times New Roman Regular" w:hAnsi="Times New Roman Regular" w:cs="Times New Roman Regular"/>
          <w:b/>
          <w:sz w:val="24"/>
          <w:lang w:eastAsia="zh-Hans"/>
        </w:rPr>
      </w:pPr>
    </w:p>
    <w:tbl>
      <w:tblPr>
        <w:tblStyle w:val="6"/>
        <w:tblW w:w="7415" w:type="dxa"/>
        <w:tblInd w:w="88" w:type="dxa"/>
        <w:tblLayout w:type="autofit"/>
        <w:tblCellMar>
          <w:top w:w="0" w:type="dxa"/>
          <w:left w:w="108" w:type="dxa"/>
          <w:bottom w:w="0" w:type="dxa"/>
          <w:right w:w="108" w:type="dxa"/>
        </w:tblCellMar>
      </w:tblPr>
      <w:tblGrid>
        <w:gridCol w:w="960"/>
        <w:gridCol w:w="960"/>
        <w:gridCol w:w="5495"/>
      </w:tblGrid>
      <w:tr>
        <w:tblPrEx>
          <w:tblCellMar>
            <w:top w:w="0" w:type="dxa"/>
            <w:left w:w="108" w:type="dxa"/>
            <w:bottom w:w="0" w:type="dxa"/>
            <w:right w:w="108" w:type="dxa"/>
          </w:tblCellMar>
        </w:tblPrEx>
        <w:trPr>
          <w:trHeight w:val="352" w:hRule="atLeast"/>
        </w:trPr>
        <w:tc>
          <w:tcPr>
            <w:tcW w:w="960" w:type="dxa"/>
            <w:tcBorders>
              <w:top w:val="nil"/>
              <w:left w:val="nil"/>
              <w:bottom w:val="single" w:color="000000" w:sz="4" w:space="0"/>
              <w:right w:val="nil"/>
            </w:tcBorders>
            <w:shd w:val="clear" w:color="auto" w:fill="auto"/>
            <w:noWrap/>
            <w:vAlign w:val="center"/>
          </w:tcPr>
          <w:p>
            <w:pPr>
              <w:rPr>
                <w:rFonts w:ascii="宋体" w:hAnsi="宋体" w:eastAsia="宋体" w:cs="宋体"/>
                <w:sz w:val="24"/>
              </w:rPr>
            </w:pPr>
          </w:p>
        </w:tc>
        <w:tc>
          <w:tcPr>
            <w:tcW w:w="960" w:type="dxa"/>
            <w:tcBorders>
              <w:top w:val="nil"/>
              <w:left w:val="nil"/>
              <w:bottom w:val="single" w:color="000000"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ICD code</w:t>
            </w:r>
          </w:p>
        </w:tc>
        <w:tc>
          <w:tcPr>
            <w:tcW w:w="5495" w:type="dxa"/>
            <w:tcBorders>
              <w:top w:val="nil"/>
              <w:left w:val="nil"/>
              <w:bottom w:val="single" w:color="000000"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ICD Description</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R31</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i/>
                <w:iCs/>
                <w:sz w:val="24"/>
              </w:rPr>
            </w:pPr>
            <w:r>
              <w:rPr>
                <w:rFonts w:ascii="Times New Roman Regular" w:hAnsi="Times New Roman Regular" w:eastAsia="Times New Roman Regular" w:cs="Times New Roman Regular"/>
                <w:kern w:val="0"/>
                <w:sz w:val="24"/>
                <w:lang w:bidi="ar"/>
              </w:rPr>
              <w:t>Unspecified hematuria</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2</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E86</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Volume depletion</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3</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R54</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Senility</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4</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F03</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Unspecified dementia</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5</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G20</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Parkinson's disease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6</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R55</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Syncope and collapse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7</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L97</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Ulcer of lower limb, not elsewhere classified</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8</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N19</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Unspecified renal failure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9</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R33</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Retention of urine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10</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R69</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Unknown and unspecified causes of morbidity</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11</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R32</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Unspecified urinary incontinence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12</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Y95</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Nosocomial condition</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13</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R02</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Gangrene, not elsewhere classified</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14</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R13</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Dysphagia</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15</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F10</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Mental and behavioral disorders due to use of alcohol</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16</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F32</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Depressive episode</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sz w:val="24"/>
              </w:rPr>
            </w:pPr>
            <w:r>
              <w:rPr>
                <w:rFonts w:hint="eastAsia" w:ascii="宋体" w:hAnsi="宋体" w:eastAsia="宋体" w:cs="宋体"/>
                <w:kern w:val="0"/>
                <w:sz w:val="24"/>
                <w:lang w:bidi="ar"/>
              </w:rPr>
              <w:t>17</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R11</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Nausea and vomiting</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18</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W18</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Other fall on same level</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19</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L89</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Decubitus ulcer</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20</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G40</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Epilepsy</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21</w:t>
            </w:r>
          </w:p>
        </w:tc>
        <w:tc>
          <w:tcPr>
            <w:tcW w:w="960" w:type="dxa"/>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E05</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ascii="Times New Roman Regular" w:hAnsi="Times New Roman Regular" w:eastAsia="Times New Roman Regular" w:cs="Times New Roman Regular"/>
                <w:kern w:val="0"/>
                <w:sz w:val="24"/>
                <w:lang w:bidi="ar"/>
              </w:rPr>
              <w:t>Thyrotoxicosis</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22</w:t>
            </w:r>
          </w:p>
        </w:tc>
        <w:tc>
          <w:tcPr>
            <w:tcW w:w="960" w:type="dxa"/>
            <w:tcBorders>
              <w:top w:val="nil"/>
              <w:left w:val="nil"/>
              <w:bottom w:val="nil"/>
              <w:right w:val="nil"/>
            </w:tcBorders>
            <w:shd w:val="clear" w:color="auto" w:fill="auto"/>
            <w:noWrap/>
            <w:vAlign w:val="center"/>
          </w:tcPr>
          <w:p>
            <w:pPr>
              <w:widowControl/>
              <w:jc w:val="left"/>
              <w:textAlignment w:val="center"/>
              <w:rPr>
                <w:rFonts w:hint="default" w:ascii="Times New Roman Regular" w:hAnsi="Times New Roman Regular" w:eastAsia="宋体" w:cs="Times New Roman Regular"/>
                <w:kern w:val="0"/>
                <w:sz w:val="24"/>
                <w:lang w:val="en-US" w:eastAsia="zh-CN" w:bidi="ar"/>
              </w:rPr>
            </w:pPr>
            <w:r>
              <w:rPr>
                <w:rFonts w:hint="eastAsia" w:ascii="Times New Roman Regular" w:hAnsi="Times New Roman Regular" w:eastAsia="宋体" w:cs="Times New Roman Regular"/>
                <w:kern w:val="0"/>
                <w:sz w:val="24"/>
                <w:lang w:val="en-US" w:eastAsia="zh-CN" w:bidi="ar"/>
              </w:rPr>
              <w:t>A09</w:t>
            </w:r>
          </w:p>
        </w:tc>
        <w:tc>
          <w:tcPr>
            <w:tcW w:w="0" w:type="auto"/>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kern w:val="0"/>
                <w:sz w:val="24"/>
                <w:lang w:bidi="ar"/>
              </w:rPr>
            </w:pPr>
            <w:r>
              <w:rPr>
                <w:rFonts w:hint="eastAsia" w:ascii="Times New Roman Regular" w:hAnsi="Times New Roman Regular" w:eastAsia="Times New Roman Regular" w:cs="Times New Roman Regular"/>
                <w:kern w:val="0"/>
                <w:sz w:val="24"/>
                <w:lang w:bidi="ar"/>
              </w:rPr>
              <w:t>Diarrhea and suspected infectious gastroenteritis</w:t>
            </w:r>
          </w:p>
        </w:tc>
      </w:tr>
      <w:tr>
        <w:tblPrEx>
          <w:tblCellMar>
            <w:top w:w="0" w:type="dxa"/>
            <w:left w:w="108" w:type="dxa"/>
            <w:bottom w:w="0" w:type="dxa"/>
            <w:right w:w="108" w:type="dxa"/>
          </w:tblCellMar>
        </w:tblPrEx>
        <w:trPr>
          <w:trHeight w:val="352" w:hRule="atLeast"/>
        </w:trPr>
        <w:tc>
          <w:tcPr>
            <w:tcW w:w="960" w:type="dxa"/>
            <w:tcBorders>
              <w:top w:val="nil"/>
              <w:left w:val="nil"/>
              <w:bottom w:val="nil"/>
              <w:right w:val="nil"/>
            </w:tcBorders>
            <w:shd w:val="clear" w:color="auto" w:fill="auto"/>
            <w:noWrap/>
            <w:vAlign w:val="center"/>
          </w:tcPr>
          <w:p>
            <w:pPr>
              <w:widowControl/>
              <w:jc w:val="right"/>
              <w:textAlignment w:val="center"/>
              <w:rPr>
                <w:rFonts w:ascii="宋体" w:hAnsi="宋体" w:eastAsia="宋体" w:cs="宋体"/>
                <w:kern w:val="0"/>
                <w:sz w:val="24"/>
                <w:lang w:bidi="ar"/>
              </w:rPr>
            </w:pPr>
            <w:r>
              <w:rPr>
                <w:rFonts w:ascii="宋体" w:hAnsi="宋体" w:eastAsia="宋体" w:cs="宋体"/>
                <w:kern w:val="0"/>
                <w:sz w:val="24"/>
                <w:lang w:bidi="ar"/>
              </w:rPr>
              <w:t>23</w:t>
            </w:r>
          </w:p>
        </w:tc>
        <w:tc>
          <w:tcPr>
            <w:tcW w:w="960" w:type="dxa"/>
            <w:tcBorders>
              <w:top w:val="nil"/>
              <w:left w:val="nil"/>
              <w:bottom w:val="single" w:color="000000" w:sz="4" w:space="0"/>
              <w:right w:val="nil"/>
            </w:tcBorders>
            <w:shd w:val="clear" w:color="auto" w:fill="auto"/>
            <w:noWrap/>
            <w:vAlign w:val="center"/>
          </w:tcPr>
          <w:p>
            <w:pPr>
              <w:widowControl/>
              <w:jc w:val="left"/>
              <w:textAlignment w:val="center"/>
              <w:rPr>
                <w:rFonts w:hint="default" w:ascii="Times New Roman Regular" w:hAnsi="Times New Roman Regular" w:eastAsia="宋体" w:cs="Times New Roman Regular"/>
                <w:kern w:val="0"/>
                <w:sz w:val="24"/>
                <w:lang w:val="en-US" w:eastAsia="zh-CN" w:bidi="ar"/>
              </w:rPr>
            </w:pPr>
            <w:r>
              <w:rPr>
                <w:rFonts w:hint="eastAsia" w:ascii="Times New Roman Regular" w:hAnsi="Times New Roman Regular" w:eastAsia="宋体" w:cs="Times New Roman Regular"/>
                <w:kern w:val="0"/>
                <w:sz w:val="24"/>
                <w:lang w:val="en-US" w:eastAsia="zh-CN" w:bidi="ar"/>
              </w:rPr>
              <w:t>J22</w:t>
            </w:r>
          </w:p>
        </w:tc>
        <w:tc>
          <w:tcPr>
            <w:tcW w:w="0" w:type="auto"/>
            <w:tcBorders>
              <w:top w:val="nil"/>
              <w:left w:val="nil"/>
              <w:bottom w:val="single" w:color="000000" w:sz="4" w:space="0"/>
              <w:right w:val="nil"/>
            </w:tcBorders>
            <w:shd w:val="clear" w:color="auto" w:fill="auto"/>
            <w:noWrap/>
            <w:vAlign w:val="center"/>
          </w:tcPr>
          <w:p>
            <w:pPr>
              <w:widowControl/>
              <w:jc w:val="left"/>
              <w:textAlignment w:val="center"/>
              <w:rPr>
                <w:rFonts w:hint="default" w:ascii="Times New Roman Regular" w:hAnsi="Times New Roman Regular" w:eastAsia="宋体" w:cs="Times New Roman Regular"/>
                <w:kern w:val="0"/>
                <w:sz w:val="24"/>
                <w:lang w:val="en-US" w:eastAsia="zh-CN" w:bidi="ar"/>
              </w:rPr>
            </w:pPr>
            <w:r>
              <w:rPr>
                <w:rFonts w:hint="eastAsia" w:ascii="Times New Roman Regular" w:hAnsi="Times New Roman Regular" w:eastAsia="Times New Roman Regular" w:cs="Times New Roman Regular"/>
                <w:kern w:val="0"/>
                <w:sz w:val="24"/>
                <w:lang w:bidi="ar"/>
              </w:rPr>
              <w:t>Unexplained acute lower respiratory tract infecti</w:t>
            </w:r>
            <w:r>
              <w:rPr>
                <w:rFonts w:hint="eastAsia" w:ascii="Times New Roman Regular" w:hAnsi="Times New Roman Regular" w:eastAsia="宋体" w:cs="Times New Roman Regular"/>
                <w:kern w:val="0"/>
                <w:sz w:val="24"/>
                <w:lang w:val="en-US" w:eastAsia="zh-CN" w:bidi="ar"/>
              </w:rPr>
              <w:t>on</w:t>
            </w:r>
          </w:p>
        </w:tc>
      </w:tr>
    </w:tbl>
    <w:p>
      <w:pPr>
        <w:widowControl/>
        <w:wordWrap w:val="0"/>
        <w:jc w:val="left"/>
        <w:rPr>
          <w:rFonts w:ascii="Times New Roman Regular" w:hAnsi="Times New Roman Regular" w:eastAsia="Helvetica Neue" w:cs="Times New Roman Regular"/>
          <w:b/>
          <w:sz w:val="28"/>
          <w:szCs w:val="28"/>
          <w:lang w:eastAsia="zh-Hans"/>
        </w:rPr>
      </w:pPr>
      <w:r>
        <w:rPr>
          <w:rFonts w:ascii="Times New Roman" w:hAnsi="Times New Roman" w:eastAsia="Times New Roman" w:cs="Times New Roman"/>
          <w:b/>
          <w:bCs/>
          <w:kern w:val="0"/>
          <w:sz w:val="24"/>
          <w:lang w:eastAsia="en-US" w:bidi="en-US"/>
        </w:rPr>
        <w:t xml:space="preserve">Supplemental </w:t>
      </w:r>
      <w:r>
        <w:rPr>
          <w:rFonts w:hint="eastAsia" w:ascii="Times New Roman" w:hAnsi="Times New Roman" w:eastAsia="Times New Roman" w:cs="Times New Roman"/>
          <w:b/>
          <w:bCs/>
          <w:kern w:val="0"/>
          <w:sz w:val="24"/>
          <w:lang w:eastAsia="zh-Hans" w:bidi="en-US"/>
        </w:rPr>
        <w:t>r</w:t>
      </w:r>
      <w:r>
        <w:rPr>
          <w:rFonts w:hint="eastAsia" w:ascii="Times New Roman Regular" w:hAnsi="Times New Roman Regular" w:eastAsia="Helvetica Neue" w:cs="Times New Roman Regular"/>
          <w:b/>
          <w:sz w:val="28"/>
          <w:szCs w:val="28"/>
          <w:lang w:eastAsia="zh-Hans"/>
        </w:rPr>
        <w:t>eference</w:t>
      </w:r>
    </w:p>
    <w:p>
      <w:pPr>
        <w:numPr>
          <w:ilvl w:val="0"/>
          <w:numId w:val="1"/>
        </w:numPr>
        <w:rPr>
          <w:rFonts w:ascii="Times New Roman Regular" w:hAnsi="Times New Roman Regular" w:eastAsia="Helvetica Neue" w:cs="Times New Roman Regular"/>
          <w:kern w:val="0"/>
          <w:sz w:val="26"/>
          <w:szCs w:val="26"/>
          <w:shd w:val="clear" w:color="auto" w:fill="FFFFFF"/>
          <w:lang w:bidi="ar"/>
        </w:rPr>
      </w:pPr>
      <w:r>
        <w:rPr>
          <w:rFonts w:ascii="Times New Roman Regular" w:hAnsi="Times New Roman Regular" w:eastAsia="Helvetica Neue" w:cs="Times New Roman Regular"/>
          <w:kern w:val="0"/>
          <w:sz w:val="26"/>
          <w:szCs w:val="26"/>
          <w:shd w:val="clear" w:color="auto" w:fill="FFFFFF"/>
          <w:lang w:bidi="ar"/>
        </w:rPr>
        <w:t>Chan MS, Arnold M, Offer A, et al. A Biomarker-based Biological Age in UK Biobank: Composition and Prediction of Mortality and Hospital Admissions. </w:t>
      </w:r>
      <w:r>
        <w:rPr>
          <w:rFonts w:ascii="Times New Roman Regular" w:hAnsi="Times New Roman Regular" w:eastAsia="Helvetica Neue" w:cs="Times New Roman Regular"/>
          <w:i/>
          <w:iCs/>
          <w:kern w:val="0"/>
          <w:sz w:val="26"/>
          <w:szCs w:val="26"/>
          <w:shd w:val="clear" w:color="auto" w:fill="FFFFFF"/>
          <w:lang w:bidi="ar"/>
        </w:rPr>
        <w:t>J Gerontol A Biol Sci Med Sci</w:t>
      </w:r>
      <w:r>
        <w:rPr>
          <w:rFonts w:ascii="Times New Roman Regular" w:hAnsi="Times New Roman Regular" w:eastAsia="Helvetica Neue" w:cs="Times New Roman Regular"/>
          <w:kern w:val="0"/>
          <w:sz w:val="26"/>
          <w:szCs w:val="26"/>
          <w:shd w:val="clear" w:color="auto" w:fill="FFFFFF"/>
          <w:lang w:bidi="ar"/>
        </w:rPr>
        <w:t>. 2021;76(7):1295-1302. doi:10.1093/gerona/glab069</w:t>
      </w:r>
    </w:p>
    <w:p>
      <w:pPr>
        <w:rPr>
          <w:rFonts w:ascii="Times New Roman Regular" w:hAnsi="Times New Roman Regular" w:eastAsia="Helvetica Neue" w:cs="Times New Roman Regular"/>
          <w:kern w:val="0"/>
          <w:sz w:val="26"/>
          <w:szCs w:val="26"/>
          <w:shd w:val="clear" w:color="auto" w:fill="FFFFFF"/>
          <w:lang w:bidi="ar"/>
        </w:rPr>
      </w:pPr>
    </w:p>
    <w:p>
      <w:pPr>
        <w:rPr>
          <w:rFonts w:hint="eastAsia" w:ascii="Times New Roman Regular" w:hAnsi="Times New Roman Regular" w:cs="Times New Roman Regular"/>
          <w:b/>
          <w:sz w:val="28"/>
          <w:szCs w:val="28"/>
        </w:rPr>
      </w:pPr>
      <w:bookmarkStart w:id="0" w:name="OLE_LINK3"/>
      <w:r>
        <w:rPr>
          <w:rFonts w:hint="eastAsia" w:ascii="Times New Roman Regular" w:hAnsi="Times New Roman Regular" w:cs="Times New Roman Regular"/>
          <w:b/>
          <w:sz w:val="28"/>
          <w:szCs w:val="28"/>
        </w:rPr>
        <w:t>2</w:t>
      </w:r>
      <w:r>
        <w:rPr>
          <w:rFonts w:ascii="Times New Roman Regular" w:hAnsi="Times New Roman Regular" w:cs="Times New Roman Regular"/>
          <w:b/>
          <w:sz w:val="28"/>
          <w:szCs w:val="28"/>
        </w:rPr>
        <w:t xml:space="preserve"> Biomarkers of the whole body and various organs biological age</w:t>
      </w:r>
    </w:p>
    <w:p>
      <w:pPr>
        <w:rPr>
          <w:rFonts w:hint="eastAsia" w:ascii="Times New Roman Regular" w:hAnsi="Times New Roman Regular" w:cs="Times New Roman Regular"/>
          <w:bCs/>
          <w:sz w:val="24"/>
          <w:lang w:eastAsia="zh-Hans"/>
        </w:rPr>
      </w:pPr>
      <w:bookmarkStart w:id="1" w:name="OLE_LINK1"/>
      <w:r>
        <w:rPr>
          <w:rFonts w:hint="eastAsia" w:ascii="Times New Roman Regular" w:hAnsi="Times New Roman Regular" w:cs="Times New Roman Regular"/>
          <w:bCs/>
          <w:sz w:val="24"/>
          <w:lang w:eastAsia="zh-Hans"/>
        </w:rPr>
        <w:t>A multiple linear regression model was employed to calculate the biological ages, with the actual age as the dependent variable and numerous biomarkers as independent variables. The intercept and beta coefficient of each biomarker were further utilized to measure biological ages</w:t>
      </w:r>
      <w:r>
        <w:rPr>
          <w:rFonts w:ascii="Times New Roman Regular" w:hAnsi="Times New Roman Regular" w:cs="Times New Roman Regular"/>
          <w:bCs/>
          <w:sz w:val="24"/>
          <w:lang w:eastAsia="zh-Hans"/>
        </w:rPr>
        <w:t xml:space="preserve">. </w:t>
      </w:r>
      <w:bookmarkEnd w:id="1"/>
    </w:p>
    <w:p>
      <w:pPr>
        <w:rPr>
          <w:rFonts w:hint="eastAsia" w:ascii="Times New Roman Regular" w:hAnsi="Times New Roman Regular" w:cs="Times New Roman Regular"/>
          <w:b/>
          <w:sz w:val="24"/>
          <w:lang w:eastAsia="zh-Hans"/>
        </w:rPr>
      </w:pPr>
      <w:r>
        <w:rPr>
          <w:rFonts w:hint="eastAsia" w:ascii="Times New Roman Regular" w:hAnsi="Times New Roman Regular" w:cs="Times New Roman Regular"/>
          <w:b/>
          <w:sz w:val="24"/>
        </w:rPr>
        <w:t>2</w:t>
      </w:r>
      <w:r>
        <w:rPr>
          <w:rFonts w:ascii="Times New Roman Regular" w:hAnsi="Times New Roman Regular" w:cs="Times New Roman Regular"/>
          <w:b/>
          <w:sz w:val="24"/>
        </w:rPr>
        <w:t xml:space="preserve">.1 </w:t>
      </w:r>
      <w:bookmarkStart w:id="2" w:name="OLE_LINK2"/>
      <w:r>
        <w:rPr>
          <w:rFonts w:hint="eastAsia" w:ascii="Times New Roman Regular" w:hAnsi="Times New Roman Regular" w:cs="Times New Roman Regular"/>
          <w:b/>
          <w:sz w:val="24"/>
          <w:lang w:eastAsia="zh-Hans"/>
        </w:rPr>
        <w:t xml:space="preserve">Whole body - Biological </w:t>
      </w:r>
      <w:r>
        <w:rPr>
          <w:rFonts w:ascii="Times New Roman Regular" w:hAnsi="Times New Roman Regular" w:cs="Times New Roman Regular"/>
          <w:b/>
          <w:sz w:val="24"/>
          <w:lang w:eastAsia="zh-Hans"/>
        </w:rPr>
        <w:t>a</w:t>
      </w:r>
      <w:r>
        <w:rPr>
          <w:rFonts w:hint="eastAsia" w:ascii="Times New Roman Regular" w:hAnsi="Times New Roman Regular" w:cs="Times New Roman Regular"/>
          <w:b/>
          <w:sz w:val="24"/>
          <w:lang w:eastAsia="zh-Hans"/>
        </w:rPr>
        <w:t>ge</w:t>
      </w:r>
      <w:bookmarkEnd w:id="2"/>
    </w:p>
    <w:p>
      <w:pPr>
        <w:rPr>
          <w:rFonts w:hint="eastAsia" w:ascii="Times New Roman Regular" w:hAnsi="Times New Roman Regular" w:cs="Times New Roman Regular"/>
          <w:b/>
          <w:sz w:val="24"/>
        </w:rPr>
      </w:pPr>
      <w:r>
        <w:rPr>
          <w:rFonts w:hint="eastAsia" w:ascii="Times New Roman Regular" w:hAnsi="Times New Roman Regular" w:cs="Times New Roman Regular"/>
          <w:bCs/>
          <w:sz w:val="24"/>
          <w:lang w:eastAsia="zh-Hans"/>
        </w:rPr>
        <w:t>I</w:t>
      </w:r>
      <w:bookmarkEnd w:id="0"/>
      <w:r>
        <w:rPr>
          <w:rFonts w:hint="eastAsia" w:ascii="Times New Roman Regular" w:hAnsi="Times New Roman Regular" w:cs="Times New Roman Regular"/>
          <w:bCs/>
          <w:sz w:val="24"/>
          <w:lang w:eastAsia="zh-Hans"/>
        </w:rPr>
        <w:t xml:space="preserve">n the UK Biobank data study, </w:t>
      </w:r>
      <w:r>
        <w:rPr>
          <w:rFonts w:ascii="Times New Roman Regular" w:hAnsi="Times New Roman Regular" w:cs="Times New Roman Regular"/>
          <w:bCs/>
          <w:sz w:val="24"/>
          <w:lang w:eastAsia="zh-Hans"/>
        </w:rPr>
        <w:t>t</w:t>
      </w:r>
      <w:r>
        <w:rPr>
          <w:rFonts w:hint="eastAsia" w:ascii="Times New Roman Regular" w:hAnsi="Times New Roman Regular" w:cs="Times New Roman Regular"/>
          <w:bCs/>
          <w:sz w:val="24"/>
          <w:lang w:eastAsia="zh-Hans"/>
        </w:rPr>
        <w:t xml:space="preserve">he calculation of the whole body-biological age involves initially screening from 72 commonly used physical or biochemical markers. Subsequently, markers with missing values exceeding 10% or those without a linear trend with the actual age were excluded. After excluding inflammation-related indicators, a total of 42 biomarkers were ultimately used, including systolic blood pressure, diastolic blood pressure, pulse, apolipoprotein A, apolipoprotein B, High Density Lipoprotein (HDL), Low Density Lipoprotein (LDL), triglycerides, glucose, HemoglobinA1c (HbAlc), insulin like growth factor  (IGF), albumin, alanine amino transferase, aspartate amino transferase, direct bilirubin, total bilirubin, Gamma glutamyl transferase, standing height, waist to hip ratio, Whole body fat free mass, basal metabolic rate, left hand grip, right hand grip, alkaline phosphatase, vitamin D, time to complete round, mean time to correctly identify matches, number of incorrect matches in round, </w:t>
      </w:r>
      <w:r>
        <w:rPr>
          <w:rFonts w:ascii="Times New Roman Regular" w:hAnsi="Times New Roman Regular" w:cs="Times New Roman Regular"/>
          <w:bCs/>
          <w:sz w:val="24"/>
          <w:lang w:eastAsia="zh-Hans"/>
        </w:rPr>
        <w:t>hemoglobin</w:t>
      </w:r>
      <w:r>
        <w:rPr>
          <w:rFonts w:hint="eastAsia" w:ascii="Times New Roman Regular" w:hAnsi="Times New Roman Regular" w:cs="Times New Roman Regular"/>
          <w:bCs/>
          <w:sz w:val="24"/>
          <w:lang w:eastAsia="zh-Hans"/>
        </w:rPr>
        <w:t xml:space="preserve"> concentration, Immature reticulocyte fraction, mean corpuscular volume, mean reticulocyte volume, mean sphered cell volume, sodium urine, creatinine enzymatic urine, urea, creatinine, cystatin C, total protein, urate, Forced expiratory volume in 1second (FEV1) and Forced vital capacity (FVC).</w:t>
      </w:r>
    </w:p>
    <w:p>
      <w:pPr>
        <w:rPr>
          <w:rFonts w:hint="eastAsia" w:ascii="Times New Roman Regular" w:hAnsi="Times New Roman Regular" w:cs="Times New Roman Regular"/>
          <w:b/>
          <w:sz w:val="28"/>
          <w:szCs w:val="28"/>
          <w:vertAlign w:val="superscript"/>
          <w:lang w:eastAsia="zh-Hans"/>
        </w:rPr>
      </w:pPr>
      <w:r>
        <w:rPr>
          <w:rFonts w:hint="eastAsia" w:ascii="Times New Roman Regular" w:hAnsi="Times New Roman Regular" w:cs="Times New Roman Regular"/>
          <w:b/>
          <w:sz w:val="24"/>
        </w:rPr>
        <w:t>2</w:t>
      </w:r>
      <w:r>
        <w:rPr>
          <w:rFonts w:ascii="Times New Roman Regular" w:hAnsi="Times New Roman Regular" w:cs="Times New Roman Regular"/>
          <w:b/>
          <w:sz w:val="24"/>
        </w:rPr>
        <w:t>.2</w:t>
      </w:r>
      <w:r>
        <w:rPr>
          <w:rFonts w:ascii="Times New Roman Regular" w:hAnsi="Times New Roman Regular" w:cs="Times New Roman Regular"/>
          <w:b/>
          <w:sz w:val="24"/>
          <w:lang w:eastAsia="zh-Hans"/>
        </w:rPr>
        <w:t xml:space="preserve"> </w:t>
      </w:r>
      <w:r>
        <w:rPr>
          <w:rFonts w:hint="eastAsia" w:ascii="Times New Roman Regular" w:hAnsi="Times New Roman Regular" w:cs="Times New Roman Regular"/>
          <w:b/>
          <w:sz w:val="24"/>
          <w:lang w:eastAsia="zh-Hans"/>
        </w:rPr>
        <w:t>V</w:t>
      </w:r>
      <w:r>
        <w:rPr>
          <w:rFonts w:ascii="Times New Roman Regular" w:hAnsi="Times New Roman Regular" w:cs="Times New Roman Regular"/>
          <w:b/>
          <w:sz w:val="24"/>
          <w:lang w:eastAsia="zh-Hans"/>
        </w:rPr>
        <w:t>arious organs</w:t>
      </w:r>
      <w:r>
        <w:rPr>
          <w:rFonts w:hint="eastAsia" w:ascii="Times New Roman Regular" w:hAnsi="Times New Roman Regular" w:cs="Times New Roman Regular"/>
          <w:b/>
          <w:sz w:val="24"/>
          <w:lang w:eastAsia="zh-Hans"/>
        </w:rPr>
        <w:t xml:space="preserve"> - Biological </w:t>
      </w:r>
      <w:r>
        <w:rPr>
          <w:rFonts w:ascii="Times New Roman Regular" w:hAnsi="Times New Roman Regular" w:cs="Times New Roman Regular"/>
          <w:b/>
          <w:sz w:val="24"/>
          <w:lang w:eastAsia="zh-Hans"/>
        </w:rPr>
        <w:t>a</w:t>
      </w:r>
      <w:r>
        <w:rPr>
          <w:rFonts w:hint="eastAsia" w:ascii="Times New Roman Regular" w:hAnsi="Times New Roman Regular" w:cs="Times New Roman Regular"/>
          <w:b/>
          <w:sz w:val="24"/>
          <w:lang w:eastAsia="zh-Hans"/>
        </w:rPr>
        <w:t>ge</w:t>
      </w:r>
      <w:r>
        <w:rPr>
          <w:rFonts w:ascii="Times New Roman Regular" w:hAnsi="Times New Roman Regular" w:cs="Times New Roman Regular"/>
          <w:b/>
          <w:sz w:val="28"/>
          <w:szCs w:val="28"/>
          <w:lang w:eastAsia="zh-Hans"/>
        </w:rPr>
        <w:t xml:space="preserve"> </w:t>
      </w:r>
      <w:r>
        <w:rPr>
          <w:rFonts w:ascii="Times New Roman Regular" w:hAnsi="Times New Roman Regular" w:cs="Times New Roman Regular"/>
          <w:b/>
          <w:sz w:val="28"/>
          <w:szCs w:val="28"/>
          <w:vertAlign w:val="superscript"/>
          <w:lang w:eastAsia="zh-Hans"/>
        </w:rPr>
        <w:t>[1]</w:t>
      </w:r>
    </w:p>
    <w:p>
      <w:pPr>
        <w:rPr>
          <w:rFonts w:hint="eastAsia" w:ascii="Times New Roman Regular" w:hAnsi="Times New Roman Regular" w:cs="Times New Roman Regular"/>
          <w:b/>
          <w:sz w:val="24"/>
          <w:lang w:eastAsia="zh-Hans"/>
        </w:rPr>
      </w:pPr>
      <w:r>
        <w:rPr>
          <w:rFonts w:ascii="Times New Roman Regular" w:hAnsi="Times New Roman Regular" w:cs="Times New Roman Regular"/>
          <w:b/>
          <w:sz w:val="24"/>
        </w:rPr>
        <w:t>Cardiovascular system</w:t>
      </w:r>
    </w:p>
    <w:p>
      <w:pPr>
        <w:rPr>
          <w:rFonts w:hint="eastAsia" w:ascii="Times New Roman Regular" w:hAnsi="Times New Roman Regular" w:cs="Times New Roman Regular"/>
          <w:bCs/>
          <w:sz w:val="24"/>
        </w:rPr>
      </w:pPr>
      <w:r>
        <w:rPr>
          <w:rFonts w:ascii="Times New Roman Regular" w:hAnsi="Times New Roman Regular" w:cs="Times New Roman Regular"/>
          <w:bCs/>
          <w:sz w:val="24"/>
        </w:rPr>
        <w:t>Triglyceride, low density lipoprotein, fasting blood glucose, high density lipoprotein, systolic pressure, diastolic pressure and total cholesterol.</w:t>
      </w:r>
    </w:p>
    <w:p>
      <w:pPr>
        <w:rPr>
          <w:rFonts w:hint="eastAsia" w:ascii="Times New Roman Regular" w:hAnsi="Times New Roman Regular" w:cs="Times New Roman Regular"/>
          <w:b/>
          <w:sz w:val="24"/>
        </w:rPr>
      </w:pPr>
      <w:r>
        <w:rPr>
          <w:rFonts w:ascii="Times New Roman Regular" w:hAnsi="Times New Roman Regular" w:cs="Times New Roman Regular"/>
          <w:b/>
          <w:sz w:val="24"/>
        </w:rPr>
        <w:t>Kidney</w:t>
      </w:r>
    </w:p>
    <w:p>
      <w:pPr>
        <w:rPr>
          <w:rFonts w:hint="eastAsia" w:ascii="Times New Roman Regular" w:hAnsi="Times New Roman Regular" w:cs="Times New Roman Regular"/>
          <w:bCs/>
          <w:sz w:val="24"/>
        </w:rPr>
      </w:pPr>
      <w:r>
        <w:rPr>
          <w:rFonts w:ascii="Times New Roman Regular" w:hAnsi="Times New Roman Regular" w:cs="Times New Roman Regular"/>
          <w:bCs/>
          <w:sz w:val="24"/>
        </w:rPr>
        <w:t>Serum creatinine and serum uric acid.</w:t>
      </w:r>
    </w:p>
    <w:p>
      <w:pPr>
        <w:rPr>
          <w:rFonts w:hint="eastAsia" w:ascii="Times New Roman Regular" w:hAnsi="Times New Roman Regular" w:cs="Times New Roman Regular"/>
          <w:b/>
          <w:sz w:val="24"/>
        </w:rPr>
      </w:pPr>
      <w:r>
        <w:rPr>
          <w:rFonts w:ascii="Times New Roman Regular" w:hAnsi="Times New Roman Regular" w:cs="Times New Roman Regular"/>
          <w:b/>
          <w:sz w:val="24"/>
        </w:rPr>
        <w:t xml:space="preserve">Liver </w:t>
      </w:r>
    </w:p>
    <w:p>
      <w:pPr>
        <w:rPr>
          <w:rFonts w:hint="eastAsia" w:ascii="Times New Roman Regular" w:hAnsi="Times New Roman Regular" w:cs="Times New Roman Regular"/>
          <w:bCs/>
          <w:sz w:val="24"/>
        </w:rPr>
      </w:pPr>
      <w:r>
        <w:rPr>
          <w:rFonts w:ascii="Times New Roman Regular" w:hAnsi="Times New Roman Regular" w:cs="Times New Roman Regular"/>
          <w:bCs/>
          <w:sz w:val="24"/>
        </w:rPr>
        <w:t>Glutamyl transpeptidase, serum aspartate aminotransferase, serum alanine aminotransferase and albumin concentration.</w:t>
      </w:r>
    </w:p>
    <w:p>
      <w:pPr>
        <w:widowControl/>
        <w:wordWrap w:val="0"/>
        <w:jc w:val="left"/>
        <w:rPr>
          <w:rFonts w:hint="eastAsia" w:ascii="Times New Roman Regular" w:hAnsi="Times New Roman Regular" w:cs="Times New Roman Regular"/>
          <w:bCs/>
          <w:sz w:val="24"/>
        </w:rPr>
      </w:pPr>
      <w:r>
        <w:rPr>
          <w:rFonts w:ascii="Times New Roman" w:hAnsi="Times New Roman" w:eastAsia="Times New Roman" w:cs="Times New Roman"/>
          <w:b/>
          <w:bCs/>
          <w:kern w:val="0"/>
          <w:sz w:val="24"/>
          <w:lang w:eastAsia="en-US" w:bidi="en-US"/>
        </w:rPr>
        <w:t xml:space="preserve">Supplemental </w:t>
      </w:r>
      <w:r>
        <w:rPr>
          <w:rFonts w:hint="eastAsia" w:ascii="Times New Roman" w:hAnsi="Times New Roman" w:eastAsia="Times New Roman" w:cs="Times New Roman"/>
          <w:b/>
          <w:bCs/>
          <w:kern w:val="0"/>
          <w:sz w:val="24"/>
          <w:lang w:eastAsia="zh-Hans" w:bidi="en-US"/>
        </w:rPr>
        <w:t>r</w:t>
      </w:r>
      <w:r>
        <w:rPr>
          <w:rFonts w:hint="eastAsia" w:ascii="Times New Roman Regular" w:hAnsi="Times New Roman Regular" w:eastAsia="Helvetica Neue" w:cs="Times New Roman Regular"/>
          <w:b/>
          <w:sz w:val="28"/>
          <w:szCs w:val="28"/>
          <w:lang w:eastAsia="zh-Hans"/>
        </w:rPr>
        <w:t>eference</w:t>
      </w:r>
    </w:p>
    <w:p>
      <w:pPr>
        <w:widowControl/>
        <w:jc w:val="left"/>
        <w:rPr>
          <w:rFonts w:hint="eastAsia" w:ascii="Times New Roman Regular" w:hAnsi="Times New Roman Regular" w:cs="Times New Roman Regular"/>
          <w:b/>
          <w:sz w:val="28"/>
          <w:szCs w:val="28"/>
        </w:rPr>
        <w:sectPr>
          <w:pgSz w:w="11906" w:h="16838"/>
          <w:pgMar w:top="1440" w:right="1800" w:bottom="1440" w:left="1800" w:header="851" w:footer="992" w:gutter="0"/>
          <w:cols w:space="425" w:num="1"/>
          <w:docGrid w:type="lines" w:linePitch="312" w:charSpace="0"/>
        </w:sectPr>
      </w:pPr>
      <w:r>
        <w:rPr>
          <w:rFonts w:hint="eastAsia" w:ascii="Times New Roman Regular" w:hAnsi="Times New Roman Regular" w:eastAsia="Helvetica Neue" w:cs="Times New Roman Regular"/>
          <w:kern w:val="0"/>
          <w:sz w:val="26"/>
          <w:szCs w:val="26"/>
          <w:shd w:val="clear" w:color="auto" w:fill="FFFFFF"/>
          <w:lang w:bidi="ar"/>
        </w:rPr>
        <w:t>1.</w:t>
      </w:r>
      <w:r>
        <w:rPr>
          <w:rFonts w:ascii="Times New Roman Regular" w:hAnsi="Times New Roman Regular" w:eastAsia="Helvetica Neue" w:cs="Times New Roman Regular"/>
          <w:kern w:val="0"/>
          <w:sz w:val="26"/>
          <w:szCs w:val="26"/>
          <w:shd w:val="clear" w:color="auto" w:fill="FFFFFF"/>
          <w:lang w:bidi="ar"/>
        </w:rPr>
        <w:t xml:space="preserve"> Xing W, Gao W, Zhao Z, et al. Dietary flavonoids intake contributes to delay biological aging process: analysis from NHANES dataset. J Transl Med. 2023;21(1):492. Published 2023 Jul 21. doi:10.1186/s12967-023-04321-1</w:t>
      </w:r>
    </w:p>
    <w:p>
      <w:pPr>
        <w:rPr>
          <w:rFonts w:hint="eastAsia" w:ascii="Times New Roman Regular" w:hAnsi="Times New Roman Regular" w:cs="Times New Roman Regular"/>
          <w:bCs/>
          <w:sz w:val="24"/>
          <w:lang w:eastAsia="zh-Hans"/>
        </w:rPr>
      </w:pPr>
    </w:p>
    <w:p>
      <w:pPr>
        <w:widowControl/>
        <w:jc w:val="left"/>
        <w:rPr>
          <w:rFonts w:hint="eastAsia" w:ascii="Times New Roman Regular" w:hAnsi="Times New Roman Regular" w:cs="Times New Roman Regular"/>
          <w:kern w:val="0"/>
          <w:sz w:val="26"/>
          <w:szCs w:val="26"/>
          <w:shd w:val="clear" w:color="auto" w:fill="FFFFFF"/>
          <w:lang w:eastAsia="zh-Hans" w:bidi="ar"/>
        </w:rPr>
      </w:pPr>
      <w:r>
        <w:rPr>
          <w:rFonts w:hint="eastAsia" w:ascii="Times New Roman Regular" w:hAnsi="Times New Roman Regular" w:cs="Times New Roman Regular"/>
          <w:b/>
          <w:sz w:val="28"/>
          <w:szCs w:val="28"/>
        </w:rPr>
        <w:t>3</w:t>
      </w:r>
      <w:r>
        <w:rPr>
          <w:rFonts w:ascii="Times New Roman Regular" w:hAnsi="Times New Roman Regular" w:cs="Times New Roman Regular"/>
          <w:b/>
          <w:sz w:val="28"/>
          <w:szCs w:val="28"/>
        </w:rPr>
        <w:t xml:space="preserve"> </w:t>
      </w:r>
      <w:r>
        <w:rPr>
          <w:rFonts w:hint="eastAsia" w:ascii="Times New Roman Regular" w:hAnsi="Times New Roman Regular" w:cs="Times New Roman Regular"/>
          <w:b/>
          <w:sz w:val="28"/>
          <w:szCs w:val="28"/>
          <w:lang w:eastAsia="zh-Hans"/>
        </w:rPr>
        <w:t>L</w:t>
      </w:r>
      <w:r>
        <w:rPr>
          <w:rFonts w:ascii="Times New Roman Regular" w:hAnsi="Times New Roman Regular" w:cs="Times New Roman Regular"/>
          <w:b/>
          <w:sz w:val="28"/>
          <w:szCs w:val="28"/>
        </w:rPr>
        <w:t xml:space="preserve">ife expectancy </w:t>
      </w:r>
      <w:r>
        <w:rPr>
          <w:rFonts w:ascii="Times New Roman Regular" w:hAnsi="Times New Roman Regular" w:cs="Times New Roman Regular"/>
          <w:b/>
          <w:sz w:val="28"/>
          <w:szCs w:val="28"/>
          <w:vertAlign w:val="superscript"/>
        </w:rPr>
        <w:t>[1-4]</w:t>
      </w:r>
    </w:p>
    <w:p>
      <w:pPr>
        <w:widowControl/>
        <w:jc w:val="left"/>
        <w:rPr>
          <w:rFonts w:hint="eastAsia" w:ascii="Times New Roman Regular" w:hAnsi="Times New Roman Regular" w:cs="Times New Roman Regular"/>
          <w:b/>
          <w:sz w:val="24"/>
          <w:lang w:eastAsia="zh-Hans"/>
        </w:rPr>
      </w:pPr>
      <w:bookmarkStart w:id="3" w:name="OLE_LINK5"/>
      <w:r>
        <w:rPr>
          <w:rFonts w:hint="eastAsia" w:ascii="Times New Roman Regular" w:hAnsi="Times New Roman Regular" w:cs="Times New Roman Regular"/>
          <w:b/>
          <w:sz w:val="24"/>
        </w:rPr>
        <w:t>3</w:t>
      </w:r>
      <w:r>
        <w:rPr>
          <w:rFonts w:ascii="Times New Roman Regular" w:hAnsi="Times New Roman Regular" w:cs="Times New Roman Regular"/>
          <w:b/>
          <w:sz w:val="24"/>
        </w:rPr>
        <w:t>.1</w:t>
      </w:r>
      <w:r>
        <w:rPr>
          <w:rFonts w:ascii="Times New Roman Regular" w:hAnsi="Times New Roman Regular" w:cs="Times New Roman Regular"/>
          <w:b/>
          <w:sz w:val="24"/>
          <w:lang w:eastAsia="zh-Hans"/>
        </w:rPr>
        <w:t xml:space="preserve"> </w:t>
      </w:r>
      <w:r>
        <w:rPr>
          <w:rFonts w:hint="eastAsia" w:ascii="Times New Roman Regular" w:hAnsi="Times New Roman Regular" w:cs="Times New Roman Regular"/>
          <w:b/>
          <w:sz w:val="24"/>
          <w:lang w:eastAsia="zh-Hans"/>
        </w:rPr>
        <w:t>Disease Details Required for Frailty Index Calculation</w:t>
      </w:r>
    </w:p>
    <w:p>
      <w:pPr>
        <w:widowControl/>
        <w:jc w:val="left"/>
        <w:rPr>
          <w:rFonts w:hint="eastAsia" w:ascii="Times New Roman Regular" w:hAnsi="Times New Roman Regular" w:cs="Times New Roman Regular"/>
          <w:b/>
          <w:sz w:val="24"/>
          <w:lang w:eastAsia="zh-Hans"/>
        </w:rPr>
      </w:pPr>
    </w:p>
    <w:p>
      <w:pPr>
        <w:rPr>
          <w:rFonts w:hint="eastAsia" w:ascii="Times New Roman Regular" w:hAnsi="Times New Roman Regular" w:cs="Times New Roman Regular"/>
          <w:bCs/>
          <w:sz w:val="24"/>
          <w:lang w:eastAsia="en-US"/>
        </w:rPr>
      </w:pPr>
      <w:r>
        <w:rPr>
          <w:rFonts w:hint="eastAsia" w:ascii="Times New Roman Regular" w:hAnsi="Times New Roman Regular" w:cs="Times New Roman Regular"/>
          <w:bCs/>
          <w:sz w:val="24"/>
          <w:lang w:eastAsia="en-US"/>
        </w:rPr>
        <w:t>T</w:t>
      </w:r>
      <w:r>
        <w:rPr>
          <w:rFonts w:ascii="Times New Roman Regular" w:hAnsi="Times New Roman Regular" w:cs="Times New Roman Regular"/>
          <w:bCs/>
          <w:sz w:val="24"/>
          <w:lang w:eastAsia="en-US"/>
        </w:rPr>
        <w:t xml:space="preserve">he National Statistical mortality rates for specific sex and age, which were documented in the latest Office for National Statistics life tables from age 40 to age 100 years, was set as the reference mortality value. </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 xml:space="preserve">After that, based on the reference mortality value, the sex-specific prevalence of each INFLA-Score, and the HRs of premature death for INFLA-Score (Q2-Q4) group compared to INFLA-Score (Q1) group were used to estimate the survival times at any given age, based on the following sets: </w:t>
      </w:r>
    </w:p>
    <w:p>
      <w:pPr>
        <w:numPr>
          <w:ilvl w:val="0"/>
          <w:numId w:val="2"/>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Obtaining HR</w:t>
      </w:r>
      <w:r>
        <w:rPr>
          <w:rFonts w:hint="eastAsia" w:ascii="Times New Roman Regular" w:hAnsi="Times New Roman Regular" w:cs="Times New Roman Regular"/>
          <w:bCs/>
          <w:sz w:val="24"/>
          <w:lang w:eastAsia="en-US"/>
        </w:rPr>
        <w:t>s</w:t>
      </w:r>
      <w:r>
        <w:rPr>
          <w:rFonts w:ascii="Times New Roman Regular" w:hAnsi="Times New Roman Regular" w:cs="Times New Roman Regular"/>
          <w:bCs/>
          <w:sz w:val="24"/>
          <w:lang w:eastAsia="en-US"/>
        </w:rPr>
        <w:t xml:space="preserve"> stratified by sex for INFLA-Score and premature death.</w:t>
      </w:r>
      <w:r>
        <w:rPr>
          <w:rFonts w:hint="eastAsia" w:ascii="Times New Roman Regular" w:hAnsi="Times New Roman Regular" w:cs="Times New Roman Regular"/>
          <w:bCs/>
          <w:sz w:val="24"/>
          <w:lang w:eastAsia="en-US"/>
        </w:rPr>
        <w:t xml:space="preserve"> </w:t>
      </w:r>
    </w:p>
    <w:p>
      <w:pPr>
        <w:numPr>
          <w:ilvl w:val="0"/>
          <w:numId w:val="2"/>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Obtaining the frequency for each quartile of the INFLA-Score.</w:t>
      </w:r>
      <w:r>
        <w:rPr>
          <w:rFonts w:hint="eastAsia" w:ascii="Times New Roman Regular" w:hAnsi="Times New Roman Regular" w:cs="Times New Roman Regular"/>
          <w:bCs/>
          <w:sz w:val="24"/>
          <w:lang w:eastAsia="en-US"/>
        </w:rPr>
        <w:t xml:space="preserve"> </w:t>
      </w:r>
    </w:p>
    <w:p>
      <w:pPr>
        <w:numPr>
          <w:ilvl w:val="0"/>
          <w:numId w:val="2"/>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Calculate the mortality rate of the</w:t>
      </w:r>
      <w:r>
        <w:rPr>
          <w:rFonts w:hint="eastAsia" w:ascii="Times New Roman Regular" w:hAnsi="Times New Roman Regular" w:cs="Times New Roman Regular"/>
          <w:bCs/>
          <w:sz w:val="24"/>
          <w:lang w:eastAsia="en-US"/>
        </w:rPr>
        <w:t xml:space="preserve"> </w:t>
      </w:r>
      <w:r>
        <w:rPr>
          <w:rFonts w:ascii="Times New Roman Regular" w:hAnsi="Times New Roman Regular" w:cs="Times New Roman Regular"/>
          <w:bCs/>
          <w:sz w:val="24"/>
          <w:lang w:eastAsia="en-US"/>
        </w:rPr>
        <w:t xml:space="preserve">INFLA-Score (Q1) group according to the </w:t>
      </w:r>
      <w:r>
        <w:rPr>
          <w:rFonts w:hint="eastAsia" w:ascii="Times New Roman Regular" w:hAnsi="Times New Roman Regular" w:cs="Times New Roman Regular"/>
          <w:bCs/>
          <w:sz w:val="24"/>
          <w:lang w:eastAsia="en-US"/>
        </w:rPr>
        <w:t>equation: IR</w:t>
      </w:r>
      <w:r>
        <w:rPr>
          <w:rFonts w:ascii="Times New Roman Regular" w:hAnsi="Times New Roman Regular" w:cs="Times New Roman Regular"/>
          <w:bCs/>
          <w:sz w:val="24"/>
          <w:lang w:eastAsia="en-US"/>
        </w:rPr>
        <w:t>reference = IRa/(</w:t>
      </w:r>
      <w:r>
        <w:rPr>
          <w:rFonts w:ascii="Cambria Math" w:hAnsi="Cambria Math" w:cs="Cambria Math"/>
          <w:bCs/>
          <w:sz w:val="24"/>
          <w:lang w:eastAsia="en-US"/>
        </w:rPr>
        <w:t>𝑝</w:t>
      </w:r>
      <w:r>
        <w:rPr>
          <w:rFonts w:ascii="Times New Roman Regular" w:hAnsi="Times New Roman Regular" w:cs="Times New Roman Regular"/>
          <w:bCs/>
          <w:sz w:val="24"/>
          <w:lang w:eastAsia="en-US"/>
        </w:rPr>
        <w:t>reference+ ∑3</w:t>
      </w:r>
      <w:r>
        <w:rPr>
          <w:rFonts w:ascii="Cambria Math" w:hAnsi="Cambria Math" w:cs="Cambria Math"/>
          <w:bCs/>
          <w:sz w:val="24"/>
          <w:lang w:eastAsia="en-US"/>
        </w:rPr>
        <w:t>𝑝𝑗</w:t>
      </w:r>
      <w:r>
        <w:rPr>
          <w:rFonts w:ascii="Times New Roman Regular" w:hAnsi="Times New Roman Regular" w:cs="Times New Roman Regular"/>
          <w:bCs/>
          <w:sz w:val="24"/>
          <w:lang w:eastAsia="en-US"/>
        </w:rPr>
        <w:t xml:space="preserve"> × H</w:t>
      </w:r>
      <w:r>
        <w:rPr>
          <w:rFonts w:ascii="Cambria Math" w:hAnsi="Cambria Math" w:cs="Cambria Math"/>
          <w:bCs/>
          <w:sz w:val="24"/>
          <w:lang w:eastAsia="en-US"/>
        </w:rPr>
        <w:t>𝑅𝑗</w:t>
      </w:r>
      <w:r>
        <w:rPr>
          <w:rFonts w:ascii="Times New Roman Regular" w:hAnsi="Times New Roman Regular" w:cs="Times New Roman Regular"/>
          <w:bCs/>
          <w:sz w:val="24"/>
          <w:lang w:eastAsia="en-US"/>
        </w:rPr>
        <w:t>)</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 xml:space="preserve">IRreference: </w:t>
      </w:r>
      <w:r>
        <w:rPr>
          <w:rFonts w:hint="eastAsia" w:ascii="Times New Roman Regular" w:hAnsi="Times New Roman Regular" w:cs="Times New Roman Regular"/>
          <w:bCs/>
          <w:sz w:val="24"/>
          <w:lang w:eastAsia="en-US"/>
        </w:rPr>
        <w:t>m</w:t>
      </w:r>
      <w:r>
        <w:rPr>
          <w:rFonts w:ascii="Times New Roman Regular" w:hAnsi="Times New Roman Regular" w:cs="Times New Roman Regular"/>
          <w:bCs/>
          <w:sz w:val="24"/>
          <w:lang w:eastAsia="en-US"/>
        </w:rPr>
        <w:t xml:space="preserve">ortality in the INFLA-Score (Q1) group, IRa: Sex- and age-specific mortality rates provided by life tables, </w:t>
      </w:r>
      <w:r>
        <w:rPr>
          <w:rFonts w:ascii="Cambria Math" w:hAnsi="Cambria Math" w:cs="Cambria Math"/>
          <w:bCs/>
          <w:sz w:val="24"/>
          <w:lang w:eastAsia="en-US"/>
        </w:rPr>
        <w:t>𝑝𝑗</w:t>
      </w:r>
      <w:r>
        <w:rPr>
          <w:rFonts w:ascii="Times New Roman Regular" w:hAnsi="Times New Roman Regular" w:cs="Times New Roman Regular"/>
          <w:bCs/>
          <w:sz w:val="24"/>
          <w:lang w:eastAsia="en-US"/>
        </w:rPr>
        <w:t xml:space="preserve">: the </w:t>
      </w:r>
      <w:r>
        <w:rPr>
          <w:rFonts w:hint="eastAsia" w:ascii="Times New Roman Regular" w:hAnsi="Times New Roman Regular" w:cs="Times New Roman Regular"/>
          <w:bCs/>
          <w:sz w:val="24"/>
          <w:lang w:eastAsia="en-US"/>
        </w:rPr>
        <w:t>f</w:t>
      </w:r>
      <w:r>
        <w:rPr>
          <w:rFonts w:ascii="Times New Roman Regular" w:hAnsi="Times New Roman Regular" w:cs="Times New Roman Regular"/>
          <w:bCs/>
          <w:sz w:val="24"/>
          <w:lang w:eastAsia="en-US"/>
        </w:rPr>
        <w:t>requency of each group, H</w:t>
      </w:r>
      <w:r>
        <w:rPr>
          <w:rFonts w:ascii="Cambria Math" w:hAnsi="Cambria Math" w:cs="Cambria Math"/>
          <w:bCs/>
          <w:sz w:val="24"/>
          <w:lang w:eastAsia="en-US"/>
        </w:rPr>
        <w:t>𝑅𝑗</w:t>
      </w:r>
      <w:r>
        <w:rPr>
          <w:rFonts w:ascii="Times New Roman Regular" w:hAnsi="Times New Roman Regular" w:cs="Times New Roman Regular"/>
          <w:bCs/>
          <w:sz w:val="24"/>
          <w:lang w:eastAsia="en-US"/>
        </w:rPr>
        <w:t>: HR value results for INFLA-Score (Q</w:t>
      </w:r>
      <w:r>
        <w:rPr>
          <w:rFonts w:hint="eastAsia" w:ascii="Times New Roman Regular" w:hAnsi="Times New Roman Regular" w:cs="Times New Roman Regular"/>
          <w:bCs/>
          <w:sz w:val="24"/>
          <w:lang w:eastAsia="en-US"/>
        </w:rPr>
        <w:t>2-Q4</w:t>
      </w:r>
      <w:r>
        <w:rPr>
          <w:rFonts w:ascii="Times New Roman Regular" w:hAnsi="Times New Roman Regular" w:cs="Times New Roman Regular"/>
          <w:bCs/>
          <w:sz w:val="24"/>
          <w:lang w:eastAsia="en-US"/>
        </w:rPr>
        <w:t>) group.</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4</w:t>
      </w:r>
      <w:r>
        <w:rPr>
          <w:rFonts w:hint="eastAsia" w:ascii="Times New Roman Regular" w:hAnsi="Times New Roman Regular" w:cs="Times New Roman Regular"/>
          <w:bCs/>
          <w:sz w:val="24"/>
          <w:lang w:eastAsia="en-US"/>
        </w:rPr>
        <w:t>)</w:t>
      </w:r>
      <w:r>
        <w:rPr>
          <w:rFonts w:ascii="Times New Roman Regular" w:hAnsi="Times New Roman Regular" w:cs="Times New Roman Regular"/>
          <w:bCs/>
          <w:sz w:val="24"/>
          <w:lang w:eastAsia="en-US"/>
        </w:rPr>
        <w:t xml:space="preserve"> Mortality rate in the other groups equals the death rate in the </w:t>
      </w:r>
      <w:r>
        <w:rPr>
          <w:rFonts w:hint="eastAsia" w:ascii="Times New Roman Regular" w:hAnsi="Times New Roman Regular" w:cs="Times New Roman Regular"/>
          <w:bCs/>
          <w:sz w:val="24"/>
          <w:lang w:eastAsia="en-US"/>
        </w:rPr>
        <w:t>IR</w:t>
      </w:r>
      <w:r>
        <w:rPr>
          <w:rFonts w:ascii="Times New Roman Regular" w:hAnsi="Times New Roman Regular" w:cs="Times New Roman Regular"/>
          <w:bCs/>
          <w:sz w:val="24"/>
          <w:lang w:eastAsia="en-US"/>
        </w:rPr>
        <w:t xml:space="preserve">reference group multiplied by the HR value for each group. </w:t>
      </w:r>
      <w:r>
        <w:rPr>
          <w:rFonts w:hint="eastAsia" w:ascii="Times New Roman Regular" w:hAnsi="Times New Roman Regular" w:cs="Times New Roman Regular"/>
          <w:bCs/>
          <w:sz w:val="24"/>
          <w:lang w:eastAsia="en-US"/>
        </w:rPr>
        <w:t>An</w:t>
      </w:r>
      <w:r>
        <w:rPr>
          <w:rFonts w:ascii="Times New Roman Regular" w:hAnsi="Times New Roman Regular" w:cs="Times New Roman Regular"/>
          <w:bCs/>
          <w:sz w:val="24"/>
          <w:lang w:eastAsia="en-US"/>
        </w:rPr>
        <w:t>d</w:t>
      </w:r>
      <w:r>
        <w:rPr>
          <w:rFonts w:hint="eastAsia" w:ascii="Times New Roman Regular" w:hAnsi="Times New Roman Regular" w:cs="Times New Roman Regular"/>
          <w:bCs/>
          <w:sz w:val="24"/>
          <w:lang w:eastAsia="en-US"/>
        </w:rPr>
        <w:t xml:space="preserve"> IRao=mortality rate.</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 xml:space="preserve">Finally, the estimated difference in survival time was calculated between INFLA-Score groups, based on the following sets: </w:t>
      </w:r>
    </w:p>
    <w:p>
      <w:pPr>
        <w:numPr>
          <w:ilvl w:val="0"/>
          <w:numId w:val="3"/>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Assuming a population of 100,000 for the 40-year-old group, the calculation includes determining the number of deaths (dx) and the number of survivors (lx) for each age group. The formulas are dx＝lx×</w:t>
      </w:r>
      <w:r>
        <w:rPr>
          <w:rFonts w:hint="eastAsia" w:ascii="Times New Roman Regular" w:hAnsi="Times New Roman Regular" w:cs="Times New Roman Regular"/>
          <w:bCs/>
          <w:sz w:val="24"/>
          <w:lang w:eastAsia="en-US"/>
        </w:rPr>
        <w:t>IRao</w:t>
      </w:r>
      <w:r>
        <w:rPr>
          <w:rFonts w:ascii="Times New Roman Regular" w:hAnsi="Times New Roman Regular" w:cs="Times New Roman Regular"/>
          <w:bCs/>
          <w:sz w:val="24"/>
          <w:lang w:eastAsia="en-US"/>
        </w:rPr>
        <w:t xml:space="preserve">；lx+1=lx－dx. </w:t>
      </w:r>
    </w:p>
    <w:p>
      <w:pPr>
        <w:numPr>
          <w:ilvl w:val="0"/>
          <w:numId w:val="3"/>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 xml:space="preserve">The calculation involves determining the person-years survived (Lx) for each age group and the total person-years survived (Tx). Person-years survived represent the cumulative survival years for individuals aged X and above in the coming year. The formulas are Lx=1/2(lx+lx+1)；Tx=∑Lx. </w:t>
      </w:r>
    </w:p>
    <w:p>
      <w:pPr>
        <w:numPr>
          <w:ilvl w:val="0"/>
          <w:numId w:val="3"/>
        </w:num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The average life expectancy (ex) ＝Tx/lx.</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Life expectancy details are provided in Supplementary Table 2.</w:t>
      </w:r>
    </w:p>
    <w:bookmarkEnd w:id="3"/>
    <w:p>
      <w:pPr>
        <w:rPr>
          <w:rFonts w:hint="eastAsia" w:ascii="Times New Roman Regular" w:hAnsi="Times New Roman Regular" w:cs="Times New Roman Regular"/>
          <w:bCs/>
          <w:sz w:val="24"/>
          <w:lang w:eastAsia="zh-Hans"/>
        </w:rPr>
      </w:pPr>
    </w:p>
    <w:p>
      <w:pPr>
        <w:widowControl/>
        <w:wordWrap w:val="0"/>
        <w:jc w:val="left"/>
        <w:rPr>
          <w:rFonts w:hint="eastAsia" w:ascii="Times New Roman Regular" w:hAnsi="Times New Roman Regular" w:cs="Times New Roman Regular"/>
          <w:bCs/>
          <w:sz w:val="24"/>
          <w:lang w:eastAsia="zh-Hans"/>
        </w:rPr>
      </w:pPr>
      <w:r>
        <w:rPr>
          <w:rFonts w:ascii="Times New Roman" w:hAnsi="Times New Roman" w:eastAsia="Times New Roman" w:cs="Times New Roman"/>
          <w:b/>
          <w:bCs/>
          <w:kern w:val="0"/>
          <w:sz w:val="24"/>
          <w:lang w:eastAsia="en-US" w:bidi="en-US"/>
        </w:rPr>
        <w:t xml:space="preserve">Supplemental </w:t>
      </w:r>
      <w:r>
        <w:rPr>
          <w:rFonts w:hint="eastAsia" w:ascii="Times New Roman" w:hAnsi="Times New Roman" w:eastAsia="Times New Roman" w:cs="Times New Roman"/>
          <w:b/>
          <w:bCs/>
          <w:kern w:val="0"/>
          <w:sz w:val="24"/>
          <w:lang w:eastAsia="zh-Hans" w:bidi="en-US"/>
        </w:rPr>
        <w:t>r</w:t>
      </w:r>
      <w:r>
        <w:rPr>
          <w:rFonts w:hint="eastAsia" w:ascii="Times New Roman Regular" w:hAnsi="Times New Roman Regular" w:eastAsia="Helvetica Neue" w:cs="Times New Roman Regular"/>
          <w:b/>
          <w:sz w:val="28"/>
          <w:szCs w:val="28"/>
          <w:lang w:eastAsia="zh-Hans"/>
        </w:rPr>
        <w:t>eference</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1</w:t>
      </w:r>
      <w:r>
        <w:rPr>
          <w:rFonts w:hint="eastAsia" w:ascii="Times New Roman Regular" w:hAnsi="Times New Roman Regular" w:cs="Times New Roman Regular"/>
          <w:bCs/>
          <w:sz w:val="24"/>
        </w:rPr>
        <w:t>.</w:t>
      </w:r>
      <w:r>
        <w:rPr>
          <w:rFonts w:ascii="Times New Roman Regular" w:hAnsi="Times New Roman Regular" w:cs="Times New Roman Regular"/>
          <w:bCs/>
          <w:sz w:val="24"/>
          <w:lang w:eastAsia="en-US"/>
        </w:rPr>
        <w:t xml:space="preserve"> </w:t>
      </w:r>
      <w:r>
        <w:rPr>
          <w:rFonts w:hint="eastAsia" w:ascii="Times New Roman Regular" w:hAnsi="Times New Roman Regular" w:cs="Times New Roman Regular"/>
          <w:bCs/>
          <w:sz w:val="24"/>
          <w:lang w:eastAsia="en-US"/>
        </w:rPr>
        <w:t xml:space="preserve">Arias E. United States life tables, 2008. Natl Vital Stat Rep. 2012 Sep 24;61(3):1-63 </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2</w:t>
      </w:r>
      <w:r>
        <w:rPr>
          <w:rFonts w:hint="eastAsia" w:ascii="Times New Roman Regular" w:hAnsi="Times New Roman Regular" w:cs="Times New Roman Regular"/>
          <w:bCs/>
          <w:sz w:val="24"/>
        </w:rPr>
        <w:t>.</w:t>
      </w:r>
      <w:r>
        <w:rPr>
          <w:rFonts w:ascii="Times New Roman Regular" w:hAnsi="Times New Roman Regular" w:cs="Times New Roman Regular"/>
          <w:bCs/>
          <w:sz w:val="24"/>
          <w:lang w:eastAsia="en-US"/>
        </w:rPr>
        <w:t xml:space="preserve"> </w:t>
      </w:r>
      <w:r>
        <w:rPr>
          <w:rFonts w:hint="eastAsia" w:ascii="Times New Roman Regular" w:hAnsi="Times New Roman Regular" w:cs="Times New Roman Regular"/>
          <w:bCs/>
          <w:sz w:val="24"/>
          <w:lang w:eastAsia="en-US"/>
        </w:rPr>
        <w:t>Chiang CL, World Health Organization. Life table and mortality analysis. 1979. Publisher: Geneva : World Health Organization</w:t>
      </w:r>
    </w:p>
    <w:p>
      <w:pPr>
        <w:rPr>
          <w:rFonts w:hint="eastAsia" w:ascii="Times New Roman Regular" w:hAnsi="Times New Roman Regular" w:cs="Times New Roman Regular"/>
          <w:bCs/>
          <w:sz w:val="24"/>
          <w:lang w:eastAsia="en-US"/>
        </w:rPr>
      </w:pPr>
      <w:r>
        <w:rPr>
          <w:rFonts w:ascii="Times New Roman Regular" w:hAnsi="Times New Roman Regular" w:cs="Times New Roman Regular"/>
          <w:bCs/>
          <w:sz w:val="24"/>
          <w:lang w:eastAsia="en-US"/>
        </w:rPr>
        <w:t>3</w:t>
      </w:r>
      <w:r>
        <w:rPr>
          <w:rFonts w:hint="eastAsia" w:ascii="Times New Roman Regular" w:hAnsi="Times New Roman Regular" w:cs="Times New Roman Regular"/>
          <w:bCs/>
          <w:sz w:val="24"/>
        </w:rPr>
        <w:t>.</w:t>
      </w:r>
      <w:r>
        <w:rPr>
          <w:rFonts w:ascii="Times New Roman Regular" w:hAnsi="Times New Roman Regular" w:cs="Times New Roman Regular"/>
          <w:bCs/>
          <w:sz w:val="24"/>
          <w:lang w:eastAsia="en-US"/>
        </w:rPr>
        <w:t xml:space="preserve"> </w:t>
      </w:r>
      <w:r>
        <w:rPr>
          <w:rFonts w:hint="eastAsia" w:ascii="Times New Roman Regular" w:hAnsi="Times New Roman Regular" w:cs="Times New Roman Regular"/>
          <w:bCs/>
          <w:sz w:val="24"/>
          <w:lang w:eastAsia="en-US"/>
        </w:rPr>
        <w:t>Woloshin S, Schwartz LM, Welch HG. The risk of death by age, sex, and smoking status in the United States: putting health risks in context. J Natl Cancer Inst 2008;100(12):845-53</w:t>
      </w:r>
    </w:p>
    <w:p>
      <w:pPr>
        <w:rPr>
          <w:rFonts w:hint="eastAsia" w:ascii="Times New Roman Regular" w:hAnsi="Times New Roman Regular" w:cs="Times New Roman Regular"/>
          <w:b/>
          <w:sz w:val="24"/>
          <w:lang w:eastAsia="zh-Hans"/>
        </w:rPr>
      </w:pPr>
      <w:r>
        <w:rPr>
          <w:rFonts w:ascii="Times New Roman Regular" w:hAnsi="Times New Roman Regular" w:cs="Times New Roman Regular"/>
          <w:bCs/>
          <w:sz w:val="24"/>
          <w:lang w:eastAsia="zh-Hans"/>
        </w:rPr>
        <w:t>4</w:t>
      </w:r>
      <w:r>
        <w:rPr>
          <w:rFonts w:hint="eastAsia" w:ascii="Times New Roman Regular" w:hAnsi="Times New Roman Regular" w:cs="Times New Roman Regular"/>
          <w:bCs/>
          <w:sz w:val="24"/>
        </w:rPr>
        <w:t>.</w:t>
      </w:r>
      <w:r>
        <w:rPr>
          <w:rFonts w:ascii="Times New Roman Regular" w:hAnsi="Times New Roman Regular" w:cs="Times New Roman Regular"/>
          <w:bCs/>
          <w:sz w:val="24"/>
          <w:lang w:eastAsia="zh-Hans"/>
        </w:rPr>
        <w:t xml:space="preserve"> </w:t>
      </w:r>
      <w:r>
        <w:rPr>
          <w:rFonts w:hint="eastAsia" w:ascii="Times New Roman Regular" w:hAnsi="Times New Roman Regular" w:cs="Times New Roman Regular"/>
          <w:bCs/>
          <w:sz w:val="24"/>
        </w:rPr>
        <w:t>Ma H, Xue Q, Wang X, et al. Adding salt to foods and hazard of premature mortality.</w:t>
      </w:r>
      <w:r>
        <w:rPr>
          <w:rFonts w:ascii="Times New Roman Regular" w:hAnsi="Times New Roman Regular" w:cs="Times New Roman Regular"/>
          <w:bCs/>
          <w:sz w:val="24"/>
        </w:rPr>
        <w:t> Eur Heart J. 2022;43(30):2878-2888. doi:10.1093/eurheartj/ehac208</w:t>
      </w:r>
    </w:p>
    <w:p>
      <w:pPr>
        <w:widowControl/>
        <w:jc w:val="left"/>
        <w:rPr>
          <w:rFonts w:hint="eastAsia" w:ascii="Times New Roman Regular" w:hAnsi="Times New Roman Regular" w:cs="Times New Roman Regular"/>
          <w:b/>
          <w:sz w:val="24"/>
          <w:lang w:eastAsia="zh-Hans"/>
        </w:rPr>
      </w:pPr>
    </w:p>
    <w:p>
      <w:pPr>
        <w:widowControl/>
        <w:wordWrap w:val="0"/>
        <w:jc w:val="left"/>
        <w:rPr>
          <w:rFonts w:ascii="Times New Roman" w:hAnsi="Times New Roman" w:eastAsia="Times New Roman" w:cs="Times New Roman"/>
          <w:b/>
          <w:bCs/>
          <w:kern w:val="0"/>
          <w:sz w:val="24"/>
          <w:lang w:eastAsia="en-US" w:bidi="en-US"/>
        </w:rPr>
      </w:pPr>
      <w:r>
        <w:rPr>
          <w:rFonts w:hint="eastAsia" w:ascii="Times New Roman" w:hAnsi="Times New Roman" w:eastAsia="Times New Roman" w:cs="Times New Roman"/>
          <w:b/>
          <w:bCs/>
          <w:kern w:val="0"/>
          <w:sz w:val="24"/>
          <w:lang w:eastAsia="en-US" w:bidi="en-US"/>
        </w:rPr>
        <w:t>4</w:t>
      </w:r>
      <w:r>
        <w:rPr>
          <w:rFonts w:ascii="Times New Roman" w:hAnsi="Times New Roman" w:eastAsia="Times New Roman" w:cs="Times New Roman"/>
          <w:b/>
          <w:bCs/>
          <w:kern w:val="0"/>
          <w:sz w:val="24"/>
          <w:lang w:eastAsia="en-US" w:bidi="en-US"/>
        </w:rPr>
        <w:t xml:space="preserve"> Meal Pattern Score</w:t>
      </w:r>
      <w:bookmarkStart w:id="4" w:name="OLE_LINK31"/>
    </w:p>
    <w:bookmarkEnd w:id="4"/>
    <w:p>
      <w:pPr>
        <w:rPr>
          <w:rFonts w:ascii="Times New Roman" w:hAnsi="Times New Roman" w:eastAsia="等线" w:cs="Times New Roman"/>
          <w:sz w:val="24"/>
        </w:rPr>
      </w:pPr>
      <w:r>
        <w:rPr>
          <w:rFonts w:ascii="Times New Roman" w:hAnsi="Times New Roman" w:eastAsia="等线" w:cs="Times New Roman"/>
          <w:sz w:val="24"/>
        </w:rPr>
        <w:t xml:space="preserve">4.1 Healthy Eating Index </w:t>
      </w:r>
      <w:r>
        <w:rPr>
          <w:rFonts w:ascii="Times New Roman" w:hAnsi="Times New Roman" w:eastAsia="等线" w:cs="Times New Roman"/>
          <w:sz w:val="24"/>
          <w:vertAlign w:val="superscript"/>
        </w:rPr>
        <w:t>[1,2]</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The HEI-20</w:t>
      </w:r>
      <w:r>
        <w:rPr>
          <w:rFonts w:hint="eastAsia" w:ascii="Times New Roman" w:hAnsi="Times New Roman" w:eastAsia="等线" w:cs="Times New Roman"/>
          <w:sz w:val="24"/>
          <w:lang w:eastAsia="zh-Hans"/>
        </w:rPr>
        <w:t>20</w:t>
      </w:r>
      <w:r>
        <w:rPr>
          <w:rFonts w:ascii="Times New Roman" w:hAnsi="Times New Roman" w:eastAsia="等线" w:cs="Times New Roman"/>
          <w:sz w:val="24"/>
          <w:lang w:eastAsia="zh-Hans"/>
        </w:rPr>
        <w:t xml:space="preserve"> consists of 13 sections with a maximum total score of 100 points. The total score is the sum of the scores for the adequacy component (ie, foods that are eaten in excess for good health) and the moderate component (ie, foods that are limited for good health).</w:t>
      </w:r>
      <w:r>
        <w:rPr>
          <w:rFonts w:hint="eastAsia" w:ascii="Times New Roman" w:hAnsi="Times New Roman" w:eastAsia="等线" w:cs="Times New Roman"/>
          <w:sz w:val="24"/>
        </w:rPr>
        <w:t xml:space="preserve"> E</w:t>
      </w:r>
      <w:r>
        <w:rPr>
          <w:rFonts w:ascii="Times New Roman" w:hAnsi="Times New Roman" w:eastAsia="等线" w:cs="Times New Roman"/>
          <w:sz w:val="24"/>
          <w:lang w:eastAsia="zh-Hans"/>
        </w:rPr>
        <w:t>ach ingredient is scored on a 1,000-calorie density basis, with the exception of fatty acids, which are the ratio of unsaturated to saturated fatty acids. See the attached table for details of the HEI-20</w:t>
      </w:r>
      <w:r>
        <w:rPr>
          <w:rFonts w:hint="eastAsia" w:ascii="Times New Roman" w:hAnsi="Times New Roman" w:eastAsia="等线" w:cs="Times New Roman"/>
          <w:sz w:val="24"/>
        </w:rPr>
        <w:t>20</w:t>
      </w:r>
      <w:r>
        <w:rPr>
          <w:rFonts w:ascii="Times New Roman" w:hAnsi="Times New Roman" w:eastAsia="等线" w:cs="Times New Roman"/>
          <w:sz w:val="24"/>
          <w:lang w:eastAsia="zh-Hans"/>
        </w:rPr>
        <w:t xml:space="preserve"> scoring criteria.</w:t>
      </w:r>
    </w:p>
    <w:p>
      <w:pPr>
        <w:jc w:val="center"/>
        <w:rPr>
          <w:rFonts w:hint="eastAsia" w:ascii="Times New Roman Regular" w:hAnsi="Times New Roman Regular" w:eastAsia="等线" w:cs="Times New Roman Regular"/>
          <w:bCs/>
          <w:sz w:val="24"/>
          <w:lang w:eastAsia="zh-Hans"/>
        </w:rPr>
      </w:pPr>
      <w:r>
        <w:rPr>
          <w:rFonts w:ascii="Times New Roman Regular" w:hAnsi="Times New Roman Regular" w:eastAsia="等线" w:cs="Times New Roman Regular"/>
          <w:bCs/>
          <w:sz w:val="24"/>
          <w:lang w:eastAsia="zh-Hans"/>
        </w:rPr>
        <w:t>HEI–20</w:t>
      </w:r>
      <w:r>
        <w:rPr>
          <w:rFonts w:hint="eastAsia" w:ascii="Times New Roman Regular" w:hAnsi="Times New Roman Regular" w:eastAsia="等线" w:cs="Times New Roman Regular"/>
          <w:bCs/>
          <w:sz w:val="24"/>
        </w:rPr>
        <w:t>20</w:t>
      </w:r>
      <w:r>
        <w:rPr>
          <w:rFonts w:ascii="Times New Roman Regular" w:hAnsi="Times New Roman Regular" w:eastAsia="等线" w:cs="Times New Roman Regular"/>
          <w:bCs/>
          <w:sz w:val="24"/>
          <w:lang w:eastAsia="zh-Hans"/>
        </w:rPr>
        <w:t xml:space="preserve"> Components &amp; Scoring Standards</w:t>
      </w:r>
    </w:p>
    <w:tbl>
      <w:tblPr>
        <w:tblStyle w:val="6"/>
        <w:tblW w:w="4998" w:type="pct"/>
        <w:tblInd w:w="0" w:type="dxa"/>
        <w:tblLayout w:type="fixed"/>
        <w:tblCellMar>
          <w:top w:w="0" w:type="dxa"/>
          <w:left w:w="108" w:type="dxa"/>
          <w:bottom w:w="0" w:type="dxa"/>
          <w:right w:w="108" w:type="dxa"/>
        </w:tblCellMar>
      </w:tblPr>
      <w:tblGrid>
        <w:gridCol w:w="1534"/>
        <w:gridCol w:w="945"/>
        <w:gridCol w:w="2892"/>
        <w:gridCol w:w="3154"/>
      </w:tblGrid>
      <w:tr>
        <w:tblPrEx>
          <w:tblCellMar>
            <w:top w:w="0" w:type="dxa"/>
            <w:left w:w="108" w:type="dxa"/>
            <w:bottom w:w="0" w:type="dxa"/>
            <w:right w:w="108" w:type="dxa"/>
          </w:tblCellMar>
        </w:tblPrEx>
        <w:trPr>
          <w:trHeight w:val="90" w:hRule="atLeast"/>
        </w:trPr>
        <w:tc>
          <w:tcPr>
            <w:tcW w:w="900" w:type="pct"/>
            <w:tcBorders>
              <w:top w:val="single" w:color="auto" w:sz="4" w:space="0"/>
              <w:left w:val="nil"/>
              <w:bottom w:val="single" w:color="auto"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Component</w:t>
            </w:r>
          </w:p>
        </w:tc>
        <w:tc>
          <w:tcPr>
            <w:tcW w:w="554" w:type="pct"/>
            <w:tcBorders>
              <w:top w:val="single" w:color="auto" w:sz="4" w:space="0"/>
              <w:left w:val="nil"/>
              <w:bottom w:val="single" w:color="auto"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Maximum points</w:t>
            </w:r>
          </w:p>
        </w:tc>
        <w:tc>
          <w:tcPr>
            <w:tcW w:w="1696" w:type="pct"/>
            <w:tcBorders>
              <w:top w:val="single" w:color="auto" w:sz="4" w:space="0"/>
              <w:left w:val="nil"/>
              <w:bottom w:val="single" w:color="auto"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Standard for maximum score</w:t>
            </w:r>
          </w:p>
        </w:tc>
        <w:tc>
          <w:tcPr>
            <w:tcW w:w="1850" w:type="pct"/>
            <w:tcBorders>
              <w:top w:val="single" w:color="auto" w:sz="4" w:space="0"/>
              <w:left w:val="nil"/>
              <w:bottom w:val="single" w:color="auto" w:sz="4" w:space="0"/>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Standard for minimum score of zero</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kern w:val="0"/>
                <w:sz w:val="24"/>
                <w:u w:val="single"/>
                <w:lang w:bidi="ar"/>
              </w:rPr>
            </w:pPr>
            <w:r>
              <w:rPr>
                <w:rFonts w:ascii="Times New Roman Regular" w:hAnsi="Times New Roman Regular" w:eastAsia="Times New Roman Regular" w:cs="Times New Roman Regular"/>
                <w:kern w:val="0"/>
                <w:sz w:val="24"/>
                <w:u w:val="single"/>
                <w:lang w:bidi="ar"/>
              </w:rPr>
              <w:t>Adequacy:</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kern w:val="0"/>
                <w:sz w:val="24"/>
                <w:lang w:bidi="ar"/>
              </w:rPr>
            </w:pP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kern w:val="0"/>
                <w:sz w:val="24"/>
                <w:lang w:bidi="ar"/>
              </w:rPr>
            </w:pP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kern w:val="0"/>
                <w:sz w:val="24"/>
                <w:lang w:bidi="ar"/>
              </w:rPr>
            </w:pP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u w:val="single"/>
              </w:rPr>
            </w:pPr>
            <w:r>
              <w:fldChar w:fldCharType="begin"/>
            </w:r>
            <w:r>
              <w:instrText xml:space="preserve"> HYPERLINK "https://epi.grants.cancer.gov/hei/developing.html" \l "f2b" </w:instrText>
            </w:r>
            <w:r>
              <w:fldChar w:fldCharType="separate"/>
            </w:r>
            <w:r>
              <w:rPr>
                <w:rFonts w:ascii="Times New Roman Regular" w:hAnsi="Times New Roman Regular" w:eastAsia="Times New Roman Regular" w:cs="Times New Roman Regular"/>
                <w:sz w:val="24"/>
                <w:u w:val="single"/>
              </w:rPr>
              <w:t>Total Fruits</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u w:val="single"/>
                <w:vertAlign w:val="superscript"/>
                <w:lang w:bidi="ar"/>
              </w:rPr>
              <w:t>2</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≥0.8 cup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Fruits</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"f3b" </w:instrText>
            </w:r>
            <w:r>
              <w:fldChar w:fldCharType="separate"/>
            </w:r>
            <w:r>
              <w:rPr>
                <w:rFonts w:ascii="Times New Roman Regular" w:hAnsi="Times New Roman Regular" w:eastAsia="Times New Roman Regular" w:cs="Times New Roman Regular"/>
                <w:sz w:val="24"/>
                <w:u w:val="single"/>
              </w:rPr>
              <w:t>Whole Fruits</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vertAlign w:val="superscript"/>
                <w:lang w:bidi="ar"/>
              </w:rPr>
              <w:t>3</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≥0.4 cup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Whole Fruits</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"f4b" </w:instrText>
            </w:r>
            <w:r>
              <w:fldChar w:fldCharType="separate"/>
            </w:r>
            <w:r>
              <w:rPr>
                <w:rFonts w:ascii="Times New Roman Regular" w:hAnsi="Times New Roman Regular" w:eastAsia="Times New Roman Regular" w:cs="Times New Roman Regular"/>
                <w:sz w:val="24"/>
                <w:u w:val="single"/>
              </w:rPr>
              <w:t>Total Vegetables</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vertAlign w:val="superscript"/>
                <w:lang w:bidi="ar"/>
              </w:rPr>
              <w:t>4</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≥1.1 cup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Vegetables</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"f4b" </w:instrText>
            </w:r>
            <w:r>
              <w:fldChar w:fldCharType="separate"/>
            </w:r>
            <w:r>
              <w:rPr>
                <w:rFonts w:ascii="Times New Roman Regular" w:hAnsi="Times New Roman Regular" w:eastAsia="Times New Roman Regular" w:cs="Times New Roman Regular"/>
                <w:sz w:val="24"/>
                <w:u w:val="single"/>
              </w:rPr>
              <w:t>Greens and Beans</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vertAlign w:val="superscript"/>
                <w:lang w:bidi="ar"/>
              </w:rPr>
              <w:t>4</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≥0.2 cup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Dark Green Vegetables or Legumes</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Whole Grains</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≥1.5 oz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Whole Grains</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"f5b" </w:instrText>
            </w:r>
            <w:r>
              <w:fldChar w:fldCharType="separate"/>
            </w:r>
            <w:r>
              <w:rPr>
                <w:rFonts w:ascii="Times New Roman Regular" w:hAnsi="Times New Roman Regular" w:eastAsia="Times New Roman Regular" w:cs="Times New Roman Regular"/>
                <w:sz w:val="24"/>
                <w:u w:val="single"/>
              </w:rPr>
              <w:t>Dairy</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vertAlign w:val="superscript"/>
                <w:lang w:bidi="ar"/>
              </w:rPr>
              <w:t>5</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≥1.3 cup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Dairy</w:t>
            </w:r>
          </w:p>
        </w:tc>
      </w:tr>
      <w:tr>
        <w:tblPrEx>
          <w:tblCellMar>
            <w:top w:w="0" w:type="dxa"/>
            <w:left w:w="108" w:type="dxa"/>
            <w:bottom w:w="0" w:type="dxa"/>
            <w:right w:w="108" w:type="dxa"/>
          </w:tblCellMar>
        </w:tblPrEx>
        <w:trPr>
          <w:trHeight w:val="9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"f6b" </w:instrText>
            </w:r>
            <w:r>
              <w:fldChar w:fldCharType="separate"/>
            </w:r>
            <w:r>
              <w:rPr>
                <w:rFonts w:ascii="Times New Roman Regular" w:hAnsi="Times New Roman Regular" w:eastAsia="Times New Roman Regular" w:cs="Times New Roman Regular"/>
                <w:sz w:val="24"/>
                <w:u w:val="single"/>
              </w:rPr>
              <w:t>Total Protein Foods</w:t>
            </w:r>
            <w:r>
              <w:rPr>
                <w:rFonts w:ascii="Times New Roman Regular" w:hAnsi="Times New Roman Regular" w:eastAsia="Times New Roman Regular" w:cs="Times New Roman Regular"/>
                <w:sz w:val="24"/>
                <w:u w:val="single"/>
              </w:rPr>
              <w:fldChar w:fldCharType="end"/>
            </w:r>
            <w:bookmarkStart w:id="5" w:name="OLE_LINK18"/>
            <w:r>
              <w:rPr>
                <w:rFonts w:hint="eastAsia" w:ascii="Times New Roman Regular" w:hAnsi="Times New Roman Regular" w:eastAsia="Times New Roman Regular" w:cs="Times New Roman Regular"/>
                <w:kern w:val="0"/>
                <w:sz w:val="24"/>
                <w:vertAlign w:val="superscript"/>
                <w:lang w:bidi="ar"/>
              </w:rPr>
              <w:t>4</w:t>
            </w:r>
            <w:bookmarkEnd w:id="5"/>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≥2.5 oz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Protein Foods</w:t>
            </w:r>
          </w:p>
        </w:tc>
      </w:tr>
      <w:tr>
        <w:tblPrEx>
          <w:tblCellMar>
            <w:top w:w="0" w:type="dxa"/>
            <w:left w:w="108" w:type="dxa"/>
            <w:bottom w:w="0" w:type="dxa"/>
            <w:right w:w="108" w:type="dxa"/>
          </w:tblCellMar>
        </w:tblPrEx>
        <w:trPr>
          <w:trHeight w:val="9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Seafood and Plant Proteins</w:t>
            </w:r>
            <w:r>
              <w:rPr>
                <w:rFonts w:hint="eastAsia" w:ascii="Times New Roman Regular" w:hAnsi="Times New Roman Regular" w:eastAsia="Times New Roman Regular" w:cs="Times New Roman Regular"/>
                <w:kern w:val="0"/>
                <w:sz w:val="24"/>
                <w:vertAlign w:val="superscript"/>
                <w:lang w:bidi="ar"/>
              </w:rPr>
              <w:t>5</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5</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≥0.8 oz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No Seafood or Plant Proteins</w:t>
            </w:r>
          </w:p>
        </w:tc>
      </w:tr>
      <w:tr>
        <w:tblPrEx>
          <w:tblCellMar>
            <w:top w:w="0" w:type="dxa"/>
            <w:left w:w="108" w:type="dxa"/>
            <w:bottom w:w="0" w:type="dxa"/>
            <w:right w:w="108" w:type="dxa"/>
          </w:tblCellMar>
        </w:tblPrEx>
        <w:trPr>
          <w:trHeight w:val="830"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fldChar w:fldCharType="begin"/>
            </w:r>
            <w:r>
              <w:instrText xml:space="preserve"> HYPERLINK "https://epi.grants.cancer.gov/hei/developing.html" \l "f7b" </w:instrText>
            </w:r>
            <w:r>
              <w:fldChar w:fldCharType="separate"/>
            </w:r>
            <w:r>
              <w:rPr>
                <w:rFonts w:ascii="Times New Roman Regular" w:hAnsi="Times New Roman Regular" w:eastAsia="Times New Roman Regular" w:cs="Times New Roman Regular"/>
                <w:sz w:val="24"/>
                <w:u w:val="single"/>
              </w:rPr>
              <w:t>Fatty Acids</w:t>
            </w:r>
            <w:r>
              <w:rPr>
                <w:rFonts w:ascii="Times New Roman Regular" w:hAnsi="Times New Roman Regular" w:eastAsia="Times New Roman Regular" w:cs="Times New Roman Regular"/>
                <w:sz w:val="24"/>
                <w:u w:val="single"/>
              </w:rPr>
              <w:fldChar w:fldCharType="end"/>
            </w:r>
            <w:r>
              <w:rPr>
                <w:rFonts w:hint="eastAsia" w:ascii="Times New Roman Regular" w:hAnsi="Times New Roman Regular" w:eastAsia="Times New Roman Regular" w:cs="Times New Roman Regular"/>
                <w:kern w:val="0"/>
                <w:sz w:val="24"/>
                <w:vertAlign w:val="superscript"/>
                <w:lang w:bidi="ar"/>
              </w:rPr>
              <w:t>7</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(PUFAs + MUFAs)/SFAs ≥2.5</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(PUFAs + MUFAs)/SFAs ≤1.2</w:t>
            </w:r>
          </w:p>
        </w:tc>
      </w:tr>
      <w:tr>
        <w:tblPrEx>
          <w:tblCellMar>
            <w:top w:w="0" w:type="dxa"/>
            <w:left w:w="108" w:type="dxa"/>
            <w:bottom w:w="0" w:type="dxa"/>
            <w:right w:w="108" w:type="dxa"/>
          </w:tblCellMar>
        </w:tblPrEx>
        <w:trPr>
          <w:trHeight w:val="336" w:hRule="atLeast"/>
        </w:trPr>
        <w:tc>
          <w:tcPr>
            <w:tcW w:w="5000" w:type="pct"/>
            <w:gridSpan w:val="4"/>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Moderation:</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Refined Grains</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≤1.8 oz equiv.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≥4.3 oz equiv. per 1,000 kcal</w:t>
            </w:r>
          </w:p>
        </w:tc>
      </w:tr>
      <w:tr>
        <w:tblPrEx>
          <w:tblCellMar>
            <w:top w:w="0" w:type="dxa"/>
            <w:left w:w="108" w:type="dxa"/>
            <w:bottom w:w="0" w:type="dxa"/>
            <w:right w:w="108" w:type="dxa"/>
          </w:tblCellMar>
        </w:tblPrEx>
        <w:trPr>
          <w:trHeight w:val="336"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Sodium</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≤1.1 gram per 1,000 kcal</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≥2.0 grams per 1,000 kcal</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Added Sugars</w:t>
            </w:r>
          </w:p>
        </w:tc>
        <w:tc>
          <w:tcPr>
            <w:tcW w:w="554"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≤6.5% of energy</w:t>
            </w:r>
          </w:p>
        </w:tc>
        <w:tc>
          <w:tcPr>
            <w:tcW w:w="1850" w:type="pct"/>
            <w:tcBorders>
              <w:top w:val="single" w:color="DEE2E6" w:sz="8" w:space="0"/>
              <w:left w:val="single" w:color="DEE2E6" w:sz="8" w:space="0"/>
              <w:bottom w:val="single" w:color="DEE2E6" w:sz="8"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≥26% of energy</w:t>
            </w:r>
          </w:p>
        </w:tc>
      </w:tr>
      <w:tr>
        <w:tblPrEx>
          <w:tblCellMar>
            <w:top w:w="0" w:type="dxa"/>
            <w:left w:w="108" w:type="dxa"/>
            <w:bottom w:w="0" w:type="dxa"/>
            <w:right w:w="108" w:type="dxa"/>
          </w:tblCellMar>
        </w:tblPrEx>
        <w:trPr>
          <w:trHeight w:val="635" w:hRule="atLeast"/>
        </w:trPr>
        <w:tc>
          <w:tcPr>
            <w:tcW w:w="900" w:type="pct"/>
            <w:tcBorders>
              <w:top w:val="single" w:color="DEE2E6" w:sz="8" w:space="0"/>
              <w:left w:val="single" w:color="DEE2E6" w:sz="8" w:space="0"/>
              <w:bottom w:val="single" w:color="auto" w:sz="4" w:space="0"/>
              <w:right w:val="single" w:color="DEE2E6" w:sz="8" w:space="0"/>
            </w:tcBorders>
            <w:shd w:val="clear" w:color="auto" w:fill="FFFFFF"/>
          </w:tcPr>
          <w:p>
            <w:pPr>
              <w:widowControl/>
              <w:jc w:val="center"/>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Saturated Fats</w:t>
            </w:r>
          </w:p>
        </w:tc>
        <w:tc>
          <w:tcPr>
            <w:tcW w:w="554" w:type="pct"/>
            <w:tcBorders>
              <w:top w:val="single" w:color="DEE2E6" w:sz="8" w:space="0"/>
              <w:left w:val="single" w:color="DEE2E6" w:sz="8" w:space="0"/>
              <w:bottom w:val="single" w:color="auto" w:sz="4" w:space="0"/>
              <w:right w:val="single" w:color="DEE2E6" w:sz="8" w:space="0"/>
            </w:tcBorders>
            <w:shd w:val="clear" w:color="auto" w:fill="FFFFFF"/>
          </w:tcPr>
          <w:p>
            <w:pPr>
              <w:widowControl/>
              <w:jc w:val="righ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10</w:t>
            </w:r>
          </w:p>
        </w:tc>
        <w:tc>
          <w:tcPr>
            <w:tcW w:w="1696" w:type="pct"/>
            <w:tcBorders>
              <w:top w:val="single" w:color="DEE2E6" w:sz="8" w:space="0"/>
              <w:left w:val="single" w:color="DEE2E6" w:sz="8" w:space="0"/>
              <w:bottom w:val="single" w:color="auto" w:sz="4"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≤8% of energy</w:t>
            </w:r>
          </w:p>
        </w:tc>
        <w:tc>
          <w:tcPr>
            <w:tcW w:w="1850" w:type="pct"/>
            <w:tcBorders>
              <w:top w:val="single" w:color="DEE2E6" w:sz="8" w:space="0"/>
              <w:left w:val="single" w:color="DEE2E6" w:sz="8" w:space="0"/>
              <w:bottom w:val="single" w:color="auto" w:sz="4" w:space="0"/>
              <w:right w:val="single" w:color="DEE2E6" w:sz="8" w:space="0"/>
            </w:tcBorders>
            <w:shd w:val="clear" w:color="auto" w:fill="FFFFFF"/>
          </w:tcPr>
          <w:p>
            <w:pPr>
              <w:widowControl/>
              <w:jc w:val="left"/>
              <w:textAlignment w:val="top"/>
              <w:rPr>
                <w:rFonts w:ascii="Times New Roman Regular" w:hAnsi="Times New Roman Regular" w:eastAsia="Times New Roman Regular" w:cs="Times New Roman Regular"/>
                <w:sz w:val="24"/>
              </w:rPr>
            </w:pPr>
            <w:r>
              <w:rPr>
                <w:rFonts w:ascii="Times New Roman Regular" w:hAnsi="Times New Roman Regular" w:eastAsia="Times New Roman Regular" w:cs="Times New Roman Regular"/>
                <w:kern w:val="0"/>
                <w:sz w:val="24"/>
                <w:lang w:bidi="ar"/>
              </w:rPr>
              <w:t>≥16% of energy</w:t>
            </w:r>
          </w:p>
        </w:tc>
      </w:tr>
      <w:tr>
        <w:tblPrEx>
          <w:tblCellMar>
            <w:top w:w="0" w:type="dxa"/>
            <w:left w:w="108" w:type="dxa"/>
            <w:bottom w:w="0" w:type="dxa"/>
            <w:right w:w="108" w:type="dxa"/>
          </w:tblCellMar>
        </w:tblPrEx>
        <w:trPr>
          <w:trHeight w:val="635" w:hRule="atLeast"/>
        </w:trPr>
        <w:tc>
          <w:tcPr>
            <w:tcW w:w="900" w:type="pct"/>
            <w:tcBorders>
              <w:top w:val="single" w:color="auto" w:sz="4" w:space="0"/>
              <w:left w:val="single" w:color="DEE2E6" w:sz="8" w:space="0"/>
              <w:bottom w:val="single" w:color="auto" w:sz="4" w:space="0"/>
              <w:right w:val="single" w:color="DEE2E6" w:sz="8" w:space="0"/>
            </w:tcBorders>
            <w:shd w:val="clear" w:color="auto" w:fill="FFFFFF"/>
          </w:tcPr>
          <w:p>
            <w:pPr>
              <w:widowControl/>
              <w:jc w:val="center"/>
              <w:textAlignment w:val="top"/>
              <w:rPr>
                <w:rFonts w:ascii="Times New Roman" w:hAnsi="Times New Roman" w:eastAsia="等线" w:cs="Times New Roman"/>
                <w:sz w:val="24"/>
                <w:lang w:eastAsia="zh-Hans"/>
              </w:rPr>
            </w:pPr>
            <w:r>
              <w:rPr>
                <w:rFonts w:hint="eastAsia" w:ascii="Times New Roman" w:hAnsi="Times New Roman" w:eastAsia="等线" w:cs="Times New Roman"/>
                <w:sz w:val="24"/>
                <w:lang w:eastAsia="zh-Hans"/>
              </w:rPr>
              <w:t>Score</w:t>
            </w:r>
          </w:p>
        </w:tc>
        <w:tc>
          <w:tcPr>
            <w:tcW w:w="4100" w:type="pct"/>
            <w:gridSpan w:val="3"/>
            <w:tcBorders>
              <w:top w:val="single" w:color="auto" w:sz="4" w:space="0"/>
              <w:left w:val="single" w:color="DEE2E6" w:sz="8" w:space="0"/>
              <w:bottom w:val="single" w:color="auto" w:sz="4" w:space="0"/>
              <w:right w:val="single" w:color="DEE2E6" w:sz="8" w:space="0"/>
            </w:tcBorders>
            <w:shd w:val="clear" w:color="auto" w:fill="FFFFFF"/>
          </w:tcPr>
          <w:p>
            <w:pPr>
              <w:widowControl/>
              <w:jc w:val="center"/>
              <w:textAlignment w:val="top"/>
              <w:rPr>
                <w:rFonts w:ascii="Times New Roman" w:hAnsi="Times New Roman" w:eastAsia="等线" w:cs="Times New Roman"/>
                <w:sz w:val="24"/>
                <w:lang w:eastAsia="zh-Hans"/>
              </w:rPr>
            </w:pPr>
            <w:r>
              <w:rPr>
                <w:rFonts w:hint="eastAsia" w:ascii="Times New Roman" w:hAnsi="Times New Roman" w:eastAsia="等线" w:cs="Times New Roman"/>
                <w:sz w:val="24"/>
                <w:lang w:eastAsia="zh-Hans"/>
              </w:rPr>
              <w:t xml:space="preserve">0-100 </w:t>
            </w:r>
            <w:r>
              <w:rPr>
                <w:rFonts w:ascii="Times New Roman" w:hAnsi="Times New Roman" w:eastAsia="等线" w:cs="Times New Roman"/>
                <w:sz w:val="24"/>
                <w:lang w:eastAsia="zh-Hans"/>
              </w:rPr>
              <w:t>points total (</w:t>
            </w:r>
            <w:r>
              <w:rPr>
                <w:rFonts w:hint="eastAsia" w:ascii="Times New Roman" w:hAnsi="Times New Roman" w:eastAsia="等线" w:cs="Times New Roman"/>
                <w:sz w:val="24"/>
                <w:lang w:eastAsia="zh-Hans"/>
              </w:rPr>
              <w:t>13</w:t>
            </w:r>
            <w:r>
              <w:rPr>
                <w:rFonts w:ascii="Times New Roman" w:hAnsi="Times New Roman" w:eastAsia="等线" w:cs="Times New Roman"/>
                <w:sz w:val="24"/>
                <w:lang w:eastAsia="zh-Hans"/>
              </w:rPr>
              <w:t xml:space="preserve"> components: </w:t>
            </w:r>
            <w:r>
              <w:rPr>
                <w:rFonts w:hint="eastAsia" w:ascii="Times New Roman" w:hAnsi="Times New Roman" w:eastAsia="等线" w:cs="Times New Roman"/>
                <w:sz w:val="24"/>
                <w:lang w:eastAsia="zh-Hans"/>
              </w:rPr>
              <w:t>0</w:t>
            </w:r>
            <w:r>
              <w:rPr>
                <w:rFonts w:ascii="Times New Roman" w:hAnsi="Times New Roman" w:eastAsia="等线" w:cs="Times New Roman"/>
                <w:sz w:val="24"/>
                <w:lang w:eastAsia="zh-Hans"/>
              </w:rPr>
              <w:t xml:space="preserve">–5 points </w:t>
            </w:r>
            <w:r>
              <w:rPr>
                <w:rFonts w:hint="eastAsia" w:ascii="Times New Roman" w:hAnsi="Times New Roman" w:eastAsia="等线" w:cs="Times New Roman"/>
                <w:sz w:val="24"/>
                <w:lang w:eastAsia="zh-Hans"/>
              </w:rPr>
              <w:t xml:space="preserve">or </w:t>
            </w:r>
            <w:r>
              <w:rPr>
                <w:rFonts w:ascii="Times New Roman" w:hAnsi="Times New Roman" w:eastAsia="等线" w:cs="Times New Roman"/>
                <w:sz w:val="24"/>
                <w:lang w:eastAsia="zh-Hans"/>
              </w:rPr>
              <w:t>0-10 points each)</w:t>
            </w:r>
          </w:p>
        </w:tc>
      </w:tr>
    </w:tbl>
    <w:p>
      <w:pPr>
        <w:rPr>
          <w:rFonts w:ascii="Times New Roman" w:hAnsi="Times New Roman" w:eastAsia="等线" w:cs="Times New Roman"/>
          <w:sz w:val="24"/>
          <w:lang w:eastAsia="zh-Hans"/>
        </w:rPr>
      </w:pPr>
      <w:r>
        <w:rPr>
          <w:rFonts w:ascii="Times New Roman" w:hAnsi="Times New Roman" w:eastAsia="等线" w:cs="Times New Roman"/>
          <w:sz w:val="24"/>
          <w:lang w:eastAsia="zh-Hans"/>
        </w:rPr>
        <w:t>1: The total HEI score is the sum of the adequacy components (i.e. foods to eat more of for good health) and moderation components (i.e. foods to limit for good health).</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2: Includes 100% fruit juice.</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3: Includes all forms except juice.</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4: Includes legumes (beans and peas).</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5: Includes all milk products, such as fluid milk, yogurt, and cheese, and fortified soy beverages.</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6: Includes seafood, nuts, seeds, soy products (other than beverages), and beans, peas, and lentils.</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7: Ratio of poly- and monounsaturated fatty acids (PUFAs and MUFAs) to saturated fatty acids (SFAs).</w:t>
      </w:r>
    </w:p>
    <w:p>
      <w:pPr>
        <w:rPr>
          <w:rFonts w:ascii="Times New Roman" w:hAnsi="Times New Roman" w:eastAsia="等线" w:cs="Times New Roman"/>
          <w:sz w:val="24"/>
          <w:lang w:eastAsia="zh-Hans"/>
        </w:rPr>
      </w:pPr>
    </w:p>
    <w:p>
      <w:pPr>
        <w:rPr>
          <w:rFonts w:ascii="Times New Roman" w:hAnsi="Times New Roman" w:eastAsia="等线" w:cs="Times New Roman"/>
          <w:bCs/>
          <w:sz w:val="24"/>
        </w:rPr>
      </w:pPr>
      <w:r>
        <w:rPr>
          <w:rFonts w:hint="eastAsia" w:ascii="Times New Roman" w:hAnsi="Times New Roman" w:eastAsia="等线" w:cs="Times New Roman"/>
          <w:sz w:val="24"/>
        </w:rPr>
        <w:t>4</w:t>
      </w:r>
      <w:r>
        <w:rPr>
          <w:rFonts w:ascii="Times New Roman" w:hAnsi="Times New Roman" w:eastAsia="等线" w:cs="Times New Roman"/>
          <w:sz w:val="24"/>
        </w:rPr>
        <w:t>.2</w:t>
      </w:r>
      <w:r>
        <w:rPr>
          <w:rFonts w:ascii="Times New Roman" w:hAnsi="Times New Roman" w:eastAsia="等线" w:cs="Times New Roman"/>
          <w:sz w:val="24"/>
          <w:lang w:eastAsia="zh-Hans"/>
        </w:rPr>
        <w:t xml:space="preserve"> </w:t>
      </w:r>
      <w:r>
        <w:rPr>
          <w:rFonts w:ascii="Times New Roman" w:hAnsi="Times New Roman" w:eastAsia="等线" w:cs="Times New Roman"/>
          <w:sz w:val="24"/>
        </w:rPr>
        <w:t xml:space="preserve">Mediterranean diet </w:t>
      </w:r>
      <w:r>
        <w:rPr>
          <w:rFonts w:ascii="Times New Roman" w:hAnsi="Times New Roman" w:eastAsia="等线" w:cs="Times New Roman"/>
          <w:sz w:val="24"/>
          <w:vertAlign w:val="superscript"/>
        </w:rPr>
        <w:t>[</w:t>
      </w:r>
      <w:r>
        <w:rPr>
          <w:rFonts w:hint="eastAsia" w:ascii="Times New Roman" w:hAnsi="Times New Roman" w:eastAsia="等线" w:cs="Times New Roman"/>
          <w:sz w:val="24"/>
          <w:vertAlign w:val="superscript"/>
        </w:rPr>
        <w:t>3</w:t>
      </w:r>
      <w:r>
        <w:rPr>
          <w:rFonts w:ascii="Times New Roman" w:hAnsi="Times New Roman" w:eastAsia="等线" w:cs="Times New Roman"/>
          <w:sz w:val="24"/>
          <w:vertAlign w:val="superscript"/>
        </w:rPr>
        <w:t>]</w:t>
      </w:r>
    </w:p>
    <w:p>
      <w:pPr>
        <w:rPr>
          <w:rFonts w:ascii="Times New Roman" w:hAnsi="Times New Roman" w:eastAsia="等线" w:cs="Times New Roman"/>
          <w:sz w:val="24"/>
          <w:lang w:eastAsia="zh-Hans"/>
        </w:rPr>
      </w:pPr>
      <w:r>
        <w:rPr>
          <w:rFonts w:ascii="Times New Roman" w:hAnsi="Times New Roman" w:eastAsia="等线" w:cs="Times New Roman"/>
          <w:sz w:val="24"/>
          <w:lang w:eastAsia="zh-Hans"/>
        </w:rPr>
        <w:t>The Mediterranean diet score</w:t>
      </w:r>
      <w:r>
        <w:rPr>
          <w:rFonts w:hint="eastAsia" w:ascii="Times New Roman" w:hAnsi="Times New Roman" w:eastAsia="等线" w:cs="Times New Roman"/>
          <w:sz w:val="24"/>
          <w:lang w:eastAsia="zh-Hans"/>
        </w:rPr>
        <w:t xml:space="preserve"> </w:t>
      </w:r>
      <w:r>
        <w:rPr>
          <w:rFonts w:ascii="Times New Roman" w:hAnsi="Times New Roman" w:eastAsia="等线" w:cs="Times New Roman"/>
          <w:sz w:val="24"/>
          <w:lang w:eastAsia="zh-Hans"/>
        </w:rPr>
        <w:t>included nine components and awarded 1 point for an intake equal to or above the cohort specific median for vegetables, fruits, whole grains, nuts, legumes, fish, and ratio of monounsaturated to saturated fat and 1 point for an intake below the cohort specific median for red and processed meat and for alcohol intake 5-15 g/d for women and 10-25 g/d for men. The total score ranged from 0 to 9 points.</w:t>
      </w:r>
      <w:r>
        <w:rPr>
          <w:rFonts w:hint="eastAsia" w:ascii="Times New Roman" w:hAnsi="Times New Roman" w:eastAsia="等线" w:cs="Times New Roman"/>
          <w:sz w:val="24"/>
          <w:lang w:eastAsia="zh-Hans"/>
        </w:rPr>
        <w:t xml:space="preserve"> </w:t>
      </w:r>
      <w:r>
        <w:rPr>
          <w:rFonts w:ascii="Times New Roman" w:hAnsi="Times New Roman" w:eastAsia="等线" w:cs="Times New Roman"/>
          <w:sz w:val="24"/>
          <w:lang w:eastAsia="zh-Hans"/>
        </w:rPr>
        <w:t>Mediterranean dietary patterns are divided according to the degree of different food groups in the table below.</w:t>
      </w:r>
    </w:p>
    <w:p>
      <w:pPr>
        <w:jc w:val="center"/>
        <w:rPr>
          <w:rFonts w:ascii="Times New Roman" w:hAnsi="Times New Roman" w:eastAsia="等线" w:cs="Times New Roman"/>
          <w:sz w:val="24"/>
          <w:lang w:eastAsia="zh-Hans"/>
        </w:rPr>
      </w:pPr>
      <w:bookmarkStart w:id="6" w:name="OLE_LINK33"/>
      <w:r>
        <w:rPr>
          <w:rFonts w:ascii="Times New Roman" w:hAnsi="Times New Roman" w:eastAsia="等线" w:cs="Times New Roman"/>
          <w:sz w:val="24"/>
          <w:lang w:eastAsia="zh-Hans"/>
        </w:rPr>
        <w:t>Mediterranean diet</w:t>
      </w:r>
      <w:r>
        <w:rPr>
          <w:rFonts w:hint="eastAsia" w:ascii="Times New Roman" w:hAnsi="Times New Roman" w:eastAsia="等线" w:cs="Times New Roman"/>
          <w:sz w:val="24"/>
        </w:rPr>
        <w:t xml:space="preserve"> score</w:t>
      </w:r>
      <w:r>
        <w:rPr>
          <w:rFonts w:ascii="Times New Roman" w:hAnsi="Times New Roman" w:eastAsia="等线" w:cs="Times New Roman"/>
          <w:sz w:val="24"/>
          <w:lang w:eastAsia="zh-Hans"/>
        </w:rPr>
        <w:t xml:space="preserve"> Components &amp; Scoring </w:t>
      </w:r>
      <w:bookmarkStart w:id="7" w:name="OLE_LINK34"/>
      <w:r>
        <w:rPr>
          <w:rFonts w:ascii="Times New Roman" w:hAnsi="Times New Roman" w:eastAsia="等线" w:cs="Times New Roman"/>
          <w:sz w:val="24"/>
          <w:lang w:eastAsia="zh-Hans"/>
        </w:rPr>
        <w:t>Standard</w:t>
      </w:r>
      <w:bookmarkEnd w:id="7"/>
      <w:r>
        <w:rPr>
          <w:rFonts w:ascii="Times New Roman" w:hAnsi="Times New Roman" w:eastAsia="等线" w:cs="Times New Roman"/>
          <w:sz w:val="24"/>
          <w:lang w:eastAsia="zh-Hans"/>
        </w:rPr>
        <w:t>s</w:t>
      </w:r>
    </w:p>
    <w:tbl>
      <w:tblPr>
        <w:tblStyle w:val="6"/>
        <w:tblW w:w="7940" w:type="dxa"/>
        <w:tblInd w:w="88" w:type="dxa"/>
        <w:tblLayout w:type="autofit"/>
        <w:tblCellMar>
          <w:top w:w="0" w:type="dxa"/>
          <w:left w:w="108" w:type="dxa"/>
          <w:bottom w:w="0" w:type="dxa"/>
          <w:right w:w="108" w:type="dxa"/>
        </w:tblCellMar>
      </w:tblPr>
      <w:tblGrid>
        <w:gridCol w:w="4081"/>
        <w:gridCol w:w="4359"/>
      </w:tblGrid>
      <w:tr>
        <w:trPr>
          <w:trHeight w:val="336" w:hRule="atLeast"/>
        </w:trPr>
        <w:tc>
          <w:tcPr>
            <w:tcW w:w="3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Component</w:t>
            </w:r>
          </w:p>
        </w:tc>
        <w:tc>
          <w:tcPr>
            <w:tcW w:w="39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hint="eastAsia" w:ascii="Times New Roman" w:hAnsi="Times New Roman" w:eastAsia="等线" w:cs="Times New Roman"/>
                <w:sz w:val="24"/>
                <w:lang w:bidi="ar"/>
              </w:rPr>
              <w:t>1</w:t>
            </w:r>
            <w:r>
              <w:rPr>
                <w:rFonts w:ascii="Times New Roman" w:hAnsi="Times New Roman" w:eastAsia="等线" w:cs="Times New Roman"/>
                <w:sz w:val="24"/>
                <w:lang w:bidi="ar"/>
              </w:rPr>
              <w:t xml:space="preserve"> point for individuals who meet each standard</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vegetables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fruits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whole grains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nuts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legumes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fish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ratio of monounsaturated to saturated fat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Above or equal to the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red and processed meat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below median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alcohol intake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5-15 g/d for women and 10-25 g/d for men.</w:t>
            </w:r>
          </w:p>
        </w:tc>
      </w:tr>
      <w:tr>
        <w:tblPrEx>
          <w:tblCellMar>
            <w:top w:w="0" w:type="dxa"/>
            <w:left w:w="108" w:type="dxa"/>
            <w:bottom w:w="0" w:type="dxa"/>
            <w:right w:w="108" w:type="dxa"/>
          </w:tblCellMar>
        </w:tblPrEx>
        <w:trPr>
          <w:trHeight w:val="3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等线" w:cs="Times New Roman"/>
                <w:sz w:val="24"/>
                <w:lang w:eastAsia="zh-Hans"/>
              </w:rPr>
            </w:pPr>
            <w:r>
              <w:rPr>
                <w:rFonts w:hint="eastAsia" w:ascii="Times New Roman" w:hAnsi="Times New Roman" w:eastAsia="等线" w:cs="Times New Roman"/>
                <w:sz w:val="24"/>
                <w:lang w:eastAsia="zh-Hans"/>
              </w:rPr>
              <w:t>Score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等线" w:cs="Times New Roman"/>
                <w:sz w:val="24"/>
                <w:lang w:eastAsia="zh-Hans"/>
              </w:rPr>
            </w:pPr>
            <w:r>
              <w:rPr>
                <w:rFonts w:ascii="Times New Roman" w:hAnsi="Times New Roman" w:eastAsia="等线" w:cs="Times New Roman"/>
                <w:sz w:val="24"/>
                <w:lang w:eastAsia="zh-Hans"/>
              </w:rPr>
              <w:t>0-9 points total</w:t>
            </w:r>
          </w:p>
        </w:tc>
      </w:tr>
    </w:tbl>
    <w:p>
      <w:pPr>
        <w:rPr>
          <w:rFonts w:ascii="Times New Roman" w:hAnsi="Times New Roman" w:eastAsia="等线" w:cs="Times New Roman"/>
          <w:sz w:val="24"/>
          <w:lang w:eastAsia="zh-Hans"/>
        </w:rPr>
      </w:pPr>
    </w:p>
    <w:bookmarkEnd w:id="6"/>
    <w:p>
      <w:pPr>
        <w:rPr>
          <w:rFonts w:ascii="Times New Roman" w:hAnsi="Times New Roman" w:eastAsia="等线" w:cs="Times New Roman"/>
          <w:sz w:val="24"/>
          <w:lang w:bidi="ar"/>
        </w:rPr>
      </w:pPr>
      <w:r>
        <w:rPr>
          <w:rFonts w:hint="eastAsia" w:ascii="Times New Roman" w:hAnsi="Times New Roman" w:eastAsia="等线" w:cs="Times New Roman"/>
          <w:sz w:val="24"/>
          <w:lang w:bidi="ar"/>
        </w:rPr>
        <w:t>4</w:t>
      </w:r>
      <w:r>
        <w:rPr>
          <w:rFonts w:ascii="Times New Roman" w:hAnsi="Times New Roman" w:eastAsia="等线" w:cs="Times New Roman"/>
          <w:sz w:val="24"/>
          <w:lang w:bidi="ar"/>
        </w:rPr>
        <w:t>.3</w:t>
      </w:r>
      <w:r>
        <w:rPr>
          <w:rFonts w:ascii="Times New Roman" w:hAnsi="Times New Roman" w:eastAsia="等线" w:cs="Times New Roman"/>
          <w:sz w:val="24"/>
          <w:lang w:eastAsia="zh-Hans" w:bidi="ar"/>
        </w:rPr>
        <w:t xml:space="preserve"> </w:t>
      </w:r>
      <w:r>
        <w:rPr>
          <w:rFonts w:ascii="Times New Roman" w:hAnsi="Times New Roman" w:eastAsia="等线" w:cs="Times New Roman"/>
          <w:sz w:val="24"/>
          <w:lang w:bidi="ar"/>
        </w:rPr>
        <w:t xml:space="preserve">Dietary Approaches to Stop Hypertension </w:t>
      </w:r>
      <w:r>
        <w:rPr>
          <w:rFonts w:hint="eastAsia" w:ascii="Times New Roman" w:hAnsi="Times New Roman" w:eastAsia="等线" w:cs="Times New Roman"/>
          <w:sz w:val="24"/>
          <w:lang w:bidi="ar"/>
        </w:rPr>
        <w:t>(DASH)</w:t>
      </w:r>
      <w:r>
        <w:rPr>
          <w:rFonts w:ascii="Times New Roman" w:hAnsi="Times New Roman" w:eastAsia="等线" w:cs="Times New Roman"/>
          <w:sz w:val="24"/>
          <w:lang w:bidi="ar"/>
        </w:rPr>
        <w:t xml:space="preserve"> </w:t>
      </w:r>
      <w:r>
        <w:rPr>
          <w:rFonts w:ascii="Times New Roman" w:hAnsi="Times New Roman" w:eastAsia="等线" w:cs="Times New Roman"/>
          <w:sz w:val="24"/>
          <w:vertAlign w:val="superscript"/>
          <w:lang w:bidi="ar"/>
        </w:rPr>
        <w:t>[</w:t>
      </w:r>
      <w:r>
        <w:rPr>
          <w:rFonts w:hint="eastAsia" w:ascii="Times New Roman" w:hAnsi="Times New Roman" w:eastAsia="等线" w:cs="Times New Roman"/>
          <w:sz w:val="24"/>
          <w:vertAlign w:val="superscript"/>
          <w:lang w:bidi="ar"/>
        </w:rPr>
        <w:t>4</w:t>
      </w:r>
      <w:r>
        <w:rPr>
          <w:rFonts w:ascii="Times New Roman" w:hAnsi="Times New Roman" w:eastAsia="等线" w:cs="Times New Roman"/>
          <w:sz w:val="24"/>
          <w:vertAlign w:val="superscript"/>
          <w:lang w:bidi="ar"/>
        </w:rPr>
        <w:t>]</w:t>
      </w:r>
    </w:p>
    <w:p>
      <w:pPr>
        <w:rPr>
          <w:rFonts w:ascii="Times New Roman" w:hAnsi="Times New Roman" w:eastAsia="等线" w:cs="Times New Roman"/>
          <w:sz w:val="24"/>
        </w:rPr>
      </w:pPr>
      <w:r>
        <w:rPr>
          <w:rFonts w:ascii="Times New Roman" w:hAnsi="Times New Roman" w:eastAsia="等线" w:cs="Times New Roman"/>
          <w:sz w:val="24"/>
          <w:lang w:eastAsia="zh-Hans"/>
        </w:rPr>
        <w:t>The DASH dietary pattern focuses on eight key foods or nutrient components: high intakes of fruits, vegetables, nuts</w:t>
      </w:r>
      <w:r>
        <w:rPr>
          <w:rFonts w:hint="eastAsia" w:ascii="Times New Roman" w:hAnsi="Times New Roman" w:eastAsia="等线" w:cs="Times New Roman"/>
          <w:sz w:val="24"/>
        </w:rPr>
        <w:t xml:space="preserve"> </w:t>
      </w:r>
      <w:r>
        <w:rPr>
          <w:rFonts w:ascii="Times New Roman" w:hAnsi="Times New Roman" w:eastAsia="等线" w:cs="Times New Roman"/>
          <w:sz w:val="24"/>
          <w:lang w:eastAsia="zh-Hans"/>
        </w:rPr>
        <w:t>and legumes, low-fat dairy and whole grains, and low intakes of sodium, sweetened beverages, and red and processed meats kind.</w:t>
      </w:r>
    </w:p>
    <w:p>
      <w:pPr>
        <w:jc w:val="center"/>
        <w:rPr>
          <w:rFonts w:ascii="Times New Roman" w:hAnsi="Times New Roman" w:eastAsia="等线" w:cs="Times New Roman"/>
          <w:sz w:val="24"/>
          <w:lang w:eastAsia="zh-Hans"/>
        </w:rPr>
      </w:pPr>
      <w:r>
        <w:rPr>
          <w:rFonts w:hint="eastAsia" w:ascii="Times New Roman" w:hAnsi="Times New Roman" w:eastAsia="等线" w:cs="Times New Roman"/>
          <w:sz w:val="24"/>
        </w:rPr>
        <w:t>DASH</w:t>
      </w:r>
      <w:r>
        <w:rPr>
          <w:rFonts w:ascii="Times New Roman" w:hAnsi="Times New Roman" w:eastAsia="等线" w:cs="Times New Roman"/>
          <w:sz w:val="24"/>
          <w:lang w:eastAsia="zh-Hans"/>
        </w:rPr>
        <w:t xml:space="preserve"> diet</w:t>
      </w:r>
      <w:r>
        <w:rPr>
          <w:rFonts w:hint="eastAsia" w:ascii="Times New Roman" w:hAnsi="Times New Roman" w:eastAsia="等线" w:cs="Times New Roman"/>
          <w:sz w:val="24"/>
        </w:rPr>
        <w:t xml:space="preserve"> score</w:t>
      </w:r>
      <w:r>
        <w:rPr>
          <w:rFonts w:ascii="Times New Roman" w:hAnsi="Times New Roman" w:eastAsia="等线" w:cs="Times New Roman"/>
          <w:sz w:val="24"/>
          <w:lang w:eastAsia="zh-Hans"/>
        </w:rPr>
        <w:t xml:space="preserve"> Components &amp; Scoring Standards</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8"/>
        <w:gridCol w:w="5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6" w:hRule="atLeast"/>
        </w:trPr>
        <w:tc>
          <w:tcPr>
            <w:tcW w:w="2002" w:type="pct"/>
            <w:shd w:val="clear" w:color="auto" w:fill="auto"/>
            <w:noWrap/>
            <w:vAlign w:val="center"/>
          </w:tcPr>
          <w:p>
            <w:pPr>
              <w:rPr>
                <w:rFonts w:ascii="Times New Roman" w:hAnsi="Times New Roman" w:eastAsia="等线" w:cs="Times New Roman"/>
                <w:sz w:val="24"/>
                <w:lang w:bidi="ar"/>
              </w:rPr>
            </w:pPr>
            <w:r>
              <w:rPr>
                <w:rFonts w:hint="eastAsia" w:ascii="Times New Roman" w:hAnsi="Times New Roman" w:eastAsia="等线" w:cs="Times New Roman"/>
                <w:sz w:val="24"/>
                <w:lang w:bidi="ar"/>
              </w:rPr>
              <w:t>Components</w:t>
            </w:r>
          </w:p>
        </w:tc>
        <w:tc>
          <w:tcPr>
            <w:tcW w:w="2997" w:type="pct"/>
            <w:shd w:val="clear" w:color="auto" w:fill="auto"/>
            <w:noWrap/>
            <w:vAlign w:val="center"/>
          </w:tcPr>
          <w:p>
            <w:pPr>
              <w:rPr>
                <w:rFonts w:ascii="Times New Roman" w:hAnsi="Times New Roman" w:eastAsia="等线" w:cs="Times New Roman"/>
                <w:sz w:val="24"/>
                <w:lang w:bidi="ar"/>
              </w:rPr>
            </w:pPr>
            <w:r>
              <w:rPr>
                <w:rFonts w:ascii="Times New Roman" w:hAnsi="Times New Roman" w:eastAsia="等线" w:cs="Times New Roman"/>
                <w:sz w:val="24"/>
                <w:lang w:bidi="ar"/>
              </w:rPr>
              <w:t>5 points for individuals who meet each standard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Vegetables</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Excluding potatoes: highest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Fruit</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 xml:space="preserve">Total fruit </w:t>
            </w:r>
            <w:r>
              <w:rPr>
                <w:rFonts w:hint="eastAsia" w:ascii="Times New Roman" w:hAnsi="Times New Roman" w:eastAsia="等线" w:cs="Times New Roman"/>
                <w:sz w:val="24"/>
                <w:lang w:bidi="ar"/>
              </w:rPr>
              <w:t>(all fruits and fruit juices)</w:t>
            </w:r>
            <w:r>
              <w:rPr>
                <w:rFonts w:ascii="Times New Roman" w:hAnsi="Times New Roman" w:eastAsia="等线" w:cs="Times New Roman"/>
                <w:sz w:val="24"/>
                <w:lang w:bidi="ar"/>
              </w:rPr>
              <w:t>: highest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Nuts</w:t>
            </w:r>
            <w:r>
              <w:rPr>
                <w:rFonts w:hint="eastAsia" w:ascii="Times New Roman" w:hAnsi="Times New Roman" w:eastAsia="等线" w:cs="Times New Roman"/>
                <w:sz w:val="24"/>
                <w:lang w:bidi="ar"/>
              </w:rPr>
              <w:t xml:space="preserve"> and legumes</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Nuts, seeds, and legumes: highest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Whole grains</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Highest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Dairy</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Low-fat dairy: highest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Red and processed meat</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Lowest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SSBs and fruit juice</w:t>
            </w:r>
          </w:p>
        </w:tc>
        <w:tc>
          <w:tcPr>
            <w:tcW w:w="2997" w:type="pct"/>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Lowest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tcBorders>
              <w:bottom w:val="single" w:color="auto"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Sodium</w:t>
            </w:r>
          </w:p>
        </w:tc>
        <w:tc>
          <w:tcPr>
            <w:tcW w:w="2997" w:type="pct"/>
            <w:tcBorders>
              <w:bottom w:val="single" w:color="auto" w:sz="4" w:space="0"/>
            </w:tcBorders>
            <w:shd w:val="clear" w:color="auto" w:fill="auto"/>
            <w:noWrap/>
            <w:vAlign w:val="center"/>
          </w:tcPr>
          <w:p>
            <w:pPr>
              <w:rPr>
                <w:rFonts w:ascii="Times New Roman" w:hAnsi="Times New Roman" w:eastAsia="等线" w:cs="Times New Roman"/>
                <w:sz w:val="24"/>
              </w:rPr>
            </w:pPr>
            <w:r>
              <w:rPr>
                <w:rFonts w:ascii="Times New Roman" w:hAnsi="Times New Roman" w:eastAsia="等线" w:cs="Times New Roman"/>
                <w:sz w:val="24"/>
                <w:lang w:bidi="ar"/>
              </w:rPr>
              <w:t>Lowest quintile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02" w:type="pct"/>
            <w:shd w:val="clear" w:color="auto" w:fill="auto"/>
            <w:noWrap/>
            <w:vAlign w:val="center"/>
          </w:tcPr>
          <w:p>
            <w:pPr>
              <w:widowControl/>
              <w:jc w:val="center"/>
              <w:textAlignment w:val="top"/>
              <w:rPr>
                <w:rFonts w:ascii="Times New Roman Regular" w:hAnsi="Times New Roman Regular" w:eastAsia="Times New Roman Regular" w:cs="Times New Roman Regular"/>
                <w:kern w:val="0"/>
                <w:sz w:val="24"/>
                <w:lang w:bidi="ar"/>
              </w:rPr>
            </w:pPr>
            <w:r>
              <w:rPr>
                <w:rFonts w:hint="eastAsia" w:ascii="Times New Roman Regular" w:hAnsi="Times New Roman Regular" w:eastAsia="Times New Roman Regular" w:cs="Times New Roman Regular"/>
                <w:kern w:val="0"/>
                <w:sz w:val="24"/>
                <w:lang w:bidi="ar"/>
              </w:rPr>
              <w:t>Score</w:t>
            </w:r>
          </w:p>
        </w:tc>
        <w:tc>
          <w:tcPr>
            <w:tcW w:w="2997" w:type="pct"/>
            <w:shd w:val="clear" w:color="auto" w:fill="auto"/>
            <w:noWrap/>
            <w:vAlign w:val="center"/>
          </w:tcPr>
          <w:p>
            <w:pPr>
              <w:jc w:val="center"/>
              <w:rPr>
                <w:rFonts w:ascii="Times New Roman" w:hAnsi="Times New Roman" w:eastAsia="等线" w:cs="Times New Roman"/>
                <w:sz w:val="24"/>
                <w:lang w:bidi="ar"/>
              </w:rPr>
            </w:pPr>
            <w:r>
              <w:rPr>
                <w:rFonts w:ascii="Times New Roman" w:hAnsi="Times New Roman" w:eastAsia="等线" w:cs="Times New Roman"/>
                <w:sz w:val="24"/>
                <w:lang w:bidi="ar"/>
              </w:rPr>
              <w:t>8–40 points total (8 components: 1–5 points each)</w:t>
            </w:r>
          </w:p>
        </w:tc>
      </w:tr>
    </w:tbl>
    <w:p>
      <w:pPr>
        <w:rPr>
          <w:rFonts w:ascii="Times New Roman" w:hAnsi="Times New Roman" w:eastAsia="等线" w:cs="Times New Roman"/>
          <w:sz w:val="24"/>
          <w:lang w:eastAsia="en-US" w:bidi="en-US"/>
        </w:rPr>
      </w:pPr>
    </w:p>
    <w:p>
      <w:pPr>
        <w:rPr>
          <w:rFonts w:ascii="Times New Roman Regular" w:hAnsi="Times New Roman Regular" w:eastAsia="Helvetica Neue" w:cs="Times New Roman Regular"/>
          <w:b/>
          <w:bCs/>
          <w:sz w:val="24"/>
          <w:lang w:eastAsia="zh-Hans"/>
        </w:rPr>
      </w:pPr>
      <w:r>
        <w:rPr>
          <w:rFonts w:ascii="Times New Roman" w:hAnsi="Times New Roman" w:eastAsia="等线" w:cs="Times New Roman"/>
          <w:b/>
          <w:bCs/>
          <w:sz w:val="24"/>
          <w:lang w:eastAsia="en-US" w:bidi="en-US"/>
        </w:rPr>
        <w:t xml:space="preserve">Supplemental </w:t>
      </w:r>
      <w:r>
        <w:rPr>
          <w:rFonts w:hint="eastAsia" w:ascii="Times New Roman" w:hAnsi="Times New Roman" w:eastAsia="等线" w:cs="Times New Roman"/>
          <w:b/>
          <w:bCs/>
          <w:sz w:val="24"/>
          <w:lang w:eastAsia="zh-Hans" w:bidi="en-US"/>
        </w:rPr>
        <w:t>r</w:t>
      </w:r>
      <w:r>
        <w:rPr>
          <w:rFonts w:hint="eastAsia" w:ascii="Times New Roman Regular" w:hAnsi="Times New Roman Regular" w:eastAsia="Helvetica Neue" w:cs="Times New Roman Regular"/>
          <w:b/>
          <w:bCs/>
          <w:sz w:val="24"/>
          <w:lang w:eastAsia="zh-Hans"/>
        </w:rPr>
        <w:t>eference</w:t>
      </w:r>
    </w:p>
    <w:p>
      <w:pPr>
        <w:numPr>
          <w:ilvl w:val="0"/>
          <w:numId w:val="4"/>
        </w:numPr>
        <w:rPr>
          <w:rFonts w:ascii="Times New Roman" w:hAnsi="Times New Roman" w:eastAsia="等线" w:cs="Times New Roman"/>
          <w:sz w:val="24"/>
        </w:rPr>
      </w:pPr>
      <w:r>
        <w:rPr>
          <w:rFonts w:hint="eastAsia" w:ascii="Times New Roman" w:hAnsi="Times New Roman" w:eastAsia="等线" w:cs="Times New Roman"/>
          <w:sz w:val="24"/>
          <w:lang w:eastAsia="en-US"/>
        </w:rPr>
        <w:t>https://epi.grants.cancer.gov/hei/developing.html#2020</w:t>
      </w:r>
    </w:p>
    <w:p>
      <w:pPr>
        <w:rPr>
          <w:rFonts w:ascii="Times New Roman" w:hAnsi="Times New Roman" w:eastAsia="等线" w:cs="Times New Roman"/>
          <w:sz w:val="24"/>
        </w:rPr>
      </w:pPr>
      <w:r>
        <w:rPr>
          <w:rFonts w:hint="eastAsia" w:ascii="Times New Roman" w:hAnsi="Times New Roman" w:eastAsia="等线" w:cs="Times New Roman"/>
          <w:sz w:val="24"/>
        </w:rPr>
        <w:t>2. Shams-White MM, Pannucci TE, Lerman JL, et al. Healthy Eating Index-2020: Review and Update Process to Reflect the Dietary Guidelines for Americans,2020-2025.</w:t>
      </w:r>
      <w:r>
        <w:rPr>
          <w:rFonts w:ascii="Times New Roman" w:hAnsi="Times New Roman" w:eastAsia="等线" w:cs="Times New Roman"/>
          <w:sz w:val="24"/>
        </w:rPr>
        <w:t> J Acad Nutr Diet. 2023;123(9):1280-1288.</w:t>
      </w:r>
    </w:p>
    <w:p>
      <w:pPr>
        <w:rPr>
          <w:rFonts w:ascii="Times New Roman" w:hAnsi="Times New Roman" w:eastAsia="等线" w:cs="Times New Roman"/>
          <w:sz w:val="24"/>
          <w:lang w:eastAsia="en-US"/>
        </w:rPr>
      </w:pPr>
      <w:r>
        <w:rPr>
          <w:rFonts w:hint="eastAsia" w:ascii="Times New Roman" w:hAnsi="Times New Roman" w:eastAsia="等线" w:cs="Times New Roman"/>
          <w:sz w:val="24"/>
        </w:rPr>
        <w:t xml:space="preserve">3. </w:t>
      </w:r>
      <w:r>
        <w:rPr>
          <w:rFonts w:ascii="Times New Roman" w:hAnsi="Times New Roman" w:eastAsia="等线" w:cs="Times New Roman"/>
          <w:sz w:val="24"/>
        </w:rPr>
        <w:t xml:space="preserve">Trichopoulou A, Costacou T, Bamia C, Trichopoulos D. Adherence to a Mediterranean diet and survival in a Greek population. N Engl J Med. 2003;348(26):2599-2608. </w:t>
      </w:r>
    </w:p>
    <w:p>
      <w:pPr>
        <w:widowControl/>
        <w:wordWrap w:val="0"/>
        <w:jc w:val="left"/>
        <w:rPr>
          <w:rFonts w:hint="eastAsia" w:ascii="Times New Roman Regular" w:hAnsi="Times New Roman Regular" w:cs="Times New Roman Regular"/>
          <w:b/>
          <w:sz w:val="28"/>
          <w:szCs w:val="28"/>
        </w:rPr>
      </w:pPr>
      <w:r>
        <w:rPr>
          <w:rFonts w:hint="eastAsia" w:ascii="Times New Roman" w:hAnsi="Times New Roman" w:eastAsia="等线" w:cs="Times New Roman"/>
          <w:sz w:val="24"/>
        </w:rPr>
        <w:t>4.</w:t>
      </w:r>
      <w:r>
        <w:rPr>
          <w:rFonts w:ascii="Times New Roman" w:hAnsi="Times New Roman" w:eastAsia="等线" w:cs="Times New Roman"/>
          <w:sz w:val="24"/>
          <w:lang w:eastAsia="zh-Hans"/>
        </w:rPr>
        <w:t xml:space="preserve"> Fung TT, Chiuve SE, McCullough ML, Rexrode KM, Logroscino G, Hu FB. Adherence to a DASH-style diet and risk of coronary heart disease and stroke in women [published correction appears in Arch Intern Med. 2008 Jun 23;168(12):1276]. </w:t>
      </w:r>
    </w:p>
    <w:p>
      <w:pPr>
        <w:widowControl/>
        <w:wordWrap w:val="0"/>
        <w:jc w:val="left"/>
        <w:rPr>
          <w:rFonts w:hint="eastAsia" w:ascii="Times New Roman Regular" w:hAnsi="Times New Roman Regular" w:eastAsia="宋体" w:cs="Times New Roman Regular"/>
          <w:bCs/>
          <w:sz w:val="24"/>
        </w:rPr>
      </w:pPr>
    </w:p>
    <w:p>
      <w:pPr>
        <w:rPr>
          <w:rFonts w:hint="eastAsia" w:ascii="Times New Roman Regular" w:hAnsi="Times New Roman Regular" w:cs="Times New Roman Regular"/>
          <w:bCs/>
          <w:sz w:val="24"/>
        </w:rPr>
        <w:sectPr>
          <w:pgSz w:w="11906" w:h="16838"/>
          <w:pgMar w:top="1440" w:right="1797" w:bottom="1440" w:left="1797" w:header="851" w:footer="992" w:gutter="0"/>
          <w:cols w:space="425" w:num="1"/>
          <w:docGrid w:type="lines" w:linePitch="312" w:charSpace="0"/>
        </w:sectPr>
      </w:pPr>
    </w:p>
    <w:p>
      <w:pPr>
        <w:rPr>
          <w:rFonts w:hint="eastAsia" w:ascii="Times New Roman Regular" w:hAnsi="Times New Roman Regular" w:cs="Times New Roman Regular"/>
          <w:bCs/>
          <w:sz w:val="24"/>
          <w:lang w:eastAsia="zh-Hans"/>
        </w:rPr>
      </w:pPr>
    </w:p>
    <w:p>
      <w:pPr>
        <w:jc w:val="center"/>
        <w:rPr>
          <w:rFonts w:hint="eastAsia" w:ascii="Times New Roman Regular" w:hAnsi="Times New Roman Regular" w:cs="Times New Roman Regular"/>
          <w:b/>
          <w:sz w:val="24"/>
          <w:lang w:eastAsia="zh-Hans"/>
        </w:rPr>
      </w:pPr>
      <w:bookmarkStart w:id="8" w:name="OLE_LINK4"/>
      <w:r>
        <w:rPr>
          <w:rFonts w:ascii="Times New Roman Regular" w:hAnsi="Times New Roman Regular" w:cs="Times New Roman Regular"/>
          <w:b/>
          <w:sz w:val="24"/>
          <w:lang w:eastAsia="zh-Hans"/>
        </w:rPr>
        <w:t>Supplementary Table 1</w:t>
      </w:r>
      <w:bookmarkEnd w:id="8"/>
      <w:r>
        <w:rPr>
          <w:rFonts w:ascii="Times New Roman Regular" w:hAnsi="Times New Roman Regular" w:cs="Times New Roman Regular"/>
          <w:b/>
          <w:sz w:val="24"/>
          <w:lang w:eastAsia="zh-Hans"/>
        </w:rPr>
        <w:t xml:space="preserve"> Observed biological age characteristics of participants according to different INFLA score quartiles.</w:t>
      </w:r>
    </w:p>
    <w:p>
      <w:pPr>
        <w:rPr>
          <w:rFonts w:hint="eastAsia" w:ascii="Times New Roman Regular" w:hAnsi="Times New Roman Regular" w:cs="Times New Roman Regular"/>
          <w:b/>
          <w:sz w:val="24"/>
          <w:lang w:eastAsia="zh-Hans"/>
        </w:rPr>
      </w:pPr>
    </w:p>
    <w:tbl>
      <w:tblPr>
        <w:tblStyle w:val="6"/>
        <w:tblW w:w="9840" w:type="dxa"/>
        <w:jc w:val="center"/>
        <w:tblLayout w:type="fixed"/>
        <w:tblCellMar>
          <w:top w:w="0" w:type="dxa"/>
          <w:left w:w="108" w:type="dxa"/>
          <w:bottom w:w="0" w:type="dxa"/>
          <w:right w:w="108" w:type="dxa"/>
        </w:tblCellMar>
      </w:tblPr>
      <w:tblGrid>
        <w:gridCol w:w="3299"/>
        <w:gridCol w:w="1486"/>
        <w:gridCol w:w="1528"/>
        <w:gridCol w:w="1143"/>
        <w:gridCol w:w="1111"/>
        <w:gridCol w:w="1273"/>
      </w:tblGrid>
      <w:tr>
        <w:tblPrEx>
          <w:tblCellMar>
            <w:top w:w="0" w:type="dxa"/>
            <w:left w:w="108" w:type="dxa"/>
            <w:bottom w:w="0" w:type="dxa"/>
            <w:right w:w="108" w:type="dxa"/>
          </w:tblCellMar>
        </w:tblPrEx>
        <w:trPr>
          <w:trHeight w:val="324" w:hRule="atLeast"/>
          <w:jc w:val="center"/>
        </w:trPr>
        <w:tc>
          <w:tcPr>
            <w:tcW w:w="3299" w:type="dxa"/>
            <w:vMerge w:val="restart"/>
            <w:tcBorders>
              <w:top w:val="single" w:color="000000" w:sz="4" w:space="0"/>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Variables</w:t>
            </w:r>
          </w:p>
        </w:tc>
        <w:tc>
          <w:tcPr>
            <w:tcW w:w="6541" w:type="dxa"/>
            <w:gridSpan w:val="5"/>
            <w:tcBorders>
              <w:top w:val="single" w:color="000000" w:sz="4" w:space="0"/>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INFLA score</w:t>
            </w:r>
          </w:p>
        </w:tc>
      </w:tr>
      <w:tr>
        <w:tblPrEx>
          <w:tblCellMar>
            <w:top w:w="0" w:type="dxa"/>
            <w:left w:w="108" w:type="dxa"/>
            <w:bottom w:w="0" w:type="dxa"/>
            <w:right w:w="108" w:type="dxa"/>
          </w:tblCellMar>
        </w:tblPrEx>
        <w:trPr>
          <w:trHeight w:val="324" w:hRule="atLeast"/>
          <w:jc w:val="center"/>
        </w:trPr>
        <w:tc>
          <w:tcPr>
            <w:tcW w:w="3299" w:type="dxa"/>
            <w:vMerge w:val="continue"/>
            <w:tcBorders>
              <w:top w:val="single" w:color="000000" w:sz="4" w:space="0"/>
              <w:left w:val="nil"/>
              <w:bottom w:val="single" w:color="000000" w:sz="4" w:space="0"/>
              <w:right w:val="nil"/>
            </w:tcBorders>
            <w:shd w:val="clear" w:color="auto" w:fill="auto"/>
            <w:noWrap/>
            <w:vAlign w:val="center"/>
          </w:tcPr>
          <w:p>
            <w:pPr>
              <w:jc w:val="center"/>
              <w:rPr>
                <w:rFonts w:ascii="Times New Roman Regular" w:hAnsi="Times New Roman Regular" w:eastAsia="Times New Roman Regular" w:cs="Times New Roman Regular"/>
                <w:sz w:val="22"/>
                <w:szCs w:val="22"/>
              </w:rPr>
            </w:pPr>
          </w:p>
        </w:tc>
        <w:tc>
          <w:tcPr>
            <w:tcW w:w="1486" w:type="dxa"/>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Q1</w:t>
            </w:r>
          </w:p>
        </w:tc>
        <w:tc>
          <w:tcPr>
            <w:tcW w:w="1528" w:type="dxa"/>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Q2</w:t>
            </w:r>
          </w:p>
        </w:tc>
        <w:tc>
          <w:tcPr>
            <w:tcW w:w="1143" w:type="dxa"/>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Q3</w:t>
            </w:r>
          </w:p>
        </w:tc>
        <w:tc>
          <w:tcPr>
            <w:tcW w:w="1111" w:type="dxa"/>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Q4</w:t>
            </w:r>
          </w:p>
        </w:tc>
        <w:tc>
          <w:tcPr>
            <w:tcW w:w="1273" w:type="dxa"/>
            <w:tcBorders>
              <w:top w:val="nil"/>
              <w:left w:val="nil"/>
              <w:bottom w:val="single" w:color="000000" w:sz="4" w:space="0"/>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p-value</w:t>
            </w:r>
          </w:p>
        </w:tc>
      </w:tr>
      <w:tr>
        <w:tblPrEx>
          <w:tblCellMar>
            <w:top w:w="0" w:type="dxa"/>
            <w:left w:w="108" w:type="dxa"/>
            <w:bottom w:w="0" w:type="dxa"/>
            <w:right w:w="108" w:type="dxa"/>
          </w:tblCellMar>
        </w:tblPrEx>
        <w:trPr>
          <w:trHeight w:val="324" w:hRule="atLeast"/>
          <w:jc w:val="center"/>
        </w:trPr>
        <w:tc>
          <w:tcPr>
            <w:tcW w:w="3299"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KDM biological age</w:t>
            </w:r>
          </w:p>
        </w:tc>
        <w:tc>
          <w:tcPr>
            <w:tcW w:w="1486"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58±14</w:t>
            </w:r>
          </w:p>
        </w:tc>
        <w:tc>
          <w:tcPr>
            <w:tcW w:w="1528"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62±14</w:t>
            </w:r>
          </w:p>
        </w:tc>
        <w:tc>
          <w:tcPr>
            <w:tcW w:w="114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65±15</w:t>
            </w:r>
          </w:p>
        </w:tc>
        <w:tc>
          <w:tcPr>
            <w:tcW w:w="1111"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69±16</w:t>
            </w:r>
          </w:p>
        </w:tc>
        <w:tc>
          <w:tcPr>
            <w:tcW w:w="127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&lt;0.001</w:t>
            </w:r>
          </w:p>
        </w:tc>
      </w:tr>
      <w:tr>
        <w:tblPrEx>
          <w:tblCellMar>
            <w:top w:w="0" w:type="dxa"/>
            <w:left w:w="108" w:type="dxa"/>
            <w:bottom w:w="0" w:type="dxa"/>
            <w:right w:w="108" w:type="dxa"/>
          </w:tblCellMar>
        </w:tblPrEx>
        <w:trPr>
          <w:trHeight w:val="314" w:hRule="atLeast"/>
          <w:jc w:val="center"/>
        </w:trPr>
        <w:tc>
          <w:tcPr>
            <w:tcW w:w="3299"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Whole body biological age</w:t>
            </w:r>
          </w:p>
        </w:tc>
        <w:tc>
          <w:tcPr>
            <w:tcW w:w="1486"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54±10</w:t>
            </w:r>
          </w:p>
        </w:tc>
        <w:tc>
          <w:tcPr>
            <w:tcW w:w="1528"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56±10</w:t>
            </w:r>
          </w:p>
        </w:tc>
        <w:tc>
          <w:tcPr>
            <w:tcW w:w="114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57±10</w:t>
            </w:r>
          </w:p>
        </w:tc>
        <w:tc>
          <w:tcPr>
            <w:tcW w:w="1111"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59±11</w:t>
            </w:r>
          </w:p>
        </w:tc>
        <w:tc>
          <w:tcPr>
            <w:tcW w:w="127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&lt;0.001</w:t>
            </w:r>
          </w:p>
        </w:tc>
      </w:tr>
      <w:tr>
        <w:tblPrEx>
          <w:tblCellMar>
            <w:top w:w="0" w:type="dxa"/>
            <w:left w:w="108" w:type="dxa"/>
            <w:bottom w:w="0" w:type="dxa"/>
            <w:right w:w="108" w:type="dxa"/>
          </w:tblCellMar>
        </w:tblPrEx>
        <w:trPr>
          <w:trHeight w:val="314" w:hRule="atLeast"/>
          <w:jc w:val="center"/>
        </w:trPr>
        <w:tc>
          <w:tcPr>
            <w:tcW w:w="3299"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Cardiovascular system biological age</w:t>
            </w:r>
          </w:p>
        </w:tc>
        <w:tc>
          <w:tcPr>
            <w:tcW w:w="1486"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55±11</w:t>
            </w:r>
          </w:p>
        </w:tc>
        <w:tc>
          <w:tcPr>
            <w:tcW w:w="1528"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56±11</w:t>
            </w:r>
          </w:p>
        </w:tc>
        <w:tc>
          <w:tcPr>
            <w:tcW w:w="114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57±11</w:t>
            </w:r>
          </w:p>
        </w:tc>
        <w:tc>
          <w:tcPr>
            <w:tcW w:w="1111"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58±11</w:t>
            </w:r>
          </w:p>
        </w:tc>
        <w:tc>
          <w:tcPr>
            <w:tcW w:w="127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&lt;0.001</w:t>
            </w:r>
          </w:p>
        </w:tc>
      </w:tr>
      <w:tr>
        <w:tblPrEx>
          <w:tblCellMar>
            <w:top w:w="0" w:type="dxa"/>
            <w:left w:w="108" w:type="dxa"/>
            <w:bottom w:w="0" w:type="dxa"/>
            <w:right w:w="108" w:type="dxa"/>
          </w:tblCellMar>
        </w:tblPrEx>
        <w:trPr>
          <w:trHeight w:val="314" w:hRule="atLeast"/>
          <w:jc w:val="center"/>
        </w:trPr>
        <w:tc>
          <w:tcPr>
            <w:tcW w:w="3299"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Kidney biological age</w:t>
            </w:r>
          </w:p>
        </w:tc>
        <w:tc>
          <w:tcPr>
            <w:tcW w:w="1486"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55±10</w:t>
            </w:r>
          </w:p>
        </w:tc>
        <w:tc>
          <w:tcPr>
            <w:tcW w:w="1528"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56±11</w:t>
            </w:r>
          </w:p>
        </w:tc>
        <w:tc>
          <w:tcPr>
            <w:tcW w:w="114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57±12</w:t>
            </w:r>
          </w:p>
        </w:tc>
        <w:tc>
          <w:tcPr>
            <w:tcW w:w="1111"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58±13</w:t>
            </w:r>
          </w:p>
        </w:tc>
        <w:tc>
          <w:tcPr>
            <w:tcW w:w="127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&lt;0.001</w:t>
            </w:r>
          </w:p>
        </w:tc>
      </w:tr>
      <w:tr>
        <w:tblPrEx>
          <w:tblCellMar>
            <w:top w:w="0" w:type="dxa"/>
            <w:left w:w="108" w:type="dxa"/>
            <w:bottom w:w="0" w:type="dxa"/>
            <w:right w:w="108" w:type="dxa"/>
          </w:tblCellMar>
        </w:tblPrEx>
        <w:trPr>
          <w:trHeight w:val="314" w:hRule="atLeast"/>
          <w:jc w:val="center"/>
        </w:trPr>
        <w:tc>
          <w:tcPr>
            <w:tcW w:w="3299"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Liver biological age</w:t>
            </w:r>
          </w:p>
        </w:tc>
        <w:tc>
          <w:tcPr>
            <w:tcW w:w="1486"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54±21</w:t>
            </w:r>
          </w:p>
        </w:tc>
        <w:tc>
          <w:tcPr>
            <w:tcW w:w="1528"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56±21</w:t>
            </w:r>
          </w:p>
        </w:tc>
        <w:tc>
          <w:tcPr>
            <w:tcW w:w="114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57±23</w:t>
            </w:r>
          </w:p>
        </w:tc>
        <w:tc>
          <w:tcPr>
            <w:tcW w:w="1111"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59±25</w:t>
            </w:r>
          </w:p>
        </w:tc>
        <w:tc>
          <w:tcPr>
            <w:tcW w:w="1273" w:type="dxa"/>
            <w:tcBorders>
              <w:top w:val="nil"/>
              <w:left w:val="nil"/>
              <w:bottom w:val="nil"/>
              <w:right w:val="nil"/>
            </w:tcBorders>
            <w:shd w:val="clear" w:color="auto" w:fill="auto"/>
            <w:noWrap/>
            <w:vAlign w:val="center"/>
          </w:tcPr>
          <w:p>
            <w:pPr>
              <w:widowControl/>
              <w:jc w:val="center"/>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&lt;0.001</w:t>
            </w:r>
          </w:p>
        </w:tc>
      </w:tr>
      <w:tr>
        <w:tblPrEx>
          <w:tblCellMar>
            <w:top w:w="0" w:type="dxa"/>
            <w:left w:w="108" w:type="dxa"/>
            <w:bottom w:w="0" w:type="dxa"/>
            <w:right w:w="108" w:type="dxa"/>
          </w:tblCellMar>
        </w:tblPrEx>
        <w:trPr>
          <w:trHeight w:val="324" w:hRule="atLeast"/>
          <w:jc w:val="center"/>
        </w:trPr>
        <w:tc>
          <w:tcPr>
            <w:tcW w:w="9840" w:type="dxa"/>
            <w:gridSpan w:val="6"/>
            <w:tcBorders>
              <w:top w:val="nil"/>
              <w:left w:val="nil"/>
              <w:bottom w:val="nil"/>
              <w:right w:val="nil"/>
            </w:tcBorders>
            <w:shd w:val="clear" w:color="auto" w:fill="auto"/>
            <w:noWrap/>
            <w:vAlign w:val="center"/>
          </w:tcPr>
          <w:p>
            <w:pPr>
              <w:widowControl/>
              <w:jc w:val="left"/>
              <w:textAlignment w:val="center"/>
              <w:rPr>
                <w:rFonts w:ascii="Times New Roman Regular" w:hAnsi="Times New Roman Regular" w:eastAsia="Times New Roman Regular" w:cs="Times New Roman Regular"/>
                <w:sz w:val="22"/>
                <w:szCs w:val="22"/>
              </w:rPr>
            </w:pPr>
            <w:r>
              <w:rPr>
                <w:rFonts w:ascii="Times New Roman Regular" w:hAnsi="Times New Roman Regular" w:eastAsia="Times New Roman Regular" w:cs="Times New Roman Regular"/>
                <w:kern w:val="0"/>
                <w:sz w:val="22"/>
                <w:szCs w:val="22"/>
                <w:lang w:bidi="ar"/>
              </w:rPr>
              <w:t>Continuous variables are presented as mean ± SD (standard deviation).</w:t>
            </w:r>
          </w:p>
        </w:tc>
      </w:tr>
    </w:tbl>
    <w:p>
      <w:pPr>
        <w:adjustRightInd w:val="0"/>
        <w:snapToGrid w:val="0"/>
        <w:spacing w:line="480" w:lineRule="auto"/>
        <w:rPr>
          <w:rFonts w:ascii="Times New Roman" w:hAnsi="Times New Roman" w:eastAsia="宋体" w:cs="Times New Roman"/>
          <w:b/>
          <w:bCs/>
          <w:sz w:val="24"/>
          <w:lang w:eastAsia="zh-Hans"/>
        </w:rPr>
      </w:pPr>
      <w:bookmarkStart w:id="9" w:name="OLE_LINK123"/>
    </w:p>
    <w:p>
      <w:pPr>
        <w:adjustRightInd w:val="0"/>
        <w:snapToGrid w:val="0"/>
        <w:spacing w:line="480" w:lineRule="auto"/>
        <w:rPr>
          <w:rFonts w:ascii="Times New Roman" w:hAnsi="Times New Roman" w:eastAsia="宋体" w:cs="Times New Roman"/>
          <w:b/>
          <w:bCs/>
          <w:sz w:val="24"/>
        </w:rPr>
      </w:pPr>
      <w:r>
        <w:rPr>
          <w:rFonts w:ascii="Times New Roman" w:hAnsi="Times New Roman" w:eastAsia="宋体" w:cs="Times New Roman"/>
          <w:b/>
          <w:bCs/>
          <w:sz w:val="24"/>
          <w:lang w:eastAsia="zh-Hans"/>
        </w:rPr>
        <w:t>Supplementary</w:t>
      </w:r>
      <w:r>
        <w:rPr>
          <w:rFonts w:hint="eastAsia" w:ascii="Times New Roman" w:hAnsi="Times New Roman" w:eastAsia="宋体" w:cs="Times New Roman"/>
          <w:b/>
          <w:bCs/>
          <w:sz w:val="24"/>
        </w:rPr>
        <w:t xml:space="preserve"> </w:t>
      </w:r>
      <w:r>
        <w:rPr>
          <w:rFonts w:ascii="Times New Roman" w:hAnsi="Times New Roman" w:eastAsia="宋体" w:cs="Times New Roman"/>
          <w:b/>
          <w:bCs/>
          <w:sz w:val="24"/>
          <w:lang w:eastAsia="zh-Hans"/>
        </w:rPr>
        <w:t>Figure legend</w:t>
      </w:r>
    </w:p>
    <w:bookmarkEnd w:id="9"/>
    <w:p>
      <w:pPr>
        <w:adjustRightInd w:val="0"/>
        <w:snapToGrid w:val="0"/>
        <w:spacing w:line="480" w:lineRule="auto"/>
        <w:rPr>
          <w:rFonts w:ascii="Times New Roman" w:hAnsi="Times New Roman" w:eastAsia="宋体" w:cs="Times New Roman"/>
          <w:sz w:val="24"/>
        </w:rPr>
      </w:pPr>
      <w:bookmarkStart w:id="10" w:name="OLE_LINK114"/>
      <w:r>
        <w:rPr>
          <w:rFonts w:hint="eastAsia" w:ascii="Times New Roman" w:hAnsi="Times New Roman" w:eastAsia="宋体" w:cs="Times New Roman"/>
          <w:sz w:val="24"/>
        </w:rPr>
        <w:t>Supplementary Figure 1</w:t>
      </w:r>
      <w:bookmarkEnd w:id="10"/>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The </w:t>
      </w:r>
      <w:r>
        <w:rPr>
          <w:rFonts w:hint="eastAsia" w:ascii="Times New Roman" w:hAnsi="Times New Roman" w:eastAsia="宋体" w:cs="Times New Roman"/>
          <w:sz w:val="24"/>
        </w:rPr>
        <w:t>INFLA-Score Distribution and its Association with Age-Related Hospitalization and Premature Death in the Population.</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Results were adjusted for age, sex, race, smoking, drinking, BMI, MET, Townsend deprivation index, healthy diet group, hypertension, mineral supplements intake, vitamin supplements intake, aspirin and other NSAIDs intake, medicines for hypercholesterolemia, hypertension and diabetes intake; CVD, Cancer, Diabetes, and Respiratory disease at baseline. </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BMI = Body Mass index; MET = </w:t>
      </w:r>
      <w:r>
        <w:rPr>
          <w:rFonts w:ascii="Times New Roman" w:hAnsi="Times New Roman" w:eastAsia="宋体" w:cs="Times New Roman"/>
          <w:sz w:val="24"/>
        </w:rPr>
        <w:t>metabolic</w:t>
      </w:r>
      <w:r>
        <w:rPr>
          <w:rFonts w:hint="eastAsia" w:ascii="Times New Roman" w:hAnsi="Times New Roman" w:eastAsia="宋体" w:cs="Times New Roman"/>
          <w:sz w:val="24"/>
        </w:rPr>
        <w:t xml:space="preserve"> equivalent; NSAIDs = Non-Steroidal Anti-Inflammatory Drugs; CVD = cardiovascular disease.</w:t>
      </w:r>
    </w:p>
    <w:p>
      <w:pPr>
        <w:adjustRightInd w:val="0"/>
        <w:snapToGrid w:val="0"/>
        <w:spacing w:line="480" w:lineRule="auto"/>
        <w:rPr>
          <w:rFonts w:ascii="Times New Roman" w:hAnsi="Times New Roman" w:eastAsia="宋体" w:cs="Times New Roman"/>
          <w:sz w:val="24"/>
        </w:rPr>
      </w:pPr>
      <w:r>
        <w:rPr>
          <w:rFonts w:hint="eastAsia" w:ascii="Times New Roman" w:hAnsi="Times New Roman" w:eastAsia="宋体" w:cs="Times New Roman"/>
          <w:sz w:val="24"/>
        </w:rPr>
        <w:t>Supplementary Figure 2. Sensitivity Analysis of the Association Between</w:t>
      </w:r>
      <w:r>
        <w:rPr>
          <w:rFonts w:ascii="Times New Roman" w:hAnsi="Times New Roman" w:eastAsia="宋体" w:cs="Times New Roman"/>
          <w:sz w:val="24"/>
        </w:rPr>
        <w:t xml:space="preserve"> the</w:t>
      </w:r>
      <w:r>
        <w:rPr>
          <w:rFonts w:hint="eastAsia" w:ascii="Times New Roman" w:hAnsi="Times New Roman" w:eastAsia="宋体" w:cs="Times New Roman"/>
          <w:sz w:val="24"/>
        </w:rPr>
        <w:t xml:space="preserve"> INFLA-Score and Age-Related Hospitalizations and Premature Death.</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Values are n/N (case number/total number) or HR (95% CI). Results were adjusted for age, sex, race, smoking, drinking, BMI, MET, Townsend deprivation index, healthy diet group, hypertension, mineral supplements intake, vitamin supplements intake, aspirin and other NSAIDs intake, medicines for hypercholesterolemia, hypertension and diabetes intake; CVD, Cancer, Diabetes, and Respiratory disease at baseline. </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BMI = Body Mass index; MET = </w:t>
      </w:r>
      <w:r>
        <w:rPr>
          <w:rFonts w:ascii="Times New Roman" w:hAnsi="Times New Roman" w:eastAsia="宋体" w:cs="Times New Roman"/>
          <w:sz w:val="24"/>
        </w:rPr>
        <w:t>metabolic</w:t>
      </w:r>
      <w:r>
        <w:rPr>
          <w:rFonts w:hint="eastAsia" w:ascii="Times New Roman" w:hAnsi="Times New Roman" w:eastAsia="宋体" w:cs="Times New Roman"/>
          <w:sz w:val="24"/>
        </w:rPr>
        <w:t xml:space="preserve"> equivalent; NSAIDs = Non-Steroidal Anti-Inflammatory Drugs; CVD = cardiovascular disease; Q=quartile. </w:t>
      </w:r>
    </w:p>
    <w:p>
      <w:pPr>
        <w:adjustRightInd w:val="0"/>
        <w:snapToGrid w:val="0"/>
        <w:spacing w:line="480" w:lineRule="auto"/>
        <w:rPr>
          <w:rFonts w:ascii="Times New Roman" w:hAnsi="Times New Roman" w:eastAsia="宋体" w:cs="Times New Roman"/>
          <w:sz w:val="24"/>
          <w:lang w:eastAsia="zh-Hans"/>
        </w:rPr>
      </w:pPr>
      <w:r>
        <w:rPr>
          <w:rFonts w:ascii="Times New Roman" w:hAnsi="Times New Roman" w:eastAsia="宋体" w:cs="Times New Roman"/>
          <w:sz w:val="24"/>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Figure 3</w:t>
      </w:r>
      <w:r>
        <w:rPr>
          <w:rFonts w:hint="eastAsia" w:ascii="Times New Roman" w:hAnsi="Times New Roman" w:eastAsia="宋体" w:cs="Times New Roman"/>
          <w:sz w:val="24"/>
        </w:rPr>
        <w:t>.</w:t>
      </w:r>
      <w:r>
        <w:rPr>
          <w:rFonts w:ascii="Times New Roman" w:hAnsi="Times New Roman" w:eastAsia="宋体" w:cs="Times New Roman"/>
          <w:sz w:val="24"/>
          <w:lang w:eastAsia="zh-Hans"/>
        </w:rPr>
        <w:t xml:space="preserve"> The Association Between the INFLA-score and </w:t>
      </w:r>
      <w:r>
        <w:rPr>
          <w:rFonts w:hint="eastAsia" w:ascii="Times New Roman" w:hAnsi="Times New Roman" w:eastAsia="宋体" w:cs="Times New Roman"/>
          <w:sz w:val="24"/>
        </w:rPr>
        <w:t>Other</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C</w:t>
      </w:r>
      <w:r>
        <w:rPr>
          <w:rFonts w:ascii="Times New Roman" w:hAnsi="Times New Roman" w:eastAsia="宋体" w:cs="Times New Roman"/>
          <w:sz w:val="24"/>
          <w:lang w:eastAsia="zh-Hans"/>
        </w:rPr>
        <w:t xml:space="preserve">ause-specific premature death. </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Values are n/N (case number/total number) or HR (95% CI). Results were adjusted for age, sex, race, smoking, drinking, BMI, MET, Townsend deprivation index, healthy diet group, hypertension, mineral supplements intake, vitamin supplements intake, aspirin and other NSAIDs intake, medicines for hypercholesterolemia, hypertension and diabetes intake; CVD, Cancer, Diabetes, and Respiratory disease at baseline. </w:t>
      </w:r>
    </w:p>
    <w:p>
      <w:pPr>
        <w:adjustRightInd w:val="0"/>
        <w:snapToGrid w:val="0"/>
        <w:spacing w:line="480" w:lineRule="auto"/>
        <w:ind w:firstLine="480" w:firstLineChars="200"/>
        <w:rPr>
          <w:rFonts w:ascii="Times New Roman" w:hAnsi="Times New Roman" w:eastAsia="宋体" w:cs="Times New Roman"/>
          <w:sz w:val="24"/>
          <w:lang w:eastAsia="zh-Hans"/>
        </w:rPr>
      </w:pPr>
      <w:r>
        <w:rPr>
          <w:rFonts w:hint="eastAsia" w:ascii="Times New Roman" w:hAnsi="Times New Roman" w:eastAsia="宋体" w:cs="Times New Roman"/>
          <w:sz w:val="24"/>
        </w:rPr>
        <w:t xml:space="preserve">BMI = Body Mass index; MET = </w:t>
      </w:r>
      <w:r>
        <w:rPr>
          <w:rFonts w:ascii="Times New Roman" w:hAnsi="Times New Roman" w:eastAsia="宋体" w:cs="Times New Roman"/>
          <w:sz w:val="24"/>
        </w:rPr>
        <w:t>metabolic</w:t>
      </w:r>
      <w:r>
        <w:rPr>
          <w:rFonts w:hint="eastAsia" w:ascii="Times New Roman" w:hAnsi="Times New Roman" w:eastAsia="宋体" w:cs="Times New Roman"/>
          <w:sz w:val="24"/>
        </w:rPr>
        <w:t xml:space="preserve"> equivalent; NSAIDs = Non-Steroidal Anti-Inflammatory Drugs; CVD = cardiovascular disease; Q = quartile.</w:t>
      </w:r>
    </w:p>
    <w:p>
      <w:pPr>
        <w:adjustRightInd w:val="0"/>
        <w:snapToGrid w:val="0"/>
        <w:spacing w:line="480" w:lineRule="auto"/>
        <w:rPr>
          <w:rFonts w:ascii="Times New Roman" w:hAnsi="Times New Roman" w:eastAsia="宋体" w:cs="Times New Roman"/>
          <w:sz w:val="24"/>
        </w:rPr>
      </w:pPr>
      <w:bookmarkStart w:id="11" w:name="OLE_LINK117"/>
      <w:r>
        <w:rPr>
          <w:rFonts w:ascii="Times New Roman" w:hAnsi="Times New Roman" w:eastAsia="宋体" w:cs="Times New Roman"/>
          <w:sz w:val="24"/>
          <w:lang w:eastAsia="zh-Hans"/>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Figure </w:t>
      </w:r>
      <w:r>
        <w:rPr>
          <w:rFonts w:hint="eastAsia" w:ascii="Times New Roman" w:hAnsi="Times New Roman" w:eastAsia="宋体" w:cs="Times New Roman"/>
          <w:sz w:val="24"/>
        </w:rPr>
        <w:t>4. The KDM Biological Age of Participants Across Various Age Groups in Different Quartiles of</w:t>
      </w:r>
      <w:r>
        <w:rPr>
          <w:rFonts w:ascii="Times New Roman" w:hAnsi="Times New Roman" w:eastAsia="宋体" w:cs="Times New Roman"/>
          <w:sz w:val="24"/>
        </w:rPr>
        <w:t xml:space="preserve"> the</w:t>
      </w:r>
      <w:r>
        <w:rPr>
          <w:rFonts w:hint="eastAsia" w:ascii="Times New Roman" w:hAnsi="Times New Roman" w:eastAsia="宋体" w:cs="Times New Roman"/>
          <w:sz w:val="24"/>
        </w:rPr>
        <w:t xml:space="preserve"> INFLA-Score.</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Q1 = The Lowest INFLA-score quartile; Q2 = The Second-lowest INFLA-score quartile; Q3 = The Third-lowest INFLA-score quartile; Q4 = The Highest INFLA-score quartile.</w:t>
      </w:r>
    </w:p>
    <w:p>
      <w:pPr>
        <w:adjustRightInd w:val="0"/>
        <w:snapToGrid w:val="0"/>
        <w:spacing w:line="480" w:lineRule="auto"/>
        <w:rPr>
          <w:rFonts w:ascii="Times New Roman" w:hAnsi="Times New Roman" w:eastAsia="宋体" w:cs="Times New Roman"/>
          <w:sz w:val="24"/>
        </w:rPr>
      </w:pPr>
      <w:r>
        <w:rPr>
          <w:rFonts w:ascii="Times New Roman" w:hAnsi="Times New Roman" w:eastAsia="宋体" w:cs="Times New Roman"/>
          <w:sz w:val="24"/>
          <w:lang w:eastAsia="zh-Hans"/>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Figure </w:t>
      </w:r>
      <w:r>
        <w:rPr>
          <w:rFonts w:hint="eastAsia" w:ascii="Times New Roman" w:hAnsi="Times New Roman" w:eastAsia="宋体" w:cs="Times New Roman"/>
          <w:sz w:val="24"/>
        </w:rPr>
        <w:t xml:space="preserve">5. The Whole Body Biological Age of Participants Across Various Age Groups in Different Quartiles of </w:t>
      </w:r>
      <w:r>
        <w:rPr>
          <w:rFonts w:ascii="Times New Roman" w:hAnsi="Times New Roman" w:eastAsia="宋体" w:cs="Times New Roman"/>
          <w:sz w:val="24"/>
        </w:rPr>
        <w:t xml:space="preserve">the </w:t>
      </w:r>
      <w:r>
        <w:rPr>
          <w:rFonts w:hint="eastAsia" w:ascii="Times New Roman" w:hAnsi="Times New Roman" w:eastAsia="宋体" w:cs="Times New Roman"/>
          <w:sz w:val="24"/>
        </w:rPr>
        <w:t>INFLA-Score.</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Q1 = The Lowest INFLA-score quartile; Q2 = The Second-lowest INFLA-score quartile; Q3 = The Third-lowest INFLA-score quartile; Q4 = The Highest INFLA-score quartile.</w:t>
      </w:r>
    </w:p>
    <w:p>
      <w:pPr>
        <w:adjustRightInd w:val="0"/>
        <w:snapToGrid w:val="0"/>
        <w:spacing w:line="480" w:lineRule="auto"/>
        <w:rPr>
          <w:rFonts w:ascii="Times New Roman" w:hAnsi="Times New Roman" w:eastAsia="宋体" w:cs="Times New Roman"/>
          <w:sz w:val="24"/>
        </w:rPr>
      </w:pPr>
      <w:r>
        <w:rPr>
          <w:rFonts w:ascii="Times New Roman" w:hAnsi="Times New Roman" w:eastAsia="宋体" w:cs="Times New Roman"/>
          <w:sz w:val="24"/>
          <w:lang w:eastAsia="zh-Hans"/>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Figure </w:t>
      </w:r>
      <w:r>
        <w:rPr>
          <w:rFonts w:hint="eastAsia" w:ascii="Times New Roman" w:hAnsi="Times New Roman" w:eastAsia="宋体" w:cs="Times New Roman"/>
          <w:sz w:val="24"/>
        </w:rPr>
        <w:t xml:space="preserve">6. The Cardiovascular System Biological Age of Participants Across Various Age Groups in Different Quartiles of </w:t>
      </w:r>
      <w:r>
        <w:rPr>
          <w:rFonts w:ascii="Times New Roman" w:hAnsi="Times New Roman" w:eastAsia="宋体" w:cs="Times New Roman"/>
          <w:sz w:val="24"/>
        </w:rPr>
        <w:t xml:space="preserve">the </w:t>
      </w:r>
      <w:r>
        <w:rPr>
          <w:rFonts w:hint="eastAsia" w:ascii="Times New Roman" w:hAnsi="Times New Roman" w:eastAsia="宋体" w:cs="Times New Roman"/>
          <w:sz w:val="24"/>
        </w:rPr>
        <w:t>INFLA-Score.</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Q1 = The Lowest INFLA-score quartile; Q2 = The Second-lowest INFLA-score quartile; Q3 = The Third-lowest INFLA-score quartile; Q4 = The Highest INFLA-score quartile.</w:t>
      </w:r>
    </w:p>
    <w:p>
      <w:pPr>
        <w:adjustRightInd w:val="0"/>
        <w:snapToGrid w:val="0"/>
        <w:spacing w:line="480" w:lineRule="auto"/>
        <w:rPr>
          <w:rFonts w:ascii="Times New Roman" w:hAnsi="Times New Roman" w:eastAsia="宋体" w:cs="Times New Roman"/>
          <w:sz w:val="24"/>
        </w:rPr>
      </w:pPr>
      <w:r>
        <w:rPr>
          <w:rFonts w:ascii="Times New Roman" w:hAnsi="Times New Roman" w:eastAsia="宋体" w:cs="Times New Roman"/>
          <w:sz w:val="24"/>
          <w:lang w:eastAsia="zh-Hans"/>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Figure </w:t>
      </w:r>
      <w:r>
        <w:rPr>
          <w:rFonts w:hint="eastAsia" w:ascii="Times New Roman" w:hAnsi="Times New Roman" w:eastAsia="宋体" w:cs="Times New Roman"/>
          <w:sz w:val="24"/>
        </w:rPr>
        <w:t>7. The Kidney Biological Age of Participants Across Various Age Groups in Different Quartiles of</w:t>
      </w:r>
      <w:r>
        <w:rPr>
          <w:rFonts w:ascii="Times New Roman" w:hAnsi="Times New Roman" w:eastAsia="宋体" w:cs="Times New Roman"/>
          <w:sz w:val="24"/>
        </w:rPr>
        <w:t xml:space="preserve"> the</w:t>
      </w:r>
      <w:r>
        <w:rPr>
          <w:rFonts w:hint="eastAsia" w:ascii="Times New Roman" w:hAnsi="Times New Roman" w:eastAsia="宋体" w:cs="Times New Roman"/>
          <w:sz w:val="24"/>
        </w:rPr>
        <w:t xml:space="preserve"> INFLA-Score.</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Q1 = The Lowest INFLA-score quartile; Q2 = The Second-lowest INFLA-score quartile; Q3 = The Third-lowest INFLA-score quartile; Q4 = The Highest INFLA-score quartile.</w:t>
      </w:r>
    </w:p>
    <w:p>
      <w:pPr>
        <w:adjustRightInd w:val="0"/>
        <w:snapToGrid w:val="0"/>
        <w:spacing w:line="480" w:lineRule="auto"/>
        <w:rPr>
          <w:rFonts w:ascii="Times New Roman" w:hAnsi="Times New Roman" w:eastAsia="宋体" w:cs="Times New Roman"/>
          <w:sz w:val="24"/>
          <w:lang w:eastAsia="zh-Hans"/>
        </w:rPr>
      </w:pPr>
      <w:r>
        <w:rPr>
          <w:rFonts w:ascii="Times New Roman" w:hAnsi="Times New Roman" w:eastAsia="宋体" w:cs="Times New Roman"/>
          <w:sz w:val="24"/>
          <w:lang w:eastAsia="zh-Hans"/>
        </w:rPr>
        <w:t>Supplementary</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Figure </w:t>
      </w:r>
      <w:r>
        <w:rPr>
          <w:rFonts w:hint="eastAsia" w:ascii="Times New Roman" w:hAnsi="Times New Roman" w:eastAsia="宋体" w:cs="Times New Roman"/>
          <w:sz w:val="24"/>
        </w:rPr>
        <w:t>8. The</w:t>
      </w:r>
      <w:r>
        <w:rPr>
          <w:rFonts w:hint="eastAsia" w:ascii="Times New Roman" w:hAnsi="Times New Roman" w:eastAsia="宋体" w:cs="Times New Roman"/>
          <w:sz w:val="24"/>
          <w:lang w:eastAsia="zh-Hans"/>
        </w:rPr>
        <w:t xml:space="preserve"> Liver </w:t>
      </w:r>
      <w:r>
        <w:rPr>
          <w:rFonts w:hint="eastAsia" w:ascii="Times New Roman" w:hAnsi="Times New Roman" w:eastAsia="宋体" w:cs="Times New Roman"/>
          <w:sz w:val="24"/>
        </w:rPr>
        <w:t>B</w:t>
      </w:r>
      <w:r>
        <w:rPr>
          <w:rFonts w:hint="eastAsia" w:ascii="Times New Roman" w:hAnsi="Times New Roman" w:eastAsia="宋体" w:cs="Times New Roman"/>
          <w:sz w:val="24"/>
          <w:lang w:eastAsia="zh-Hans"/>
        </w:rPr>
        <w:t xml:space="preserve">iological </w:t>
      </w:r>
      <w:r>
        <w:rPr>
          <w:rFonts w:hint="eastAsia" w:ascii="Times New Roman" w:hAnsi="Times New Roman" w:eastAsia="宋体" w:cs="Times New Roman"/>
          <w:sz w:val="24"/>
        </w:rPr>
        <w:t>A</w:t>
      </w:r>
      <w:r>
        <w:rPr>
          <w:rFonts w:hint="eastAsia" w:ascii="Times New Roman" w:hAnsi="Times New Roman" w:eastAsia="宋体" w:cs="Times New Roman"/>
          <w:sz w:val="24"/>
          <w:lang w:eastAsia="zh-Hans"/>
        </w:rPr>
        <w:t>ge</w:t>
      </w:r>
      <w:r>
        <w:rPr>
          <w:rFonts w:hint="eastAsia" w:ascii="Times New Roman" w:hAnsi="Times New Roman" w:eastAsia="宋体" w:cs="Times New Roman"/>
          <w:sz w:val="24"/>
        </w:rPr>
        <w:t xml:space="preserve"> of Participants Across Various Age Groups in Different Quartiles of</w:t>
      </w:r>
      <w:r>
        <w:rPr>
          <w:rFonts w:ascii="Times New Roman" w:hAnsi="Times New Roman" w:eastAsia="宋体" w:cs="Times New Roman"/>
          <w:sz w:val="24"/>
        </w:rPr>
        <w:t xml:space="preserve"> the</w:t>
      </w:r>
      <w:r>
        <w:rPr>
          <w:rFonts w:hint="eastAsia" w:ascii="Times New Roman" w:hAnsi="Times New Roman" w:eastAsia="宋体" w:cs="Times New Roman"/>
          <w:sz w:val="24"/>
        </w:rPr>
        <w:t xml:space="preserve"> INFLA-Score</w:t>
      </w:r>
      <w:r>
        <w:rPr>
          <w:rFonts w:hint="eastAsia" w:ascii="Times New Roman" w:hAnsi="Times New Roman" w:eastAsia="宋体" w:cs="Times New Roman"/>
          <w:sz w:val="24"/>
          <w:lang w:eastAsia="zh-Hans"/>
        </w:rPr>
        <w:t>.</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Q1 = The Lowest INFLA-score quartile; Q2 = The Second-lowest INFLA-score quartile; Q3 = The Third-lowest INFLA-score quartile; Q4 = The Highest INFLA-score quartile.</w:t>
      </w:r>
    </w:p>
    <w:bookmarkEnd w:id="11"/>
    <w:p>
      <w:pPr>
        <w:adjustRightInd w:val="0"/>
        <w:snapToGrid w:val="0"/>
        <w:spacing w:line="480" w:lineRule="auto"/>
        <w:rPr>
          <w:rFonts w:ascii="Times New Roman" w:hAnsi="Times New Roman" w:eastAsia="宋体" w:cs="Times New Roman"/>
          <w:sz w:val="24"/>
          <w:lang w:eastAsia="zh-Hans"/>
        </w:rPr>
      </w:pPr>
      <w:r>
        <w:rPr>
          <w:rFonts w:hint="eastAsia" w:ascii="Times New Roman" w:hAnsi="Times New Roman" w:eastAsia="宋体" w:cs="Times New Roman"/>
          <w:sz w:val="24"/>
        </w:rPr>
        <w:t>Supplementary Figure 9.</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T</w:t>
      </w:r>
      <w:r>
        <w:rPr>
          <w:rFonts w:ascii="Times New Roman" w:hAnsi="Times New Roman" w:eastAsia="宋体" w:cs="Times New Roman"/>
          <w:sz w:val="24"/>
          <w:lang w:eastAsia="zh-Hans"/>
        </w:rPr>
        <w:t xml:space="preserve">he </w:t>
      </w:r>
      <w:r>
        <w:rPr>
          <w:rFonts w:hint="eastAsia" w:ascii="Times New Roman" w:hAnsi="Times New Roman" w:eastAsia="宋体" w:cs="Times New Roman"/>
          <w:sz w:val="24"/>
        </w:rPr>
        <w:t>A</w:t>
      </w:r>
      <w:r>
        <w:rPr>
          <w:rFonts w:ascii="Times New Roman" w:hAnsi="Times New Roman" w:eastAsia="宋体" w:cs="Times New Roman"/>
          <w:sz w:val="24"/>
          <w:lang w:eastAsia="zh-Hans"/>
        </w:rPr>
        <w:t xml:space="preserve">ssociations </w:t>
      </w:r>
      <w:r>
        <w:rPr>
          <w:rFonts w:hint="eastAsia" w:ascii="Times New Roman" w:hAnsi="Times New Roman" w:eastAsia="宋体" w:cs="Times New Roman"/>
          <w:sz w:val="24"/>
        </w:rPr>
        <w:t>B</w:t>
      </w:r>
      <w:r>
        <w:rPr>
          <w:rFonts w:ascii="Times New Roman" w:hAnsi="Times New Roman" w:eastAsia="宋体" w:cs="Times New Roman"/>
          <w:sz w:val="24"/>
          <w:lang w:eastAsia="zh-Hans"/>
        </w:rPr>
        <w:t xml:space="preserve">etween </w:t>
      </w:r>
      <w:r>
        <w:rPr>
          <w:rFonts w:hint="eastAsia" w:ascii="Times New Roman" w:hAnsi="Times New Roman" w:eastAsia="宋体" w:cs="Times New Roman"/>
          <w:sz w:val="24"/>
        </w:rPr>
        <w:t>D</w:t>
      </w:r>
      <w:r>
        <w:rPr>
          <w:rFonts w:ascii="Times New Roman" w:hAnsi="Times New Roman" w:eastAsia="宋体" w:cs="Times New Roman"/>
          <w:sz w:val="24"/>
          <w:lang w:eastAsia="zh-Hans"/>
        </w:rPr>
        <w:t xml:space="preserve">ifferent </w:t>
      </w:r>
      <w:r>
        <w:rPr>
          <w:rFonts w:hint="eastAsia" w:ascii="Times New Roman" w:hAnsi="Times New Roman" w:eastAsia="宋体" w:cs="Times New Roman"/>
          <w:sz w:val="24"/>
        </w:rPr>
        <w:t>Dietary Pattern</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S</w:t>
      </w:r>
      <w:r>
        <w:rPr>
          <w:rFonts w:ascii="Times New Roman" w:hAnsi="Times New Roman" w:eastAsia="宋体" w:cs="Times New Roman"/>
          <w:sz w:val="24"/>
          <w:lang w:eastAsia="zh-Hans"/>
        </w:rPr>
        <w:t>cores and</w:t>
      </w:r>
      <w:r>
        <w:rPr>
          <w:rFonts w:hint="eastAsia" w:ascii="Times New Roman" w:hAnsi="Times New Roman" w:eastAsia="宋体" w:cs="Times New Roman"/>
          <w:sz w:val="24"/>
        </w:rPr>
        <w:t xml:space="preserve"> A</w:t>
      </w:r>
      <w:r>
        <w:rPr>
          <w:rFonts w:ascii="Times New Roman" w:hAnsi="Times New Roman" w:eastAsia="宋体" w:cs="Times New Roman"/>
          <w:sz w:val="24"/>
          <w:lang w:eastAsia="zh-Hans"/>
        </w:rPr>
        <w:t xml:space="preserve">ge-related </w:t>
      </w:r>
      <w:r>
        <w:rPr>
          <w:rFonts w:hint="eastAsia" w:ascii="Times New Roman" w:hAnsi="Times New Roman" w:eastAsia="宋体" w:cs="Times New Roman"/>
          <w:sz w:val="24"/>
        </w:rPr>
        <w:t>H</w:t>
      </w:r>
      <w:r>
        <w:rPr>
          <w:rFonts w:ascii="Times New Roman" w:hAnsi="Times New Roman" w:eastAsia="宋体" w:cs="Times New Roman"/>
          <w:sz w:val="24"/>
          <w:lang w:eastAsia="zh-Hans"/>
        </w:rPr>
        <w:t>ospitalization and</w:t>
      </w:r>
      <w:r>
        <w:rPr>
          <w:rFonts w:hint="eastAsia" w:ascii="Times New Roman" w:hAnsi="Times New Roman" w:eastAsia="宋体" w:cs="Times New Roman"/>
          <w:sz w:val="24"/>
        </w:rPr>
        <w:t xml:space="preserve"> P</w:t>
      </w:r>
      <w:r>
        <w:rPr>
          <w:rFonts w:ascii="Times New Roman" w:hAnsi="Times New Roman" w:eastAsia="宋体" w:cs="Times New Roman"/>
          <w:sz w:val="24"/>
          <w:lang w:eastAsia="zh-Hans"/>
        </w:rPr>
        <w:t xml:space="preserve">remature </w:t>
      </w:r>
      <w:r>
        <w:rPr>
          <w:rFonts w:hint="eastAsia" w:ascii="Times New Roman" w:hAnsi="Times New Roman" w:eastAsia="宋体" w:cs="Times New Roman"/>
          <w:sz w:val="24"/>
        </w:rPr>
        <w:t>D</w:t>
      </w:r>
      <w:r>
        <w:rPr>
          <w:rFonts w:ascii="Times New Roman" w:hAnsi="Times New Roman" w:eastAsia="宋体" w:cs="Times New Roman"/>
          <w:sz w:val="24"/>
          <w:lang w:eastAsia="zh-Hans"/>
        </w:rPr>
        <w:t>eath.</w:t>
      </w:r>
    </w:p>
    <w:p>
      <w:pPr>
        <w:adjustRightInd w:val="0"/>
        <w:snapToGrid w:val="0"/>
        <w:spacing w:line="48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Values are n/N (case number/total number) or HR (95% CI). Results were adjusted for age, sex, race, smoking, drinking, BMI, MET, Townsend deprivation index, hypertension, mineral supplements intake, vitamin supplements intake, aspirin and other NSAIDs intake, medicines for hypercholesterolemia, hypertension and diabetes intake; CVD, Cancer, Diabetes, and Respiratory disease at baseline. </w:t>
      </w:r>
    </w:p>
    <w:p>
      <w:pPr>
        <w:adjustRightInd w:val="0"/>
        <w:snapToGrid w:val="0"/>
        <w:spacing w:line="480" w:lineRule="auto"/>
        <w:ind w:firstLine="480" w:firstLineChars="200"/>
        <w:rPr>
          <w:rFonts w:ascii="Times New Roman" w:hAnsi="Times New Roman" w:eastAsia="宋体" w:cs="Times New Roman"/>
          <w:sz w:val="28"/>
          <w:szCs w:val="28"/>
        </w:rPr>
      </w:pPr>
      <w:r>
        <w:rPr>
          <w:rFonts w:hint="eastAsia" w:ascii="Times New Roman" w:hAnsi="Times New Roman" w:eastAsia="宋体" w:cs="Times New Roman"/>
          <w:sz w:val="24"/>
        </w:rPr>
        <w:t xml:space="preserve">BMI = Body Mass index; MET = </w:t>
      </w:r>
      <w:r>
        <w:rPr>
          <w:rFonts w:ascii="Times New Roman" w:hAnsi="Times New Roman" w:eastAsia="宋体" w:cs="Times New Roman"/>
          <w:sz w:val="24"/>
        </w:rPr>
        <w:t>metabolic</w:t>
      </w:r>
      <w:r>
        <w:rPr>
          <w:rFonts w:hint="eastAsia" w:ascii="Times New Roman" w:hAnsi="Times New Roman" w:eastAsia="宋体" w:cs="Times New Roman"/>
          <w:sz w:val="24"/>
        </w:rPr>
        <w:t xml:space="preserve"> equivalent; NSAIDs = Non-Steroidal Anti-Inflammatory Drugs; CVD = cardiovascular disease; HEI-2020 = Healthy Eating Index-2020, MED = Mediterranean, DASH = Dietary Approaches to Stop Hypertension; T = tertile.</w:t>
      </w:r>
    </w:p>
    <w:p>
      <w:pPr>
        <w:rPr>
          <w:rFonts w:hint="eastAsia" w:ascii="Times New Roman Regular" w:hAnsi="Times New Roman Regular" w:cs="Times New Roman Regular"/>
          <w:bCs/>
          <w:sz w:val="24"/>
          <w:lang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9ED8C6"/>
    <w:multiLevelType w:val="singleLevel"/>
    <w:tmpl w:val="A69ED8C6"/>
    <w:lvl w:ilvl="0" w:tentative="0">
      <w:start w:val="1"/>
      <w:numFmt w:val="decimal"/>
      <w:suff w:val="space"/>
      <w:lvlText w:val="%1."/>
      <w:lvlJc w:val="left"/>
    </w:lvl>
  </w:abstractNum>
  <w:abstractNum w:abstractNumId="1">
    <w:nsid w:val="CD07F0FE"/>
    <w:multiLevelType w:val="singleLevel"/>
    <w:tmpl w:val="CD07F0FE"/>
    <w:lvl w:ilvl="0" w:tentative="0">
      <w:start w:val="1"/>
      <w:numFmt w:val="decimal"/>
      <w:suff w:val="space"/>
      <w:lvlText w:val="%1."/>
      <w:lvlJc w:val="left"/>
    </w:lvl>
  </w:abstractNum>
  <w:abstractNum w:abstractNumId="2">
    <w:nsid w:val="108F8316"/>
    <w:multiLevelType w:val="singleLevel"/>
    <w:tmpl w:val="108F8316"/>
    <w:lvl w:ilvl="0" w:tentative="0">
      <w:start w:val="1"/>
      <w:numFmt w:val="decimal"/>
      <w:suff w:val="space"/>
      <w:lvlText w:val="%1)"/>
      <w:lvlJc w:val="left"/>
    </w:lvl>
  </w:abstractNum>
  <w:abstractNum w:abstractNumId="3">
    <w:nsid w:val="184601C7"/>
    <w:multiLevelType w:val="singleLevel"/>
    <w:tmpl w:val="184601C7"/>
    <w:lvl w:ilvl="0" w:tentative="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OTY3ODE5MzZiMjY4YmI1MDA1YmExYzc5NmU0NTUifQ=="/>
  </w:docVars>
  <w:rsids>
    <w:rsidRoot w:val="EFDFCB56"/>
    <w:rsid w:val="000D1D7B"/>
    <w:rsid w:val="00175784"/>
    <w:rsid w:val="00435AC6"/>
    <w:rsid w:val="004C1AB7"/>
    <w:rsid w:val="004D6FFE"/>
    <w:rsid w:val="005D404F"/>
    <w:rsid w:val="006008BC"/>
    <w:rsid w:val="00622854"/>
    <w:rsid w:val="006E6EB8"/>
    <w:rsid w:val="008062B4"/>
    <w:rsid w:val="009C7D0B"/>
    <w:rsid w:val="00A87507"/>
    <w:rsid w:val="00AA26F2"/>
    <w:rsid w:val="00AF3703"/>
    <w:rsid w:val="00BF40AE"/>
    <w:rsid w:val="00EE0546"/>
    <w:rsid w:val="10A55E08"/>
    <w:rsid w:val="131A50A7"/>
    <w:rsid w:val="14FE327C"/>
    <w:rsid w:val="1BD64E30"/>
    <w:rsid w:val="2210606C"/>
    <w:rsid w:val="256A49D7"/>
    <w:rsid w:val="26CC34A1"/>
    <w:rsid w:val="3A1B31DA"/>
    <w:rsid w:val="3D4A0B81"/>
    <w:rsid w:val="3D8B12CC"/>
    <w:rsid w:val="3ED53AA8"/>
    <w:rsid w:val="4D9D6850"/>
    <w:rsid w:val="5BA86542"/>
    <w:rsid w:val="5E401392"/>
    <w:rsid w:val="644D21F2"/>
    <w:rsid w:val="719D6526"/>
    <w:rsid w:val="7FA2504F"/>
    <w:rsid w:val="EFDFCB56"/>
    <w:rsid w:val="F7377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2"/>
    <w:autoRedefine/>
    <w:uiPriority w:val="0"/>
    <w:pPr>
      <w:tabs>
        <w:tab w:val="center" w:pos="4153"/>
        <w:tab w:val="right" w:pos="8306"/>
      </w:tabs>
      <w:snapToGrid w:val="0"/>
      <w:jc w:val="left"/>
    </w:pPr>
    <w:rPr>
      <w:sz w:val="18"/>
      <w:szCs w:val="18"/>
    </w:rPr>
  </w:style>
  <w:style w:type="paragraph" w:styleId="4">
    <w:name w:val="header"/>
    <w:basedOn w:val="1"/>
    <w:link w:val="11"/>
    <w:autoRedefine/>
    <w:qFormat/>
    <w:uiPriority w:val="0"/>
    <w:pP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Hyperlink"/>
    <w:basedOn w:val="7"/>
    <w:autoRedefine/>
    <w:qFormat/>
    <w:uiPriority w:val="0"/>
    <w:rPr>
      <w:color w:val="0000FF"/>
      <w:u w:val="single"/>
    </w:rPr>
  </w:style>
  <w:style w:type="character" w:customStyle="1" w:styleId="9">
    <w:name w:val="font01"/>
    <w:basedOn w:val="7"/>
    <w:autoRedefine/>
    <w:qFormat/>
    <w:uiPriority w:val="0"/>
    <w:rPr>
      <w:rFonts w:hint="default" w:ascii="Times New Roman Regular" w:hAnsi="Times New Roman Regular" w:eastAsia="Times New Roman Regular" w:cs="Times New Roman Regular"/>
      <w:color w:val="006EE4"/>
      <w:sz w:val="20"/>
      <w:szCs w:val="20"/>
      <w:u w:val="none"/>
    </w:rPr>
  </w:style>
  <w:style w:type="character" w:customStyle="1" w:styleId="10">
    <w:name w:val="font11"/>
    <w:basedOn w:val="7"/>
    <w:autoRedefine/>
    <w:qFormat/>
    <w:uiPriority w:val="0"/>
    <w:rPr>
      <w:rFonts w:hint="default" w:ascii="Times New Roman Regular" w:hAnsi="Times New Roman Regular" w:eastAsia="Times New Roman Regular" w:cs="Times New Roman Regular"/>
      <w:color w:val="212529"/>
      <w:sz w:val="20"/>
      <w:szCs w:val="20"/>
      <w:u w:val="none"/>
    </w:rPr>
  </w:style>
  <w:style w:type="character" w:customStyle="1" w:styleId="11">
    <w:name w:val="页眉 字符"/>
    <w:basedOn w:val="7"/>
    <w:link w:val="4"/>
    <w:uiPriority w:val="0"/>
    <w:rPr>
      <w:rFonts w:asciiTheme="minorHAnsi" w:hAnsiTheme="minorHAnsi" w:eastAsiaTheme="minorEastAsia" w:cstheme="minorBidi"/>
      <w:kern w:val="2"/>
      <w:sz w:val="18"/>
      <w:szCs w:val="18"/>
    </w:rPr>
  </w:style>
  <w:style w:type="character" w:customStyle="1" w:styleId="12">
    <w:name w:val="页脚 字符"/>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C8C61-D00B-4D78-ACCC-7F947D8A556D}">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2415</Words>
  <Characters>13769</Characters>
  <Lines>114</Lines>
  <Paragraphs>32</Paragraphs>
  <TotalTime>17</TotalTime>
  <ScaleCrop>false</ScaleCrop>
  <LinksUpToDate>false</LinksUpToDate>
  <CharactersWithSpaces>16152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2024-03-27T03:38:00Z</dcterms:created>
  <dc:creator>杨瑞明</dc:creator>
  <cp:lastModifiedBy>Peart wolf</cp:lastModifiedBy>
  <dcterms:modified xsi:type="dcterms:W3CDTF">2024-05-16T05:05:30Z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4E65E58108854063B423A69545CBB38F_13</vt:lpwstr>
  </property>
</Properties>
</file>