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9833" w14:textId="2A9C304F" w:rsidR="00163EF1" w:rsidRDefault="00163EF1" w:rsidP="00163EF1">
      <w:pPr>
        <w:pStyle w:val="CenteredNormal"/>
        <w:jc w:val="left"/>
        <w:rPr>
          <w:rFonts w:ascii="Garamond" w:hAnsi="Garamond"/>
          <w:b/>
          <w:bCs/>
          <w:sz w:val="22"/>
          <w:szCs w:val="22"/>
        </w:rPr>
      </w:pPr>
      <w:r w:rsidRPr="007F0D27">
        <w:rPr>
          <w:rFonts w:ascii="Garamond" w:hAnsi="Garamond"/>
          <w:b/>
          <w:bCs/>
          <w:sz w:val="22"/>
          <w:szCs w:val="22"/>
        </w:rPr>
        <w:t xml:space="preserve">Supplementary Materials </w:t>
      </w:r>
    </w:p>
    <w:p w14:paraId="17B82107" w14:textId="77777777" w:rsidR="007F0D27" w:rsidRPr="007F0D27" w:rsidRDefault="007F0D27" w:rsidP="00163EF1">
      <w:pPr>
        <w:pStyle w:val="CenteredNormal"/>
        <w:jc w:val="left"/>
        <w:rPr>
          <w:rFonts w:ascii="Garamond" w:hAnsi="Garamond"/>
          <w:b/>
          <w:bCs/>
          <w:sz w:val="22"/>
          <w:szCs w:val="22"/>
        </w:rPr>
      </w:pPr>
    </w:p>
    <w:p w14:paraId="4DB40657" w14:textId="0139C695" w:rsidR="00227103" w:rsidRPr="007F0D27" w:rsidRDefault="00227103" w:rsidP="007F0D27">
      <w:pPr>
        <w:pStyle w:val="CenteredNormal"/>
        <w:jc w:val="left"/>
        <w:rPr>
          <w:rFonts w:ascii="Garamond" w:hAnsi="Garamond"/>
          <w:sz w:val="22"/>
          <w:szCs w:val="22"/>
          <w:u w:val="single"/>
        </w:rPr>
      </w:pPr>
    </w:p>
    <w:p w14:paraId="5EB034A8" w14:textId="77777777" w:rsidR="00227103" w:rsidRPr="007F0D27" w:rsidRDefault="00227103">
      <w:pPr>
        <w:spacing w:after="160" w:line="259" w:lineRule="auto"/>
        <w:rPr>
          <w:rFonts w:ascii="Garamond" w:hAnsi="Garamond"/>
          <w:sz w:val="22"/>
          <w:szCs w:val="22"/>
          <w:u w:val="single"/>
        </w:rPr>
      </w:pPr>
      <w:r w:rsidRPr="007F0D27">
        <w:rPr>
          <w:rFonts w:ascii="Garamond" w:hAnsi="Garamond"/>
          <w:sz w:val="22"/>
          <w:szCs w:val="22"/>
          <w:u w:val="single"/>
        </w:rPr>
        <w:t xml:space="preserve">Detailed statistical </w:t>
      </w:r>
      <w:proofErr w:type="gramStart"/>
      <w:r w:rsidRPr="007F0D27">
        <w:rPr>
          <w:rFonts w:ascii="Garamond" w:hAnsi="Garamond"/>
          <w:sz w:val="22"/>
          <w:szCs w:val="22"/>
          <w:u w:val="single"/>
        </w:rPr>
        <w:t>analysis</w:t>
      </w:r>
      <w:proofErr w:type="gramEnd"/>
    </w:p>
    <w:p w14:paraId="5B56B3E0" w14:textId="020AB77F" w:rsidR="00227103" w:rsidRDefault="00227103" w:rsidP="00227103">
      <w:pPr>
        <w:pStyle w:val="Body"/>
        <w:rPr>
          <w:rFonts w:ascii="Garamond" w:eastAsia="Garamond" w:hAnsi="Garamond"/>
          <w:i/>
          <w:sz w:val="22"/>
          <w:szCs w:val="22"/>
        </w:rPr>
      </w:pPr>
      <w:r w:rsidRPr="007F0D27">
        <w:rPr>
          <w:rFonts w:ascii="Garamond" w:eastAsia="Garamond" w:hAnsi="Garamond"/>
          <w:sz w:val="22"/>
          <w:szCs w:val="22"/>
        </w:rPr>
        <w:tab/>
        <w:t xml:space="preserve">The Emerging Hot Spot Analysis is a space-time pattern mining tool that combines two statistical analyses: 1) the </w:t>
      </w:r>
      <w:proofErr w:type="spellStart"/>
      <w:r w:rsidRPr="007F0D27">
        <w:rPr>
          <w:rFonts w:ascii="Garamond" w:eastAsia="Garamond" w:hAnsi="Garamond"/>
          <w:sz w:val="22"/>
          <w:szCs w:val="22"/>
        </w:rPr>
        <w:t>Getis</w:t>
      </w:r>
      <w:proofErr w:type="spellEnd"/>
      <w:r w:rsidRPr="007F0D27">
        <w:rPr>
          <w:rFonts w:ascii="Garamond" w:eastAsia="Garamond" w:hAnsi="Garamond"/>
          <w:sz w:val="22"/>
          <w:szCs w:val="22"/>
        </w:rPr>
        <w:t xml:space="preserve">-Ord Gi* statistic; and 2) the Mann-Kendall trend test for temporal trends. The </w:t>
      </w:r>
      <w:proofErr w:type="spellStart"/>
      <w:r w:rsidRPr="007F0D27">
        <w:rPr>
          <w:rFonts w:ascii="Garamond" w:eastAsia="Garamond" w:hAnsi="Garamond"/>
          <w:sz w:val="22"/>
          <w:szCs w:val="22"/>
        </w:rPr>
        <w:t>Getis</w:t>
      </w:r>
      <w:proofErr w:type="spellEnd"/>
      <w:r w:rsidRPr="007F0D27">
        <w:rPr>
          <w:rFonts w:ascii="Garamond" w:eastAsia="Garamond" w:hAnsi="Garamond"/>
          <w:sz w:val="22"/>
          <w:szCs w:val="22"/>
        </w:rPr>
        <w:t>-Ord Gi*</w:t>
      </w:r>
      <w:r w:rsidRPr="007F0D27">
        <w:rPr>
          <w:rFonts w:ascii="Garamond" w:eastAsia="Garamond" w:hAnsi="Garamond"/>
          <w:i/>
          <w:sz w:val="22"/>
          <w:szCs w:val="22"/>
        </w:rPr>
        <w:t xml:space="preserve"> </w:t>
      </w:r>
      <w:r w:rsidRPr="007F0D27">
        <w:rPr>
          <w:rFonts w:ascii="Garamond" w:eastAsia="Garamond" w:hAnsi="Garamond"/>
          <w:sz w:val="22"/>
          <w:szCs w:val="22"/>
        </w:rPr>
        <w:t xml:space="preserve">method identifies statistically significant spatial clusters </w:t>
      </w:r>
      <w:r w:rsidRPr="007F0D27">
        <w:rPr>
          <w:rFonts w:ascii="Garamond" w:eastAsia="Garamond" w:hAnsi="Garamond"/>
          <w:sz w:val="22"/>
          <w:szCs w:val="22"/>
        </w:rPr>
        <w:fldChar w:fldCharType="begin"/>
      </w:r>
      <w:r w:rsidRPr="007F0D27">
        <w:rPr>
          <w:rFonts w:ascii="Garamond" w:eastAsia="Garamond" w:hAnsi="Garamond"/>
          <w:sz w:val="22"/>
          <w:szCs w:val="22"/>
        </w:rPr>
        <w:instrText xml:space="preserve"> ADDIN EN.CITE &lt;EndNote&gt;&lt;Cite&gt;&lt;Author&gt;Getis&lt;/Author&gt;&lt;Year&gt;2010&lt;/Year&gt;&lt;RecNum&gt;7&lt;/RecNum&gt;&lt;DisplayText&gt;(Getis and Ord 2010)&lt;/DisplayText&gt;&lt;record&gt;&lt;rec-number&gt;7&lt;/rec-number&gt;&lt;foreign-keys&gt;&lt;key app="EN" db-id="wzrve9fxlpwwp4exat5x5zsrsfw52s59pfwz" timestamp="1652444345"&gt;7&lt;/key&gt;&lt;/foreign-keys&gt;&lt;ref-type name="Book Section"&gt;5&lt;/ref-type&gt;&lt;contributors&gt;&lt;authors&gt;&lt;author&gt;Getis, Arthur&lt;/author&gt;&lt;author&gt;Ord, J Keith&lt;/author&gt;&lt;/authors&gt;&lt;/contributors&gt;&lt;titles&gt;&lt;title&gt;The analysis of spatial association by use of distance statistics&lt;/title&gt;&lt;secondary-title&gt;Perspectives on spatial data analysis&lt;/secondary-title&gt;&lt;/titles&gt;&lt;pages&gt;127-145&lt;/pages&gt;&lt;dates&gt;&lt;year&gt;2010&lt;/year&gt;&lt;/dates&gt;&lt;publisher&gt;Springer&lt;/publisher&gt;&lt;urls&gt;&lt;/urls&gt;&lt;/record&gt;&lt;/Cite&gt;&lt;/EndNote&gt;</w:instrText>
      </w:r>
      <w:r w:rsidRPr="007F0D27">
        <w:rPr>
          <w:rFonts w:ascii="Garamond" w:eastAsia="Garamond" w:hAnsi="Garamond"/>
          <w:sz w:val="22"/>
          <w:szCs w:val="22"/>
        </w:rPr>
        <w:fldChar w:fldCharType="separate"/>
      </w:r>
      <w:r w:rsidRPr="007F0D27">
        <w:rPr>
          <w:rFonts w:ascii="Garamond" w:eastAsia="Garamond" w:hAnsi="Garamond"/>
          <w:noProof/>
          <w:sz w:val="22"/>
          <w:szCs w:val="22"/>
        </w:rPr>
        <w:t>(Getis and Ord 2010)</w:t>
      </w:r>
      <w:r w:rsidRPr="007F0D27">
        <w:rPr>
          <w:rFonts w:ascii="Garamond" w:eastAsia="Garamond" w:hAnsi="Garamond"/>
          <w:sz w:val="22"/>
          <w:szCs w:val="22"/>
        </w:rPr>
        <w:fldChar w:fldCharType="end"/>
      </w:r>
      <w:r w:rsidRPr="007F0D27">
        <w:rPr>
          <w:rFonts w:ascii="Garamond" w:eastAsia="Garamond" w:hAnsi="Garamond"/>
          <w:sz w:val="22"/>
          <w:szCs w:val="22"/>
        </w:rPr>
        <w:t xml:space="preserve">. Results of the analysis are presented as Z scores, which indicate high/low values of bins (in this case, the sum of road traffic injury severity indices and counts of </w:t>
      </w:r>
      <w:sdt>
        <w:sdtPr>
          <w:rPr>
            <w:rFonts w:ascii="Garamond" w:hAnsi="Garamond"/>
            <w:sz w:val="22"/>
            <w:szCs w:val="22"/>
          </w:rPr>
          <w:tag w:val="goog_rdk_29"/>
          <w:id w:val="-2065636081"/>
        </w:sdtPr>
        <w:sdtContent/>
      </w:sdt>
      <w:r w:rsidRPr="007F0D27">
        <w:rPr>
          <w:rFonts w:ascii="Garamond" w:hAnsi="Garamond"/>
          <w:sz w:val="22"/>
          <w:szCs w:val="22"/>
        </w:rPr>
        <w:t xml:space="preserve">minor </w:t>
      </w:r>
      <w:r w:rsidRPr="007F0D27">
        <w:rPr>
          <w:rFonts w:ascii="Garamond" w:eastAsia="Garamond" w:hAnsi="Garamond"/>
          <w:sz w:val="22"/>
          <w:szCs w:val="22"/>
        </w:rPr>
        <w:t xml:space="preserve">road traffic injuries, severe road traffic injuries, and deaths in each bin) that are near each other. This tool considers the Z value of the bin, the Z values of surrounding bins, and the confidence levels (90%, 95%, and 99%). Large, positive Z values indicate high levels of clustering (i.e., a hotspot meaning bins with high Z scores surrounded by other bins with high Z scores), while negative Z scores indicate low values of bins surrounded by other low values of bins (i.e., a cold spot) </w:t>
      </w:r>
      <w:r w:rsidRPr="007F0D27">
        <w:rPr>
          <w:rFonts w:ascii="Garamond" w:eastAsia="Garamond" w:hAnsi="Garamond"/>
          <w:sz w:val="22"/>
          <w:szCs w:val="22"/>
        </w:rPr>
        <w:fldChar w:fldCharType="begin"/>
      </w:r>
      <w:r w:rsidRPr="007F0D27">
        <w:rPr>
          <w:rFonts w:ascii="Garamond" w:eastAsia="Garamond" w:hAnsi="Garamond"/>
          <w:sz w:val="22"/>
          <w:szCs w:val="22"/>
        </w:rPr>
        <w:instrText xml:space="preserve"> ADDIN EN.CITE &lt;EndNote&gt;&lt;Cite&gt;&lt;Author&gt;Getis&lt;/Author&gt;&lt;Year&gt;2010&lt;/Year&gt;&lt;RecNum&gt;7&lt;/RecNum&gt;&lt;DisplayText&gt;(Getis and Ord 2010)&lt;/DisplayText&gt;&lt;record&gt;&lt;rec-number&gt;7&lt;/rec-number&gt;&lt;foreign-keys&gt;&lt;key app="EN" db-id="wzrve9fxlpwwp4exat5x5zsrsfw52s59pfwz" timestamp="1652444345"&gt;7&lt;/key&gt;&lt;/foreign-keys&gt;&lt;ref-type name="Book Section"&gt;5&lt;/ref-type&gt;&lt;contributors&gt;&lt;authors&gt;&lt;author&gt;Getis, Arthur&lt;/author&gt;&lt;author&gt;Ord, J Keith&lt;/author&gt;&lt;/authors&gt;&lt;/contributors&gt;&lt;titles&gt;&lt;title&gt;The analysis of spatial association by use of distance statistics&lt;/title&gt;&lt;secondary-title&gt;Perspectives on spatial data analysis&lt;/secondary-title&gt;&lt;/titles&gt;&lt;pages&gt;127-145&lt;/pages&gt;&lt;dates&gt;&lt;year&gt;2010&lt;/year&gt;&lt;/dates&gt;&lt;publisher&gt;Springer&lt;/publisher&gt;&lt;urls&gt;&lt;/urls&gt;&lt;/record&gt;&lt;/Cite&gt;&lt;/EndNote&gt;</w:instrText>
      </w:r>
      <w:r w:rsidRPr="007F0D27">
        <w:rPr>
          <w:rFonts w:ascii="Garamond" w:eastAsia="Garamond" w:hAnsi="Garamond"/>
          <w:sz w:val="22"/>
          <w:szCs w:val="22"/>
        </w:rPr>
        <w:fldChar w:fldCharType="separate"/>
      </w:r>
      <w:r w:rsidRPr="007F0D27">
        <w:rPr>
          <w:rFonts w:ascii="Garamond" w:eastAsia="Garamond" w:hAnsi="Garamond"/>
          <w:noProof/>
          <w:sz w:val="22"/>
          <w:szCs w:val="22"/>
        </w:rPr>
        <w:t>(Getis and Ord 2010)</w:t>
      </w:r>
      <w:r w:rsidRPr="007F0D27">
        <w:rPr>
          <w:rFonts w:ascii="Garamond" w:eastAsia="Garamond" w:hAnsi="Garamond"/>
          <w:sz w:val="22"/>
          <w:szCs w:val="22"/>
        </w:rPr>
        <w:fldChar w:fldCharType="end"/>
      </w:r>
      <w:r w:rsidRPr="007F0D27">
        <w:rPr>
          <w:rFonts w:ascii="Garamond" w:eastAsia="Garamond" w:hAnsi="Garamond"/>
          <w:sz w:val="22"/>
          <w:szCs w:val="22"/>
        </w:rPr>
        <w:t xml:space="preserve">. A Gi* near 0 indicates a random distribution. A Mann-Kendall test is a non-parametric statistical method that calculates a ranking analysis of the number and value of each time interval and time order </w:t>
      </w:r>
      <w:r w:rsidRPr="007F0D27">
        <w:rPr>
          <w:rFonts w:ascii="Garamond" w:eastAsia="Garamond" w:hAnsi="Garamond"/>
          <w:sz w:val="22"/>
          <w:szCs w:val="22"/>
        </w:rPr>
        <w:fldChar w:fldCharType="begin"/>
      </w:r>
      <w:r w:rsidRPr="007F0D27">
        <w:rPr>
          <w:rFonts w:ascii="Garamond" w:eastAsia="Garamond" w:hAnsi="Garamond"/>
          <w:sz w:val="22"/>
          <w:szCs w:val="22"/>
        </w:rPr>
        <w:instrText xml:space="preserve"> ADDIN EN.CITE &lt;EndNote&gt;&lt;Cite&gt;&lt;Author&gt;Mann&lt;/Author&gt;&lt;Year&gt;1945&lt;/Year&gt;&lt;RecNum&gt;8&lt;/RecNum&gt;&lt;DisplayText&gt;(Mann 1945, Kendall 1948)&lt;/DisplayText&gt;&lt;record&gt;&lt;rec-number&gt;8&lt;/rec-number&gt;&lt;foreign-keys&gt;&lt;key app="EN" db-id="wzrve9fxlpwwp4exat5x5zsrsfw52s59pfwz" timestamp="1652445346"&gt;8&lt;/key&gt;&lt;/foreign-keys&gt;&lt;ref-type name="Journal Article"&gt;17&lt;/ref-type&gt;&lt;contributors&gt;&lt;authors&gt;&lt;author&gt;Mann, Henry B&lt;/author&gt;&lt;/authors&gt;&lt;/contributors&gt;&lt;titles&gt;&lt;title&gt;Nonparametric tests against trend&lt;/title&gt;&lt;secondary-title&gt;Econometrica: Journal of the econometric society&lt;/secondary-title&gt;&lt;/titles&gt;&lt;periodical&gt;&lt;full-title&gt;Econometrica: Journal of the econometric society&lt;/full-title&gt;&lt;/periodical&gt;&lt;pages&gt;245-259&lt;/pages&gt;&lt;dates&gt;&lt;year&gt;1945&lt;/year&gt;&lt;/dates&gt;&lt;isbn&gt;0012-9682&lt;/isbn&gt;&lt;urls&gt;&lt;/urls&gt;&lt;/record&gt;&lt;/Cite&gt;&lt;Cite&gt;&lt;Author&gt;Kendall&lt;/Author&gt;&lt;Year&gt;1948&lt;/Year&gt;&lt;RecNum&gt;9&lt;/RecNum&gt;&lt;record&gt;&lt;rec-number&gt;9&lt;/rec-number&gt;&lt;foreign-keys&gt;&lt;key app="EN" db-id="wzrve9fxlpwwp4exat5x5zsrsfw52s59pfwz" timestamp="1652445370"&gt;9&lt;/key&gt;&lt;/foreign-keys&gt;&lt;ref-type name="Journal Article"&gt;17&lt;/ref-type&gt;&lt;contributors&gt;&lt;authors&gt;&lt;author&gt;Kendall, Maurice George&lt;/author&gt;&lt;/authors&gt;&lt;/contributors&gt;&lt;titles&gt;&lt;title&gt;Rank correlation methods&lt;/title&gt;&lt;/titles&gt;&lt;dates&gt;&lt;year&gt;1948&lt;/year&gt;&lt;/dates&gt;&lt;urls&gt;&lt;/urls&gt;&lt;/record&gt;&lt;/Cite&gt;&lt;/EndNote&gt;</w:instrText>
      </w:r>
      <w:r w:rsidRPr="007F0D27">
        <w:rPr>
          <w:rFonts w:ascii="Garamond" w:eastAsia="Garamond" w:hAnsi="Garamond"/>
          <w:sz w:val="22"/>
          <w:szCs w:val="22"/>
        </w:rPr>
        <w:fldChar w:fldCharType="separate"/>
      </w:r>
      <w:r w:rsidRPr="007F0D27">
        <w:rPr>
          <w:rFonts w:ascii="Garamond" w:eastAsia="Garamond" w:hAnsi="Garamond"/>
          <w:noProof/>
          <w:sz w:val="22"/>
          <w:szCs w:val="22"/>
        </w:rPr>
        <w:t>(Mann 1945, Kendall 1948)</w:t>
      </w:r>
      <w:r w:rsidRPr="007F0D27">
        <w:rPr>
          <w:rFonts w:ascii="Garamond" w:eastAsia="Garamond" w:hAnsi="Garamond"/>
          <w:sz w:val="22"/>
          <w:szCs w:val="22"/>
        </w:rPr>
        <w:fldChar w:fldCharType="end"/>
      </w:r>
      <w:r w:rsidRPr="007F0D27">
        <w:rPr>
          <w:rFonts w:ascii="Garamond" w:eastAsia="Garamond" w:hAnsi="Garamond"/>
          <w:sz w:val="22"/>
          <w:szCs w:val="22"/>
        </w:rPr>
        <w:t xml:space="preserve">. The test calculates values for each period in the test to derive a time-series spot pattern for each bin. The results (cluster from </w:t>
      </w:r>
      <w:proofErr w:type="spellStart"/>
      <w:r w:rsidRPr="007F0D27">
        <w:rPr>
          <w:rFonts w:ascii="Garamond" w:eastAsia="Garamond" w:hAnsi="Garamond"/>
          <w:sz w:val="22"/>
          <w:szCs w:val="22"/>
        </w:rPr>
        <w:t>Getis</w:t>
      </w:r>
      <w:proofErr w:type="spellEnd"/>
      <w:r w:rsidRPr="007F0D27">
        <w:rPr>
          <w:rFonts w:ascii="Garamond" w:eastAsia="Garamond" w:hAnsi="Garamond"/>
          <w:sz w:val="22"/>
          <w:szCs w:val="22"/>
        </w:rPr>
        <w:t xml:space="preserve">-Ord Gi* and trend from Mann-Kendall) are then combined and categorized as new hot/cold spots, consecutive hot/cold spots, intensifying hot/cold spots, persistent hot/cold spots, diminishing hot/cold spots, oscillating hot/cold spot, historical hot/cold spot, and no detectable pattern. </w:t>
      </w:r>
    </w:p>
    <w:p w14:paraId="35D2AF27" w14:textId="77777777" w:rsidR="007F0D27" w:rsidRPr="007F0D27" w:rsidRDefault="007F0D27" w:rsidP="00227103">
      <w:pPr>
        <w:pStyle w:val="Body"/>
        <w:rPr>
          <w:rFonts w:ascii="Garamond" w:eastAsia="Garamond" w:hAnsi="Garamond"/>
          <w:i/>
          <w:sz w:val="22"/>
          <w:szCs w:val="22"/>
        </w:rPr>
      </w:pPr>
    </w:p>
    <w:p w14:paraId="283F82C6" w14:textId="77777777" w:rsidR="00227103" w:rsidRPr="007F0D27" w:rsidRDefault="00227103" w:rsidP="00227103">
      <w:pPr>
        <w:pStyle w:val="Body"/>
        <w:rPr>
          <w:rFonts w:ascii="Garamond" w:eastAsia="Garamond" w:hAnsi="Garamond"/>
          <w:sz w:val="22"/>
          <w:szCs w:val="22"/>
        </w:rPr>
      </w:pPr>
      <w:r w:rsidRPr="007F0D27">
        <w:rPr>
          <w:rFonts w:ascii="Garamond" w:eastAsia="Garamond" w:hAnsi="Garamond"/>
          <w:sz w:val="22"/>
          <w:szCs w:val="22"/>
        </w:rPr>
        <w:t xml:space="preserve">Input parameters for the Emerging Hot Spot Analysis tool include: 1) time step; 2) conceptualization of spatial relationships; and 3) polygon analysis mask. The time step determines which periods are analyzed together. Given that </w:t>
      </w:r>
      <w:r w:rsidRPr="007F0D27">
        <w:rPr>
          <w:rFonts w:ascii="Garamond" w:eastAsia="Garamond" w:hAnsi="Garamond"/>
          <w:color w:val="000000"/>
          <w:sz w:val="22"/>
          <w:szCs w:val="22"/>
        </w:rPr>
        <w:t xml:space="preserve">MVCs are considered </w:t>
      </w:r>
      <w:sdt>
        <w:sdtPr>
          <w:rPr>
            <w:rFonts w:ascii="Garamond" w:hAnsi="Garamond"/>
            <w:sz w:val="22"/>
            <w:szCs w:val="22"/>
          </w:rPr>
          <w:tag w:val="goog_rdk_30"/>
          <w:id w:val="-2038499694"/>
        </w:sdtPr>
        <w:sdtContent/>
      </w:sdt>
      <w:r w:rsidRPr="007F0D27">
        <w:rPr>
          <w:rFonts w:ascii="Garamond" w:eastAsia="Garamond" w:hAnsi="Garamond"/>
          <w:color w:val="000000"/>
          <w:sz w:val="22"/>
          <w:szCs w:val="22"/>
        </w:rPr>
        <w:t xml:space="preserve">rare and random events with varying frequencies over time, the Highway Safety Manual recommends three to five years for analyses </w:t>
      </w:r>
      <w:r w:rsidRPr="007F0D27">
        <w:rPr>
          <w:rFonts w:ascii="Garamond" w:eastAsia="Garamond" w:hAnsi="Garamond"/>
          <w:color w:val="000000"/>
          <w:sz w:val="22"/>
          <w:szCs w:val="22"/>
        </w:rPr>
        <w:fldChar w:fldCharType="begin"/>
      </w:r>
      <w:r w:rsidRPr="007F0D27">
        <w:rPr>
          <w:rFonts w:ascii="Garamond" w:eastAsia="Garamond" w:hAnsi="Garamond"/>
          <w:color w:val="000000"/>
          <w:sz w:val="22"/>
          <w:szCs w:val="22"/>
        </w:rPr>
        <w:instrText xml:space="preserve"> ADDIN EN.CITE &lt;EndNote&gt;&lt;Cite&gt;&lt;Author&gt;Manual&lt;/Author&gt;&lt;Year&gt;2010&lt;/Year&gt;&lt;RecNum&gt;329&lt;/RecNum&gt;&lt;DisplayText&gt;(Manual and Manual 2010)&lt;/DisplayText&gt;&lt;record&gt;&lt;rec-number&gt;329&lt;/rec-number&gt;&lt;foreign-keys&gt;&lt;key app="EN" db-id="wzrve9fxlpwwp4exat5x5zsrsfw52s59pfwz" timestamp="1657714327"&gt;329&lt;/key&gt;&lt;/foreign-keys&gt;&lt;ref-type name="Book"&gt;6&lt;/ref-type&gt;&lt;contributors&gt;&lt;authors&gt;&lt;author&gt;National Research Council . Transportation Research Board. Task Force on Development of the Highway Safety Manual&lt;/author&gt;&lt;author&gt;Transportation Officials. Joint Task Force on the Highway Safety Manual&lt;/author&gt;&lt;/authors&gt;&lt;/contributors&gt;&lt;titles&gt;&lt;title&gt;Highway safety manual&lt;/title&gt;&lt;/titles&gt;&lt;volume&gt;1&lt;/volume&gt;&lt;dates&gt;&lt;year&gt;2010&lt;/year&gt;&lt;/dates&gt;&lt;publisher&gt;AASHTO&lt;/publisher&gt;&lt;isbn&gt;1560514779&lt;/isbn&gt;&lt;urls&gt;&lt;/urls&gt;&lt;/record&gt;&lt;/Cite&gt;&lt;/EndNote&gt;</w:instrText>
      </w:r>
      <w:r w:rsidRPr="007F0D27">
        <w:rPr>
          <w:rFonts w:ascii="Garamond" w:eastAsia="Garamond" w:hAnsi="Garamond"/>
          <w:color w:val="000000"/>
          <w:sz w:val="22"/>
          <w:szCs w:val="22"/>
        </w:rPr>
        <w:fldChar w:fldCharType="separate"/>
      </w:r>
      <w:r w:rsidRPr="007F0D27">
        <w:rPr>
          <w:rFonts w:ascii="Garamond" w:eastAsia="Garamond" w:hAnsi="Garamond"/>
          <w:noProof/>
          <w:color w:val="000000"/>
          <w:sz w:val="22"/>
          <w:szCs w:val="22"/>
        </w:rPr>
        <w:t>(Manual and Manual 2010)</w:t>
      </w:r>
      <w:r w:rsidRPr="007F0D27">
        <w:rPr>
          <w:rFonts w:ascii="Garamond" w:eastAsia="Garamond" w:hAnsi="Garamond"/>
          <w:color w:val="000000"/>
          <w:sz w:val="22"/>
          <w:szCs w:val="22"/>
        </w:rPr>
        <w:fldChar w:fldCharType="end"/>
      </w:r>
      <w:r w:rsidRPr="007F0D27">
        <w:rPr>
          <w:rFonts w:ascii="Garamond" w:eastAsia="Garamond" w:hAnsi="Garamond"/>
          <w:color w:val="000000"/>
          <w:sz w:val="22"/>
          <w:szCs w:val="22"/>
        </w:rPr>
        <w:t xml:space="preserve">. We selected </w:t>
      </w:r>
      <w:r w:rsidRPr="007F0D27">
        <w:rPr>
          <w:rFonts w:ascii="Garamond" w:eastAsia="Garamond" w:hAnsi="Garamond"/>
          <w:sz w:val="22"/>
          <w:szCs w:val="22"/>
        </w:rPr>
        <w:t>3 years</w:t>
      </w:r>
      <w:r w:rsidRPr="007F0D27">
        <w:rPr>
          <w:rFonts w:ascii="Garamond" w:eastAsia="Garamond" w:hAnsi="Garamond"/>
          <w:color w:val="000000"/>
          <w:sz w:val="22"/>
          <w:szCs w:val="22"/>
        </w:rPr>
        <w:t xml:space="preserve"> as the time step, meaning five </w:t>
      </w:r>
      <w:proofErr w:type="spellStart"/>
      <w:r w:rsidRPr="007F0D27">
        <w:rPr>
          <w:rFonts w:ascii="Garamond" w:eastAsia="Garamond" w:hAnsi="Garamond"/>
          <w:color w:val="000000"/>
          <w:sz w:val="22"/>
          <w:szCs w:val="22"/>
        </w:rPr>
        <w:t>Getis</w:t>
      </w:r>
      <w:proofErr w:type="spellEnd"/>
      <w:r w:rsidRPr="007F0D27">
        <w:rPr>
          <w:rFonts w:ascii="Garamond" w:eastAsia="Garamond" w:hAnsi="Garamond"/>
          <w:color w:val="000000"/>
          <w:sz w:val="22"/>
          <w:szCs w:val="22"/>
        </w:rPr>
        <w:t>-Ord Gi* results were compared in the analysis. We then</w:t>
      </w:r>
      <w:r w:rsidRPr="007F0D27">
        <w:rPr>
          <w:rFonts w:ascii="Garamond" w:eastAsia="Garamond" w:hAnsi="Garamond"/>
          <w:sz w:val="22"/>
          <w:szCs w:val="22"/>
        </w:rPr>
        <w:t xml:space="preserve"> decided on a conceptualization of spatial relationships. These parameters determined which bins should be considered as part of the same neighborhood. We conducted exploratory analyses and decided on the fixed distance band as the most appropriate for outcomes along the road network. A fixed distance band conceptualization means that we determine the sphere of influence or the area in which features are geographically related (the neighborhood). We selected this to evaluate statistical properties at a fixed spatial scale. In this conceptualization, neighboring bins within the distance threshold influence computations on the bin, whereas bins outside the distance do not have an influence on a bin’s computations. </w:t>
      </w:r>
      <w:r w:rsidRPr="007F0D27">
        <w:rPr>
          <w:rFonts w:ascii="Garamond" w:eastAsia="Garamond" w:hAnsi="Garamond"/>
          <w:i/>
          <w:sz w:val="22"/>
          <w:szCs w:val="22"/>
        </w:rPr>
        <w:t xml:space="preserve">Figure 2 </w:t>
      </w:r>
      <w:r w:rsidRPr="007F0D27">
        <w:rPr>
          <w:rFonts w:ascii="Garamond" w:eastAsia="Garamond" w:hAnsi="Garamond"/>
          <w:sz w:val="22"/>
          <w:szCs w:val="22"/>
        </w:rPr>
        <w:t xml:space="preserve">demonstrates the concept of a space-time cube (including the geographic components of latitude and longitude and the time component). Labels are provided for bins (in our case two km x two km bins) and neighborhoods (the area in which features are related). </w:t>
      </w:r>
    </w:p>
    <w:p w14:paraId="27C789A7" w14:textId="77777777" w:rsidR="00316475" w:rsidRPr="007F0D27" w:rsidRDefault="00316475" w:rsidP="00227103">
      <w:pPr>
        <w:pStyle w:val="Body"/>
        <w:rPr>
          <w:rFonts w:ascii="Garamond" w:eastAsia="Garamond" w:hAnsi="Garamond"/>
          <w:sz w:val="22"/>
          <w:szCs w:val="22"/>
        </w:rPr>
      </w:pPr>
    </w:p>
    <w:p w14:paraId="0188E83C" w14:textId="77777777" w:rsidR="00316475" w:rsidRPr="007F0D27" w:rsidRDefault="00316475" w:rsidP="00316475">
      <w:pPr>
        <w:pStyle w:val="Body"/>
        <w:rPr>
          <w:rFonts w:ascii="Garamond" w:eastAsia="Garamond" w:hAnsi="Garamond"/>
          <w:i/>
          <w:sz w:val="22"/>
          <w:szCs w:val="22"/>
        </w:rPr>
      </w:pPr>
      <w:r w:rsidRPr="007F0D27">
        <w:rPr>
          <w:rFonts w:ascii="Garamond" w:eastAsia="Garamond" w:hAnsi="Garamond"/>
          <w:i/>
          <w:sz w:val="22"/>
          <w:szCs w:val="22"/>
        </w:rPr>
        <w:t xml:space="preserve">Figure 2 Space-time cube visualization, adapted from ESRI </w:t>
      </w:r>
      <w:r w:rsidRPr="007F0D27">
        <w:rPr>
          <w:rFonts w:ascii="Garamond" w:eastAsia="Garamond" w:hAnsi="Garamond"/>
          <w:i/>
          <w:sz w:val="22"/>
          <w:szCs w:val="22"/>
        </w:rPr>
        <w:fldChar w:fldCharType="begin"/>
      </w:r>
      <w:r w:rsidRPr="007F0D27">
        <w:rPr>
          <w:rFonts w:ascii="Garamond" w:eastAsia="Garamond" w:hAnsi="Garamond"/>
          <w:i/>
          <w:sz w:val="22"/>
          <w:szCs w:val="22"/>
        </w:rPr>
        <w:instrText xml:space="preserve"> ADDIN EN.CITE &lt;EndNote&gt;&lt;Cite&gt;&lt;Author&gt;ESRI&lt;/Author&gt;&lt;RecNum&gt;753&lt;/RecNum&gt;&lt;DisplayText&gt;(ESRI)&lt;/DisplayText&gt;&lt;record&gt;&lt;rec-number&gt;753&lt;/rec-number&gt;&lt;foreign-keys&gt;&lt;key app="EN" db-id="wzrve9fxlpwwp4exat5x5zsrsfw52s59pfwz" timestamp="1685352456"&gt;753&lt;/key&gt;&lt;/foreign-keys&gt;&lt;ref-type name="Journal Article"&gt;17&lt;/ref-type&gt;&lt;contributors&gt;&lt;authors&gt;&lt;author&gt;ESRI&lt;/author&gt;&lt;/authors&gt;&lt;/contributors&gt;&lt;titles&gt;&lt;title&gt;How Create Space Time Cube works&lt;/title&gt;&lt;/titles&gt;&lt;dates&gt;&lt;/dates&gt;&lt;urls&gt;&lt;related-urls&gt;&lt;url&gt;https://pro.arcgis.com/en/pro-app/latest/tool-reference/space-time-pattern-mining/learnmorecreatecube.htm&lt;/url&gt;&lt;/related-urls&gt;&lt;/urls&gt;&lt;/record&gt;&lt;/Cite&gt;&lt;/EndNote&gt;</w:instrText>
      </w:r>
      <w:r w:rsidRPr="007F0D27">
        <w:rPr>
          <w:rFonts w:ascii="Garamond" w:eastAsia="Garamond" w:hAnsi="Garamond"/>
          <w:i/>
          <w:sz w:val="22"/>
          <w:szCs w:val="22"/>
        </w:rPr>
        <w:fldChar w:fldCharType="separate"/>
      </w:r>
      <w:r w:rsidRPr="007F0D27">
        <w:rPr>
          <w:rFonts w:ascii="Garamond" w:eastAsia="Garamond" w:hAnsi="Garamond"/>
          <w:i/>
          <w:noProof/>
          <w:sz w:val="22"/>
          <w:szCs w:val="22"/>
        </w:rPr>
        <w:t>(ESRI)</w:t>
      </w:r>
      <w:r w:rsidRPr="007F0D27">
        <w:rPr>
          <w:rFonts w:ascii="Garamond" w:eastAsia="Garamond" w:hAnsi="Garamond"/>
          <w:i/>
          <w:sz w:val="22"/>
          <w:szCs w:val="22"/>
        </w:rPr>
        <w:fldChar w:fldCharType="end"/>
      </w:r>
    </w:p>
    <w:p w14:paraId="7C41EEC8" w14:textId="77777777" w:rsidR="00316475" w:rsidRPr="007F0D27" w:rsidRDefault="00316475" w:rsidP="00316475">
      <w:pPr>
        <w:pStyle w:val="Body"/>
        <w:rPr>
          <w:rFonts w:ascii="Garamond" w:eastAsia="Garamond" w:hAnsi="Garamond"/>
          <w:i/>
          <w:sz w:val="22"/>
          <w:szCs w:val="22"/>
        </w:rPr>
      </w:pPr>
      <w:r w:rsidRPr="007F0D27">
        <w:rPr>
          <w:rFonts w:ascii="Garamond" w:eastAsia="Garamond" w:hAnsi="Garamond"/>
          <w:i/>
          <w:noProof/>
          <w:sz w:val="22"/>
          <w:szCs w:val="22"/>
        </w:rPr>
        <w:lastRenderedPageBreak/>
        <w:drawing>
          <wp:anchor distT="0" distB="0" distL="114300" distR="114300" simplePos="0" relativeHeight="251659264" behindDoc="0" locked="0" layoutInCell="1" allowOverlap="1" wp14:anchorId="08725636" wp14:editId="256215AF">
            <wp:simplePos x="0" y="0"/>
            <wp:positionH relativeFrom="column">
              <wp:posOffset>0</wp:posOffset>
            </wp:positionH>
            <wp:positionV relativeFrom="paragraph">
              <wp:posOffset>3175</wp:posOffset>
            </wp:positionV>
            <wp:extent cx="2625505" cy="3269285"/>
            <wp:effectExtent l="0" t="0" r="0" b="7620"/>
            <wp:wrapTopAndBottom/>
            <wp:docPr id="217612187" name="Slika 2" descr="Slika koja sadrži tekst, snimak ekrana, grafički dizajn, dizaj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612187" name="Slika 2" descr="Slika koja sadrži tekst, snimak ekrana, grafički dizajn, dizajn&#10;&#10;Opis je automatski generira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25505" cy="3269285"/>
                    </a:xfrm>
                    <a:prstGeom prst="rect">
                      <a:avLst/>
                    </a:prstGeom>
                    <a:noFill/>
                  </pic:spPr>
                </pic:pic>
              </a:graphicData>
            </a:graphic>
          </wp:anchor>
        </w:drawing>
      </w:r>
    </w:p>
    <w:p w14:paraId="39D8F773" w14:textId="77777777" w:rsidR="00316475" w:rsidRPr="007F0D27" w:rsidRDefault="00316475" w:rsidP="00227103">
      <w:pPr>
        <w:pStyle w:val="Body"/>
        <w:rPr>
          <w:rFonts w:ascii="Garamond" w:eastAsia="Garamond" w:hAnsi="Garamond"/>
          <w:sz w:val="22"/>
          <w:szCs w:val="22"/>
        </w:rPr>
      </w:pPr>
    </w:p>
    <w:p w14:paraId="1CD05EAE" w14:textId="77777777" w:rsidR="00316475" w:rsidRPr="007F0D27" w:rsidRDefault="00316475" w:rsidP="00316475">
      <w:pPr>
        <w:pStyle w:val="Body"/>
        <w:rPr>
          <w:rFonts w:ascii="Garamond" w:eastAsia="Garamond" w:hAnsi="Garamond"/>
          <w:sz w:val="22"/>
          <w:szCs w:val="22"/>
        </w:rPr>
      </w:pPr>
      <w:r w:rsidRPr="007F0D27">
        <w:rPr>
          <w:rFonts w:ascii="Garamond" w:eastAsia="Garamond" w:hAnsi="Garamond"/>
          <w:sz w:val="22"/>
          <w:szCs w:val="22"/>
        </w:rPr>
        <w:t>To determine the most appropriate distance, we used the methods nearest neighbor analysis and an incremental spatial autocorrelation, for every three years for both urban and rural areas. Results indicated that the average 8-neighbor distance, recommended as a minimum for spatial analysis, was about five km for rural and two km for urban areas, with minor variations in the periods. The Global Moran’s I result indicated that significant spatial autocorrelation began at about 500 meters (</w:t>
      </w:r>
      <w:r w:rsidRPr="007F0D27">
        <w:rPr>
          <w:rFonts w:ascii="Garamond" w:eastAsia="Garamond" w:hAnsi="Garamond"/>
          <w:i/>
          <w:sz w:val="22"/>
          <w:szCs w:val="22"/>
        </w:rPr>
        <w:t>Supplementary Materials).</w:t>
      </w:r>
      <w:sdt>
        <w:sdtPr>
          <w:rPr>
            <w:rFonts w:ascii="Garamond" w:hAnsi="Garamond"/>
            <w:sz w:val="22"/>
            <w:szCs w:val="22"/>
          </w:rPr>
          <w:tag w:val="goog_rdk_31"/>
          <w:id w:val="1494523512"/>
        </w:sdtPr>
        <w:sdtContent/>
      </w:sdt>
      <w:r w:rsidRPr="007F0D27">
        <w:rPr>
          <w:rFonts w:ascii="Garamond" w:eastAsia="Garamond" w:hAnsi="Garamond"/>
          <w:sz w:val="22"/>
          <w:szCs w:val="22"/>
        </w:rPr>
        <w:t xml:space="preserve"> We selected two km as the distance for urban areas and eight km as the distance for rural areas. According to </w:t>
      </w:r>
      <w:sdt>
        <w:sdtPr>
          <w:rPr>
            <w:rFonts w:ascii="Garamond" w:hAnsi="Garamond"/>
            <w:sz w:val="22"/>
            <w:szCs w:val="22"/>
          </w:rPr>
          <w:tag w:val="goog_rdk_32"/>
          <w:id w:val="-960653109"/>
        </w:sdtPr>
        <w:sdtContent/>
      </w:sdt>
      <w:r w:rsidRPr="007F0D27">
        <w:rPr>
          <w:rFonts w:ascii="Garamond" w:hAnsi="Garamond"/>
          <w:sz w:val="22"/>
          <w:szCs w:val="22"/>
        </w:rPr>
        <w:t xml:space="preserve">geospatial </w:t>
      </w:r>
      <w:r w:rsidRPr="007F0D27">
        <w:rPr>
          <w:rFonts w:ascii="Garamond" w:eastAsia="Garamond" w:hAnsi="Garamond"/>
          <w:sz w:val="22"/>
          <w:szCs w:val="22"/>
        </w:rPr>
        <w:t xml:space="preserve">experts, selecting an appropriate neighborhood based on subjective judgment from a range of density surfaces is appropriate </w:t>
      </w:r>
      <w:r w:rsidRPr="007F0D27">
        <w:rPr>
          <w:rFonts w:ascii="Garamond" w:eastAsia="Garamond" w:hAnsi="Garamond"/>
          <w:sz w:val="22"/>
          <w:szCs w:val="22"/>
        </w:rPr>
        <w:fldChar w:fldCharType="begin"/>
      </w:r>
      <w:r w:rsidRPr="007F0D27">
        <w:rPr>
          <w:rFonts w:ascii="Garamond" w:eastAsia="Garamond" w:hAnsi="Garamond"/>
          <w:sz w:val="22"/>
          <w:szCs w:val="22"/>
        </w:rPr>
        <w:instrText xml:space="preserve"> ADDIN EN.CITE &lt;EndNote&gt;&lt;Cite&gt;&lt;Author&gt;Atkinson&lt;/Author&gt;&lt;Year&gt;2002&lt;/Year&gt;&lt;RecNum&gt;562&lt;/RecNum&gt;&lt;DisplayText&gt;(Atkinson and Unwin 2002, Brimicombe 2009)&lt;/DisplayText&gt;&lt;record&gt;&lt;rec-number&gt;562&lt;/rec-number&gt;&lt;foreign-keys&gt;&lt;key app="EN" db-id="wzrve9fxlpwwp4exat5x5zsrsfw52s59pfwz" timestamp="1676626417"&gt;562&lt;/key&gt;&lt;/foreign-keys&gt;&lt;ref-type name="Journal Article"&gt;17&lt;/ref-type&gt;&lt;contributors&gt;&lt;authors&gt;&lt;author&gt;Atkinson, PJ&lt;/author&gt;&lt;author&gt;Unwin, DJ&lt;/author&gt;&lt;/authors&gt;&lt;/contributors&gt;&lt;titles&gt;&lt;title&gt;Density and local attribute estimation of an infectious disease using MapInfo&lt;/title&gt;&lt;secondary-title&gt;Computers &amp;amp; geosciences&lt;/secondary-title&gt;&lt;/titles&gt;&lt;periodical&gt;&lt;full-title&gt;Computers &amp;amp; geosciences&lt;/full-title&gt;&lt;/periodical&gt;&lt;pages&gt;1095-1105&lt;/pages&gt;&lt;volume&gt;28&lt;/volume&gt;&lt;number&gt;9&lt;/number&gt;&lt;dates&gt;&lt;year&gt;2002&lt;/year&gt;&lt;/dates&gt;&lt;isbn&gt;0098-3004&lt;/isbn&gt;&lt;urls&gt;&lt;/urls&gt;&lt;/record&gt;&lt;/Cite&gt;&lt;Cite&gt;&lt;Author&gt;Brimicombe&lt;/Author&gt;&lt;Year&gt;2009&lt;/Year&gt;&lt;RecNum&gt;754&lt;/RecNum&gt;&lt;record&gt;&lt;rec-number&gt;754&lt;/rec-number&gt;&lt;foreign-keys&gt;&lt;key app="EN" db-id="wzrve9fxlpwwp4exat5x5zsrsfw52s59pfwz" timestamp="1685352597"&gt;754&lt;/key&gt;&lt;/foreign-keys&gt;&lt;ref-type name="Book"&gt;6&lt;/ref-type&gt;&lt;contributors&gt;&lt;authors&gt;&lt;author&gt;Brimicombe, Allan&lt;/author&gt;&lt;/authors&gt;&lt;/contributors&gt;&lt;titles&gt;&lt;title&gt;GIS, environmental modeling and engineering&lt;/title&gt;&lt;/titles&gt;&lt;dates&gt;&lt;year&gt;2009&lt;/year&gt;&lt;/dates&gt;&lt;publisher&gt;CRC Press&lt;/publisher&gt;&lt;isbn&gt;1439808724&lt;/isbn&gt;&lt;urls&gt;&lt;/urls&gt;&lt;/record&gt;&lt;/Cite&gt;&lt;/EndNote&gt;</w:instrText>
      </w:r>
      <w:r w:rsidRPr="007F0D27">
        <w:rPr>
          <w:rFonts w:ascii="Garamond" w:eastAsia="Garamond" w:hAnsi="Garamond"/>
          <w:sz w:val="22"/>
          <w:szCs w:val="22"/>
        </w:rPr>
        <w:fldChar w:fldCharType="separate"/>
      </w:r>
      <w:r w:rsidRPr="007F0D27">
        <w:rPr>
          <w:rFonts w:ascii="Garamond" w:eastAsia="Garamond" w:hAnsi="Garamond"/>
          <w:noProof/>
          <w:sz w:val="22"/>
          <w:szCs w:val="22"/>
        </w:rPr>
        <w:t>(Atkinson and Unwin 2002, Brimicombe 2009)</w:t>
      </w:r>
      <w:r w:rsidRPr="007F0D27">
        <w:rPr>
          <w:rFonts w:ascii="Garamond" w:eastAsia="Garamond" w:hAnsi="Garamond"/>
          <w:sz w:val="22"/>
          <w:szCs w:val="22"/>
        </w:rPr>
        <w:fldChar w:fldCharType="end"/>
      </w:r>
      <w:r w:rsidRPr="007F0D27">
        <w:rPr>
          <w:rFonts w:ascii="Garamond" w:eastAsia="Garamond" w:hAnsi="Garamond"/>
          <w:sz w:val="22"/>
          <w:szCs w:val="22"/>
        </w:rPr>
        <w:t>. Experts also note that such decisions should be related to context of the study (i.e., relevant for road safety in Ghana)</w:t>
      </w:r>
      <w:r w:rsidRPr="007F0D27">
        <w:rPr>
          <w:rFonts w:ascii="Garamond" w:eastAsia="Garamond" w:hAnsi="Garamond"/>
          <w:sz w:val="22"/>
          <w:szCs w:val="22"/>
        </w:rPr>
        <w:fldChar w:fldCharType="begin"/>
      </w:r>
      <w:r w:rsidRPr="007F0D27">
        <w:rPr>
          <w:rFonts w:ascii="Garamond" w:eastAsia="Garamond" w:hAnsi="Garamond"/>
          <w:sz w:val="22"/>
          <w:szCs w:val="22"/>
        </w:rPr>
        <w:instrText xml:space="preserve"> ADDIN EN.CITE &lt;EndNote&gt;&lt;Cite&gt;&lt;Author&gt;Brimicombe&lt;/Author&gt;&lt;Year&gt;2009&lt;/Year&gt;&lt;RecNum&gt;754&lt;/RecNum&gt;&lt;DisplayText&gt;(Brimicombe 2009)&lt;/DisplayText&gt;&lt;record&gt;&lt;rec-number&gt;754&lt;/rec-number&gt;&lt;foreign-keys&gt;&lt;key app="EN" db-id="wzrve9fxlpwwp4exat5x5zsrsfw52s59pfwz" timestamp="1685352597"&gt;754&lt;/key&gt;&lt;/foreign-keys&gt;&lt;ref-type name="Book"&gt;6&lt;/ref-type&gt;&lt;contributors&gt;&lt;authors&gt;&lt;author&gt;Brimicombe, Allan&lt;/author&gt;&lt;/authors&gt;&lt;/contributors&gt;&lt;titles&gt;&lt;title&gt;GIS, environmental modeling and engineering&lt;/title&gt;&lt;/titles&gt;&lt;dates&gt;&lt;year&gt;2009&lt;/year&gt;&lt;/dates&gt;&lt;publisher&gt;CRC Press&lt;/publisher&gt;&lt;isbn&gt;1439808724&lt;/isbn&gt;&lt;urls&gt;&lt;/urls&gt;&lt;/record&gt;&lt;/Cite&gt;&lt;/EndNote&gt;</w:instrText>
      </w:r>
      <w:r w:rsidRPr="007F0D27">
        <w:rPr>
          <w:rFonts w:ascii="Garamond" w:eastAsia="Garamond" w:hAnsi="Garamond"/>
          <w:sz w:val="22"/>
          <w:szCs w:val="22"/>
        </w:rPr>
        <w:fldChar w:fldCharType="separate"/>
      </w:r>
      <w:r w:rsidRPr="007F0D27">
        <w:rPr>
          <w:rFonts w:ascii="Garamond" w:eastAsia="Garamond" w:hAnsi="Garamond"/>
          <w:noProof/>
          <w:sz w:val="22"/>
          <w:szCs w:val="22"/>
        </w:rPr>
        <w:t>(Brimicombe 2009)</w:t>
      </w:r>
      <w:r w:rsidRPr="007F0D27">
        <w:rPr>
          <w:rFonts w:ascii="Garamond" w:eastAsia="Garamond" w:hAnsi="Garamond"/>
          <w:sz w:val="22"/>
          <w:szCs w:val="22"/>
        </w:rPr>
        <w:fldChar w:fldCharType="end"/>
      </w:r>
    </w:p>
    <w:p w14:paraId="00CCF755" w14:textId="77777777" w:rsidR="00316475" w:rsidRPr="007F0D27" w:rsidRDefault="00316475" w:rsidP="00316475">
      <w:pPr>
        <w:pStyle w:val="Body"/>
        <w:rPr>
          <w:rFonts w:ascii="Garamond" w:eastAsia="Garamond" w:hAnsi="Garamond"/>
          <w:sz w:val="22"/>
          <w:szCs w:val="22"/>
        </w:rPr>
      </w:pPr>
      <w:r w:rsidRPr="007F0D27">
        <w:rPr>
          <w:rFonts w:ascii="Garamond" w:eastAsia="Garamond" w:hAnsi="Garamond"/>
          <w:sz w:val="22"/>
          <w:szCs w:val="22"/>
        </w:rPr>
        <w:tab/>
        <w:t>Although there were some variations in the results based on neighborhood distances (i.e., mor</w:t>
      </w:r>
      <w:sdt>
        <w:sdtPr>
          <w:rPr>
            <w:rFonts w:ascii="Garamond" w:hAnsi="Garamond"/>
            <w:sz w:val="22"/>
            <w:szCs w:val="22"/>
          </w:rPr>
          <w:tag w:val="goog_rdk_34"/>
          <w:id w:val="-1572498428"/>
        </w:sdtPr>
        <w:sdtContent/>
      </w:sdt>
      <w:r w:rsidRPr="007F0D27">
        <w:rPr>
          <w:rFonts w:ascii="Garamond" w:eastAsia="Garamond" w:hAnsi="Garamond"/>
          <w:sz w:val="22"/>
          <w:szCs w:val="22"/>
        </w:rPr>
        <w:t xml:space="preserve">e or fewer types of outcomes), trends of clusters were consistent. For the third parameter, polygon analysis mask, we implemented a stratified analysis as most MVCs took place in dense, urban areas, whereas we sought to understand spatiotemporal associations in both urban and rural areas. Thus, we compared urban bins to urban bins and rural bins to rural bins with differing distance thresholds. </w:t>
      </w:r>
    </w:p>
    <w:p w14:paraId="1600191E" w14:textId="77777777" w:rsidR="00316475" w:rsidRPr="007F0D27" w:rsidRDefault="00316475" w:rsidP="00227103">
      <w:pPr>
        <w:pStyle w:val="Body"/>
        <w:rPr>
          <w:rFonts w:ascii="Garamond" w:eastAsia="Garamond" w:hAnsi="Garamond"/>
          <w:color w:val="000000"/>
          <w:sz w:val="22"/>
          <w:szCs w:val="22"/>
        </w:rPr>
      </w:pPr>
    </w:p>
    <w:p w14:paraId="1B629C32" w14:textId="458371C4" w:rsidR="00227103" w:rsidRPr="007F0D27" w:rsidRDefault="00227103">
      <w:pPr>
        <w:spacing w:after="160" w:line="259" w:lineRule="auto"/>
        <w:rPr>
          <w:rFonts w:ascii="Garamond" w:hAnsi="Garamond"/>
          <w:sz w:val="22"/>
          <w:szCs w:val="22"/>
          <w:u w:val="single"/>
        </w:rPr>
      </w:pPr>
      <w:r w:rsidRPr="007F0D27">
        <w:rPr>
          <w:rFonts w:ascii="Garamond" w:hAnsi="Garamond"/>
          <w:sz w:val="22"/>
          <w:szCs w:val="22"/>
          <w:u w:val="single"/>
        </w:rPr>
        <w:br w:type="page"/>
      </w:r>
    </w:p>
    <w:p w14:paraId="7981C5F7" w14:textId="48AFCD45" w:rsidR="00163EF1" w:rsidRPr="007F0D27" w:rsidRDefault="00163EF1" w:rsidP="00163EF1">
      <w:pPr>
        <w:pStyle w:val="CenteredNormal"/>
        <w:rPr>
          <w:rFonts w:ascii="Garamond" w:hAnsi="Garamond"/>
          <w:sz w:val="22"/>
          <w:szCs w:val="22"/>
          <w:u w:val="single"/>
        </w:rPr>
      </w:pPr>
      <w:r w:rsidRPr="007F0D27">
        <w:rPr>
          <w:rFonts w:ascii="Garamond" w:hAnsi="Garamond"/>
          <w:sz w:val="22"/>
          <w:szCs w:val="22"/>
          <w:u w:val="single"/>
        </w:rPr>
        <w:lastRenderedPageBreak/>
        <w:t xml:space="preserve">Outcome definitions for emerging hot spot analysis tool in ArcGIS Pro </w:t>
      </w:r>
    </w:p>
    <w:p w14:paraId="0294837B" w14:textId="44F61FCA" w:rsidR="00163EF1" w:rsidRPr="007F0D27" w:rsidRDefault="00163EF1" w:rsidP="00163EF1">
      <w:pPr>
        <w:pStyle w:val="CenteredNormal"/>
        <w:spacing w:line="480" w:lineRule="auto"/>
        <w:jc w:val="left"/>
        <w:rPr>
          <w:rFonts w:ascii="Garamond" w:hAnsi="Garamond"/>
          <w:sz w:val="22"/>
          <w:szCs w:val="22"/>
        </w:rPr>
      </w:pPr>
      <w:r w:rsidRPr="007F0D27">
        <w:rPr>
          <w:rFonts w:ascii="Garamond" w:hAnsi="Garamond"/>
          <w:sz w:val="22"/>
          <w:szCs w:val="22"/>
        </w:rPr>
        <w:t>In the following table, we present the pre-defined pattern types and definitions for the emerging hot spot analysis tool in ArcGIS Pro</w:t>
      </w:r>
      <w:r w:rsidRPr="007F0D27">
        <w:rPr>
          <w:rFonts w:ascii="Garamond" w:eastAsia="Garamond" w:hAnsi="Garamond"/>
          <w:b/>
          <w:bCs/>
          <w:sz w:val="22"/>
          <w:szCs w:val="22"/>
        </w:rPr>
        <w:t xml:space="preserve"> </w:t>
      </w:r>
      <w:r w:rsidRPr="007F0D27">
        <w:rPr>
          <w:rFonts w:ascii="Garamond" w:eastAsia="Garamond" w:hAnsi="Garamond"/>
          <w:noProof/>
          <w:sz w:val="22"/>
          <w:szCs w:val="22"/>
        </w:rPr>
        <w:t>(198)</w:t>
      </w:r>
      <w:r w:rsidRPr="007F0D27">
        <w:rPr>
          <w:rFonts w:ascii="Garamond" w:eastAsia="Garamond" w:hAnsi="Garamond"/>
          <w:sz w:val="22"/>
          <w:szCs w:val="22"/>
        </w:rPr>
        <w:t>.</w:t>
      </w:r>
      <w:r w:rsidRPr="007F0D27">
        <w:rPr>
          <w:rFonts w:ascii="Garamond" w:eastAsia="Garamond" w:hAnsi="Garamond"/>
          <w:b/>
          <w:bCs/>
          <w:sz w:val="22"/>
          <w:szCs w:val="22"/>
        </w:rPr>
        <w:t xml:space="preserve"> </w:t>
      </w:r>
    </w:p>
    <w:tbl>
      <w:tblPr>
        <w:tblW w:w="9016"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6681"/>
      </w:tblGrid>
      <w:tr w:rsidR="00163EF1" w:rsidRPr="007F0D27" w14:paraId="4883C7CF" w14:textId="77777777" w:rsidTr="00375551">
        <w:tc>
          <w:tcPr>
            <w:tcW w:w="2335" w:type="dxa"/>
            <w:shd w:val="clear" w:color="auto" w:fill="E7E6E6"/>
          </w:tcPr>
          <w:p w14:paraId="1684A4C8" w14:textId="77777777" w:rsidR="00163EF1" w:rsidRPr="007F0D27" w:rsidRDefault="00163EF1" w:rsidP="00375551">
            <w:pPr>
              <w:spacing w:line="480" w:lineRule="auto"/>
              <w:jc w:val="center"/>
              <w:rPr>
                <w:rFonts w:ascii="Garamond" w:eastAsia="Garamond" w:hAnsi="Garamond"/>
                <w:b/>
                <w:bCs/>
                <w:sz w:val="22"/>
                <w:szCs w:val="22"/>
              </w:rPr>
            </w:pPr>
            <w:r w:rsidRPr="007F0D27">
              <w:rPr>
                <w:rFonts w:ascii="Garamond" w:eastAsia="Garamond" w:hAnsi="Garamond"/>
                <w:b/>
                <w:bCs/>
                <w:sz w:val="22"/>
                <w:szCs w:val="22"/>
              </w:rPr>
              <w:t>Pattern type</w:t>
            </w:r>
          </w:p>
        </w:tc>
        <w:tc>
          <w:tcPr>
            <w:tcW w:w="6681" w:type="dxa"/>
            <w:shd w:val="clear" w:color="auto" w:fill="E7E6E6"/>
          </w:tcPr>
          <w:p w14:paraId="79B24EBE" w14:textId="77777777" w:rsidR="00163EF1" w:rsidRPr="007F0D27" w:rsidRDefault="00163EF1" w:rsidP="00375551">
            <w:pPr>
              <w:spacing w:line="480" w:lineRule="auto"/>
              <w:jc w:val="center"/>
              <w:rPr>
                <w:rFonts w:ascii="Garamond" w:eastAsia="Garamond" w:hAnsi="Garamond"/>
                <w:b/>
                <w:bCs/>
                <w:sz w:val="22"/>
                <w:szCs w:val="22"/>
              </w:rPr>
            </w:pPr>
            <w:r w:rsidRPr="007F0D27">
              <w:rPr>
                <w:rFonts w:ascii="Garamond" w:eastAsia="Garamond" w:hAnsi="Garamond"/>
                <w:b/>
                <w:bCs/>
                <w:sz w:val="22"/>
                <w:szCs w:val="22"/>
              </w:rPr>
              <w:t>Definition</w:t>
            </w:r>
          </w:p>
        </w:tc>
      </w:tr>
      <w:tr w:rsidR="00163EF1" w:rsidRPr="007F0D27" w14:paraId="78F093A9" w14:textId="77777777" w:rsidTr="00375551">
        <w:tc>
          <w:tcPr>
            <w:tcW w:w="2335" w:type="dxa"/>
          </w:tcPr>
          <w:p w14:paraId="0295228D"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New hotspot </w:t>
            </w:r>
          </w:p>
        </w:tc>
        <w:tc>
          <w:tcPr>
            <w:tcW w:w="6681" w:type="dxa"/>
          </w:tcPr>
          <w:p w14:paraId="2E5B203D"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is a statistically significant hotspot for the final time step and has never been a statistically significant hotspot before.</w:t>
            </w:r>
          </w:p>
        </w:tc>
      </w:tr>
      <w:tr w:rsidR="00163EF1" w:rsidRPr="007F0D27" w14:paraId="5FA0F1EC" w14:textId="77777777" w:rsidTr="00375551">
        <w:tc>
          <w:tcPr>
            <w:tcW w:w="2335" w:type="dxa"/>
          </w:tcPr>
          <w:p w14:paraId="405DA086"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Consecutive hotspot</w:t>
            </w:r>
          </w:p>
        </w:tc>
        <w:tc>
          <w:tcPr>
            <w:tcW w:w="6681" w:type="dxa"/>
          </w:tcPr>
          <w:p w14:paraId="62E3FE55"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with a single uninterrupted run of at least two statistically significant hotspot bins in the final time-step intervals. The location has never been a statistically significant hotspot prior to the final hotspot run and less than 90 percent of all bins are statistically significant hotspots.</w:t>
            </w:r>
          </w:p>
        </w:tc>
      </w:tr>
      <w:tr w:rsidR="00163EF1" w:rsidRPr="007F0D27" w14:paraId="11C5F494" w14:textId="77777777" w:rsidTr="00375551">
        <w:tc>
          <w:tcPr>
            <w:tcW w:w="2335" w:type="dxa"/>
          </w:tcPr>
          <w:p w14:paraId="3C6DCBEB"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Intensifying hotspot </w:t>
            </w:r>
          </w:p>
        </w:tc>
        <w:tc>
          <w:tcPr>
            <w:tcW w:w="6681" w:type="dxa"/>
          </w:tcPr>
          <w:p w14:paraId="5B34C066"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hotspot for 90 percent of the time-step intervals, including the final time step. In addition, the intensity of clustering of high counts in each time step is increasing overall and that increase is statistically significant.</w:t>
            </w:r>
          </w:p>
        </w:tc>
      </w:tr>
      <w:tr w:rsidR="00163EF1" w:rsidRPr="007F0D27" w14:paraId="11668201" w14:textId="77777777" w:rsidTr="00375551">
        <w:tc>
          <w:tcPr>
            <w:tcW w:w="2335" w:type="dxa"/>
          </w:tcPr>
          <w:p w14:paraId="72449E57"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Persistent hotspot</w:t>
            </w:r>
          </w:p>
        </w:tc>
        <w:tc>
          <w:tcPr>
            <w:tcW w:w="6681" w:type="dxa"/>
          </w:tcPr>
          <w:p w14:paraId="4D7B61DF"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hotspot for 90 percent of the time-step intervals with no discernible trend in the intensity of clustering over time.</w:t>
            </w:r>
          </w:p>
        </w:tc>
      </w:tr>
      <w:tr w:rsidR="00163EF1" w:rsidRPr="007F0D27" w14:paraId="07E6B544" w14:textId="77777777" w:rsidTr="00375551">
        <w:tc>
          <w:tcPr>
            <w:tcW w:w="2335" w:type="dxa"/>
          </w:tcPr>
          <w:p w14:paraId="2496199C"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Diminishing hotspot </w:t>
            </w:r>
          </w:p>
        </w:tc>
        <w:tc>
          <w:tcPr>
            <w:tcW w:w="6681" w:type="dxa"/>
          </w:tcPr>
          <w:p w14:paraId="2D6146D2"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hotspot for 90 percent of the time-step intervals, including the final time step. In addition, the intensity of clustering in each time step is decreasing overall and that decrease is statistically significant.</w:t>
            </w:r>
          </w:p>
        </w:tc>
      </w:tr>
      <w:tr w:rsidR="00163EF1" w:rsidRPr="007F0D27" w14:paraId="4CC256D8" w14:textId="77777777" w:rsidTr="00375551">
        <w:tc>
          <w:tcPr>
            <w:tcW w:w="2335" w:type="dxa"/>
          </w:tcPr>
          <w:p w14:paraId="38C4B66A"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Sporadic hotspot</w:t>
            </w:r>
          </w:p>
        </w:tc>
        <w:tc>
          <w:tcPr>
            <w:tcW w:w="6681" w:type="dxa"/>
          </w:tcPr>
          <w:p w14:paraId="6D96C9A3"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statistically significant hotspot for the final time-step interval with a history of also being an on-again and off-again hotspot. Less than 90 percent of the time-step intervals have been statistically significant hotspots and none of the time-step intervals have been statistically significant cold spots</w:t>
            </w:r>
          </w:p>
        </w:tc>
      </w:tr>
      <w:tr w:rsidR="00163EF1" w:rsidRPr="007F0D27" w14:paraId="42212EF6" w14:textId="77777777" w:rsidTr="00375551">
        <w:tc>
          <w:tcPr>
            <w:tcW w:w="2335" w:type="dxa"/>
          </w:tcPr>
          <w:p w14:paraId="568A7435"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Oscillating hotspot</w:t>
            </w:r>
          </w:p>
        </w:tc>
        <w:tc>
          <w:tcPr>
            <w:tcW w:w="6681" w:type="dxa"/>
          </w:tcPr>
          <w:p w14:paraId="189909FF"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statistically significant hotspot for the final time-step interval that has a history of also being a statistically significant cold spot during a prior time step. Less than 90 percent of the time-step intervals have been statistically significant hotspots.</w:t>
            </w:r>
          </w:p>
        </w:tc>
      </w:tr>
      <w:tr w:rsidR="00163EF1" w:rsidRPr="007F0D27" w14:paraId="37F02EC3" w14:textId="77777777" w:rsidTr="00375551">
        <w:tc>
          <w:tcPr>
            <w:tcW w:w="2335" w:type="dxa"/>
          </w:tcPr>
          <w:p w14:paraId="0E137D78"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Historical hotspot </w:t>
            </w:r>
          </w:p>
        </w:tc>
        <w:tc>
          <w:tcPr>
            <w:tcW w:w="6681" w:type="dxa"/>
          </w:tcPr>
          <w:p w14:paraId="1CC11FDD"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The most recent </w:t>
            </w:r>
            <w:proofErr w:type="gramStart"/>
            <w:r w:rsidRPr="007F0D27">
              <w:rPr>
                <w:rFonts w:ascii="Garamond" w:eastAsia="Garamond" w:hAnsi="Garamond"/>
                <w:sz w:val="22"/>
                <w:szCs w:val="22"/>
              </w:rPr>
              <w:t>time period</w:t>
            </w:r>
            <w:proofErr w:type="gramEnd"/>
            <w:r w:rsidRPr="007F0D27">
              <w:rPr>
                <w:rFonts w:ascii="Garamond" w:eastAsia="Garamond" w:hAnsi="Garamond"/>
                <w:sz w:val="22"/>
                <w:szCs w:val="22"/>
              </w:rPr>
              <w:t xml:space="preserve"> is not hot, but at least 90 percent of the time-step intervals have been statistically significant hotspots.</w:t>
            </w:r>
          </w:p>
        </w:tc>
      </w:tr>
      <w:tr w:rsidR="00163EF1" w:rsidRPr="007F0D27" w14:paraId="373FB1C5" w14:textId="77777777" w:rsidTr="00375551">
        <w:tc>
          <w:tcPr>
            <w:tcW w:w="2335" w:type="dxa"/>
          </w:tcPr>
          <w:p w14:paraId="143EC1A3"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New cold spot</w:t>
            </w:r>
          </w:p>
        </w:tc>
        <w:tc>
          <w:tcPr>
            <w:tcW w:w="6681" w:type="dxa"/>
          </w:tcPr>
          <w:p w14:paraId="4697590A"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is a statistically significant cold spot for the final time step and has never been a statistically significant cold spot before.</w:t>
            </w:r>
          </w:p>
        </w:tc>
      </w:tr>
      <w:tr w:rsidR="00163EF1" w:rsidRPr="007F0D27" w14:paraId="3592F4E3" w14:textId="77777777" w:rsidTr="00375551">
        <w:tc>
          <w:tcPr>
            <w:tcW w:w="2335" w:type="dxa"/>
          </w:tcPr>
          <w:p w14:paraId="2193A3F1"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Consecutive cold spot </w:t>
            </w:r>
          </w:p>
        </w:tc>
        <w:tc>
          <w:tcPr>
            <w:tcW w:w="6681" w:type="dxa"/>
          </w:tcPr>
          <w:p w14:paraId="38051211"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with a single uninterrupted run of at least two statistically significant cold spot bins in the final time-step intervals. The location has never been a statistically significant cold spot prior to the final cold spot run and less than 90 percent of all bins are statistically significant cold spots.</w:t>
            </w:r>
          </w:p>
        </w:tc>
      </w:tr>
      <w:tr w:rsidR="00163EF1" w:rsidRPr="007F0D27" w14:paraId="073B68DD" w14:textId="77777777" w:rsidTr="00375551">
        <w:tc>
          <w:tcPr>
            <w:tcW w:w="2335" w:type="dxa"/>
          </w:tcPr>
          <w:p w14:paraId="61C972B8"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Intensifying cold spot </w:t>
            </w:r>
          </w:p>
        </w:tc>
        <w:tc>
          <w:tcPr>
            <w:tcW w:w="6681" w:type="dxa"/>
          </w:tcPr>
          <w:p w14:paraId="0842D6E9"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cold spot for 90 percent of the time-step intervals, including the final time step. In addition, the intensity of clustering of low counts in each time step is increasing overall and that increase is statistically significant.</w:t>
            </w:r>
          </w:p>
        </w:tc>
      </w:tr>
      <w:tr w:rsidR="00163EF1" w:rsidRPr="007F0D27" w14:paraId="6C8882AC" w14:textId="77777777" w:rsidTr="00375551">
        <w:tc>
          <w:tcPr>
            <w:tcW w:w="2335" w:type="dxa"/>
          </w:tcPr>
          <w:p w14:paraId="0D328CF4"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Persistent cold spot </w:t>
            </w:r>
          </w:p>
        </w:tc>
        <w:tc>
          <w:tcPr>
            <w:tcW w:w="6681" w:type="dxa"/>
          </w:tcPr>
          <w:p w14:paraId="675615A0"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cold spot for 90 percent of the time-step intervals with no discernible trend in the intensity of clustering of counts over time.</w:t>
            </w:r>
          </w:p>
        </w:tc>
      </w:tr>
      <w:tr w:rsidR="00163EF1" w:rsidRPr="007F0D27" w14:paraId="675DB166" w14:textId="77777777" w:rsidTr="00375551">
        <w:tc>
          <w:tcPr>
            <w:tcW w:w="2335" w:type="dxa"/>
          </w:tcPr>
          <w:p w14:paraId="4C0A01BC"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Diminishing cold spot </w:t>
            </w:r>
          </w:p>
        </w:tc>
        <w:tc>
          <w:tcPr>
            <w:tcW w:w="6681" w:type="dxa"/>
          </w:tcPr>
          <w:p w14:paraId="36F16FE0"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location that has been a statistically significant cold spot for 90 percent of the time-step intervals, including the final time step. In addition, the intensity of clustering of low counts in each time step is decreasing overall and that decrease is statistically significant.</w:t>
            </w:r>
          </w:p>
        </w:tc>
      </w:tr>
      <w:tr w:rsidR="00163EF1" w:rsidRPr="007F0D27" w14:paraId="3EF85800" w14:textId="77777777" w:rsidTr="00375551">
        <w:tc>
          <w:tcPr>
            <w:tcW w:w="2335" w:type="dxa"/>
          </w:tcPr>
          <w:p w14:paraId="106B8BC5"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Sporadic cold spot </w:t>
            </w:r>
          </w:p>
        </w:tc>
        <w:tc>
          <w:tcPr>
            <w:tcW w:w="6681" w:type="dxa"/>
          </w:tcPr>
          <w:p w14:paraId="08DDC5C2"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A statistically significant cold spot for the final time-step interval with a history of also being an on-again and off-again cold spot. Less than 90 </w:t>
            </w:r>
            <w:r w:rsidRPr="007F0D27">
              <w:rPr>
                <w:rFonts w:ascii="Garamond" w:eastAsia="Garamond" w:hAnsi="Garamond"/>
                <w:sz w:val="22"/>
                <w:szCs w:val="22"/>
              </w:rPr>
              <w:lastRenderedPageBreak/>
              <w:t>percent of the time-step intervals have been statistically significant cold spots and none of the time-step intervals have been statistically significant hotspots.</w:t>
            </w:r>
          </w:p>
        </w:tc>
      </w:tr>
      <w:tr w:rsidR="00163EF1" w:rsidRPr="007F0D27" w14:paraId="5E3DF134" w14:textId="77777777" w:rsidTr="00375551">
        <w:tc>
          <w:tcPr>
            <w:tcW w:w="2335" w:type="dxa"/>
          </w:tcPr>
          <w:p w14:paraId="5854DE80"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Oscillating cold spot </w:t>
            </w:r>
          </w:p>
        </w:tc>
        <w:tc>
          <w:tcPr>
            <w:tcW w:w="6681" w:type="dxa"/>
          </w:tcPr>
          <w:p w14:paraId="4AE8C0EC"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A statistically significant cold spot for the final time-step interval that has a history of also being a statistically significant hotspot during a prior time step. Less than 90 percent of the time-step intervals have been statistically significant cold spots.</w:t>
            </w:r>
          </w:p>
        </w:tc>
      </w:tr>
      <w:tr w:rsidR="00163EF1" w:rsidRPr="007F0D27" w14:paraId="70A0483C" w14:textId="77777777" w:rsidTr="00375551">
        <w:tc>
          <w:tcPr>
            <w:tcW w:w="2335" w:type="dxa"/>
          </w:tcPr>
          <w:p w14:paraId="095B3F12"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 xml:space="preserve">Historical cold spot </w:t>
            </w:r>
          </w:p>
        </w:tc>
        <w:tc>
          <w:tcPr>
            <w:tcW w:w="6681" w:type="dxa"/>
          </w:tcPr>
          <w:p w14:paraId="0C8F4D97"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The most recent time is not cold, but at least 90 percent of the time-step intervals have been statistically significant cold spots.</w:t>
            </w:r>
          </w:p>
        </w:tc>
      </w:tr>
      <w:tr w:rsidR="00163EF1" w:rsidRPr="007F0D27" w14:paraId="1E889837" w14:textId="77777777" w:rsidTr="00375551">
        <w:tc>
          <w:tcPr>
            <w:tcW w:w="2335" w:type="dxa"/>
          </w:tcPr>
          <w:p w14:paraId="50001058"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No detectable pattern</w:t>
            </w:r>
          </w:p>
        </w:tc>
        <w:tc>
          <w:tcPr>
            <w:tcW w:w="6681" w:type="dxa"/>
          </w:tcPr>
          <w:p w14:paraId="2D7FE533" w14:textId="77777777" w:rsidR="00163EF1" w:rsidRPr="007F0D27" w:rsidRDefault="00163EF1" w:rsidP="00375551">
            <w:pPr>
              <w:rPr>
                <w:rFonts w:ascii="Garamond" w:eastAsia="Garamond" w:hAnsi="Garamond"/>
                <w:sz w:val="22"/>
                <w:szCs w:val="22"/>
              </w:rPr>
            </w:pPr>
            <w:r w:rsidRPr="007F0D27">
              <w:rPr>
                <w:rFonts w:ascii="Garamond" w:eastAsia="Garamond" w:hAnsi="Garamond"/>
                <w:sz w:val="22"/>
                <w:szCs w:val="22"/>
              </w:rPr>
              <w:t>Does not fall into any of the hotspot patterns defined below.</w:t>
            </w:r>
          </w:p>
        </w:tc>
      </w:tr>
    </w:tbl>
    <w:p w14:paraId="794442C7" w14:textId="77777777" w:rsidR="00163EF1" w:rsidRPr="007F0D27" w:rsidRDefault="00163EF1" w:rsidP="00163EF1">
      <w:pPr>
        <w:pBdr>
          <w:top w:val="nil"/>
          <w:left w:val="nil"/>
          <w:bottom w:val="nil"/>
          <w:right w:val="nil"/>
          <w:between w:val="nil"/>
        </w:pBdr>
        <w:spacing w:line="480" w:lineRule="auto"/>
        <w:rPr>
          <w:rFonts w:ascii="Garamond" w:eastAsia="Garamond" w:hAnsi="Garamond"/>
          <w:b/>
          <w:color w:val="000000"/>
          <w:sz w:val="22"/>
          <w:szCs w:val="22"/>
        </w:rPr>
      </w:pPr>
    </w:p>
    <w:p w14:paraId="4AC2D377" w14:textId="77777777" w:rsidR="00163EF1" w:rsidRPr="007F0D27" w:rsidRDefault="00163EF1" w:rsidP="00163EF1">
      <w:pPr>
        <w:pBdr>
          <w:top w:val="nil"/>
          <w:left w:val="nil"/>
          <w:bottom w:val="nil"/>
          <w:right w:val="nil"/>
          <w:between w:val="nil"/>
        </w:pBdr>
        <w:spacing w:line="480" w:lineRule="auto"/>
        <w:rPr>
          <w:rFonts w:ascii="Garamond" w:eastAsia="Garamond" w:hAnsi="Garamond"/>
          <w:b/>
          <w:i/>
          <w:color w:val="000000"/>
          <w:sz w:val="22"/>
          <w:szCs w:val="22"/>
        </w:rPr>
      </w:pPr>
    </w:p>
    <w:p w14:paraId="2F3749C8"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sz w:val="22"/>
          <w:szCs w:val="22"/>
        </w:rPr>
        <w:br w:type="page"/>
      </w:r>
    </w:p>
    <w:p w14:paraId="7716576B" w14:textId="77777777" w:rsidR="00163EF1" w:rsidRPr="007F0D27" w:rsidRDefault="00163EF1" w:rsidP="00163EF1">
      <w:pPr>
        <w:pStyle w:val="CenteredNormal"/>
        <w:rPr>
          <w:rFonts w:ascii="Garamond" w:eastAsia="Garamond" w:hAnsi="Garamond"/>
          <w:sz w:val="22"/>
          <w:szCs w:val="22"/>
          <w:u w:val="single"/>
        </w:rPr>
      </w:pPr>
    </w:p>
    <w:p w14:paraId="2F2494F0" w14:textId="77777777" w:rsidR="00163EF1" w:rsidRPr="007F0D27" w:rsidRDefault="00163EF1" w:rsidP="00163EF1">
      <w:pPr>
        <w:spacing w:line="480" w:lineRule="auto"/>
        <w:jc w:val="center"/>
        <w:rPr>
          <w:rFonts w:ascii="Garamond" w:eastAsia="Garamond" w:hAnsi="Garamond"/>
          <w:iCs/>
          <w:sz w:val="22"/>
          <w:szCs w:val="22"/>
          <w:u w:val="single"/>
        </w:rPr>
      </w:pPr>
      <w:r w:rsidRPr="007F0D27">
        <w:rPr>
          <w:rFonts w:ascii="Garamond" w:eastAsia="Garamond" w:hAnsi="Garamond"/>
          <w:iCs/>
          <w:sz w:val="22"/>
          <w:szCs w:val="22"/>
          <w:u w:val="single"/>
        </w:rPr>
        <w:t xml:space="preserve">Additional information on calculating appropriate distance </w:t>
      </w:r>
      <w:proofErr w:type="gramStart"/>
      <w:r w:rsidRPr="007F0D27">
        <w:rPr>
          <w:rFonts w:ascii="Garamond" w:eastAsia="Garamond" w:hAnsi="Garamond"/>
          <w:iCs/>
          <w:sz w:val="22"/>
          <w:szCs w:val="22"/>
          <w:u w:val="single"/>
        </w:rPr>
        <w:t>bands</w:t>
      </w:r>
      <w:proofErr w:type="gramEnd"/>
    </w:p>
    <w:p w14:paraId="297298C6" w14:textId="77777777" w:rsidR="00163EF1" w:rsidRPr="007F0D27" w:rsidRDefault="00163EF1" w:rsidP="00163EF1">
      <w:pPr>
        <w:spacing w:line="480" w:lineRule="auto"/>
        <w:rPr>
          <w:rFonts w:ascii="Garamond" w:eastAsia="Garamond" w:hAnsi="Garamond"/>
          <w:iCs/>
          <w:sz w:val="22"/>
          <w:szCs w:val="22"/>
        </w:rPr>
      </w:pPr>
      <w:r w:rsidRPr="007F0D27">
        <w:rPr>
          <w:rFonts w:ascii="Garamond" w:eastAsia="Garamond" w:hAnsi="Garamond"/>
          <w:iCs/>
          <w:sz w:val="22"/>
          <w:szCs w:val="22"/>
        </w:rPr>
        <w:tab/>
        <w:t xml:space="preserve">In the following table, we present results from the “calculate distance band from neighbor count” tool in ArcGIS Pro. This determines the distance to the closest eight neighbors and was used to inform our neighborhood designation for the emerging hot spot analysis. </w:t>
      </w:r>
    </w:p>
    <w:p w14:paraId="2C5BB8C0" w14:textId="77777777" w:rsidR="00163EF1" w:rsidRPr="007F0D27" w:rsidRDefault="00163EF1" w:rsidP="00163EF1">
      <w:pPr>
        <w:pStyle w:val="CenteredNormal"/>
        <w:rPr>
          <w:rFonts w:ascii="Garamond" w:eastAsia="Garamond" w:hAnsi="Garamond"/>
          <w:i/>
          <w:iCs/>
          <w:sz w:val="22"/>
          <w:szCs w:val="22"/>
        </w:rPr>
      </w:pPr>
      <w:r w:rsidRPr="007F0D27">
        <w:rPr>
          <w:rFonts w:ascii="Garamond" w:eastAsia="Garamond" w:hAnsi="Garamond"/>
          <w:sz w:val="22"/>
          <w:szCs w:val="22"/>
        </w:rPr>
        <w:t>‘</w:t>
      </w:r>
      <w:r w:rsidRPr="007F0D27">
        <w:rPr>
          <w:rFonts w:ascii="Garamond" w:eastAsia="Garamond" w:hAnsi="Garamond"/>
          <w:i/>
          <w:iCs/>
          <w:sz w:val="22"/>
          <w:szCs w:val="22"/>
        </w:rPr>
        <w:t>Calculate distance band from neighbor count’ results (Eight neighbors)</w:t>
      </w:r>
    </w:p>
    <w:tbl>
      <w:tblPr>
        <w:tblStyle w:val="TableGridLight"/>
        <w:tblW w:w="7153" w:type="dxa"/>
        <w:jc w:val="center"/>
        <w:tblLayout w:type="fixed"/>
        <w:tblLook w:val="0400" w:firstRow="0" w:lastRow="0" w:firstColumn="0" w:lastColumn="0" w:noHBand="0" w:noVBand="1"/>
      </w:tblPr>
      <w:tblGrid>
        <w:gridCol w:w="1806"/>
        <w:gridCol w:w="1806"/>
        <w:gridCol w:w="1834"/>
        <w:gridCol w:w="1707"/>
      </w:tblGrid>
      <w:tr w:rsidR="00163EF1" w:rsidRPr="007F0D27" w14:paraId="5BCCAD85" w14:textId="77777777" w:rsidTr="00375551">
        <w:trPr>
          <w:trHeight w:val="303"/>
          <w:jc w:val="center"/>
        </w:trPr>
        <w:tc>
          <w:tcPr>
            <w:tcW w:w="1807" w:type="dxa"/>
            <w:shd w:val="clear" w:color="auto" w:fill="D9D9D9" w:themeFill="background1" w:themeFillShade="D9"/>
          </w:tcPr>
          <w:p w14:paraId="55CB68E7" w14:textId="77777777" w:rsidR="00163EF1" w:rsidRPr="007F0D27" w:rsidRDefault="00163EF1" w:rsidP="00375551">
            <w:pPr>
              <w:pBdr>
                <w:top w:val="nil"/>
                <w:left w:val="nil"/>
                <w:bottom w:val="nil"/>
                <w:right w:val="nil"/>
                <w:between w:val="nil"/>
              </w:pBdr>
              <w:spacing w:after="160"/>
              <w:jc w:val="center"/>
              <w:rPr>
                <w:rFonts w:ascii="Garamond" w:eastAsia="Garamond" w:hAnsi="Garamond"/>
                <w:b/>
                <w:bCs/>
                <w:color w:val="000000"/>
                <w:sz w:val="22"/>
                <w:szCs w:val="22"/>
              </w:rPr>
            </w:pPr>
            <w:r w:rsidRPr="007F0D27">
              <w:rPr>
                <w:rFonts w:ascii="Garamond" w:eastAsia="Garamond" w:hAnsi="Garamond"/>
                <w:b/>
                <w:bCs/>
                <w:color w:val="000000"/>
                <w:sz w:val="22"/>
                <w:szCs w:val="22"/>
              </w:rPr>
              <w:t>3-year period</w:t>
            </w:r>
          </w:p>
        </w:tc>
        <w:tc>
          <w:tcPr>
            <w:tcW w:w="1806" w:type="dxa"/>
            <w:shd w:val="clear" w:color="auto" w:fill="D9D9D9" w:themeFill="background1" w:themeFillShade="D9"/>
          </w:tcPr>
          <w:p w14:paraId="778446DF" w14:textId="77777777" w:rsidR="00163EF1" w:rsidRPr="007F0D27" w:rsidRDefault="00163EF1" w:rsidP="00375551">
            <w:pPr>
              <w:pBdr>
                <w:top w:val="nil"/>
                <w:left w:val="nil"/>
                <w:bottom w:val="nil"/>
                <w:right w:val="nil"/>
                <w:between w:val="nil"/>
              </w:pBdr>
              <w:spacing w:after="160"/>
              <w:jc w:val="center"/>
              <w:rPr>
                <w:rFonts w:ascii="Garamond" w:eastAsia="Garamond" w:hAnsi="Garamond"/>
                <w:b/>
                <w:bCs/>
                <w:color w:val="000000"/>
                <w:sz w:val="22"/>
                <w:szCs w:val="22"/>
              </w:rPr>
            </w:pPr>
            <w:r w:rsidRPr="007F0D27">
              <w:rPr>
                <w:rFonts w:ascii="Garamond" w:eastAsia="Garamond" w:hAnsi="Garamond"/>
                <w:b/>
                <w:bCs/>
                <w:color w:val="000000"/>
                <w:sz w:val="22"/>
                <w:szCs w:val="22"/>
              </w:rPr>
              <w:t>Type of area</w:t>
            </w:r>
          </w:p>
        </w:tc>
        <w:tc>
          <w:tcPr>
            <w:tcW w:w="1834" w:type="dxa"/>
            <w:shd w:val="clear" w:color="auto" w:fill="D9D9D9" w:themeFill="background1" w:themeFillShade="D9"/>
          </w:tcPr>
          <w:p w14:paraId="289FDADD" w14:textId="77777777" w:rsidR="00163EF1" w:rsidRPr="007F0D27" w:rsidRDefault="00163EF1" w:rsidP="00375551">
            <w:pPr>
              <w:pBdr>
                <w:top w:val="nil"/>
                <w:left w:val="nil"/>
                <w:bottom w:val="nil"/>
                <w:right w:val="nil"/>
                <w:between w:val="nil"/>
              </w:pBdr>
              <w:spacing w:after="160"/>
              <w:jc w:val="center"/>
              <w:rPr>
                <w:rFonts w:ascii="Garamond" w:eastAsia="Garamond" w:hAnsi="Garamond"/>
                <w:b/>
                <w:bCs/>
                <w:color w:val="000000"/>
                <w:sz w:val="22"/>
                <w:szCs w:val="22"/>
              </w:rPr>
            </w:pPr>
            <w:r w:rsidRPr="007F0D27">
              <w:rPr>
                <w:rFonts w:ascii="Garamond" w:eastAsia="Garamond" w:hAnsi="Garamond"/>
                <w:b/>
                <w:bCs/>
                <w:color w:val="000000"/>
                <w:sz w:val="22"/>
                <w:szCs w:val="22"/>
              </w:rPr>
              <w:t>Average</w:t>
            </w:r>
          </w:p>
        </w:tc>
        <w:tc>
          <w:tcPr>
            <w:tcW w:w="1707" w:type="dxa"/>
            <w:shd w:val="clear" w:color="auto" w:fill="D9D9D9" w:themeFill="background1" w:themeFillShade="D9"/>
          </w:tcPr>
          <w:p w14:paraId="179C21E3" w14:textId="77777777" w:rsidR="00163EF1" w:rsidRPr="007F0D27" w:rsidRDefault="00163EF1" w:rsidP="00375551">
            <w:pPr>
              <w:pBdr>
                <w:top w:val="nil"/>
                <w:left w:val="nil"/>
                <w:bottom w:val="nil"/>
                <w:right w:val="nil"/>
                <w:between w:val="nil"/>
              </w:pBdr>
              <w:spacing w:after="160"/>
              <w:jc w:val="center"/>
              <w:rPr>
                <w:rFonts w:ascii="Garamond" w:eastAsia="Garamond" w:hAnsi="Garamond"/>
                <w:b/>
                <w:bCs/>
                <w:color w:val="000000"/>
                <w:sz w:val="22"/>
                <w:szCs w:val="22"/>
              </w:rPr>
            </w:pPr>
            <w:r w:rsidRPr="007F0D27">
              <w:rPr>
                <w:rFonts w:ascii="Garamond" w:eastAsia="Garamond" w:hAnsi="Garamond"/>
                <w:b/>
                <w:bCs/>
                <w:color w:val="000000"/>
                <w:sz w:val="22"/>
                <w:szCs w:val="22"/>
              </w:rPr>
              <w:t>Maximum</w:t>
            </w:r>
          </w:p>
        </w:tc>
      </w:tr>
      <w:tr w:rsidR="00163EF1" w:rsidRPr="007F0D27" w14:paraId="5C029461" w14:textId="77777777" w:rsidTr="00375551">
        <w:trPr>
          <w:trHeight w:val="303"/>
          <w:jc w:val="center"/>
        </w:trPr>
        <w:tc>
          <w:tcPr>
            <w:tcW w:w="1807" w:type="dxa"/>
          </w:tcPr>
          <w:p w14:paraId="5629C006"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2006-2008</w:t>
            </w:r>
          </w:p>
        </w:tc>
        <w:tc>
          <w:tcPr>
            <w:tcW w:w="1806" w:type="dxa"/>
          </w:tcPr>
          <w:p w14:paraId="1AB897EC"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Rural</w:t>
            </w:r>
          </w:p>
        </w:tc>
        <w:tc>
          <w:tcPr>
            <w:tcW w:w="1834" w:type="dxa"/>
          </w:tcPr>
          <w:p w14:paraId="36A9083C"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4158.83</w:t>
            </w:r>
          </w:p>
        </w:tc>
        <w:tc>
          <w:tcPr>
            <w:tcW w:w="1707" w:type="dxa"/>
          </w:tcPr>
          <w:p w14:paraId="0DADB4ED"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67977.36</w:t>
            </w:r>
          </w:p>
        </w:tc>
      </w:tr>
      <w:tr w:rsidR="00163EF1" w:rsidRPr="007F0D27" w14:paraId="6096D913" w14:textId="77777777" w:rsidTr="00375551">
        <w:trPr>
          <w:trHeight w:val="303"/>
          <w:jc w:val="center"/>
        </w:trPr>
        <w:tc>
          <w:tcPr>
            <w:tcW w:w="1807" w:type="dxa"/>
          </w:tcPr>
          <w:p w14:paraId="6A03347D"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2006-2008</w:t>
            </w:r>
          </w:p>
        </w:tc>
        <w:tc>
          <w:tcPr>
            <w:tcW w:w="1806" w:type="dxa"/>
          </w:tcPr>
          <w:p w14:paraId="180184CA"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 xml:space="preserve">Urban </w:t>
            </w:r>
          </w:p>
        </w:tc>
        <w:tc>
          <w:tcPr>
            <w:tcW w:w="1834" w:type="dxa"/>
          </w:tcPr>
          <w:p w14:paraId="0D500A02"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2137.75</w:t>
            </w:r>
          </w:p>
        </w:tc>
        <w:tc>
          <w:tcPr>
            <w:tcW w:w="1707" w:type="dxa"/>
          </w:tcPr>
          <w:p w14:paraId="529CB349"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88061.98</w:t>
            </w:r>
          </w:p>
        </w:tc>
      </w:tr>
      <w:tr w:rsidR="00163EF1" w:rsidRPr="007F0D27" w14:paraId="5468428A" w14:textId="77777777" w:rsidTr="00375551">
        <w:trPr>
          <w:trHeight w:val="303"/>
          <w:jc w:val="center"/>
        </w:trPr>
        <w:tc>
          <w:tcPr>
            <w:tcW w:w="1807" w:type="dxa"/>
          </w:tcPr>
          <w:p w14:paraId="16129AC7"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2009-2011</w:t>
            </w:r>
          </w:p>
        </w:tc>
        <w:tc>
          <w:tcPr>
            <w:tcW w:w="1806" w:type="dxa"/>
          </w:tcPr>
          <w:p w14:paraId="62C874D8"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Rural</w:t>
            </w:r>
          </w:p>
        </w:tc>
        <w:tc>
          <w:tcPr>
            <w:tcW w:w="1834" w:type="dxa"/>
          </w:tcPr>
          <w:p w14:paraId="3F377748"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3769.39</w:t>
            </w:r>
          </w:p>
        </w:tc>
        <w:tc>
          <w:tcPr>
            <w:tcW w:w="1707" w:type="dxa"/>
          </w:tcPr>
          <w:p w14:paraId="4DE7E5D0"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60598.66</w:t>
            </w:r>
          </w:p>
        </w:tc>
      </w:tr>
      <w:tr w:rsidR="00163EF1" w:rsidRPr="007F0D27" w14:paraId="7B880CF1" w14:textId="77777777" w:rsidTr="00375551">
        <w:trPr>
          <w:trHeight w:val="284"/>
          <w:jc w:val="center"/>
        </w:trPr>
        <w:tc>
          <w:tcPr>
            <w:tcW w:w="1807" w:type="dxa"/>
          </w:tcPr>
          <w:p w14:paraId="3ECD8A24"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2009-2011</w:t>
            </w:r>
          </w:p>
        </w:tc>
        <w:tc>
          <w:tcPr>
            <w:tcW w:w="1806" w:type="dxa"/>
          </w:tcPr>
          <w:p w14:paraId="6E395108"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 xml:space="preserve">Urban </w:t>
            </w:r>
          </w:p>
        </w:tc>
        <w:tc>
          <w:tcPr>
            <w:tcW w:w="1834" w:type="dxa"/>
          </w:tcPr>
          <w:p w14:paraId="27E68476"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2047.36</w:t>
            </w:r>
          </w:p>
        </w:tc>
        <w:tc>
          <w:tcPr>
            <w:tcW w:w="1707" w:type="dxa"/>
          </w:tcPr>
          <w:p w14:paraId="517473B7"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88136.43</w:t>
            </w:r>
          </w:p>
        </w:tc>
      </w:tr>
      <w:tr w:rsidR="00163EF1" w:rsidRPr="007F0D27" w14:paraId="1D218397" w14:textId="77777777" w:rsidTr="00375551">
        <w:trPr>
          <w:trHeight w:val="303"/>
          <w:jc w:val="center"/>
        </w:trPr>
        <w:tc>
          <w:tcPr>
            <w:tcW w:w="1807" w:type="dxa"/>
          </w:tcPr>
          <w:p w14:paraId="2D65751C"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2012-2014</w:t>
            </w:r>
          </w:p>
        </w:tc>
        <w:tc>
          <w:tcPr>
            <w:tcW w:w="1806" w:type="dxa"/>
          </w:tcPr>
          <w:p w14:paraId="284A7AE1"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Rural</w:t>
            </w:r>
          </w:p>
        </w:tc>
        <w:tc>
          <w:tcPr>
            <w:tcW w:w="1834" w:type="dxa"/>
          </w:tcPr>
          <w:p w14:paraId="4C58DD0F"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4520.97</w:t>
            </w:r>
          </w:p>
        </w:tc>
        <w:tc>
          <w:tcPr>
            <w:tcW w:w="1707" w:type="dxa"/>
          </w:tcPr>
          <w:p w14:paraId="082561B1"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50970.82</w:t>
            </w:r>
          </w:p>
        </w:tc>
      </w:tr>
      <w:tr w:rsidR="00163EF1" w:rsidRPr="007F0D27" w14:paraId="0721C064" w14:textId="77777777" w:rsidTr="00375551">
        <w:trPr>
          <w:trHeight w:val="303"/>
          <w:jc w:val="center"/>
        </w:trPr>
        <w:tc>
          <w:tcPr>
            <w:tcW w:w="1807" w:type="dxa"/>
          </w:tcPr>
          <w:p w14:paraId="29C20BDA"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2012-2014</w:t>
            </w:r>
          </w:p>
        </w:tc>
        <w:tc>
          <w:tcPr>
            <w:tcW w:w="1806" w:type="dxa"/>
          </w:tcPr>
          <w:p w14:paraId="144D756D"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 xml:space="preserve">Urban </w:t>
            </w:r>
          </w:p>
        </w:tc>
        <w:tc>
          <w:tcPr>
            <w:tcW w:w="1834" w:type="dxa"/>
          </w:tcPr>
          <w:p w14:paraId="7A9E9828"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2376.72</w:t>
            </w:r>
          </w:p>
        </w:tc>
        <w:tc>
          <w:tcPr>
            <w:tcW w:w="1707" w:type="dxa"/>
          </w:tcPr>
          <w:p w14:paraId="31403443"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93841.96</w:t>
            </w:r>
          </w:p>
        </w:tc>
      </w:tr>
      <w:tr w:rsidR="00163EF1" w:rsidRPr="007F0D27" w14:paraId="1A5CE153" w14:textId="77777777" w:rsidTr="00375551">
        <w:trPr>
          <w:trHeight w:val="303"/>
          <w:jc w:val="center"/>
        </w:trPr>
        <w:tc>
          <w:tcPr>
            <w:tcW w:w="1807" w:type="dxa"/>
          </w:tcPr>
          <w:p w14:paraId="34DE6BD5"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2015-2017</w:t>
            </w:r>
          </w:p>
        </w:tc>
        <w:tc>
          <w:tcPr>
            <w:tcW w:w="1806" w:type="dxa"/>
          </w:tcPr>
          <w:p w14:paraId="53DBAA5C"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Rural</w:t>
            </w:r>
          </w:p>
        </w:tc>
        <w:tc>
          <w:tcPr>
            <w:tcW w:w="1834" w:type="dxa"/>
          </w:tcPr>
          <w:p w14:paraId="2D237F6A"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5515.24</w:t>
            </w:r>
          </w:p>
        </w:tc>
        <w:tc>
          <w:tcPr>
            <w:tcW w:w="1707" w:type="dxa"/>
          </w:tcPr>
          <w:p w14:paraId="45DBBFE0"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58322.01</w:t>
            </w:r>
          </w:p>
        </w:tc>
      </w:tr>
      <w:tr w:rsidR="00163EF1" w:rsidRPr="007F0D27" w14:paraId="2AF5E711" w14:textId="77777777" w:rsidTr="00375551">
        <w:trPr>
          <w:trHeight w:val="284"/>
          <w:jc w:val="center"/>
        </w:trPr>
        <w:tc>
          <w:tcPr>
            <w:tcW w:w="1807" w:type="dxa"/>
          </w:tcPr>
          <w:p w14:paraId="783CE4AC"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2015-2017</w:t>
            </w:r>
          </w:p>
        </w:tc>
        <w:tc>
          <w:tcPr>
            <w:tcW w:w="1806" w:type="dxa"/>
          </w:tcPr>
          <w:p w14:paraId="531D8B2D"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 xml:space="preserve">Urban </w:t>
            </w:r>
          </w:p>
        </w:tc>
        <w:tc>
          <w:tcPr>
            <w:tcW w:w="1834" w:type="dxa"/>
          </w:tcPr>
          <w:p w14:paraId="2F711E62"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3709.09</w:t>
            </w:r>
          </w:p>
        </w:tc>
        <w:tc>
          <w:tcPr>
            <w:tcW w:w="1707" w:type="dxa"/>
          </w:tcPr>
          <w:p w14:paraId="21A751B2"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86875.77</w:t>
            </w:r>
          </w:p>
        </w:tc>
      </w:tr>
      <w:tr w:rsidR="00163EF1" w:rsidRPr="007F0D27" w14:paraId="123FBD0A" w14:textId="77777777" w:rsidTr="00375551">
        <w:trPr>
          <w:trHeight w:val="303"/>
          <w:jc w:val="center"/>
        </w:trPr>
        <w:tc>
          <w:tcPr>
            <w:tcW w:w="1807" w:type="dxa"/>
          </w:tcPr>
          <w:p w14:paraId="36AE4301"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2018-2020</w:t>
            </w:r>
          </w:p>
        </w:tc>
        <w:tc>
          <w:tcPr>
            <w:tcW w:w="1806" w:type="dxa"/>
          </w:tcPr>
          <w:p w14:paraId="564D504F"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Rural</w:t>
            </w:r>
          </w:p>
        </w:tc>
        <w:tc>
          <w:tcPr>
            <w:tcW w:w="1834" w:type="dxa"/>
          </w:tcPr>
          <w:p w14:paraId="6F0EC375"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4706.42</w:t>
            </w:r>
          </w:p>
        </w:tc>
        <w:tc>
          <w:tcPr>
            <w:tcW w:w="1707" w:type="dxa"/>
          </w:tcPr>
          <w:p w14:paraId="246D5AC3"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52603.80</w:t>
            </w:r>
          </w:p>
        </w:tc>
      </w:tr>
      <w:tr w:rsidR="00163EF1" w:rsidRPr="007F0D27" w14:paraId="1A5FE974" w14:textId="77777777" w:rsidTr="00375551">
        <w:trPr>
          <w:trHeight w:val="284"/>
          <w:jc w:val="center"/>
        </w:trPr>
        <w:tc>
          <w:tcPr>
            <w:tcW w:w="1807" w:type="dxa"/>
          </w:tcPr>
          <w:p w14:paraId="3243E613"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2018-2020</w:t>
            </w:r>
          </w:p>
        </w:tc>
        <w:tc>
          <w:tcPr>
            <w:tcW w:w="1806" w:type="dxa"/>
          </w:tcPr>
          <w:p w14:paraId="71DE3EA4"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 xml:space="preserve">Urban </w:t>
            </w:r>
          </w:p>
        </w:tc>
        <w:tc>
          <w:tcPr>
            <w:tcW w:w="1834" w:type="dxa"/>
          </w:tcPr>
          <w:p w14:paraId="76160E50"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2879.49</w:t>
            </w:r>
          </w:p>
        </w:tc>
        <w:tc>
          <w:tcPr>
            <w:tcW w:w="1707" w:type="dxa"/>
          </w:tcPr>
          <w:p w14:paraId="47301344" w14:textId="77777777" w:rsidR="00163EF1" w:rsidRPr="007F0D27" w:rsidRDefault="00163EF1" w:rsidP="00375551">
            <w:pPr>
              <w:pBdr>
                <w:top w:val="nil"/>
                <w:left w:val="nil"/>
                <w:bottom w:val="nil"/>
                <w:right w:val="nil"/>
                <w:between w:val="nil"/>
              </w:pBdr>
              <w:spacing w:after="160"/>
              <w:rPr>
                <w:rFonts w:ascii="Garamond" w:eastAsia="Garamond" w:hAnsi="Garamond"/>
                <w:color w:val="000000"/>
                <w:sz w:val="22"/>
                <w:szCs w:val="22"/>
              </w:rPr>
            </w:pPr>
            <w:r w:rsidRPr="007F0D27">
              <w:rPr>
                <w:rFonts w:ascii="Garamond" w:eastAsia="Garamond" w:hAnsi="Garamond"/>
                <w:color w:val="000000"/>
                <w:sz w:val="22"/>
                <w:szCs w:val="22"/>
              </w:rPr>
              <w:t>87856.40</w:t>
            </w:r>
          </w:p>
        </w:tc>
      </w:tr>
    </w:tbl>
    <w:p w14:paraId="6C8BC122" w14:textId="77777777" w:rsidR="00163EF1" w:rsidRPr="007F0D27" w:rsidRDefault="00163EF1" w:rsidP="00163EF1">
      <w:pPr>
        <w:pBdr>
          <w:top w:val="nil"/>
          <w:left w:val="nil"/>
          <w:bottom w:val="nil"/>
          <w:right w:val="nil"/>
          <w:between w:val="nil"/>
        </w:pBdr>
        <w:spacing w:line="480" w:lineRule="auto"/>
        <w:rPr>
          <w:rFonts w:ascii="Garamond" w:eastAsia="Garamond" w:hAnsi="Garamond"/>
          <w:i/>
          <w:color w:val="000000"/>
          <w:sz w:val="22"/>
          <w:szCs w:val="22"/>
        </w:rPr>
      </w:pPr>
      <w:r w:rsidRPr="007F0D27">
        <w:rPr>
          <w:rFonts w:ascii="Garamond" w:eastAsia="Garamond" w:hAnsi="Garamond"/>
          <w:i/>
          <w:color w:val="000000"/>
          <w:sz w:val="22"/>
          <w:szCs w:val="22"/>
        </w:rPr>
        <w:t xml:space="preserve"> </w:t>
      </w:r>
    </w:p>
    <w:p w14:paraId="487D25D2" w14:textId="77777777" w:rsidR="00163EF1" w:rsidRPr="007F0D27" w:rsidRDefault="00163EF1" w:rsidP="00163EF1">
      <w:pPr>
        <w:spacing w:line="480" w:lineRule="auto"/>
        <w:rPr>
          <w:rFonts w:ascii="Garamond" w:eastAsia="Garamond" w:hAnsi="Garamond"/>
          <w:b/>
          <w:sz w:val="22"/>
          <w:szCs w:val="22"/>
        </w:rPr>
      </w:pPr>
      <w:r w:rsidRPr="007F0D27">
        <w:rPr>
          <w:rFonts w:ascii="Garamond" w:eastAsia="Garamond" w:hAnsi="Garamond"/>
          <w:iCs/>
          <w:sz w:val="22"/>
          <w:szCs w:val="22"/>
        </w:rPr>
        <w:tab/>
        <w:t xml:space="preserve">We also conducted incremental spatial autocorrelation tests for each urban and rural area for each three-year period. We present an example of those results for 2006 to 2008 in rural areas below. </w:t>
      </w:r>
      <w:r w:rsidRPr="007F0D27">
        <w:rPr>
          <w:rFonts w:ascii="Garamond" w:hAnsi="Garamond"/>
          <w:sz w:val="22"/>
          <w:szCs w:val="22"/>
        </w:rPr>
        <w:br w:type="page"/>
      </w:r>
    </w:p>
    <w:p w14:paraId="0420B57F" w14:textId="77777777" w:rsidR="00163EF1" w:rsidRPr="007F0D27" w:rsidRDefault="00163EF1" w:rsidP="00163EF1">
      <w:pPr>
        <w:pBdr>
          <w:top w:val="nil"/>
          <w:left w:val="nil"/>
          <w:bottom w:val="nil"/>
          <w:right w:val="nil"/>
          <w:between w:val="nil"/>
        </w:pBdr>
        <w:spacing w:line="480" w:lineRule="auto"/>
        <w:rPr>
          <w:rFonts w:ascii="Garamond" w:eastAsia="Garamond" w:hAnsi="Garamond"/>
          <w:i/>
          <w:color w:val="000000"/>
          <w:sz w:val="22"/>
          <w:szCs w:val="22"/>
        </w:rPr>
      </w:pPr>
      <w:r w:rsidRPr="007F0D27">
        <w:rPr>
          <w:rFonts w:ascii="Garamond" w:eastAsia="Garamond" w:hAnsi="Garamond"/>
          <w:i/>
          <w:color w:val="000000"/>
          <w:sz w:val="22"/>
          <w:szCs w:val="22"/>
        </w:rPr>
        <w:lastRenderedPageBreak/>
        <w:t>Incremental spatial autocorrelation results – rural areas 2006-2008</w:t>
      </w:r>
    </w:p>
    <w:p w14:paraId="75DF7232" w14:textId="77777777" w:rsidR="00163EF1" w:rsidRPr="007F0D27" w:rsidRDefault="00163EF1" w:rsidP="00163EF1">
      <w:pPr>
        <w:pBdr>
          <w:top w:val="nil"/>
          <w:left w:val="nil"/>
          <w:bottom w:val="nil"/>
          <w:right w:val="nil"/>
          <w:between w:val="nil"/>
        </w:pBdr>
        <w:spacing w:line="480" w:lineRule="auto"/>
        <w:rPr>
          <w:rFonts w:ascii="Garamond" w:eastAsia="Garamond" w:hAnsi="Garamond"/>
          <w:i/>
          <w:color w:val="000000"/>
          <w:sz w:val="22"/>
          <w:szCs w:val="22"/>
        </w:rPr>
      </w:pPr>
      <w:r w:rsidRPr="007F0D27">
        <w:rPr>
          <w:rFonts w:ascii="Garamond" w:eastAsia="Garamond" w:hAnsi="Garamond"/>
          <w:i/>
          <w:noProof/>
          <w:color w:val="000000"/>
          <w:sz w:val="22"/>
          <w:szCs w:val="22"/>
        </w:rPr>
        <w:drawing>
          <wp:inline distT="0" distB="0" distL="0" distR="0" wp14:anchorId="3592E812" wp14:editId="5FDDCA1C">
            <wp:extent cx="5731510" cy="3986530"/>
            <wp:effectExtent l="0" t="0" r="5715" b="0"/>
            <wp:docPr id="46" name="image18.png" descr="Slika koja sadrži tekst, dijagram, Zemljište, linija&#10;&#10;Opis je automatski generiran"/>
            <wp:cNvGraphicFramePr/>
            <a:graphic xmlns:a="http://schemas.openxmlformats.org/drawingml/2006/main">
              <a:graphicData uri="http://schemas.openxmlformats.org/drawingml/2006/picture">
                <pic:pic xmlns:pic="http://schemas.openxmlformats.org/drawingml/2006/picture">
                  <pic:nvPicPr>
                    <pic:cNvPr id="46" name="image18.png" descr="Slika koja sadrži tekst, dijagram, Zemljište, linija&#10;&#10;Opis je automatski generiran"/>
                    <pic:cNvPicPr preferRelativeResize="0"/>
                  </pic:nvPicPr>
                  <pic:blipFill>
                    <a:blip r:embed="rId6"/>
                    <a:srcRect/>
                    <a:stretch>
                      <a:fillRect/>
                    </a:stretch>
                  </pic:blipFill>
                  <pic:spPr>
                    <a:xfrm>
                      <a:off x="0" y="0"/>
                      <a:ext cx="5731510" cy="3986530"/>
                    </a:xfrm>
                    <a:prstGeom prst="rect">
                      <a:avLst/>
                    </a:prstGeom>
                    <a:ln/>
                  </pic:spPr>
                </pic:pic>
              </a:graphicData>
            </a:graphic>
          </wp:inline>
        </w:drawing>
      </w:r>
    </w:p>
    <w:p w14:paraId="182CD6B0" w14:textId="77777777" w:rsidR="00163EF1" w:rsidRPr="007F0D27" w:rsidRDefault="00163EF1" w:rsidP="00163EF1">
      <w:pPr>
        <w:spacing w:line="480" w:lineRule="auto"/>
        <w:rPr>
          <w:rFonts w:ascii="Garamond" w:eastAsia="Garamond" w:hAnsi="Garamond"/>
          <w:i/>
          <w:sz w:val="22"/>
          <w:szCs w:val="22"/>
        </w:rPr>
      </w:pPr>
    </w:p>
    <w:p w14:paraId="0B34CE6B" w14:textId="77777777" w:rsidR="00163EF1" w:rsidRPr="007F0D27" w:rsidRDefault="00163EF1" w:rsidP="00163EF1">
      <w:pPr>
        <w:spacing w:line="480" w:lineRule="auto"/>
        <w:rPr>
          <w:rFonts w:ascii="Garamond" w:eastAsia="Garamond" w:hAnsi="Garamond"/>
          <w:i/>
          <w:sz w:val="22"/>
          <w:szCs w:val="22"/>
        </w:rPr>
      </w:pPr>
    </w:p>
    <w:p w14:paraId="03DFA65B" w14:textId="77777777" w:rsidR="00163EF1" w:rsidRPr="007F0D27" w:rsidRDefault="00163EF1" w:rsidP="00163EF1">
      <w:pPr>
        <w:rPr>
          <w:rFonts w:ascii="Garamond" w:eastAsia="Garamond" w:hAnsi="Garamond"/>
          <w:i/>
          <w:sz w:val="22"/>
          <w:szCs w:val="22"/>
        </w:rPr>
      </w:pPr>
      <w:r w:rsidRPr="007F0D27">
        <w:rPr>
          <w:rFonts w:ascii="Garamond" w:eastAsia="Garamond" w:hAnsi="Garamond"/>
          <w:i/>
          <w:sz w:val="22"/>
          <w:szCs w:val="22"/>
        </w:rPr>
        <w:br w:type="page"/>
      </w:r>
    </w:p>
    <w:p w14:paraId="35FDAF7A" w14:textId="77777777" w:rsidR="00163EF1" w:rsidRPr="007F0D27" w:rsidRDefault="00163EF1" w:rsidP="00163EF1">
      <w:pPr>
        <w:pStyle w:val="CenteredNormal"/>
        <w:rPr>
          <w:rFonts w:ascii="Garamond" w:eastAsia="Garamond" w:hAnsi="Garamond"/>
          <w:sz w:val="22"/>
          <w:szCs w:val="22"/>
          <w:u w:val="single"/>
        </w:rPr>
      </w:pPr>
      <w:r w:rsidRPr="007F0D27">
        <w:rPr>
          <w:rFonts w:ascii="Garamond" w:eastAsia="Garamond" w:hAnsi="Garamond"/>
          <w:sz w:val="22"/>
          <w:szCs w:val="22"/>
          <w:u w:val="single"/>
        </w:rPr>
        <w:lastRenderedPageBreak/>
        <w:t>Distribution of injury severity index from 2005 to 2020</w:t>
      </w:r>
    </w:p>
    <w:p w14:paraId="60419A8F" w14:textId="77777777" w:rsidR="00163EF1" w:rsidRPr="007F0D27" w:rsidRDefault="00163EF1" w:rsidP="00163EF1">
      <w:pPr>
        <w:pStyle w:val="CenteredNormal"/>
        <w:rPr>
          <w:rFonts w:ascii="Garamond" w:eastAsia="Garamond" w:hAnsi="Garamond"/>
          <w:sz w:val="22"/>
          <w:szCs w:val="22"/>
        </w:rPr>
      </w:pPr>
    </w:p>
    <w:p w14:paraId="4FD3457A" w14:textId="77777777" w:rsidR="00163EF1" w:rsidRPr="007F0D27" w:rsidRDefault="00163EF1" w:rsidP="00163EF1">
      <w:pPr>
        <w:pStyle w:val="CenteredNormal"/>
        <w:spacing w:line="480" w:lineRule="auto"/>
        <w:jc w:val="left"/>
        <w:rPr>
          <w:rFonts w:ascii="Garamond" w:eastAsia="Garamond" w:hAnsi="Garamond"/>
          <w:sz w:val="22"/>
          <w:szCs w:val="22"/>
        </w:rPr>
      </w:pPr>
      <w:r w:rsidRPr="007F0D27">
        <w:rPr>
          <w:rFonts w:ascii="Garamond" w:eastAsia="Garamond" w:hAnsi="Garamond"/>
          <w:sz w:val="22"/>
          <w:szCs w:val="22"/>
        </w:rPr>
        <w:tab/>
        <w:t xml:space="preserve">We presented the </w:t>
      </w:r>
      <w:proofErr w:type="gramStart"/>
      <w:r w:rsidRPr="007F0D27">
        <w:rPr>
          <w:rFonts w:ascii="Garamond" w:eastAsia="Garamond" w:hAnsi="Garamond"/>
          <w:sz w:val="22"/>
          <w:szCs w:val="22"/>
        </w:rPr>
        <w:t>mean</w:t>
      </w:r>
      <w:proofErr w:type="gramEnd"/>
      <w:r w:rsidRPr="007F0D27">
        <w:rPr>
          <w:rFonts w:ascii="Garamond" w:eastAsia="Garamond" w:hAnsi="Garamond"/>
          <w:sz w:val="22"/>
          <w:szCs w:val="22"/>
        </w:rPr>
        <w:t xml:space="preserve"> of the injury severity index in the main text. </w:t>
      </w:r>
      <w:proofErr w:type="gramStart"/>
      <w:r w:rsidRPr="007F0D27">
        <w:rPr>
          <w:rFonts w:ascii="Garamond" w:eastAsia="Garamond" w:hAnsi="Garamond"/>
          <w:sz w:val="22"/>
          <w:szCs w:val="22"/>
        </w:rPr>
        <w:t>In an effort to</w:t>
      </w:r>
      <w:proofErr w:type="gramEnd"/>
      <w:r w:rsidRPr="007F0D27">
        <w:rPr>
          <w:rFonts w:ascii="Garamond" w:eastAsia="Garamond" w:hAnsi="Garamond"/>
          <w:sz w:val="22"/>
          <w:szCs w:val="22"/>
        </w:rPr>
        <w:t xml:space="preserve"> understand the potential changes in the distribution, we plotted a histogram for each year, shown below. </w:t>
      </w:r>
    </w:p>
    <w:p w14:paraId="771D37E0" w14:textId="77777777" w:rsidR="00163EF1" w:rsidRPr="007F0D27" w:rsidRDefault="00163EF1" w:rsidP="00163EF1">
      <w:pPr>
        <w:pStyle w:val="CenteredNormal"/>
        <w:jc w:val="left"/>
        <w:rPr>
          <w:rFonts w:ascii="Garamond" w:eastAsia="Garamond" w:hAnsi="Garamond"/>
          <w:sz w:val="22"/>
          <w:szCs w:val="22"/>
        </w:rPr>
      </w:pPr>
    </w:p>
    <w:p w14:paraId="36F5956B" w14:textId="77777777" w:rsidR="00163EF1" w:rsidRPr="007F0D27" w:rsidRDefault="00163EF1" w:rsidP="00163EF1">
      <w:pPr>
        <w:spacing w:line="480" w:lineRule="auto"/>
        <w:jc w:val="center"/>
        <w:rPr>
          <w:rFonts w:ascii="Garamond" w:eastAsia="Garamond" w:hAnsi="Garamond"/>
          <w:i/>
          <w:sz w:val="22"/>
          <w:szCs w:val="22"/>
        </w:rPr>
      </w:pPr>
      <w:r w:rsidRPr="007F0D27">
        <w:rPr>
          <w:rFonts w:ascii="Garamond" w:eastAsia="Garamond" w:hAnsi="Garamond"/>
          <w:i/>
          <w:sz w:val="22"/>
          <w:szCs w:val="22"/>
        </w:rPr>
        <w:t>Histograms of road traffic injury severity index - 2005 to 2020</w:t>
      </w:r>
    </w:p>
    <w:p w14:paraId="06720C41"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noProof/>
          <w:sz w:val="22"/>
          <w:szCs w:val="22"/>
        </w:rPr>
        <w:drawing>
          <wp:inline distT="0" distB="0" distL="0" distR="0" wp14:anchorId="5A9F90A0" wp14:editId="367C3F04">
            <wp:extent cx="5731510" cy="4410075"/>
            <wp:effectExtent l="0" t="0" r="2540" b="9525"/>
            <wp:docPr id="2135574311" name="Slika 1" descr="Slika koja sadrži dijagram, tekst, Plan, Paralela&#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574311" name="Slika 1" descr="Slika koja sadrži dijagram, tekst, Plan, Paralela&#10;&#10;Opis je automatski generira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4410075"/>
                    </a:xfrm>
                    <a:prstGeom prst="rect">
                      <a:avLst/>
                    </a:prstGeom>
                    <a:noFill/>
                    <a:ln>
                      <a:noFill/>
                    </a:ln>
                  </pic:spPr>
                </pic:pic>
              </a:graphicData>
            </a:graphic>
          </wp:inline>
        </w:drawing>
      </w:r>
    </w:p>
    <w:p w14:paraId="604CE00B" w14:textId="77777777" w:rsidR="00163EF1" w:rsidRPr="007F0D27" w:rsidRDefault="00163EF1" w:rsidP="00163EF1">
      <w:pPr>
        <w:spacing w:line="480" w:lineRule="auto"/>
        <w:rPr>
          <w:rFonts w:ascii="Garamond" w:eastAsia="Garamond" w:hAnsi="Garamond"/>
          <w:i/>
          <w:sz w:val="22"/>
          <w:szCs w:val="22"/>
        </w:rPr>
      </w:pPr>
    </w:p>
    <w:p w14:paraId="003BFC50" w14:textId="77777777" w:rsidR="00163EF1" w:rsidRPr="007F0D27" w:rsidRDefault="00163EF1" w:rsidP="00163EF1">
      <w:pPr>
        <w:spacing w:line="480" w:lineRule="auto"/>
        <w:rPr>
          <w:rFonts w:ascii="Garamond" w:eastAsia="Garamond" w:hAnsi="Garamond"/>
          <w:i/>
          <w:sz w:val="22"/>
          <w:szCs w:val="22"/>
        </w:rPr>
      </w:pPr>
    </w:p>
    <w:p w14:paraId="184B3546" w14:textId="77777777" w:rsidR="00163EF1" w:rsidRPr="007F0D27" w:rsidRDefault="00163EF1" w:rsidP="00163EF1">
      <w:pPr>
        <w:spacing w:line="480" w:lineRule="auto"/>
        <w:rPr>
          <w:rFonts w:ascii="Garamond" w:eastAsia="Garamond" w:hAnsi="Garamond"/>
          <w:i/>
          <w:sz w:val="22"/>
          <w:szCs w:val="22"/>
        </w:rPr>
      </w:pPr>
    </w:p>
    <w:p w14:paraId="1847785A" w14:textId="77777777" w:rsidR="00163EF1" w:rsidRPr="007F0D27" w:rsidRDefault="00163EF1" w:rsidP="00163EF1">
      <w:pPr>
        <w:spacing w:line="480" w:lineRule="auto"/>
        <w:rPr>
          <w:rFonts w:ascii="Garamond" w:eastAsia="Garamond" w:hAnsi="Garamond"/>
          <w:i/>
          <w:sz w:val="22"/>
          <w:szCs w:val="22"/>
        </w:rPr>
      </w:pPr>
    </w:p>
    <w:p w14:paraId="08E0E634" w14:textId="77777777" w:rsidR="00163EF1" w:rsidRPr="007F0D27" w:rsidRDefault="00163EF1" w:rsidP="00163EF1">
      <w:pPr>
        <w:spacing w:line="480" w:lineRule="auto"/>
        <w:rPr>
          <w:rFonts w:ascii="Garamond" w:eastAsia="Garamond" w:hAnsi="Garamond"/>
          <w:i/>
          <w:sz w:val="22"/>
          <w:szCs w:val="22"/>
        </w:rPr>
      </w:pPr>
    </w:p>
    <w:p w14:paraId="5B4FD851" w14:textId="77777777" w:rsidR="00163EF1" w:rsidRPr="007F0D27" w:rsidRDefault="00163EF1">
      <w:pPr>
        <w:spacing w:after="160" w:line="259" w:lineRule="auto"/>
        <w:rPr>
          <w:rFonts w:ascii="Garamond" w:eastAsia="Garamond" w:hAnsi="Garamond"/>
          <w:sz w:val="22"/>
          <w:szCs w:val="22"/>
          <w:u w:val="single"/>
        </w:rPr>
      </w:pPr>
      <w:r w:rsidRPr="007F0D27">
        <w:rPr>
          <w:rFonts w:ascii="Garamond" w:eastAsia="Garamond" w:hAnsi="Garamond"/>
          <w:sz w:val="22"/>
          <w:szCs w:val="22"/>
          <w:u w:val="single"/>
        </w:rPr>
        <w:br w:type="page"/>
      </w:r>
    </w:p>
    <w:p w14:paraId="36EC05D4" w14:textId="312E6119" w:rsidR="00163EF1" w:rsidRPr="007F0D27" w:rsidRDefault="00163EF1" w:rsidP="00163EF1">
      <w:pPr>
        <w:pStyle w:val="CenteredNormalSpaced"/>
        <w:rPr>
          <w:rFonts w:ascii="Garamond" w:eastAsia="Garamond" w:hAnsi="Garamond"/>
          <w:sz w:val="22"/>
          <w:szCs w:val="22"/>
          <w:u w:val="single"/>
        </w:rPr>
      </w:pPr>
      <w:r w:rsidRPr="007F0D27">
        <w:rPr>
          <w:rFonts w:ascii="Garamond" w:eastAsia="Garamond" w:hAnsi="Garamond"/>
          <w:sz w:val="22"/>
          <w:szCs w:val="22"/>
          <w:u w:val="single"/>
        </w:rPr>
        <w:lastRenderedPageBreak/>
        <w:t>National maps of rural and urban spatiotemporal clusters for by outcome</w:t>
      </w:r>
    </w:p>
    <w:p w14:paraId="17A8771B" w14:textId="77777777" w:rsidR="00163EF1" w:rsidRPr="007F0D27" w:rsidRDefault="00163EF1" w:rsidP="00163EF1">
      <w:pPr>
        <w:pStyle w:val="CenteredNormalSpaced"/>
        <w:rPr>
          <w:rFonts w:ascii="Garamond" w:eastAsia="Garamond" w:hAnsi="Garamond"/>
          <w:i/>
          <w:iCs/>
          <w:sz w:val="22"/>
          <w:szCs w:val="22"/>
        </w:rPr>
      </w:pPr>
      <w:r w:rsidRPr="007F0D27">
        <w:rPr>
          <w:rFonts w:ascii="Garamond" w:eastAsia="Garamond" w:hAnsi="Garamond"/>
          <w:i/>
          <w:iCs/>
          <w:sz w:val="22"/>
          <w:szCs w:val="22"/>
        </w:rPr>
        <w:t>Emerging hot spot results: injury severity index (2005-2020)</w:t>
      </w:r>
    </w:p>
    <w:p w14:paraId="34EE11BD"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noProof/>
          <w:sz w:val="22"/>
          <w:szCs w:val="22"/>
        </w:rPr>
        <w:drawing>
          <wp:inline distT="0" distB="0" distL="0" distR="0" wp14:anchorId="578A3DB7" wp14:editId="6D6E7756">
            <wp:extent cx="5731510" cy="7416165"/>
            <wp:effectExtent l="0" t="0" r="2540" b="0"/>
            <wp:docPr id="461268987" name="Slika 1" descr="Slika koja sadrži tekst, mapa, atlas, dijagram&#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268987" name="Slika 1" descr="Slika koja sadrži tekst, mapa, atlas, dijagram&#10;&#10;Opis je automatski generiran"/>
                    <pic:cNvPicPr/>
                  </pic:nvPicPr>
                  <pic:blipFill>
                    <a:blip r:embed="rId8"/>
                    <a:stretch>
                      <a:fillRect/>
                    </a:stretch>
                  </pic:blipFill>
                  <pic:spPr>
                    <a:xfrm>
                      <a:off x="0" y="0"/>
                      <a:ext cx="5731510" cy="7416165"/>
                    </a:xfrm>
                    <a:prstGeom prst="rect">
                      <a:avLst/>
                    </a:prstGeom>
                  </pic:spPr>
                </pic:pic>
              </a:graphicData>
            </a:graphic>
          </wp:inline>
        </w:drawing>
      </w:r>
    </w:p>
    <w:p w14:paraId="2C2B4BB7" w14:textId="77777777" w:rsidR="00163EF1" w:rsidRPr="007F0D27" w:rsidRDefault="00163EF1" w:rsidP="00163EF1">
      <w:pPr>
        <w:spacing w:line="480" w:lineRule="auto"/>
        <w:rPr>
          <w:rFonts w:ascii="Garamond" w:eastAsia="Garamond" w:hAnsi="Garamond"/>
          <w:i/>
          <w:sz w:val="22"/>
          <w:szCs w:val="22"/>
        </w:rPr>
      </w:pPr>
    </w:p>
    <w:p w14:paraId="0AA2B163" w14:textId="77777777" w:rsidR="00163EF1" w:rsidRPr="007F0D27" w:rsidRDefault="00163EF1">
      <w:pPr>
        <w:spacing w:after="160" w:line="259" w:lineRule="auto"/>
        <w:rPr>
          <w:rFonts w:ascii="Garamond" w:eastAsia="Garamond" w:hAnsi="Garamond"/>
          <w:i/>
          <w:sz w:val="22"/>
          <w:szCs w:val="22"/>
        </w:rPr>
      </w:pPr>
      <w:r w:rsidRPr="007F0D27">
        <w:rPr>
          <w:rFonts w:ascii="Garamond" w:eastAsia="Garamond" w:hAnsi="Garamond"/>
          <w:i/>
          <w:sz w:val="22"/>
          <w:szCs w:val="22"/>
        </w:rPr>
        <w:br w:type="page"/>
      </w:r>
    </w:p>
    <w:p w14:paraId="14046CF9" w14:textId="668EAD7E" w:rsidR="00163EF1" w:rsidRPr="007F0D27" w:rsidRDefault="00163EF1" w:rsidP="00163EF1">
      <w:pPr>
        <w:spacing w:line="480" w:lineRule="auto"/>
        <w:jc w:val="center"/>
        <w:rPr>
          <w:rFonts w:ascii="Garamond" w:eastAsia="Garamond" w:hAnsi="Garamond"/>
          <w:i/>
          <w:sz w:val="22"/>
          <w:szCs w:val="22"/>
        </w:rPr>
      </w:pPr>
      <w:r w:rsidRPr="007F0D27">
        <w:rPr>
          <w:rFonts w:ascii="Garamond" w:eastAsia="Garamond" w:hAnsi="Garamond"/>
          <w:i/>
          <w:sz w:val="22"/>
          <w:szCs w:val="22"/>
        </w:rPr>
        <w:lastRenderedPageBreak/>
        <w:t>Emerging hot spot results – injury count, 2005 to 2020</w:t>
      </w:r>
    </w:p>
    <w:p w14:paraId="08D5367F"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noProof/>
          <w:sz w:val="22"/>
          <w:szCs w:val="22"/>
        </w:rPr>
        <w:drawing>
          <wp:inline distT="0" distB="0" distL="0" distR="0" wp14:anchorId="41E500A0" wp14:editId="0955C0A3">
            <wp:extent cx="5731510" cy="7417435"/>
            <wp:effectExtent l="0" t="0" r="0" b="0"/>
            <wp:docPr id="55" name="image17.jpg" descr="Slika koja sadrži tekst, mapa, atlas, dijagram&#10;&#10;Opis je automatski generiran"/>
            <wp:cNvGraphicFramePr/>
            <a:graphic xmlns:a="http://schemas.openxmlformats.org/drawingml/2006/main">
              <a:graphicData uri="http://schemas.openxmlformats.org/drawingml/2006/picture">
                <pic:pic xmlns:pic="http://schemas.openxmlformats.org/drawingml/2006/picture">
                  <pic:nvPicPr>
                    <pic:cNvPr id="55" name="image17.jpg" descr="Slika koja sadrži tekst, mapa, atlas, dijagram&#10;&#10;Opis je automatski generiran"/>
                    <pic:cNvPicPr preferRelativeResize="0"/>
                  </pic:nvPicPr>
                  <pic:blipFill>
                    <a:blip r:embed="rId9"/>
                    <a:srcRect/>
                    <a:stretch>
                      <a:fillRect/>
                    </a:stretch>
                  </pic:blipFill>
                  <pic:spPr>
                    <a:xfrm>
                      <a:off x="0" y="0"/>
                      <a:ext cx="5731510" cy="7417435"/>
                    </a:xfrm>
                    <a:prstGeom prst="rect">
                      <a:avLst/>
                    </a:prstGeom>
                    <a:ln/>
                  </pic:spPr>
                </pic:pic>
              </a:graphicData>
            </a:graphic>
          </wp:inline>
        </w:drawing>
      </w:r>
    </w:p>
    <w:p w14:paraId="732ED42D" w14:textId="77777777" w:rsidR="00163EF1" w:rsidRPr="007F0D27" w:rsidRDefault="00163EF1">
      <w:pPr>
        <w:spacing w:after="160" w:line="259" w:lineRule="auto"/>
        <w:rPr>
          <w:rFonts w:ascii="Garamond" w:eastAsia="Garamond" w:hAnsi="Garamond"/>
          <w:i/>
          <w:sz w:val="22"/>
          <w:szCs w:val="22"/>
        </w:rPr>
      </w:pPr>
      <w:r w:rsidRPr="007F0D27">
        <w:rPr>
          <w:rFonts w:ascii="Garamond" w:eastAsia="Garamond" w:hAnsi="Garamond"/>
          <w:i/>
          <w:sz w:val="22"/>
          <w:szCs w:val="22"/>
        </w:rPr>
        <w:br w:type="page"/>
      </w:r>
    </w:p>
    <w:p w14:paraId="769855CA" w14:textId="48EACFB3" w:rsidR="00163EF1" w:rsidRPr="007F0D27" w:rsidRDefault="00163EF1" w:rsidP="00163EF1">
      <w:pPr>
        <w:spacing w:line="480" w:lineRule="auto"/>
        <w:jc w:val="center"/>
        <w:rPr>
          <w:rFonts w:ascii="Garamond" w:eastAsia="Garamond" w:hAnsi="Garamond"/>
          <w:i/>
          <w:sz w:val="22"/>
          <w:szCs w:val="22"/>
        </w:rPr>
      </w:pPr>
      <w:r w:rsidRPr="007F0D27">
        <w:rPr>
          <w:rFonts w:ascii="Garamond" w:eastAsia="Garamond" w:hAnsi="Garamond"/>
          <w:i/>
          <w:sz w:val="22"/>
          <w:szCs w:val="22"/>
        </w:rPr>
        <w:lastRenderedPageBreak/>
        <w:t>Emerging hot spot results – severe injury count, 2005 to 2020</w:t>
      </w:r>
    </w:p>
    <w:p w14:paraId="4D20144D"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noProof/>
          <w:sz w:val="22"/>
          <w:szCs w:val="22"/>
        </w:rPr>
        <w:drawing>
          <wp:inline distT="0" distB="0" distL="0" distR="0" wp14:anchorId="39CBDDC5" wp14:editId="5D079D04">
            <wp:extent cx="5731510" cy="7417435"/>
            <wp:effectExtent l="0" t="0" r="0" b="0"/>
            <wp:docPr id="56" name="image20.jpg" descr="Slika koja sadrži tekst, mapa, atlas, dijagram&#10;&#10;Opis je automatski generiran"/>
            <wp:cNvGraphicFramePr/>
            <a:graphic xmlns:a="http://schemas.openxmlformats.org/drawingml/2006/main">
              <a:graphicData uri="http://schemas.openxmlformats.org/drawingml/2006/picture">
                <pic:pic xmlns:pic="http://schemas.openxmlformats.org/drawingml/2006/picture">
                  <pic:nvPicPr>
                    <pic:cNvPr id="56" name="image20.jpg" descr="Slika koja sadrži tekst, mapa, atlas, dijagram&#10;&#10;Opis je automatski generiran"/>
                    <pic:cNvPicPr preferRelativeResize="0"/>
                  </pic:nvPicPr>
                  <pic:blipFill>
                    <a:blip r:embed="rId10"/>
                    <a:srcRect/>
                    <a:stretch>
                      <a:fillRect/>
                    </a:stretch>
                  </pic:blipFill>
                  <pic:spPr>
                    <a:xfrm>
                      <a:off x="0" y="0"/>
                      <a:ext cx="5731510" cy="7417435"/>
                    </a:xfrm>
                    <a:prstGeom prst="rect">
                      <a:avLst/>
                    </a:prstGeom>
                    <a:ln/>
                  </pic:spPr>
                </pic:pic>
              </a:graphicData>
            </a:graphic>
          </wp:inline>
        </w:drawing>
      </w:r>
    </w:p>
    <w:p w14:paraId="62B7B9CB" w14:textId="77777777" w:rsidR="00163EF1" w:rsidRPr="007F0D27" w:rsidRDefault="00163EF1" w:rsidP="00163EF1">
      <w:pPr>
        <w:spacing w:line="480" w:lineRule="auto"/>
        <w:rPr>
          <w:rFonts w:ascii="Garamond" w:eastAsia="Garamond" w:hAnsi="Garamond"/>
          <w:i/>
          <w:sz w:val="22"/>
          <w:szCs w:val="22"/>
        </w:rPr>
      </w:pPr>
    </w:p>
    <w:p w14:paraId="7853FBAB" w14:textId="77777777" w:rsidR="00163EF1" w:rsidRPr="007F0D27" w:rsidRDefault="00163EF1">
      <w:pPr>
        <w:spacing w:after="160" w:line="259" w:lineRule="auto"/>
        <w:rPr>
          <w:rFonts w:ascii="Garamond" w:eastAsia="Garamond" w:hAnsi="Garamond"/>
          <w:i/>
          <w:sz w:val="22"/>
          <w:szCs w:val="22"/>
        </w:rPr>
      </w:pPr>
      <w:r w:rsidRPr="007F0D27">
        <w:rPr>
          <w:rFonts w:ascii="Garamond" w:eastAsia="Garamond" w:hAnsi="Garamond"/>
          <w:i/>
          <w:sz w:val="22"/>
          <w:szCs w:val="22"/>
        </w:rPr>
        <w:br w:type="page"/>
      </w:r>
    </w:p>
    <w:p w14:paraId="3D5F8932" w14:textId="212A8C45" w:rsidR="00163EF1" w:rsidRPr="007F0D27" w:rsidRDefault="00163EF1" w:rsidP="00163EF1">
      <w:pPr>
        <w:spacing w:line="480" w:lineRule="auto"/>
        <w:jc w:val="center"/>
        <w:rPr>
          <w:rFonts w:ascii="Garamond" w:eastAsia="Garamond" w:hAnsi="Garamond"/>
          <w:i/>
          <w:sz w:val="22"/>
          <w:szCs w:val="22"/>
        </w:rPr>
      </w:pPr>
      <w:r w:rsidRPr="007F0D27">
        <w:rPr>
          <w:rFonts w:ascii="Garamond" w:eastAsia="Garamond" w:hAnsi="Garamond"/>
          <w:i/>
          <w:sz w:val="22"/>
          <w:szCs w:val="22"/>
        </w:rPr>
        <w:lastRenderedPageBreak/>
        <w:t>Emerging hot spot results – death count, 2005 to 2020</w:t>
      </w:r>
    </w:p>
    <w:p w14:paraId="151F24F3" w14:textId="77777777" w:rsidR="00163EF1" w:rsidRPr="007F0D27" w:rsidRDefault="00163EF1" w:rsidP="00163EF1">
      <w:pPr>
        <w:spacing w:line="480" w:lineRule="auto"/>
        <w:rPr>
          <w:rFonts w:ascii="Garamond" w:eastAsia="Garamond" w:hAnsi="Garamond"/>
          <w:i/>
          <w:sz w:val="22"/>
          <w:szCs w:val="22"/>
        </w:rPr>
      </w:pPr>
      <w:r w:rsidRPr="007F0D27">
        <w:rPr>
          <w:rFonts w:ascii="Garamond" w:hAnsi="Garamond"/>
          <w:noProof/>
          <w:sz w:val="22"/>
          <w:szCs w:val="22"/>
        </w:rPr>
        <w:drawing>
          <wp:inline distT="0" distB="0" distL="0" distR="0" wp14:anchorId="081F831D" wp14:editId="3BF5AF26">
            <wp:extent cx="5731510" cy="7417435"/>
            <wp:effectExtent l="0" t="0" r="0" b="0"/>
            <wp:docPr id="57" name="image19.jpg" descr="Slika koja sadrži tekst, mapa, atlas, dijagram&#10;&#10;Opis je automatski generiran"/>
            <wp:cNvGraphicFramePr/>
            <a:graphic xmlns:a="http://schemas.openxmlformats.org/drawingml/2006/main">
              <a:graphicData uri="http://schemas.openxmlformats.org/drawingml/2006/picture">
                <pic:pic xmlns:pic="http://schemas.openxmlformats.org/drawingml/2006/picture">
                  <pic:nvPicPr>
                    <pic:cNvPr id="57" name="image19.jpg" descr="Slika koja sadrži tekst, mapa, atlas, dijagram&#10;&#10;Opis je automatski generiran"/>
                    <pic:cNvPicPr preferRelativeResize="0"/>
                  </pic:nvPicPr>
                  <pic:blipFill>
                    <a:blip r:embed="rId11"/>
                    <a:srcRect/>
                    <a:stretch>
                      <a:fillRect/>
                    </a:stretch>
                  </pic:blipFill>
                  <pic:spPr>
                    <a:xfrm>
                      <a:off x="0" y="0"/>
                      <a:ext cx="5731510" cy="7417435"/>
                    </a:xfrm>
                    <a:prstGeom prst="rect">
                      <a:avLst/>
                    </a:prstGeom>
                    <a:ln/>
                  </pic:spPr>
                </pic:pic>
              </a:graphicData>
            </a:graphic>
          </wp:inline>
        </w:drawing>
      </w:r>
    </w:p>
    <w:p w14:paraId="66D93353" w14:textId="77777777" w:rsidR="00163EF1" w:rsidRPr="007F0D27" w:rsidRDefault="00163EF1" w:rsidP="00163EF1">
      <w:pPr>
        <w:pStyle w:val="BiographyBody"/>
        <w:tabs>
          <w:tab w:val="left" w:pos="540"/>
        </w:tabs>
        <w:spacing w:line="480" w:lineRule="auto"/>
        <w:ind w:left="540" w:hanging="540"/>
        <w:jc w:val="left"/>
        <w:rPr>
          <w:rFonts w:ascii="Garamond" w:hAnsi="Garamond"/>
          <w:sz w:val="22"/>
          <w:szCs w:val="22"/>
        </w:rPr>
      </w:pPr>
    </w:p>
    <w:p w14:paraId="035AA2E2" w14:textId="77777777" w:rsidR="007E618A" w:rsidRPr="007F0D27" w:rsidRDefault="007E618A">
      <w:pPr>
        <w:rPr>
          <w:rFonts w:ascii="Garamond" w:hAnsi="Garamond"/>
          <w:sz w:val="22"/>
          <w:szCs w:val="22"/>
        </w:rPr>
      </w:pPr>
    </w:p>
    <w:sectPr w:rsidR="007E618A" w:rsidRPr="007F0D27" w:rsidSect="00E96E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C6254"/>
    <w:multiLevelType w:val="multilevel"/>
    <w:tmpl w:val="3222B86A"/>
    <w:lvl w:ilvl="0">
      <w:start w:val="1"/>
      <w:numFmt w:val="decimal"/>
      <w:pStyle w:val="Heading1"/>
      <w:suff w:val="space"/>
      <w:lvlText w:val="Chapter %1."/>
      <w:lvlJc w:val="left"/>
      <w:pPr>
        <w:ind w:left="2592" w:hanging="2592"/>
      </w:pPr>
      <w:rPr>
        <w:rFonts w:ascii="Times New Roman" w:hAnsi="Times New Roman" w:hint="default"/>
        <w:b w:val="0"/>
        <w:i w:val="0"/>
        <w:caps w:val="0"/>
        <w:sz w:val="32"/>
        <w:szCs w:val="32"/>
      </w:rPr>
    </w:lvl>
    <w:lvl w:ilvl="1">
      <w:start w:val="1"/>
      <w:numFmt w:val="decimal"/>
      <w:pStyle w:val="Heading2"/>
      <w:lvlText w:val="%1.%2"/>
      <w:lvlJc w:val="left"/>
      <w:pPr>
        <w:tabs>
          <w:tab w:val="num" w:pos="4140"/>
        </w:tabs>
        <w:ind w:left="4140" w:hanging="720"/>
      </w:pPr>
      <w:rPr>
        <w:rFonts w:ascii="Times New Roman" w:hAnsi="Times New Roman" w:cs="Times New Roman" w:hint="default"/>
        <w:b w:val="0"/>
        <w:i w:val="0"/>
        <w:sz w:val="28"/>
        <w:szCs w:val="32"/>
      </w:rPr>
    </w:lvl>
    <w:lvl w:ilvl="2">
      <w:start w:val="1"/>
      <w:numFmt w:val="decimal"/>
      <w:lvlText w:val="%1.%2.%3"/>
      <w:lvlJc w:val="left"/>
      <w:pPr>
        <w:tabs>
          <w:tab w:val="num" w:pos="2880"/>
        </w:tabs>
        <w:ind w:left="2880" w:hanging="2880"/>
      </w:pPr>
      <w:rPr>
        <w:rFonts w:ascii="Times New Roman" w:hAnsi="Times New Roman" w:cs="Times New Roman" w:hint="default"/>
        <w:b w:val="0"/>
        <w:i w:val="0"/>
        <w:sz w:val="24"/>
      </w:rPr>
    </w:lvl>
    <w:lvl w:ilvl="3">
      <w:start w:val="1"/>
      <w:numFmt w:val="decimal"/>
      <w:lvlText w:val="%1.%2.%3.%4"/>
      <w:lvlJc w:val="left"/>
      <w:pPr>
        <w:tabs>
          <w:tab w:val="num" w:pos="3024"/>
        </w:tabs>
        <w:ind w:left="3024" w:hanging="864"/>
      </w:pPr>
      <w:rPr>
        <w:rFonts w:hint="default"/>
      </w:rPr>
    </w:lvl>
    <w:lvl w:ilvl="4">
      <w:start w:val="1"/>
      <w:numFmt w:val="decimal"/>
      <w:lvlText w:val="%1.%2.%3.%4.%5"/>
      <w:lvlJc w:val="left"/>
      <w:pPr>
        <w:tabs>
          <w:tab w:val="num" w:pos="3168"/>
        </w:tabs>
        <w:ind w:left="3168" w:hanging="1008"/>
      </w:pPr>
      <w:rPr>
        <w:rFonts w:hint="default"/>
      </w:rPr>
    </w:lvl>
    <w:lvl w:ilvl="5">
      <w:start w:val="1"/>
      <w:numFmt w:val="decimal"/>
      <w:lvlText w:val="%1.%2.%3.%4.%5.%6"/>
      <w:lvlJc w:val="left"/>
      <w:pPr>
        <w:tabs>
          <w:tab w:val="num" w:pos="3312"/>
        </w:tabs>
        <w:ind w:left="3312" w:hanging="1152"/>
      </w:pPr>
      <w:rPr>
        <w:rFonts w:hint="default"/>
      </w:rPr>
    </w:lvl>
    <w:lvl w:ilvl="6">
      <w:start w:val="1"/>
      <w:numFmt w:val="decimal"/>
      <w:lvlText w:val="%1.%2.%3.%4.%5.%6.%7"/>
      <w:lvlJc w:val="left"/>
      <w:pPr>
        <w:tabs>
          <w:tab w:val="num" w:pos="3456"/>
        </w:tabs>
        <w:ind w:left="3456" w:hanging="1296"/>
      </w:pPr>
      <w:rPr>
        <w:rFonts w:hint="default"/>
      </w:rPr>
    </w:lvl>
    <w:lvl w:ilvl="7">
      <w:start w:val="1"/>
      <w:numFmt w:val="decimal"/>
      <w:lvlText w:val="%1.%2.%3.%4.%5.%6.%7.%8"/>
      <w:lvlJc w:val="left"/>
      <w:pPr>
        <w:tabs>
          <w:tab w:val="num" w:pos="3600"/>
        </w:tabs>
        <w:ind w:left="3600" w:hanging="1440"/>
      </w:pPr>
      <w:rPr>
        <w:rFonts w:hint="default"/>
      </w:rPr>
    </w:lvl>
    <w:lvl w:ilvl="8">
      <w:start w:val="1"/>
      <w:numFmt w:val="decimal"/>
      <w:lvlText w:val="%1.%2.%3.%4.%5.%6.%7.%8.%9"/>
      <w:lvlJc w:val="left"/>
      <w:pPr>
        <w:tabs>
          <w:tab w:val="num" w:pos="3744"/>
        </w:tabs>
        <w:ind w:left="3744" w:hanging="1584"/>
      </w:pPr>
      <w:rPr>
        <w:rFonts w:hint="default"/>
      </w:rPr>
    </w:lvl>
  </w:abstractNum>
  <w:num w:numId="1" w16cid:durableId="1900480817">
    <w:abstractNumId w:val="0"/>
  </w:num>
  <w:num w:numId="2" w16cid:durableId="6565651">
    <w:abstractNumId w:val="0"/>
  </w:num>
  <w:num w:numId="3" w16cid:durableId="17631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F1"/>
    <w:rsid w:val="00163EF1"/>
    <w:rsid w:val="00227103"/>
    <w:rsid w:val="00316475"/>
    <w:rsid w:val="007E618A"/>
    <w:rsid w:val="007F0D27"/>
    <w:rsid w:val="00935519"/>
    <w:rsid w:val="009826C9"/>
    <w:rsid w:val="00AE4B56"/>
    <w:rsid w:val="00D73341"/>
    <w:rsid w:val="00E96EDE"/>
    <w:rsid w:val="00FE54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4FD7A"/>
  <w15:chartTrackingRefBased/>
  <w15:docId w15:val="{467FB43E-D7FE-496D-9F5E-9D48C351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EF1"/>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autoRedefine/>
    <w:qFormat/>
    <w:rsid w:val="00FE5480"/>
    <w:pPr>
      <w:keepNext/>
      <w:numPr>
        <w:numId w:val="3"/>
      </w:numPr>
      <w:spacing w:before="240" w:after="320" w:line="360" w:lineRule="auto"/>
      <w:outlineLvl w:val="0"/>
    </w:pPr>
    <w:rPr>
      <w:bCs/>
      <w:kern w:val="32"/>
      <w:sz w:val="32"/>
      <w:szCs w:val="32"/>
    </w:rPr>
  </w:style>
  <w:style w:type="paragraph" w:styleId="Heading2">
    <w:name w:val="heading 2"/>
    <w:basedOn w:val="Normal"/>
    <w:next w:val="Normal"/>
    <w:link w:val="Heading2Char"/>
    <w:autoRedefine/>
    <w:qFormat/>
    <w:rsid w:val="00FE5480"/>
    <w:pPr>
      <w:keepNext/>
      <w:numPr>
        <w:ilvl w:val="1"/>
        <w:numId w:val="3"/>
      </w:numPr>
      <w:spacing w:before="240" w:after="240" w:line="360" w:lineRule="auto"/>
      <w:outlineLvl w:val="1"/>
    </w:pPr>
    <w:rPr>
      <w:rFonts w:cs="Arial"/>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5480"/>
    <w:rPr>
      <w:rFonts w:ascii="Times New Roman" w:eastAsia="Times New Roman" w:hAnsi="Times New Roman" w:cs="Times New Roman"/>
      <w:bCs/>
      <w:kern w:val="32"/>
      <w:sz w:val="32"/>
      <w:szCs w:val="32"/>
      <w14:ligatures w14:val="none"/>
    </w:rPr>
  </w:style>
  <w:style w:type="character" w:customStyle="1" w:styleId="Heading2Char">
    <w:name w:val="Heading 2 Char"/>
    <w:basedOn w:val="DefaultParagraphFont"/>
    <w:link w:val="Heading2"/>
    <w:rsid w:val="00FE5480"/>
    <w:rPr>
      <w:rFonts w:ascii="Times New Roman" w:eastAsia="Times New Roman" w:hAnsi="Times New Roman" w:cs="Arial"/>
      <w:bCs/>
      <w:iCs/>
      <w:kern w:val="0"/>
      <w:sz w:val="28"/>
      <w:szCs w:val="28"/>
      <w14:ligatures w14:val="none"/>
    </w:rPr>
  </w:style>
  <w:style w:type="paragraph" w:customStyle="1" w:styleId="BiographyBody">
    <w:name w:val="Biography Body"/>
    <w:basedOn w:val="Normal"/>
    <w:rsid w:val="00163EF1"/>
    <w:pPr>
      <w:ind w:firstLine="240"/>
      <w:jc w:val="both"/>
    </w:pPr>
    <w:rPr>
      <w:sz w:val="16"/>
      <w:szCs w:val="20"/>
    </w:rPr>
  </w:style>
  <w:style w:type="paragraph" w:customStyle="1" w:styleId="CenteredNormal">
    <w:name w:val="Centered Normal"/>
    <w:basedOn w:val="Normal"/>
    <w:link w:val="CenteredNormalChar"/>
    <w:qFormat/>
    <w:rsid w:val="00163EF1"/>
    <w:pPr>
      <w:jc w:val="center"/>
    </w:pPr>
  </w:style>
  <w:style w:type="paragraph" w:customStyle="1" w:styleId="CenteredNormalSpaced">
    <w:name w:val="Centered Normal Spaced"/>
    <w:basedOn w:val="Normal"/>
    <w:link w:val="CenteredNormalSpacedChar"/>
    <w:qFormat/>
    <w:rsid w:val="00163EF1"/>
    <w:pPr>
      <w:spacing w:line="360" w:lineRule="auto"/>
      <w:jc w:val="center"/>
    </w:pPr>
  </w:style>
  <w:style w:type="character" w:customStyle="1" w:styleId="CenteredNormalChar">
    <w:name w:val="Centered Normal Char"/>
    <w:basedOn w:val="DefaultParagraphFont"/>
    <w:link w:val="CenteredNormal"/>
    <w:rsid w:val="00163EF1"/>
    <w:rPr>
      <w:rFonts w:ascii="Times New Roman" w:eastAsia="Times New Roman" w:hAnsi="Times New Roman" w:cs="Times New Roman"/>
      <w:kern w:val="0"/>
      <w:sz w:val="24"/>
      <w:szCs w:val="24"/>
      <w14:ligatures w14:val="none"/>
    </w:rPr>
  </w:style>
  <w:style w:type="character" w:customStyle="1" w:styleId="CenteredNormalSpacedChar">
    <w:name w:val="Centered Normal Spaced Char"/>
    <w:basedOn w:val="DefaultParagraphFont"/>
    <w:link w:val="CenteredNormalSpaced"/>
    <w:rsid w:val="00163EF1"/>
    <w:rPr>
      <w:rFonts w:ascii="Times New Roman" w:eastAsia="Times New Roman" w:hAnsi="Times New Roman" w:cs="Times New Roman"/>
      <w:kern w:val="0"/>
      <w:sz w:val="24"/>
      <w:szCs w:val="24"/>
      <w14:ligatures w14:val="none"/>
    </w:rPr>
  </w:style>
  <w:style w:type="table" w:styleId="TableGridLight">
    <w:name w:val="Grid Table Light"/>
    <w:basedOn w:val="TableNormal"/>
    <w:uiPriority w:val="40"/>
    <w:rsid w:val="00163EF1"/>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
    <w:name w:val="Body"/>
    <w:basedOn w:val="Normal"/>
    <w:link w:val="BodyChar"/>
    <w:qFormat/>
    <w:rsid w:val="00227103"/>
    <w:pPr>
      <w:spacing w:line="360" w:lineRule="auto"/>
      <w:jc w:val="both"/>
    </w:pPr>
  </w:style>
  <w:style w:type="character" w:customStyle="1" w:styleId="BodyChar">
    <w:name w:val="Body Char"/>
    <w:basedOn w:val="DefaultParagraphFont"/>
    <w:link w:val="Body"/>
    <w:rsid w:val="00227103"/>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2543</Words>
  <Characters>14499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Aldina Mesic</dc:creator>
  <cp:keywords/>
  <dc:description/>
  <cp:lastModifiedBy>Aldina Mesic</cp:lastModifiedBy>
  <cp:revision>4</cp:revision>
  <dcterms:created xsi:type="dcterms:W3CDTF">2024-01-31T17:54:00Z</dcterms:created>
  <dcterms:modified xsi:type="dcterms:W3CDTF">2024-02-01T09:04:00Z</dcterms:modified>
</cp:coreProperties>
</file>