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7165" cy="4945380"/>
            <wp:effectExtent l="0" t="0" r="635" b="7620"/>
            <wp:docPr id="1" name="图片 1" descr="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494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default" w:ascii="Times New Roman" w:hAnsi="Times New Roman" w:cs="Times New Roman" w:eastAsiaTheme="minorEastAsia"/>
          <w:sz w:val="28"/>
          <w:szCs w:val="36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36"/>
          <w:lang w:val="en-US" w:eastAsia="zh-CN"/>
        </w:rPr>
        <w:t>Figure S1</w:t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 xml:space="preserve"> Age ratio of incidence of pertussis disease by different SDI classifications in 1990 (A) and 2019 (B).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hOTIwMjUyZDc2MTMyYWU2M2QxOGMzNjM3ZDkzYTQifQ=="/>
  </w:docVars>
  <w:rsids>
    <w:rsidRoot w:val="00000000"/>
    <w:rsid w:val="3308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2024-05-09T14:38:53Z</dcterms:created>
  <dc:creator>yanwu</dc:creator>
  <cp:lastModifiedBy>cherish</cp:lastModifiedBy>
  <dcterms:modified xsi:type="dcterms:W3CDTF">2024-05-09T14:53:57Z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F4AF9AA88A7643BC963DF62062130F01_12</vt:lpwstr>
  </property>
</Properties>
</file>