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4"/>
        <w:keepNext/>
        <w:keepLines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Table S2</w:t>
      </w:r>
      <w:r>
        <w:rPr>
          <w:rFonts w:hint="eastAsia" w:ascii="宋体" w:hAnsi="宋体" w:eastAsia="宋体" w:cs="Times New Roman"/>
          <w:i w:val="0"/>
          <w:lang w:eastAsia="zh-CN"/>
        </w:rPr>
        <w:t>.</w:t>
      </w:r>
      <w:r>
        <w:rPr>
          <w:rFonts w:ascii="Times New Roman" w:hAnsi="Times New Roman" w:cs="Times New Roman"/>
          <w:i w:val="0"/>
        </w:rPr>
        <w:t xml:space="preserve"> The ASIR, ASYR, ASDR of pertussis</w:t>
      </w:r>
      <w:bookmarkStart w:id="0" w:name="_GoBack"/>
      <w:bookmarkEnd w:id="0"/>
      <w:r>
        <w:rPr>
          <w:rFonts w:ascii="Times New Roman" w:hAnsi="Times New Roman" w:cs="Times New Roman"/>
          <w:i w:val="0"/>
        </w:rPr>
        <w:t xml:space="preserve"> in 1990 and 2019 for all </w:t>
      </w:r>
      <w:r>
        <w:rPr>
          <w:rFonts w:ascii="Times New Roman" w:hAnsi="Times New Roman" w:eastAsia="宋体" w:cs="Times New Roman"/>
          <w:i w:val="0"/>
          <w:lang w:eastAsia="zh-CN"/>
        </w:rPr>
        <w:t>region</w:t>
      </w:r>
      <w:r>
        <w:rPr>
          <w:rFonts w:ascii="Times New Roman" w:hAnsi="Times New Roman" w:cs="Times New Roman"/>
          <w:i w:val="0"/>
        </w:rPr>
        <w:t>s</w:t>
      </w:r>
    </w:p>
    <w:tbl>
      <w:tblPr>
        <w:tblStyle w:val="12"/>
        <w:tblW w:w="1591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608"/>
        <w:gridCol w:w="1872"/>
        <w:gridCol w:w="2410"/>
        <w:gridCol w:w="1075"/>
        <w:gridCol w:w="1193"/>
        <w:gridCol w:w="538"/>
        <w:gridCol w:w="1872"/>
        <w:gridCol w:w="2551"/>
        <w:gridCol w:w="1105"/>
        <w:gridCol w:w="10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665" w:type="dxa"/>
            <w:vMerge w:val="restart"/>
            <w:tcBorders>
              <w:top w:val="single" w:color="000000" w:sz="12" w:space="0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Location</w:t>
            </w:r>
          </w:p>
        </w:tc>
        <w:tc>
          <w:tcPr>
            <w:tcW w:w="608" w:type="dxa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</w:p>
        </w:tc>
        <w:tc>
          <w:tcPr>
            <w:tcW w:w="5357" w:type="dxa"/>
            <w:gridSpan w:val="3"/>
            <w:tcBorders>
              <w:top w:val="single" w:color="000000" w:sz="12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1990</w:t>
            </w:r>
          </w:p>
        </w:tc>
        <w:tc>
          <w:tcPr>
            <w:tcW w:w="1193" w:type="dxa"/>
            <w:tcBorders>
              <w:top w:val="single" w:color="000000" w:sz="12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538" w:type="dxa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</w:p>
        </w:tc>
        <w:tc>
          <w:tcPr>
            <w:tcW w:w="5528" w:type="dxa"/>
            <w:gridSpan w:val="3"/>
            <w:tcBorders>
              <w:top w:val="single" w:color="000000" w:sz="12" w:space="0"/>
              <w:bottom w:val="single" w:color="000000" w:sz="8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2019</w:t>
            </w:r>
          </w:p>
        </w:tc>
        <w:tc>
          <w:tcPr>
            <w:tcW w:w="1022" w:type="dxa"/>
            <w:tcBorders>
              <w:top w:val="single" w:color="000000" w:sz="12" w:space="0"/>
            </w:tcBorders>
            <w:shd w:val="clear" w:color="auto" w:fill="FFFFFF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665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/>
                <w:color w:val="000000"/>
                <w:sz w:val="21"/>
                <w:szCs w:val="21"/>
              </w:rPr>
            </w:pPr>
          </w:p>
        </w:tc>
        <w:tc>
          <w:tcPr>
            <w:tcW w:w="2480" w:type="dxa"/>
            <w:gridSpan w:val="2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  <w:t>ASIR</w:t>
            </w:r>
          </w:p>
        </w:tc>
        <w:tc>
          <w:tcPr>
            <w:tcW w:w="2410" w:type="dxa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  <w:t>ASYR</w:t>
            </w:r>
          </w:p>
        </w:tc>
        <w:tc>
          <w:tcPr>
            <w:tcW w:w="2268" w:type="dxa"/>
            <w:gridSpan w:val="2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  <w:t>ASDR</w:t>
            </w:r>
          </w:p>
        </w:tc>
        <w:tc>
          <w:tcPr>
            <w:tcW w:w="2410" w:type="dxa"/>
            <w:gridSpan w:val="2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  <w:t>ASIR</w:t>
            </w:r>
          </w:p>
        </w:tc>
        <w:tc>
          <w:tcPr>
            <w:tcW w:w="2551" w:type="dxa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  <w:t>ASYR</w:t>
            </w:r>
          </w:p>
        </w:tc>
        <w:tc>
          <w:tcPr>
            <w:tcW w:w="2127" w:type="dxa"/>
            <w:gridSpan w:val="2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/>
                <w:color w:val="000000"/>
                <w:sz w:val="21"/>
                <w:szCs w:val="21"/>
                <w:lang w:eastAsia="zh-CN"/>
              </w:rPr>
              <w:t>ASDR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Global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618.2 (466.8-791.1)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419 (174.8-839.2)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4.8 (2-9.7)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252.3 (193-320.7)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131.7 (61.2-238.9)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1.5 (0.7-2.7)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</w:pPr>
            <w:r>
              <w:rPr>
                <w:rFonts w:ascii="Times New Roman"/>
                <w:color w:val="000000"/>
                <w:sz w:val="22"/>
                <w:szCs w:val="22"/>
              </w:rPr>
              <w:t>High SDI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124.7 (95.3-159.3)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10.7 (3.9-22.7)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0.1 (0-0.2)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69.2 (52.9-89.7)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1.4 (0.8-2.3)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</w:pPr>
            <w:r>
              <w:rPr>
                <w:rFonts w:ascii="Times New Roman"/>
                <w:color w:val="000000"/>
                <w:sz w:val="22"/>
                <w:szCs w:val="22"/>
              </w:rPr>
              <w:t>High-middle SDI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314.5 (240.8-400)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94.2 (31.9-212.5)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1.1 (0.4-2.4)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82.2 (62.7-105.2)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9.7 (4.4-19.6)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0.1 (0-0.2)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</w:pPr>
            <w:r>
              <w:rPr>
                <w:rFonts w:ascii="Times New Roman"/>
                <w:color w:val="000000"/>
                <w:sz w:val="22"/>
                <w:szCs w:val="22"/>
              </w:rPr>
              <w:t>Middle SDI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542.7 (412.6-696.4)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285.9 (113.7-575.8)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3.3 (1.3-6.6)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184.2 (141.3-234.6)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48.6 (23.2-89)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0.6 (0.3-1)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</w:pPr>
            <w:r>
              <w:rPr>
                <w:rFonts w:ascii="Times New Roman"/>
                <w:color w:val="000000"/>
                <w:sz w:val="22"/>
                <w:szCs w:val="22"/>
              </w:rPr>
              <w:t>Low-middle SDI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1012.5 (762.3-1300.2)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746.9 (244.8-1760.7)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8.6 (2.8-20.3)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305.7 (233.9-388.9)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147.4 (63-297.3)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1.7 (0.7-3.4)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</w:pPr>
            <w:r>
              <w:rPr>
                <w:rFonts w:ascii="Times New Roman"/>
                <w:color w:val="000000"/>
                <w:sz w:val="22"/>
                <w:szCs w:val="22"/>
              </w:rPr>
              <w:t>Low SDI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1450 (1088.8-1851.5)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1493 (566.9-3031.5)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17.1 (6.5-34.9)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692.9 (526.2-888.6)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555 (235.4-1057.7)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6.4 (2.7-12.2)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Andean Latin America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734.1 (556.8-939.9)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591.4 (169.5-1390.3)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6.8 (1.9-16)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330.3 (252.7-420.3)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98.2 (34-218.9)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1.1 (0.4-2.5)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Australasia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161.1 (123.2-205.7)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1.1 (0.6-1.8)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 (0-0)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86 (65.7-111.4)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0.7 (0.5-1.1)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Caribbean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544.9 (413.4-698.2)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423.4 (85.6-1282.1)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4.8 (0.9-14.8)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284.3 (217.3-361.8)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171.1 (36.4-476.8)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 (0.4-5.5)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Central Asia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510.4 (388.7-652.1)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93.5 (28.1-224.8)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 (0.3-2.6)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185.5 (142-238.8)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25.9 (7.8-60.1)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0.3 (0.1-0.7)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Central Europe</w:t>
            </w:r>
          </w:p>
        </w:tc>
        <w:tc>
          <w:tcPr>
            <w:tcW w:w="248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111.8 (85.6-144)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13.5 (5.4-25.7)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0.1 (0.1-0.3)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89.4 (68.4-114.9)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3.7 (1.9-6.4)</w:t>
            </w:r>
          </w:p>
        </w:tc>
        <w:tc>
          <w:tcPr>
            <w:tcW w:w="2127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 (0-0.1)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Central Latin America</w:t>
            </w:r>
          </w:p>
        </w:tc>
        <w:tc>
          <w:tcPr>
            <w:tcW w:w="248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764.6 (576.9-979)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75.5 (43.3-136.5)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0.8 (0.5-1.5)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323.7 (247-413.2)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10.8 (5.3-24.1)</w:t>
            </w:r>
          </w:p>
        </w:tc>
        <w:tc>
          <w:tcPr>
            <w:tcW w:w="2127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0.1 (0-0.3)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Central Sub-Saharan Africa</w:t>
            </w:r>
          </w:p>
        </w:tc>
        <w:tc>
          <w:tcPr>
            <w:tcW w:w="248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1560.3 (1171-1990.5)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1647.7 (357.4-4691.7)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18.9 (4-53.8)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845.2 (638.8-1080.6)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592.3 (148.5-1503.4)</w:t>
            </w:r>
          </w:p>
        </w:tc>
        <w:tc>
          <w:tcPr>
            <w:tcW w:w="2127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6.8 (1.6-17.3)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East Asia</w:t>
            </w:r>
          </w:p>
        </w:tc>
        <w:tc>
          <w:tcPr>
            <w:tcW w:w="248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345.3 (264.5-439.5)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223.3 (26.6-625.8)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2.6 (0.3-7.2)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27.8 (20.4-37.5)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4.2 (0.6-11.9)</w:t>
            </w:r>
          </w:p>
        </w:tc>
        <w:tc>
          <w:tcPr>
            <w:tcW w:w="2127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 (0-0.1)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Eastern Europe</w:t>
            </w:r>
          </w:p>
        </w:tc>
        <w:tc>
          <w:tcPr>
            <w:tcW w:w="248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388.9 (295.1-498.3)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3.1 (1.9-4.7)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 (0-0)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72.8 (55.5-92.9)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0.6 (0.4-0.9)</w:t>
            </w:r>
          </w:p>
        </w:tc>
        <w:tc>
          <w:tcPr>
            <w:tcW w:w="2127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Eastern Sub-Saharan Africa</w:t>
            </w:r>
          </w:p>
        </w:tc>
        <w:tc>
          <w:tcPr>
            <w:tcW w:w="2480" w:type="dxa"/>
            <w:gridSpan w:val="2"/>
            <w:tcBorders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1256.8 (946.4-1613.2)</w:t>
            </w:r>
          </w:p>
        </w:tc>
        <w:tc>
          <w:tcPr>
            <w:tcW w:w="2410" w:type="dxa"/>
            <w:tcBorders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1562.6 (526.3-3626.7)</w:t>
            </w:r>
          </w:p>
        </w:tc>
        <w:tc>
          <w:tcPr>
            <w:tcW w:w="2268" w:type="dxa"/>
            <w:gridSpan w:val="2"/>
            <w:tcBorders>
              <w:bottom w:val="single" w:color="auto" w:sz="12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17.9 (6-41.7)</w:t>
            </w:r>
          </w:p>
        </w:tc>
        <w:tc>
          <w:tcPr>
            <w:tcW w:w="2410" w:type="dxa"/>
            <w:gridSpan w:val="2"/>
            <w:tcBorders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588.3 (447.9-752)</w:t>
            </w:r>
          </w:p>
        </w:tc>
        <w:tc>
          <w:tcPr>
            <w:tcW w:w="2551" w:type="dxa"/>
            <w:tcBorders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497.9 (184.1-1012.6)</w:t>
            </w:r>
          </w:p>
        </w:tc>
        <w:tc>
          <w:tcPr>
            <w:tcW w:w="2127" w:type="dxa"/>
            <w:gridSpan w:val="2"/>
            <w:tcBorders>
              <w:bottom w:val="single" w:color="auto" w:sz="12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5.7 (2.1-11.7)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single" w:color="auto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High-income Asia Pacific</w:t>
            </w:r>
          </w:p>
        </w:tc>
        <w:tc>
          <w:tcPr>
            <w:tcW w:w="248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168.1 (129-214.2)</w:t>
            </w:r>
          </w:p>
        </w:tc>
        <w:tc>
          <w:tcPr>
            <w:tcW w:w="241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21 (3.3-57.5)</w:t>
            </w:r>
          </w:p>
        </w:tc>
        <w:tc>
          <w:tcPr>
            <w:tcW w:w="226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0.2 (0-0.7)</w:t>
            </w:r>
          </w:p>
        </w:tc>
        <w:tc>
          <w:tcPr>
            <w:tcW w:w="241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34.7 (26.2-45.4)</w:t>
            </w:r>
          </w:p>
        </w:tc>
        <w:tc>
          <w:tcPr>
            <w:tcW w:w="255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1.2 (0.4-3.1)</w:t>
            </w:r>
          </w:p>
        </w:tc>
        <w:tc>
          <w:tcPr>
            <w:tcW w:w="2127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High-income North America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69.9 (53-90.6)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0.7 (0.5-1)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 (0-0)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105.3 (80.4-135.8)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 (0.6-1.4)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North Africa and Middle East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724.2 (550.9-929.9)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416.7 (167.3-804.9)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4.8 (1.9-9.2)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261.4 (200.1-332.5)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106.2 (39.7-225.2)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1.2 (0.4-2.6)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Oceania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931.4 (701.7-1194.8)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709.1 (148.5-2017.3)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8.1 (1.7-23.2)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699.4 (530.4-895.1)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502.6 (78.1-1398.1)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5.8 (0.9-16.1)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South Asia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1034.4 (778.9-1326.5)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806.4 (171.9-2149.6)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9.3 (1.9-24.8)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267.3 (205-340.7)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125.4 (32.4-287.3)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1.4 (0.4-3.3)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Southeast Asia</w:t>
            </w:r>
          </w:p>
        </w:tc>
        <w:tc>
          <w:tcPr>
            <w:tcW w:w="248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730.9 (551.6-935.2)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421.9 (136.6-939.5)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4.8 (1.5-10.8)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294.3 (225.1-374.2)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112 (42.2-226.9)</w:t>
            </w:r>
          </w:p>
        </w:tc>
        <w:tc>
          <w:tcPr>
            <w:tcW w:w="2127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1.3 (0.5-2.6)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Southern Latin America</w:t>
            </w:r>
          </w:p>
        </w:tc>
        <w:tc>
          <w:tcPr>
            <w:tcW w:w="248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254.7 (195.4-324.5)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7.6 (5.4-11.2)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0.1 (0-0.1)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175.2 (134-223.7)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4.3 (2.7-7)</w:t>
            </w:r>
          </w:p>
        </w:tc>
        <w:tc>
          <w:tcPr>
            <w:tcW w:w="2127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 (0-0.1)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Southern Sub-Saharan Africa</w:t>
            </w:r>
          </w:p>
        </w:tc>
        <w:tc>
          <w:tcPr>
            <w:tcW w:w="248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504.9 (385.7-643.3)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302.3 (77.7-795.9)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3.5 (0.9-9.2)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450.5 (342.8-577.1)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195.9 (52.5-452.1)</w:t>
            </w:r>
          </w:p>
        </w:tc>
        <w:tc>
          <w:tcPr>
            <w:tcW w:w="2127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2.2 (0.6-5.2)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Tropical Latin America</w:t>
            </w:r>
          </w:p>
        </w:tc>
        <w:tc>
          <w:tcPr>
            <w:tcW w:w="248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601.2 (455.4-768.6)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20.4 (11.4-37.5)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0.2 (0.1-0.4)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186.1 (142.6-237.6)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4.9 (3.2-7.6)</w:t>
            </w:r>
          </w:p>
        </w:tc>
        <w:tc>
          <w:tcPr>
            <w:tcW w:w="2127" w:type="dxa"/>
            <w:gridSpan w:val="2"/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 (0-0.1)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Western Europe</w:t>
            </w:r>
          </w:p>
        </w:tc>
        <w:tc>
          <w:tcPr>
            <w:tcW w:w="248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131.3 (100.7-167.6)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1.2 (0.8-1.8)</w:t>
            </w:r>
          </w:p>
        </w:tc>
        <w:tc>
          <w:tcPr>
            <w:tcW w:w="226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 (0-0)</w:t>
            </w:r>
          </w:p>
        </w:tc>
        <w:tc>
          <w:tcPr>
            <w:tcW w:w="241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51.3 (39-66.5)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0.5 (0.3-0.7)</w:t>
            </w:r>
          </w:p>
        </w:tc>
        <w:tc>
          <w:tcPr>
            <w:tcW w:w="2127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0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5" w:type="dxa"/>
            <w:tcBorders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Western Sub-Saharan Africa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1467.4 (1102.4-1875.2)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1384.4 (464.5-3059.1)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15.9 (5.3-35.3)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858.3 (647.6-1099.4)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699.7 (211.6-1682)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8 (2.4-19.4)</w:t>
            </w:r>
          </w:p>
        </w:tc>
      </w:tr>
    </w:tbl>
    <w:p>
      <w:pPr>
        <w:rPr>
          <w:rFonts w:ascii="Times New Roman" w:hAnsi="Times New Roman" w:eastAsia="宋体" w:cs="Times New Roman"/>
          <w:lang w:eastAsia="zh-CN"/>
        </w:rPr>
      </w:pPr>
      <w:r>
        <w:rPr>
          <w:rFonts w:ascii="Times New Roman" w:hAnsi="Times New Roman" w:cs="Times New Roman"/>
        </w:rPr>
        <w:t xml:space="preserve">Abbreviations: </w:t>
      </w:r>
      <w:r>
        <w:rPr>
          <w:rFonts w:ascii="Times New Roman" w:hAnsi="Times New Roman" w:eastAsia="宋体" w:cs="Times New Roman"/>
          <w:lang w:eastAsia="zh-CN"/>
        </w:rPr>
        <w:t>ASIR,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宋体" w:cs="Times New Roman"/>
          <w:lang w:eastAsia="zh-CN"/>
        </w:rPr>
        <w:t>age-standardized incidence rate; ASDR,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宋体" w:cs="Times New Roman"/>
          <w:lang w:eastAsia="zh-CN"/>
        </w:rPr>
        <w:t>age-standardized death rate; ASYR,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宋体" w:cs="Times New Roman"/>
          <w:lang w:eastAsia="zh-CN"/>
        </w:rPr>
        <w:t xml:space="preserve">age-standardized DALYs rate; </w:t>
      </w:r>
      <w:r>
        <w:rPr>
          <w:rFonts w:ascii="Times New Roman" w:hAnsi="Times New Roman" w:cs="Times New Roman"/>
        </w:rPr>
        <w:t>DALYs, disability-adjusted life years</w:t>
      </w:r>
      <w:r>
        <w:rPr>
          <w:rFonts w:hint="eastAsia" w:ascii="宋体" w:hAnsi="宋体" w:eastAsia="宋体" w:cs="Times New Roman"/>
          <w:lang w:eastAsia="zh-CN"/>
        </w:rPr>
        <w:t>；</w:t>
      </w:r>
      <w:r>
        <w:rPr>
          <w:rFonts w:hint="eastAsia" w:ascii="Times New Roman" w:hAnsi="Times New Roman" w:eastAsia="宋体" w:cs="Times New Roman"/>
          <w:lang w:eastAsia="zh-CN"/>
        </w:rPr>
        <w:t>S</w:t>
      </w:r>
      <w:r>
        <w:rPr>
          <w:rFonts w:ascii="Times New Roman" w:hAnsi="Times New Roman" w:eastAsia="宋体" w:cs="Times New Roman"/>
          <w:lang w:eastAsia="zh-CN"/>
        </w:rPr>
        <w:t>DI,</w:t>
      </w:r>
      <w:r>
        <w:t xml:space="preserve"> </w:t>
      </w:r>
      <w:r>
        <w:rPr>
          <w:rFonts w:ascii="Times New Roman" w:hAnsi="Times New Roman" w:eastAsia="宋体" w:cs="Times New Roman"/>
          <w:lang w:eastAsia="zh-CN"/>
        </w:rPr>
        <w:t>Socio-demographic index.</w:t>
      </w:r>
    </w:p>
    <w:sectPr>
      <w:type w:val="continuous"/>
      <w:pgSz w:w="16848" w:h="11952" w:orient="landscape"/>
      <w:pgMar w:top="720" w:right="720" w:bottom="720" w:left="720" w:header="720" w:footer="720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Lucida Grande">
    <w:altName w:val="Courier New"/>
    <w:panose1 w:val="00000000000000000000"/>
    <w:charset w:val="00"/>
    <w:family w:val="auto"/>
    <w:pitch w:val="default"/>
    <w:sig w:usb0="00000000" w:usb1="00000000" w:usb2="00000000" w:usb3="00000000" w:csb0="000001B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ＭＳ 明朝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C1sDQwNjK3tDQzNTVX0lEKTi0uzszPAymwqAUAUyAItiwAAAA="/>
    <w:docVar w:name="commondata" w:val="eyJoZGlkIjoiZmNhOTIwMjUyZDc2MTMyYWU2M2QxOGMzNjM3ZDkzYTQifQ=="/>
  </w:docVars>
  <w:rsids>
    <w:rsidRoot w:val="00B4379D"/>
    <w:rsid w:val="0001313A"/>
    <w:rsid w:val="000317A0"/>
    <w:rsid w:val="00036527"/>
    <w:rsid w:val="000737C4"/>
    <w:rsid w:val="00073835"/>
    <w:rsid w:val="000923FE"/>
    <w:rsid w:val="00094875"/>
    <w:rsid w:val="000C4AE6"/>
    <w:rsid w:val="000F40B1"/>
    <w:rsid w:val="000F45E9"/>
    <w:rsid w:val="0010746F"/>
    <w:rsid w:val="00112437"/>
    <w:rsid w:val="00112529"/>
    <w:rsid w:val="00121FD8"/>
    <w:rsid w:val="001379FE"/>
    <w:rsid w:val="00144B89"/>
    <w:rsid w:val="00144D61"/>
    <w:rsid w:val="00145A1F"/>
    <w:rsid w:val="00182767"/>
    <w:rsid w:val="00196675"/>
    <w:rsid w:val="001C0A13"/>
    <w:rsid w:val="001D61B9"/>
    <w:rsid w:val="001D75AB"/>
    <w:rsid w:val="001F1894"/>
    <w:rsid w:val="001F61FE"/>
    <w:rsid w:val="00215E69"/>
    <w:rsid w:val="0025377F"/>
    <w:rsid w:val="0025625D"/>
    <w:rsid w:val="00264A33"/>
    <w:rsid w:val="002B1DB4"/>
    <w:rsid w:val="002C02A6"/>
    <w:rsid w:val="002C4975"/>
    <w:rsid w:val="002C63B6"/>
    <w:rsid w:val="002F13AC"/>
    <w:rsid w:val="002F5A50"/>
    <w:rsid w:val="00323945"/>
    <w:rsid w:val="0035500D"/>
    <w:rsid w:val="00360814"/>
    <w:rsid w:val="00362E65"/>
    <w:rsid w:val="003A2DD6"/>
    <w:rsid w:val="003B6BBB"/>
    <w:rsid w:val="003E4E67"/>
    <w:rsid w:val="0040408A"/>
    <w:rsid w:val="00412543"/>
    <w:rsid w:val="004158F9"/>
    <w:rsid w:val="00457CF1"/>
    <w:rsid w:val="004631B6"/>
    <w:rsid w:val="004A0B1C"/>
    <w:rsid w:val="004A57DA"/>
    <w:rsid w:val="004D47EC"/>
    <w:rsid w:val="004F5EDC"/>
    <w:rsid w:val="00515544"/>
    <w:rsid w:val="00534ACE"/>
    <w:rsid w:val="00576B51"/>
    <w:rsid w:val="005A1602"/>
    <w:rsid w:val="005A7F4A"/>
    <w:rsid w:val="005C50C6"/>
    <w:rsid w:val="006333E7"/>
    <w:rsid w:val="00690550"/>
    <w:rsid w:val="00697AAC"/>
    <w:rsid w:val="006F6F15"/>
    <w:rsid w:val="00703AF9"/>
    <w:rsid w:val="007423AD"/>
    <w:rsid w:val="007473A8"/>
    <w:rsid w:val="00747CCE"/>
    <w:rsid w:val="007510E1"/>
    <w:rsid w:val="00756083"/>
    <w:rsid w:val="007B3E96"/>
    <w:rsid w:val="007D4CDD"/>
    <w:rsid w:val="007F0851"/>
    <w:rsid w:val="00821765"/>
    <w:rsid w:val="00836D3A"/>
    <w:rsid w:val="008926F2"/>
    <w:rsid w:val="008B2108"/>
    <w:rsid w:val="008F1F48"/>
    <w:rsid w:val="00901463"/>
    <w:rsid w:val="009175B0"/>
    <w:rsid w:val="0093525C"/>
    <w:rsid w:val="00946CB3"/>
    <w:rsid w:val="00957D93"/>
    <w:rsid w:val="009968B1"/>
    <w:rsid w:val="009A25D3"/>
    <w:rsid w:val="009D61A1"/>
    <w:rsid w:val="00A00958"/>
    <w:rsid w:val="00A41148"/>
    <w:rsid w:val="00A74836"/>
    <w:rsid w:val="00A90DCD"/>
    <w:rsid w:val="00A977D7"/>
    <w:rsid w:val="00AA5100"/>
    <w:rsid w:val="00AB2311"/>
    <w:rsid w:val="00AB3167"/>
    <w:rsid w:val="00AD3E88"/>
    <w:rsid w:val="00AE18EF"/>
    <w:rsid w:val="00AE1BDD"/>
    <w:rsid w:val="00AE3158"/>
    <w:rsid w:val="00AF2D57"/>
    <w:rsid w:val="00B02320"/>
    <w:rsid w:val="00B1335F"/>
    <w:rsid w:val="00B3547C"/>
    <w:rsid w:val="00B42417"/>
    <w:rsid w:val="00B4379D"/>
    <w:rsid w:val="00B43C3E"/>
    <w:rsid w:val="00B65454"/>
    <w:rsid w:val="00B74547"/>
    <w:rsid w:val="00BA6E99"/>
    <w:rsid w:val="00BC4BD0"/>
    <w:rsid w:val="00BE08FF"/>
    <w:rsid w:val="00BE366D"/>
    <w:rsid w:val="00BE3F58"/>
    <w:rsid w:val="00BF4B8F"/>
    <w:rsid w:val="00C04B89"/>
    <w:rsid w:val="00C21419"/>
    <w:rsid w:val="00C27329"/>
    <w:rsid w:val="00C31EEB"/>
    <w:rsid w:val="00C445E4"/>
    <w:rsid w:val="00CD38EF"/>
    <w:rsid w:val="00CE3A64"/>
    <w:rsid w:val="00CE548E"/>
    <w:rsid w:val="00D13C0F"/>
    <w:rsid w:val="00D84B5B"/>
    <w:rsid w:val="00D96966"/>
    <w:rsid w:val="00DA51AF"/>
    <w:rsid w:val="00DB6F4B"/>
    <w:rsid w:val="00DC64CF"/>
    <w:rsid w:val="00DD3E62"/>
    <w:rsid w:val="00E35A86"/>
    <w:rsid w:val="00E44A83"/>
    <w:rsid w:val="00E479E7"/>
    <w:rsid w:val="00E521B2"/>
    <w:rsid w:val="00E748A2"/>
    <w:rsid w:val="00E80D38"/>
    <w:rsid w:val="00E82D1B"/>
    <w:rsid w:val="00E93661"/>
    <w:rsid w:val="00E95083"/>
    <w:rsid w:val="00EA0B6A"/>
    <w:rsid w:val="00EC1081"/>
    <w:rsid w:val="00F03B7D"/>
    <w:rsid w:val="00F12158"/>
    <w:rsid w:val="00F474DD"/>
    <w:rsid w:val="00F935ED"/>
    <w:rsid w:val="00FB63E7"/>
    <w:rsid w:val="00FC557F"/>
    <w:rsid w:val="00FD21F4"/>
    <w:rsid w:val="1836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3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20"/>
    <w:autoRedefine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21"/>
    <w:autoRedefine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31"/>
    <w:autoRedefine/>
    <w:semiHidden/>
    <w:unhideWhenUsed/>
    <w:qFormat/>
    <w:uiPriority w:val="99"/>
  </w:style>
  <w:style w:type="paragraph" w:styleId="6">
    <w:name w:val="Balloon Text"/>
    <w:basedOn w:val="1"/>
    <w:link w:val="25"/>
    <w:autoRedefine/>
    <w:semiHidden/>
    <w:unhideWhenUsed/>
    <w:qFormat/>
    <w:uiPriority w:val="99"/>
    <w:rPr>
      <w:rFonts w:ascii="Lucida Grande" w:hAnsi="Lucida Grande"/>
      <w:sz w:val="18"/>
      <w:szCs w:val="18"/>
    </w:rPr>
  </w:style>
  <w:style w:type="paragraph" w:styleId="7">
    <w:name w:val="footer"/>
    <w:basedOn w:val="1"/>
    <w:link w:val="30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2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10">
    <w:name w:val="toc 2"/>
    <w:basedOn w:val="1"/>
    <w:next w:val="1"/>
    <w:autoRedefine/>
    <w:unhideWhenUsed/>
    <w:qFormat/>
    <w:uiPriority w:val="39"/>
    <w:pPr>
      <w:spacing w:after="100"/>
      <w:ind w:left="240"/>
    </w:pPr>
  </w:style>
  <w:style w:type="paragraph" w:styleId="11">
    <w:name w:val="annotation subject"/>
    <w:basedOn w:val="5"/>
    <w:next w:val="5"/>
    <w:link w:val="32"/>
    <w:autoRedefine/>
    <w:semiHidden/>
    <w:unhideWhenUsed/>
    <w:qFormat/>
    <w:uiPriority w:val="99"/>
    <w:rPr>
      <w:b/>
      <w:bCs/>
    </w:rPr>
  </w:style>
  <w:style w:type="table" w:styleId="13">
    <w:name w:val="Table Professional"/>
    <w:basedOn w:val="12"/>
    <w:autoRedefine/>
    <w:semiHidden/>
    <w:unhideWhenUsed/>
    <w:qFormat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4">
    <w:name w:val="Light List Accent 2"/>
    <w:basedOn w:val="12"/>
    <w:autoRedefine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styleId="16">
    <w:name w:val="annotation reference"/>
    <w:basedOn w:val="15"/>
    <w:autoRedefine/>
    <w:semiHidden/>
    <w:unhideWhenUsed/>
    <w:qFormat/>
    <w:uiPriority w:val="99"/>
    <w:rPr>
      <w:sz w:val="21"/>
      <w:szCs w:val="21"/>
    </w:rPr>
  </w:style>
  <w:style w:type="character" w:customStyle="1" w:styleId="17">
    <w:name w:val="要点1"/>
    <w:basedOn w:val="15"/>
    <w:autoRedefine/>
    <w:qFormat/>
    <w:uiPriority w:val="1"/>
    <w:rPr>
      <w:b/>
    </w:rPr>
  </w:style>
  <w:style w:type="paragraph" w:customStyle="1" w:styleId="18">
    <w:name w:val="centered"/>
    <w:basedOn w:val="1"/>
    <w:autoRedefine/>
    <w:qFormat/>
    <w:uiPriority w:val="0"/>
    <w:pPr>
      <w:jc w:val="center"/>
    </w:pPr>
  </w:style>
  <w:style w:type="table" w:customStyle="1" w:styleId="19">
    <w:name w:val="table_template"/>
    <w:basedOn w:val="12"/>
    <w:autoRedefine/>
    <w:qFormat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20">
    <w:name w:val="标题 1 字符"/>
    <w:basedOn w:val="15"/>
    <w:link w:val="2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2 字符"/>
    <w:basedOn w:val="15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22">
    <w:name w:val="标题 3 字符"/>
    <w:basedOn w:val="15"/>
    <w:link w:val="4"/>
    <w:autoRedefine/>
    <w:semiHidden/>
    <w:qFormat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23">
    <w:name w:val="Image Caption"/>
    <w:basedOn w:val="1"/>
    <w:autoRedefine/>
    <w:qFormat/>
    <w:uiPriority w:val="0"/>
    <w:pPr>
      <w:jc w:val="center"/>
    </w:pPr>
    <w:rPr>
      <w:b/>
      <w:i/>
    </w:rPr>
  </w:style>
  <w:style w:type="paragraph" w:customStyle="1" w:styleId="24">
    <w:name w:val="Table Caption"/>
    <w:basedOn w:val="23"/>
    <w:autoRedefine/>
    <w:qFormat/>
    <w:uiPriority w:val="0"/>
  </w:style>
  <w:style w:type="character" w:customStyle="1" w:styleId="25">
    <w:name w:val="批注框文本 字符"/>
    <w:basedOn w:val="15"/>
    <w:link w:val="6"/>
    <w:autoRedefine/>
    <w:semiHidden/>
    <w:qFormat/>
    <w:uiPriority w:val="99"/>
    <w:rPr>
      <w:rFonts w:ascii="Lucida Grande" w:hAnsi="Lucida Grande"/>
      <w:sz w:val="18"/>
      <w:szCs w:val="18"/>
    </w:rPr>
  </w:style>
  <w:style w:type="character" w:customStyle="1" w:styleId="26">
    <w:name w:val="reference_id"/>
    <w:basedOn w:val="15"/>
    <w:autoRedefine/>
    <w:qFormat/>
    <w:uiPriority w:val="1"/>
    <w:rPr>
      <w:vertAlign w:val="superscript"/>
    </w:rPr>
  </w:style>
  <w:style w:type="paragraph" w:customStyle="1" w:styleId="27">
    <w:name w:val="graphic title"/>
    <w:basedOn w:val="23"/>
    <w:next w:val="1"/>
    <w:autoRedefine/>
    <w:qFormat/>
    <w:uiPriority w:val="0"/>
  </w:style>
  <w:style w:type="paragraph" w:customStyle="1" w:styleId="28">
    <w:name w:val="table title"/>
    <w:basedOn w:val="24"/>
    <w:next w:val="1"/>
    <w:autoRedefine/>
    <w:qFormat/>
    <w:uiPriority w:val="0"/>
  </w:style>
  <w:style w:type="character" w:customStyle="1" w:styleId="29">
    <w:name w:val="页眉 字符"/>
    <w:basedOn w:val="15"/>
    <w:link w:val="8"/>
    <w:autoRedefine/>
    <w:qFormat/>
    <w:uiPriority w:val="99"/>
    <w:rPr>
      <w:sz w:val="18"/>
      <w:szCs w:val="18"/>
    </w:rPr>
  </w:style>
  <w:style w:type="character" w:customStyle="1" w:styleId="30">
    <w:name w:val="页脚 字符"/>
    <w:basedOn w:val="15"/>
    <w:link w:val="7"/>
    <w:qFormat/>
    <w:uiPriority w:val="99"/>
    <w:rPr>
      <w:sz w:val="18"/>
      <w:szCs w:val="18"/>
    </w:rPr>
  </w:style>
  <w:style w:type="character" w:customStyle="1" w:styleId="31">
    <w:name w:val="批注文字 字符"/>
    <w:basedOn w:val="15"/>
    <w:link w:val="5"/>
    <w:autoRedefine/>
    <w:semiHidden/>
    <w:qFormat/>
    <w:uiPriority w:val="99"/>
  </w:style>
  <w:style w:type="character" w:customStyle="1" w:styleId="32">
    <w:name w:val="批注主题 字符"/>
    <w:basedOn w:val="31"/>
    <w:link w:val="11"/>
    <w:autoRedefine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518</Words>
  <Characters>2957</Characters>
  <Lines>24</Lines>
  <Paragraphs>6</Paragraphs>
  <TotalTime>0</TotalTime>
  <ScaleCrop>false</ScaleCrop>
  <LinksUpToDate>false</LinksUpToDate>
  <CharactersWithSpaces>3469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:creator>cherish</dc:creator>
  <cp:lastModifiedBy>cherish</cp:lastModifiedBy>
  <dcterms:modified xsi:type="dcterms:W3CDTF">2024-05-09T14:23:56Z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B37044C05242459B9C77FFD76F1EE241_12</vt:lpwstr>
  </property>
</Properties>
</file>