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A6EB3" w14:textId="77777777" w:rsidR="00405739" w:rsidRDefault="00405739" w:rsidP="00405739">
      <w:pPr>
        <w:rPr>
          <w:b/>
          <w:sz w:val="32"/>
          <w:szCs w:val="32"/>
        </w:rPr>
      </w:pPr>
      <w:r>
        <w:rPr>
          <w:b/>
          <w:sz w:val="32"/>
          <w:szCs w:val="32"/>
        </w:rPr>
        <w:t>Appendix A</w:t>
      </w:r>
    </w:p>
    <w:p w14:paraId="4F357CA7" w14:textId="77777777" w:rsidR="00405739" w:rsidRDefault="00405739" w:rsidP="00405739">
      <w:pPr>
        <w:rPr>
          <w:b/>
          <w:sz w:val="32"/>
          <w:szCs w:val="32"/>
        </w:rPr>
      </w:pPr>
    </w:p>
    <w:p w14:paraId="51FBF247" w14:textId="77777777" w:rsidR="00405739" w:rsidRDefault="00405739" w:rsidP="00405739">
      <w:pPr>
        <w:rPr>
          <w:b/>
          <w:sz w:val="32"/>
          <w:szCs w:val="32"/>
        </w:rPr>
      </w:pPr>
      <w:r>
        <w:rPr>
          <w:b/>
          <w:sz w:val="32"/>
          <w:szCs w:val="32"/>
        </w:rPr>
        <w:t>A1 Additional information on the segmentation method</w:t>
      </w:r>
    </w:p>
    <w:p w14:paraId="498A5EF1" w14:textId="77777777" w:rsidR="00405739" w:rsidRDefault="00405739" w:rsidP="00405739">
      <w:pPr>
        <w:rPr>
          <w:b/>
          <w:sz w:val="32"/>
          <w:szCs w:val="32"/>
        </w:rPr>
      </w:pPr>
    </w:p>
    <w:p w14:paraId="5C691286" w14:textId="77777777" w:rsidR="00405739" w:rsidRPr="00A2715A" w:rsidRDefault="00405739" w:rsidP="00405739">
      <w:pPr>
        <w:spacing w:line="480" w:lineRule="auto"/>
        <w:rPr>
          <w:sz w:val="24"/>
          <w:szCs w:val="24"/>
        </w:rPr>
      </w:pPr>
      <w:r w:rsidRPr="00A2715A">
        <w:rPr>
          <w:sz w:val="24"/>
          <w:szCs w:val="24"/>
        </w:rPr>
        <w:t>Figure A1 shows the sum of squares</w:t>
      </w:r>
      <w:r>
        <w:rPr>
          <w:sz w:val="24"/>
          <w:szCs w:val="24"/>
        </w:rPr>
        <w:t xml:space="preserve"> </w:t>
      </w:r>
      <w:r w:rsidRPr="00A2715A">
        <w:rPr>
          <w:sz w:val="24"/>
          <w:szCs w:val="24"/>
        </w:rPr>
        <w:t>within a cluster</w:t>
      </w:r>
      <w:r>
        <w:rPr>
          <w:sz w:val="24"/>
          <w:szCs w:val="24"/>
        </w:rPr>
        <w:t>, the</w:t>
      </w:r>
      <w:r w:rsidRPr="00A2715A">
        <w:rPr>
          <w:sz w:val="24"/>
          <w:szCs w:val="24"/>
        </w:rPr>
        <w:t xml:space="preserve"> </w:t>
      </w:r>
      <w:r w:rsidRPr="00824E6C">
        <w:rPr>
          <w:sz w:val="24"/>
          <w:szCs w:val="24"/>
        </w:rPr>
        <w:t>so-called “elbow method”</w:t>
      </w:r>
      <w:r w:rsidRPr="00A2715A">
        <w:rPr>
          <w:sz w:val="24"/>
          <w:szCs w:val="24"/>
        </w:rPr>
        <w:t xml:space="preserve"> </w:t>
      </w:r>
      <w:r>
        <w:rPr>
          <w:sz w:val="24"/>
          <w:szCs w:val="24"/>
        </w:rPr>
        <w:fldChar w:fldCharType="begin"/>
      </w:r>
      <w:r>
        <w:rPr>
          <w:sz w:val="24"/>
          <w:szCs w:val="24"/>
        </w:rPr>
        <w:instrText xml:space="preserve"> ADDIN EN.CITE &lt;EndNote&gt;&lt;Cite&gt;&lt;Author&gt;Thorndike&lt;/Author&gt;&lt;Year&gt;1953&lt;/Year&gt;&lt;RecNum&gt;26&lt;/RecNum&gt;&lt;DisplayText&gt;&lt;style face="superscript"&gt;15&lt;/style&gt;&lt;/DisplayText&gt;&lt;record&gt;&lt;rec-number&gt;26&lt;/rec-number&gt;&lt;foreign-keys&gt;&lt;key app="EN" db-id="ear2px2fnvwvpoesd5x55szizp2zetdx22z2" timestamp="1705312950"&gt;26&lt;/key&gt;&lt;/foreign-keys&gt;&lt;ref-type name="Journal Article"&gt;17&lt;/ref-type&gt;&lt;contributors&gt;&lt;authors&gt;&lt;author&gt;Thorndike, Robert L.&lt;/author&gt;&lt;/authors&gt;&lt;/contributors&gt;&lt;titles&gt;&lt;title&gt;Who belongs in the family?&lt;/title&gt;&lt;secondary-title&gt;Psychometrika&lt;/secondary-title&gt;&lt;/titles&gt;&lt;periodical&gt;&lt;full-title&gt;Psychometrika&lt;/full-title&gt;&lt;/periodical&gt;&lt;pages&gt;267-276&lt;/pages&gt;&lt;volume&gt;18&lt;/volume&gt;&lt;number&gt;4&lt;/number&gt;&lt;dates&gt;&lt;year&gt;1953&lt;/year&gt;&lt;pub-dates&gt;&lt;date&gt;1953/12/01&lt;/date&gt;&lt;/pub-dates&gt;&lt;/dates&gt;&lt;isbn&gt;1860-0980&lt;/isbn&gt;&lt;urls&gt;&lt;related-urls&gt;&lt;url&gt;https://doi.org/10.1007/BF02289263&lt;/url&gt;&lt;/related-urls&gt;&lt;/urls&gt;&lt;electronic-resource-num&gt;10.1007/BF02289263&lt;/electronic-resource-num&gt;&lt;/record&gt;&lt;/Cite&gt;&lt;/EndNote&gt;</w:instrText>
      </w:r>
      <w:r>
        <w:rPr>
          <w:sz w:val="24"/>
          <w:szCs w:val="24"/>
        </w:rPr>
        <w:fldChar w:fldCharType="separate"/>
      </w:r>
      <w:r w:rsidRPr="006A5404">
        <w:rPr>
          <w:noProof/>
          <w:sz w:val="24"/>
          <w:szCs w:val="24"/>
          <w:vertAlign w:val="superscript"/>
        </w:rPr>
        <w:t>15</w:t>
      </w:r>
      <w:r>
        <w:rPr>
          <w:sz w:val="24"/>
          <w:szCs w:val="24"/>
        </w:rPr>
        <w:fldChar w:fldCharType="end"/>
      </w:r>
      <w:r>
        <w:rPr>
          <w:sz w:val="24"/>
          <w:szCs w:val="24"/>
        </w:rPr>
        <w:t xml:space="preserve"> </w:t>
      </w:r>
      <w:r w:rsidRPr="00A2715A">
        <w:rPr>
          <w:sz w:val="24"/>
          <w:szCs w:val="24"/>
        </w:rPr>
        <w:t>which was relatively low for 10 clusters</w:t>
      </w:r>
      <w:r>
        <w:rPr>
          <w:sz w:val="24"/>
          <w:szCs w:val="24"/>
        </w:rPr>
        <w:t xml:space="preserve">, </w:t>
      </w:r>
      <w:r w:rsidRPr="00A2715A">
        <w:rPr>
          <w:sz w:val="24"/>
          <w:szCs w:val="24"/>
        </w:rPr>
        <w:t>being considered a suitable number to practically implement whilst also giving sufficient nuance</w:t>
      </w:r>
      <w:r>
        <w:rPr>
          <w:sz w:val="24"/>
          <w:szCs w:val="24"/>
        </w:rPr>
        <w:t xml:space="preserve">. For example, whilst 16 segments would have given a lower sum of squares we felt that such a large number of segments would be difficult to describe and use in practice. </w:t>
      </w:r>
      <w:r w:rsidRPr="00824E6C">
        <w:rPr>
          <w:sz w:val="24"/>
          <w:szCs w:val="24"/>
        </w:rPr>
        <w:t>We did also test segmentation for 6, 7, 8 and 9 segments and inspected the distributions of variables, but we decided these did not give sufficient nuance, for example not separating the high need groups into those with emergency care and those without.</w:t>
      </w:r>
      <w:bookmarkStart w:id="0" w:name="_GoBack"/>
      <w:bookmarkEnd w:id="0"/>
    </w:p>
    <w:p w14:paraId="45F889C1" w14:textId="77777777" w:rsidR="00405739" w:rsidRDefault="00405739" w:rsidP="00405739">
      <w:pPr>
        <w:spacing w:line="480" w:lineRule="auto"/>
        <w:rPr>
          <w:b/>
          <w:sz w:val="28"/>
          <w:szCs w:val="28"/>
        </w:rPr>
      </w:pPr>
      <w:r>
        <w:rPr>
          <w:b/>
          <w:sz w:val="28"/>
          <w:szCs w:val="28"/>
        </w:rPr>
        <w:t xml:space="preserve">Figure </w:t>
      </w:r>
      <w:r w:rsidRPr="00FC37C2">
        <w:rPr>
          <w:b/>
          <w:sz w:val="28"/>
          <w:szCs w:val="28"/>
        </w:rPr>
        <w:t>A1</w:t>
      </w:r>
      <w:r>
        <w:rPr>
          <w:b/>
          <w:sz w:val="28"/>
          <w:szCs w:val="28"/>
        </w:rPr>
        <w:t>: S</w:t>
      </w:r>
      <w:r w:rsidRPr="00F31501">
        <w:rPr>
          <w:b/>
          <w:sz w:val="28"/>
          <w:szCs w:val="28"/>
        </w:rPr>
        <w:t>um of squares within a cluster for different number</w:t>
      </w:r>
      <w:r>
        <w:rPr>
          <w:b/>
          <w:sz w:val="28"/>
          <w:szCs w:val="28"/>
        </w:rPr>
        <w:t>s</w:t>
      </w:r>
      <w:r w:rsidRPr="00F31501">
        <w:rPr>
          <w:b/>
          <w:sz w:val="28"/>
          <w:szCs w:val="28"/>
        </w:rPr>
        <w:t xml:space="preserve"> of </w:t>
      </w:r>
      <w:r>
        <w:rPr>
          <w:b/>
          <w:sz w:val="28"/>
          <w:szCs w:val="28"/>
        </w:rPr>
        <w:t>clusters</w:t>
      </w:r>
    </w:p>
    <w:p w14:paraId="6AC97A3E" w14:textId="77777777" w:rsidR="00405739" w:rsidRDefault="00405739" w:rsidP="00405739">
      <w:pPr>
        <w:spacing w:line="480" w:lineRule="auto"/>
        <w:rPr>
          <w:b/>
          <w:sz w:val="28"/>
          <w:szCs w:val="28"/>
        </w:rPr>
      </w:pPr>
      <w:r>
        <w:rPr>
          <w:noProof/>
          <w:lang w:eastAsia="en-GB"/>
        </w:rPr>
        <w:drawing>
          <wp:inline distT="0" distB="0" distL="0" distR="0" wp14:anchorId="63372F8E" wp14:editId="4AB612F5">
            <wp:extent cx="5702935" cy="3202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99"/>
                    <a:stretch/>
                  </pic:blipFill>
                  <pic:spPr bwMode="auto">
                    <a:xfrm>
                      <a:off x="0" y="0"/>
                      <a:ext cx="5702935" cy="3202940"/>
                    </a:xfrm>
                    <a:prstGeom prst="rect">
                      <a:avLst/>
                    </a:prstGeom>
                    <a:ln>
                      <a:noFill/>
                    </a:ln>
                    <a:extLst>
                      <a:ext uri="{53640926-AAD7-44D8-BBD7-CCE9431645EC}">
                        <a14:shadowObscured xmlns:a14="http://schemas.microsoft.com/office/drawing/2010/main"/>
                      </a:ext>
                    </a:extLst>
                  </pic:spPr>
                </pic:pic>
              </a:graphicData>
            </a:graphic>
          </wp:inline>
        </w:drawing>
      </w:r>
    </w:p>
    <w:p w14:paraId="4E638127" w14:textId="77777777" w:rsidR="00405739" w:rsidRDefault="00405739" w:rsidP="00405739">
      <w:pPr>
        <w:spacing w:line="480" w:lineRule="auto"/>
        <w:rPr>
          <w:b/>
          <w:sz w:val="28"/>
          <w:szCs w:val="28"/>
        </w:rPr>
      </w:pPr>
    </w:p>
    <w:p w14:paraId="5A5E8CE8" w14:textId="77777777" w:rsidR="00405739" w:rsidRDefault="00405739" w:rsidP="00405739">
      <w:pPr>
        <w:spacing w:line="480" w:lineRule="auto"/>
        <w:rPr>
          <w:b/>
          <w:sz w:val="28"/>
          <w:szCs w:val="28"/>
        </w:rPr>
      </w:pPr>
      <w:r>
        <w:rPr>
          <w:b/>
          <w:sz w:val="28"/>
          <w:szCs w:val="28"/>
        </w:rPr>
        <w:lastRenderedPageBreak/>
        <w:t>Truncation of segmentation variables</w:t>
      </w:r>
    </w:p>
    <w:p w14:paraId="78509504" w14:textId="77777777" w:rsidR="00405739" w:rsidRPr="00824E6C" w:rsidRDefault="00405739" w:rsidP="00405739">
      <w:pPr>
        <w:spacing w:line="480" w:lineRule="auto"/>
        <w:rPr>
          <w:b/>
          <w:sz w:val="28"/>
          <w:szCs w:val="28"/>
        </w:rPr>
      </w:pPr>
      <w:r>
        <w:rPr>
          <w:sz w:val="24"/>
          <w:szCs w:val="24"/>
        </w:rPr>
        <w:t xml:space="preserve">As the results of k-means clustering are sensitive to outliers, we truncated the utilisation variables at specific values decided on clinical importance and based on inspecting the distributions of each variable (Emergency admission at 10, A&amp;E at 20, GP Practice contacts, prescriptions, outpatients and elective admissions at 40 events).  </w:t>
      </w:r>
      <w:r w:rsidRPr="00824E6C">
        <w:rPr>
          <w:sz w:val="24"/>
          <w:szCs w:val="24"/>
        </w:rPr>
        <w:t xml:space="preserve">For, example, A&amp;E attendances of 20 or more per year are considered extreme frequent attenders </w:t>
      </w:r>
      <w:r w:rsidRPr="00824E6C">
        <w:rPr>
          <w:sz w:val="24"/>
          <w:szCs w:val="24"/>
        </w:rPr>
        <w:fldChar w:fldCharType="begin"/>
      </w:r>
      <w:r w:rsidRPr="00824E6C">
        <w:rPr>
          <w:sz w:val="24"/>
          <w:szCs w:val="24"/>
        </w:rPr>
        <w:instrText xml:space="preserve"> ADDIN EN.CITE &lt;EndNote&gt;&lt;Cite&gt;&lt;Author&gt;Jacob&lt;/Author&gt;&lt;Year&gt;2016&lt;/Year&gt;&lt;RecNum&gt;28&lt;/RecNum&gt;&lt;DisplayText&gt;&lt;style face="superscript"&gt;13&lt;/style&gt;&lt;/DisplayText&gt;&lt;record&gt;&lt;rec-number&gt;28&lt;/rec-number&gt;&lt;foreign-keys&gt;&lt;key app="EN" db-id="ear2px2fnvwvpoesd5x55szizp2zetdx22z2" timestamp="1705318897"&gt;28&lt;/key&gt;&lt;/foreign-keys&gt;&lt;ref-type name="Journal Article"&gt;17&lt;/ref-type&gt;&lt;contributors&gt;&lt;authors&gt;&lt;author&gt;Rebecca Jacob&lt;/author&gt;&lt;author&gt;Mai Luen Wong&lt;/author&gt;&lt;author&gt;Catherine Hayhurst&lt;/author&gt;&lt;author&gt;Peter Watson&lt;/author&gt;&lt;author&gt;Cecily Morrison&lt;/author&gt;&lt;/authors&gt;&lt;/contributors&gt;&lt;titles&gt;&lt;title&gt;Designing services for frequent attenders to the emergency department: a characterisation of this population to inform service design&lt;/title&gt;&lt;secondary-title&gt;Clinical Medicine&lt;/secondary-title&gt;&lt;/titles&gt;&lt;periodical&gt;&lt;full-title&gt;Clinical Medicine&lt;/full-title&gt;&lt;/periodical&gt;&lt;pages&gt;325-329&lt;/pages&gt;&lt;volume&gt;16&lt;/volume&gt;&lt;number&gt;4&lt;/number&gt;&lt;dates&gt;&lt;year&gt;2016&lt;/year&gt;&lt;/dates&gt;&lt;urls&gt;&lt;related-urls&gt;&lt;url&gt;https://www.rcpjournals.org/content/clinmedicine/16/4/325.full.pdf&lt;/url&gt;&lt;/related-urls&gt;&lt;/urls&gt;&lt;electronic-resource-num&gt;10.7861/clinmedicine.16-4-325&lt;/electronic-resource-num&gt;&lt;/record&gt;&lt;/Cite&gt;&lt;/EndNote&gt;</w:instrText>
      </w:r>
      <w:r w:rsidRPr="00824E6C">
        <w:rPr>
          <w:sz w:val="24"/>
          <w:szCs w:val="24"/>
        </w:rPr>
        <w:fldChar w:fldCharType="separate"/>
      </w:r>
      <w:r w:rsidRPr="00824E6C">
        <w:rPr>
          <w:noProof/>
          <w:sz w:val="24"/>
          <w:szCs w:val="24"/>
          <w:vertAlign w:val="superscript"/>
        </w:rPr>
        <w:t>13</w:t>
      </w:r>
      <w:r w:rsidRPr="00824E6C">
        <w:rPr>
          <w:sz w:val="24"/>
          <w:szCs w:val="24"/>
        </w:rPr>
        <w:fldChar w:fldCharType="end"/>
      </w:r>
      <w:r w:rsidRPr="00824E6C">
        <w:rPr>
          <w:sz w:val="24"/>
          <w:szCs w:val="24"/>
        </w:rPr>
        <w:t xml:space="preserve"> and thus precision of values above were not considered important for segmentation.</w:t>
      </w:r>
      <w:r w:rsidRPr="00C12B6F">
        <w:rPr>
          <w:b/>
          <w:sz w:val="28"/>
          <w:szCs w:val="28"/>
        </w:rPr>
        <w:t xml:space="preserve"> </w:t>
      </w:r>
      <w:r w:rsidRPr="00C12B6F">
        <w:rPr>
          <w:sz w:val="24"/>
          <w:szCs w:val="24"/>
        </w:rPr>
        <w:t>A maximum of 0.11</w:t>
      </w:r>
      <w:r w:rsidRPr="00824E6C">
        <w:rPr>
          <w:sz w:val="24"/>
          <w:szCs w:val="24"/>
        </w:rPr>
        <w:t>% of patients with events had the value truncated.</w:t>
      </w:r>
    </w:p>
    <w:p w14:paraId="4671BA81" w14:textId="77777777" w:rsidR="00405739" w:rsidRDefault="00405739" w:rsidP="00405739">
      <w:pPr>
        <w:spacing w:line="480" w:lineRule="auto"/>
        <w:rPr>
          <w:b/>
          <w:sz w:val="28"/>
          <w:szCs w:val="28"/>
        </w:rPr>
      </w:pPr>
    </w:p>
    <w:p w14:paraId="140CD10A" w14:textId="77777777" w:rsidR="00405739" w:rsidRDefault="00405739" w:rsidP="00405739">
      <w:pPr>
        <w:spacing w:line="480" w:lineRule="auto"/>
        <w:rPr>
          <w:b/>
          <w:sz w:val="28"/>
          <w:szCs w:val="28"/>
        </w:rPr>
      </w:pPr>
      <w:r>
        <w:rPr>
          <w:b/>
          <w:sz w:val="28"/>
          <w:szCs w:val="28"/>
        </w:rPr>
        <w:t>Total variance explained by the segments</w:t>
      </w:r>
    </w:p>
    <w:p w14:paraId="4ABC2EDE" w14:textId="77777777" w:rsidR="00405739" w:rsidRPr="00A27148" w:rsidRDefault="00405739" w:rsidP="00405739">
      <w:pPr>
        <w:spacing w:line="480" w:lineRule="auto"/>
        <w:rPr>
          <w:sz w:val="24"/>
          <w:szCs w:val="24"/>
        </w:rPr>
      </w:pPr>
      <w:r w:rsidRPr="00A27148">
        <w:rPr>
          <w:sz w:val="24"/>
          <w:szCs w:val="24"/>
        </w:rPr>
        <w:t>We calculated</w:t>
      </w:r>
      <w:r>
        <w:rPr>
          <w:sz w:val="24"/>
          <w:szCs w:val="24"/>
        </w:rPr>
        <w:t>, for each variable,</w:t>
      </w:r>
      <w:r w:rsidRPr="00A27148">
        <w:rPr>
          <w:sz w:val="24"/>
          <w:szCs w:val="24"/>
        </w:rPr>
        <w:t xml:space="preserve"> the percentage of total variance explained by the segments</w:t>
      </w:r>
      <w:r>
        <w:rPr>
          <w:sz w:val="24"/>
          <w:szCs w:val="24"/>
        </w:rPr>
        <w:t xml:space="preserve"> (see Table A1</w:t>
      </w:r>
      <w:r w:rsidRPr="00824E6C">
        <w:rPr>
          <w:sz w:val="24"/>
          <w:szCs w:val="24"/>
        </w:rPr>
        <w:t xml:space="preserve">). We calculated this by dividing the sum of the variances in each segment for each variable by the total variance for all patients for this variable * 100. The complement of the resulting percentage is the percentage explained by the segments </w:t>
      </w:r>
      <w:r w:rsidRPr="00824E6C">
        <w:rPr>
          <w:sz w:val="24"/>
          <w:szCs w:val="24"/>
        </w:rPr>
        <w:fldChar w:fldCharType="begin"/>
      </w:r>
      <w:r w:rsidRPr="00824E6C">
        <w:rPr>
          <w:sz w:val="24"/>
          <w:szCs w:val="24"/>
        </w:rPr>
        <w:instrText xml:space="preserve"> ADDIN EN.CITE &lt;EndNote&gt;&lt;Cite&gt;&lt;Author&gt;James&lt;/Author&gt;&lt;Year&gt;2013&lt;/Year&gt;&lt;RecNum&gt;30&lt;/RecNum&gt;&lt;DisplayText&gt;&lt;style face="superscript"&gt;16&lt;/style&gt;&lt;/DisplayText&gt;&lt;record&gt;&lt;rec-number&gt;30&lt;/rec-number&gt;&lt;foreign-keys&gt;&lt;key app="EN" db-id="ear2px2fnvwvpoesd5x55szizp2zetdx22z2" timestamp="1705332733"&gt;30&lt;/key&gt;&lt;/foreign-keys&gt;&lt;ref-type name="Book"&gt;6&lt;/ref-type&gt;&lt;contributors&gt;&lt;authors&gt;&lt;author&gt;James, Gareth&lt;/author&gt;&lt;author&gt;Witten, Daniela&lt;/author&gt;&lt;author&gt;Hastie, Trevor&lt;/author&gt;&lt;author&gt;Tibshirani, Robert&lt;/author&gt;&lt;/authors&gt;&lt;/contributors&gt;&lt;titles&gt;&lt;title&gt;An introduction to Statistical Learning with Applications in R&lt;/title&gt;&lt;secondary-title&gt;Springer Tests in Statistics&lt;/secondary-title&gt;&lt;/titles&gt;&lt;dates&gt;&lt;year&gt;2013&lt;/year&gt;&lt;/dates&gt;&lt;publisher&gt;Springer Cham&lt;/publisher&gt;&lt;urls&gt;&lt;/urls&gt;&lt;/record&gt;&lt;/Cite&gt;&lt;/EndNote&gt;</w:instrText>
      </w:r>
      <w:r w:rsidRPr="00824E6C">
        <w:rPr>
          <w:sz w:val="24"/>
          <w:szCs w:val="24"/>
        </w:rPr>
        <w:fldChar w:fldCharType="separate"/>
      </w:r>
      <w:r w:rsidRPr="00824E6C">
        <w:rPr>
          <w:noProof/>
          <w:sz w:val="24"/>
          <w:szCs w:val="24"/>
          <w:vertAlign w:val="superscript"/>
        </w:rPr>
        <w:t>16</w:t>
      </w:r>
      <w:r w:rsidRPr="00824E6C">
        <w:rPr>
          <w:sz w:val="24"/>
          <w:szCs w:val="24"/>
        </w:rPr>
        <w:fldChar w:fldCharType="end"/>
      </w:r>
      <w:r w:rsidRPr="00824E6C">
        <w:rPr>
          <w:sz w:val="24"/>
          <w:szCs w:val="24"/>
        </w:rPr>
        <w:t>.</w:t>
      </w:r>
      <w:r>
        <w:rPr>
          <w:sz w:val="24"/>
          <w:szCs w:val="24"/>
        </w:rPr>
        <w:t xml:space="preserve"> We checked that the segments explained the majority of variation in each variable.</w:t>
      </w:r>
    </w:p>
    <w:p w14:paraId="305EEA5E" w14:textId="77777777" w:rsidR="00405739" w:rsidRPr="00E321CD" w:rsidRDefault="00405739" w:rsidP="00405739">
      <w:pPr>
        <w:spacing w:line="480" w:lineRule="auto"/>
        <w:rPr>
          <w:b/>
          <w:sz w:val="28"/>
          <w:szCs w:val="28"/>
        </w:rPr>
      </w:pPr>
      <w:r>
        <w:rPr>
          <w:b/>
          <w:sz w:val="28"/>
          <w:szCs w:val="28"/>
        </w:rPr>
        <w:t>Table A1</w:t>
      </w:r>
      <w:r w:rsidRPr="00BF32D7">
        <w:rPr>
          <w:b/>
          <w:sz w:val="28"/>
          <w:szCs w:val="28"/>
        </w:rPr>
        <w:t>: Percentage of total variance</w:t>
      </w:r>
      <w:r>
        <w:rPr>
          <w:b/>
          <w:sz w:val="28"/>
          <w:szCs w:val="28"/>
        </w:rPr>
        <w:t xml:space="preserve"> for each variable</w:t>
      </w:r>
      <w:r w:rsidRPr="00BF32D7">
        <w:rPr>
          <w:b/>
          <w:sz w:val="28"/>
          <w:szCs w:val="28"/>
        </w:rPr>
        <w:t xml:space="preserve"> explained by the segments</w:t>
      </w:r>
      <w:r>
        <w:rPr>
          <w:b/>
          <w:sz w:val="28"/>
          <w:szCs w:val="28"/>
        </w:rPr>
        <w:t xml:space="preserve"> </w:t>
      </w:r>
    </w:p>
    <w:tbl>
      <w:tblPr>
        <w:tblW w:w="3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960"/>
      </w:tblGrid>
      <w:tr w:rsidR="00405739" w:rsidRPr="00E779BD" w14:paraId="201B8540" w14:textId="77777777" w:rsidTr="00090831">
        <w:trPr>
          <w:trHeight w:val="290"/>
        </w:trPr>
        <w:tc>
          <w:tcPr>
            <w:tcW w:w="2480" w:type="dxa"/>
            <w:shd w:val="clear" w:color="auto" w:fill="auto"/>
            <w:noWrap/>
            <w:vAlign w:val="bottom"/>
            <w:hideMark/>
          </w:tcPr>
          <w:p w14:paraId="4451EB52"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Chronic conditions</w:t>
            </w:r>
          </w:p>
        </w:tc>
        <w:tc>
          <w:tcPr>
            <w:tcW w:w="960" w:type="dxa"/>
            <w:shd w:val="clear" w:color="auto" w:fill="auto"/>
            <w:noWrap/>
            <w:vAlign w:val="bottom"/>
            <w:hideMark/>
          </w:tcPr>
          <w:p w14:paraId="15BD7418"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82.4%</w:t>
            </w:r>
          </w:p>
        </w:tc>
      </w:tr>
      <w:tr w:rsidR="00405739" w:rsidRPr="00E779BD" w14:paraId="5657858E" w14:textId="77777777" w:rsidTr="00090831">
        <w:trPr>
          <w:trHeight w:val="290"/>
        </w:trPr>
        <w:tc>
          <w:tcPr>
            <w:tcW w:w="2480" w:type="dxa"/>
            <w:shd w:val="clear" w:color="auto" w:fill="auto"/>
            <w:noWrap/>
            <w:vAlign w:val="bottom"/>
            <w:hideMark/>
          </w:tcPr>
          <w:p w14:paraId="5AD3BB7E"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Emergency admissions</w:t>
            </w:r>
          </w:p>
        </w:tc>
        <w:tc>
          <w:tcPr>
            <w:tcW w:w="960" w:type="dxa"/>
            <w:shd w:val="clear" w:color="auto" w:fill="auto"/>
            <w:noWrap/>
            <w:vAlign w:val="bottom"/>
            <w:hideMark/>
          </w:tcPr>
          <w:p w14:paraId="07CCC969"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63.8%</w:t>
            </w:r>
          </w:p>
        </w:tc>
      </w:tr>
      <w:tr w:rsidR="00405739" w:rsidRPr="00E779BD" w14:paraId="556A889B" w14:textId="77777777" w:rsidTr="00090831">
        <w:trPr>
          <w:trHeight w:val="290"/>
        </w:trPr>
        <w:tc>
          <w:tcPr>
            <w:tcW w:w="2480" w:type="dxa"/>
            <w:shd w:val="clear" w:color="auto" w:fill="auto"/>
            <w:noWrap/>
            <w:vAlign w:val="bottom"/>
            <w:hideMark/>
          </w:tcPr>
          <w:p w14:paraId="76AB6C34"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A&amp;E attendances</w:t>
            </w:r>
          </w:p>
        </w:tc>
        <w:tc>
          <w:tcPr>
            <w:tcW w:w="960" w:type="dxa"/>
            <w:shd w:val="clear" w:color="auto" w:fill="auto"/>
            <w:noWrap/>
            <w:vAlign w:val="bottom"/>
            <w:hideMark/>
          </w:tcPr>
          <w:p w14:paraId="2962FC01"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56.5%</w:t>
            </w:r>
          </w:p>
        </w:tc>
      </w:tr>
      <w:tr w:rsidR="00405739" w:rsidRPr="00E779BD" w14:paraId="1F578EF6" w14:textId="77777777" w:rsidTr="00090831">
        <w:trPr>
          <w:trHeight w:val="290"/>
        </w:trPr>
        <w:tc>
          <w:tcPr>
            <w:tcW w:w="2480" w:type="dxa"/>
            <w:shd w:val="clear" w:color="auto" w:fill="auto"/>
            <w:noWrap/>
            <w:vAlign w:val="bottom"/>
            <w:hideMark/>
          </w:tcPr>
          <w:p w14:paraId="73077EC4"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Prescriptions</w:t>
            </w:r>
          </w:p>
        </w:tc>
        <w:tc>
          <w:tcPr>
            <w:tcW w:w="960" w:type="dxa"/>
            <w:shd w:val="clear" w:color="auto" w:fill="auto"/>
            <w:noWrap/>
            <w:vAlign w:val="bottom"/>
            <w:hideMark/>
          </w:tcPr>
          <w:p w14:paraId="01972AF4"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55.3%</w:t>
            </w:r>
          </w:p>
        </w:tc>
      </w:tr>
      <w:tr w:rsidR="00405739" w:rsidRPr="00E779BD" w14:paraId="4D4A7E5F" w14:textId="77777777" w:rsidTr="00090831">
        <w:trPr>
          <w:trHeight w:val="290"/>
        </w:trPr>
        <w:tc>
          <w:tcPr>
            <w:tcW w:w="2480" w:type="dxa"/>
            <w:shd w:val="clear" w:color="auto" w:fill="auto"/>
            <w:noWrap/>
            <w:vAlign w:val="bottom"/>
            <w:hideMark/>
          </w:tcPr>
          <w:p w14:paraId="7D142F4F"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GP practice contacts</w:t>
            </w:r>
          </w:p>
        </w:tc>
        <w:tc>
          <w:tcPr>
            <w:tcW w:w="960" w:type="dxa"/>
            <w:shd w:val="clear" w:color="auto" w:fill="auto"/>
            <w:noWrap/>
            <w:vAlign w:val="bottom"/>
            <w:hideMark/>
          </w:tcPr>
          <w:p w14:paraId="0A67DB08"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49.8%</w:t>
            </w:r>
          </w:p>
        </w:tc>
      </w:tr>
      <w:tr w:rsidR="00405739" w:rsidRPr="00E779BD" w14:paraId="67E1AED8" w14:textId="77777777" w:rsidTr="00090831">
        <w:trPr>
          <w:trHeight w:val="290"/>
        </w:trPr>
        <w:tc>
          <w:tcPr>
            <w:tcW w:w="2480" w:type="dxa"/>
            <w:shd w:val="clear" w:color="auto" w:fill="auto"/>
            <w:noWrap/>
            <w:vAlign w:val="bottom"/>
            <w:hideMark/>
          </w:tcPr>
          <w:p w14:paraId="3DDEF2C1"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Outpatients first</w:t>
            </w:r>
          </w:p>
        </w:tc>
        <w:tc>
          <w:tcPr>
            <w:tcW w:w="960" w:type="dxa"/>
            <w:shd w:val="clear" w:color="auto" w:fill="auto"/>
            <w:noWrap/>
            <w:vAlign w:val="bottom"/>
            <w:hideMark/>
          </w:tcPr>
          <w:p w14:paraId="2D13B3B3"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24.4%</w:t>
            </w:r>
          </w:p>
        </w:tc>
      </w:tr>
      <w:tr w:rsidR="00405739" w:rsidRPr="00E779BD" w14:paraId="7D1C3159" w14:textId="77777777" w:rsidTr="00090831">
        <w:trPr>
          <w:trHeight w:val="290"/>
        </w:trPr>
        <w:tc>
          <w:tcPr>
            <w:tcW w:w="2480" w:type="dxa"/>
            <w:shd w:val="clear" w:color="auto" w:fill="auto"/>
            <w:noWrap/>
            <w:vAlign w:val="bottom"/>
            <w:hideMark/>
          </w:tcPr>
          <w:p w14:paraId="57FD85FC"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Outpatients follow-up</w:t>
            </w:r>
          </w:p>
        </w:tc>
        <w:tc>
          <w:tcPr>
            <w:tcW w:w="960" w:type="dxa"/>
            <w:shd w:val="clear" w:color="auto" w:fill="auto"/>
            <w:noWrap/>
            <w:vAlign w:val="bottom"/>
            <w:hideMark/>
          </w:tcPr>
          <w:p w14:paraId="3409F581"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22.0%</w:t>
            </w:r>
          </w:p>
        </w:tc>
      </w:tr>
      <w:tr w:rsidR="00405739" w:rsidRPr="00E779BD" w14:paraId="56E9AE93" w14:textId="77777777" w:rsidTr="00090831">
        <w:trPr>
          <w:trHeight w:val="290"/>
        </w:trPr>
        <w:tc>
          <w:tcPr>
            <w:tcW w:w="2480" w:type="dxa"/>
            <w:shd w:val="clear" w:color="auto" w:fill="auto"/>
            <w:noWrap/>
            <w:vAlign w:val="bottom"/>
            <w:hideMark/>
          </w:tcPr>
          <w:p w14:paraId="3D9E1B38" w14:textId="77777777" w:rsidR="00405739" w:rsidRPr="00E779BD" w:rsidRDefault="00405739" w:rsidP="00090831">
            <w:pPr>
              <w:spacing w:after="0" w:line="240" w:lineRule="auto"/>
              <w:rPr>
                <w:rFonts w:ascii="Calibri" w:eastAsia="Times New Roman" w:hAnsi="Calibri" w:cs="Calibri"/>
                <w:color w:val="000000"/>
                <w:lang w:eastAsia="en-GB"/>
              </w:rPr>
            </w:pPr>
            <w:r w:rsidRPr="00E779BD">
              <w:rPr>
                <w:rFonts w:ascii="Calibri" w:eastAsia="Times New Roman" w:hAnsi="Calibri" w:cs="Calibri"/>
                <w:color w:val="000000"/>
                <w:lang w:eastAsia="en-GB"/>
              </w:rPr>
              <w:t>Elective admissions</w:t>
            </w:r>
          </w:p>
        </w:tc>
        <w:tc>
          <w:tcPr>
            <w:tcW w:w="960" w:type="dxa"/>
            <w:shd w:val="clear" w:color="auto" w:fill="auto"/>
            <w:noWrap/>
            <w:vAlign w:val="bottom"/>
            <w:hideMark/>
          </w:tcPr>
          <w:p w14:paraId="7586FECB" w14:textId="77777777" w:rsidR="00405739" w:rsidRPr="00E779BD" w:rsidRDefault="00405739" w:rsidP="00090831">
            <w:pPr>
              <w:spacing w:after="0" w:line="240" w:lineRule="auto"/>
              <w:jc w:val="right"/>
              <w:rPr>
                <w:rFonts w:ascii="Calibri" w:eastAsia="Times New Roman" w:hAnsi="Calibri" w:cs="Calibri"/>
                <w:color w:val="000000"/>
                <w:lang w:eastAsia="en-GB"/>
              </w:rPr>
            </w:pPr>
            <w:r w:rsidRPr="00E779BD">
              <w:rPr>
                <w:rFonts w:ascii="Calibri" w:eastAsia="Times New Roman" w:hAnsi="Calibri" w:cs="Calibri"/>
                <w:color w:val="000000"/>
                <w:lang w:eastAsia="en-GB"/>
              </w:rPr>
              <w:t>6.1%</w:t>
            </w:r>
          </w:p>
        </w:tc>
      </w:tr>
    </w:tbl>
    <w:p w14:paraId="5DDB2EEB" w14:textId="77777777" w:rsidR="00405739" w:rsidRPr="002E4A41" w:rsidRDefault="00405739" w:rsidP="00405739">
      <w:pPr>
        <w:spacing w:line="240" w:lineRule="auto"/>
        <w:rPr>
          <w:b/>
          <w:sz w:val="24"/>
          <w:szCs w:val="24"/>
        </w:rPr>
      </w:pPr>
    </w:p>
    <w:p w14:paraId="3CA3CE54" w14:textId="77777777" w:rsidR="00405739" w:rsidRDefault="00405739" w:rsidP="00405739">
      <w:pPr>
        <w:spacing w:line="240" w:lineRule="auto"/>
        <w:rPr>
          <w:b/>
          <w:sz w:val="28"/>
          <w:szCs w:val="28"/>
        </w:rPr>
      </w:pPr>
    </w:p>
    <w:p w14:paraId="732F4800" w14:textId="77777777" w:rsidR="00405739" w:rsidRPr="006C6993" w:rsidRDefault="00405739" w:rsidP="00405739">
      <w:pPr>
        <w:spacing w:line="480" w:lineRule="auto"/>
        <w:rPr>
          <w:b/>
          <w:sz w:val="28"/>
          <w:szCs w:val="28"/>
        </w:rPr>
      </w:pPr>
      <w:r>
        <w:rPr>
          <w:b/>
          <w:sz w:val="28"/>
          <w:szCs w:val="28"/>
        </w:rPr>
        <w:t xml:space="preserve">A2 </w:t>
      </w:r>
      <w:r w:rsidRPr="00FC37C2">
        <w:rPr>
          <w:b/>
          <w:sz w:val="28"/>
          <w:szCs w:val="28"/>
        </w:rPr>
        <w:t xml:space="preserve">Description of </w:t>
      </w:r>
      <w:r>
        <w:rPr>
          <w:b/>
          <w:sz w:val="28"/>
          <w:szCs w:val="28"/>
        </w:rPr>
        <w:t>the</w:t>
      </w:r>
      <w:r w:rsidRPr="00FC37C2">
        <w:rPr>
          <w:b/>
          <w:sz w:val="28"/>
          <w:szCs w:val="28"/>
        </w:rPr>
        <w:t xml:space="preserve"> segment characteristics</w:t>
      </w:r>
    </w:p>
    <w:p w14:paraId="77EA1FE2" w14:textId="77777777" w:rsidR="00405739" w:rsidRDefault="00405739" w:rsidP="00405739">
      <w:pPr>
        <w:spacing w:line="480" w:lineRule="auto"/>
        <w:rPr>
          <w:sz w:val="24"/>
          <w:szCs w:val="24"/>
        </w:rPr>
      </w:pPr>
      <w:r>
        <w:rPr>
          <w:sz w:val="24"/>
          <w:szCs w:val="24"/>
        </w:rPr>
        <w:t xml:space="preserve">A quarter of the population are in Segment 1, a generally younger segment without chronic conditions, and have very low utilisation on average. Patients in segment 2 also don’t have chronic conditions included in our list but these patients have utilisation of primary care and outpatients similar to the mean. Segment 3 includes patients who have a single chronic condition, particularly asthma and anxiety/depression, and generally have fewer GP practice contacts, prescriptions and utilisation in other settings.  Patients in Segment 4 have low use except higher A&amp;E attendances than average and do not have chronic conditions. Patients in Segment 5 have higher-than-average numbers of GP contacts and prescriptions, and one chronic condition, likely anxiety/depression, hypertension or asthma. Similar to Segment 5, patients in Segment 6 have higher-than-average GP contacts and prescriptions, only some outpatient attendances and 1-2 chronic conditions, with 45.1% having anxiety/depression. Patients in Segment 7, who are older and more deprived, have multiple chronic conditions, particularly anxiety/depression, diabetes and hypertension, and only increased GP practice contacts and prescriptions, suggesting they are managed in primary care. But it is also a much older and more deprived segment. Segment 8 includes much younger patients with higher utilisation than average, including higher A&amp;E attendances, some in children. Segments 9 and 10 are the highest need segments including older patients on average with multiple chronic conditions, together making up 7% of the population. Segment 9 includes patients with very high utilisation but below average emergency care (emergency admissions and A&amp;E attendances), whilst patients in Segment 10 have the highest levels of emergency care need. </w:t>
      </w:r>
    </w:p>
    <w:p w14:paraId="6BD612EA" w14:textId="77777777" w:rsidR="00405739" w:rsidRDefault="00405739" w:rsidP="00405739">
      <w:pPr>
        <w:spacing w:line="480" w:lineRule="auto"/>
        <w:rPr>
          <w:b/>
          <w:sz w:val="24"/>
          <w:szCs w:val="24"/>
        </w:rPr>
      </w:pPr>
    </w:p>
    <w:p w14:paraId="0EA097EB" w14:textId="77777777" w:rsidR="00405739" w:rsidRDefault="00405739" w:rsidP="00405739">
      <w:pPr>
        <w:spacing w:line="480" w:lineRule="auto"/>
        <w:rPr>
          <w:b/>
          <w:sz w:val="28"/>
          <w:szCs w:val="28"/>
        </w:rPr>
      </w:pPr>
      <w:r w:rsidRPr="00CB7D4D">
        <w:rPr>
          <w:b/>
          <w:sz w:val="28"/>
          <w:szCs w:val="28"/>
        </w:rPr>
        <w:t>A3 Additional model results</w:t>
      </w:r>
    </w:p>
    <w:p w14:paraId="41F0BE0E" w14:textId="08CC770B" w:rsidR="00405739" w:rsidRPr="00230CF6" w:rsidRDefault="00405739" w:rsidP="00405739">
      <w:pPr>
        <w:spacing w:line="480" w:lineRule="auto"/>
        <w:rPr>
          <w:sz w:val="24"/>
          <w:szCs w:val="24"/>
        </w:rPr>
      </w:pPr>
      <w:r w:rsidRPr="00230CF6">
        <w:rPr>
          <w:sz w:val="24"/>
          <w:szCs w:val="24"/>
        </w:rPr>
        <w:t>We calculated the statistical significance of the differences between models</w:t>
      </w:r>
      <w:r>
        <w:rPr>
          <w:sz w:val="24"/>
          <w:szCs w:val="24"/>
        </w:rPr>
        <w:t xml:space="preserve"> using De Long’s method implemented in R </w:t>
      </w:r>
      <w:r>
        <w:rPr>
          <w:sz w:val="24"/>
          <w:szCs w:val="24"/>
        </w:rPr>
        <w:fldChar w:fldCharType="begin"/>
      </w:r>
      <w:r>
        <w:rPr>
          <w:sz w:val="24"/>
          <w:szCs w:val="24"/>
        </w:rPr>
        <w:instrText xml:space="preserve"> ADDIN EN.CITE &lt;EndNote&gt;&lt;Cite&gt;&lt;Author&gt;DeLong&lt;/Author&gt;&lt;Year&gt;1988&lt;/Year&gt;&lt;RecNum&gt;23&lt;/RecNum&gt;&lt;DisplayText&gt;&lt;style face="superscript"&gt;18&lt;/style&gt;&lt;/DisplayText&gt;&lt;record&gt;&lt;rec-number&gt;23&lt;/rec-number&gt;&lt;foreign-keys&gt;&lt;key app="EN" db-id="ear2px2fnvwvpoesd5x55szizp2zetdx22z2" timestamp="1702917100"&gt;23&lt;/key&gt;&lt;/foreign-keys&gt;&lt;ref-type name="Journal Article"&gt;17&lt;/ref-type&gt;&lt;contributors&gt;&lt;authors&gt;&lt;author&gt;DeLong, Elizabeth R.&lt;/author&gt;&lt;author&gt;DeLong, David M.&lt;/author&gt;&lt;author&gt;Clarke-Pearson, Daniel L.&lt;/author&gt;&lt;/authors&gt;&lt;/contributors&gt;&lt;titles&gt;&lt;title&gt;Comparing the Areas under Two or More Correlated Receiver Operating Characteristic Curves: A Nonparametric Approach&lt;/title&gt;&lt;secondary-title&gt;Biometrics&lt;/secondary-title&gt;&lt;/titles&gt;&lt;periodical&gt;&lt;full-title&gt;Biometrics&lt;/full-title&gt;&lt;/periodical&gt;&lt;pages&gt;837-845&lt;/pages&gt;&lt;volume&gt;44&lt;/volume&gt;&lt;number&gt;3&lt;/number&gt;&lt;dates&gt;&lt;year&gt;1988&lt;/year&gt;&lt;/dates&gt;&lt;publisher&gt;[Wiley, International Biometric Society]&lt;/publisher&gt;&lt;isbn&gt;0006341X, 15410420&lt;/isbn&gt;&lt;urls&gt;&lt;related-urls&gt;&lt;url&gt;http://www.jstor.org/stable/2531595&lt;/url&gt;&lt;/related-urls&gt;&lt;/urls&gt;&lt;custom1&gt;Full publication date: Sep., 1988&lt;/custom1&gt;&lt;electronic-resource-num&gt;10.2307/2531595&lt;/electronic-resource-num&gt;&lt;remote-database-name&gt;JSTOR&lt;/remote-database-name&gt;&lt;access-date&gt;2023/12/18/&lt;/access-date&gt;&lt;/record&gt;&lt;/Cite&gt;&lt;/EndNote&gt;</w:instrText>
      </w:r>
      <w:r>
        <w:rPr>
          <w:sz w:val="24"/>
          <w:szCs w:val="24"/>
        </w:rPr>
        <w:fldChar w:fldCharType="separate"/>
      </w:r>
      <w:r w:rsidRPr="00B00F36">
        <w:rPr>
          <w:noProof/>
          <w:sz w:val="24"/>
          <w:szCs w:val="24"/>
          <w:vertAlign w:val="superscript"/>
        </w:rPr>
        <w:t>18</w:t>
      </w:r>
      <w:r>
        <w:rPr>
          <w:sz w:val="24"/>
          <w:szCs w:val="24"/>
        </w:rPr>
        <w:fldChar w:fldCharType="end"/>
      </w:r>
      <w:r w:rsidRPr="00230CF6">
        <w:rPr>
          <w:sz w:val="24"/>
          <w:szCs w:val="24"/>
        </w:rPr>
        <w:t>. The resulting p-value</w:t>
      </w:r>
      <w:r>
        <w:rPr>
          <w:sz w:val="24"/>
          <w:szCs w:val="24"/>
        </w:rPr>
        <w:t xml:space="preserve">s </w:t>
      </w:r>
      <w:r w:rsidR="008778D5">
        <w:rPr>
          <w:sz w:val="24"/>
          <w:szCs w:val="24"/>
        </w:rPr>
        <w:t xml:space="preserve">(shown in Table A2) </w:t>
      </w:r>
      <w:r>
        <w:rPr>
          <w:sz w:val="24"/>
          <w:szCs w:val="24"/>
        </w:rPr>
        <w:t>have</w:t>
      </w:r>
      <w:r w:rsidRPr="00230CF6">
        <w:rPr>
          <w:sz w:val="24"/>
          <w:szCs w:val="24"/>
        </w:rPr>
        <w:t xml:space="preserve"> been considered in the reporting of any differences, for example the difference between Model D compared to Model C was only statistically significant for mortality. For the other outcomes we have referred to the models </w:t>
      </w:r>
      <w:r>
        <w:rPr>
          <w:sz w:val="24"/>
          <w:szCs w:val="24"/>
        </w:rPr>
        <w:t xml:space="preserve">as </w:t>
      </w:r>
      <w:r w:rsidRPr="00230CF6">
        <w:rPr>
          <w:sz w:val="24"/>
          <w:szCs w:val="24"/>
        </w:rPr>
        <w:t>having similar discrimination.</w:t>
      </w:r>
    </w:p>
    <w:p w14:paraId="4BB7F4F4" w14:textId="77777777" w:rsidR="00405739" w:rsidRDefault="00405739" w:rsidP="00405739">
      <w:pPr>
        <w:spacing w:line="480" w:lineRule="auto"/>
        <w:rPr>
          <w:b/>
          <w:sz w:val="28"/>
          <w:szCs w:val="28"/>
        </w:rPr>
      </w:pPr>
      <w:r>
        <w:rPr>
          <w:b/>
          <w:sz w:val="28"/>
          <w:szCs w:val="28"/>
        </w:rPr>
        <w:t>Table A2: Comparison between models using De Long’s method, difference in AUC and statistical significance (p-value)</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5"/>
        <w:gridCol w:w="1846"/>
        <w:gridCol w:w="1769"/>
        <w:gridCol w:w="1846"/>
      </w:tblGrid>
      <w:tr w:rsidR="00405739" w:rsidRPr="00050C9D" w14:paraId="3EE01F34" w14:textId="77777777" w:rsidTr="00090831">
        <w:trPr>
          <w:trHeight w:val="630"/>
        </w:trPr>
        <w:tc>
          <w:tcPr>
            <w:tcW w:w="2694" w:type="dxa"/>
            <w:shd w:val="clear" w:color="auto" w:fill="auto"/>
            <w:noWrap/>
            <w:vAlign w:val="bottom"/>
            <w:hideMark/>
          </w:tcPr>
          <w:p w14:paraId="6B3D149F" w14:textId="77777777" w:rsidR="00405739" w:rsidRPr="00050C9D" w:rsidRDefault="00405739" w:rsidP="00090831">
            <w:pPr>
              <w:spacing w:after="0" w:line="240" w:lineRule="auto"/>
              <w:rPr>
                <w:rFonts w:ascii="Calibri" w:eastAsia="Times New Roman" w:hAnsi="Calibri" w:cs="Calibri"/>
                <w:color w:val="000000"/>
                <w:lang w:eastAsia="en-GB"/>
              </w:rPr>
            </w:pPr>
            <w:r w:rsidRPr="00050C9D">
              <w:rPr>
                <w:rFonts w:ascii="Calibri" w:eastAsia="Times New Roman" w:hAnsi="Calibri" w:cs="Calibri"/>
                <w:color w:val="000000"/>
                <w:lang w:eastAsia="en-GB"/>
              </w:rPr>
              <w:t> </w:t>
            </w:r>
          </w:p>
        </w:tc>
        <w:tc>
          <w:tcPr>
            <w:tcW w:w="1705" w:type="dxa"/>
            <w:shd w:val="clear" w:color="auto" w:fill="auto"/>
            <w:vAlign w:val="center"/>
            <w:hideMark/>
          </w:tcPr>
          <w:p w14:paraId="214D0BC1"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Emergency admissions</w:t>
            </w:r>
          </w:p>
        </w:tc>
        <w:tc>
          <w:tcPr>
            <w:tcW w:w="1846" w:type="dxa"/>
            <w:shd w:val="clear" w:color="auto" w:fill="auto"/>
            <w:vAlign w:val="center"/>
            <w:hideMark/>
          </w:tcPr>
          <w:p w14:paraId="23C8A57C"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A&amp;E attendance</w:t>
            </w:r>
          </w:p>
        </w:tc>
        <w:tc>
          <w:tcPr>
            <w:tcW w:w="1769" w:type="dxa"/>
            <w:shd w:val="clear" w:color="auto" w:fill="auto"/>
            <w:vAlign w:val="center"/>
            <w:hideMark/>
          </w:tcPr>
          <w:p w14:paraId="63814CA1"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GP practice contacts</w:t>
            </w:r>
          </w:p>
        </w:tc>
        <w:tc>
          <w:tcPr>
            <w:tcW w:w="1846" w:type="dxa"/>
            <w:shd w:val="clear" w:color="auto" w:fill="auto"/>
            <w:vAlign w:val="center"/>
            <w:hideMark/>
          </w:tcPr>
          <w:p w14:paraId="72659A5F"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All</w:t>
            </w:r>
            <w:r>
              <w:rPr>
                <w:rFonts w:ascii="Calibri" w:eastAsia="Times New Roman" w:hAnsi="Calibri" w:cs="Calibri"/>
                <w:b/>
                <w:bCs/>
                <w:color w:val="000000"/>
                <w:lang w:eastAsia="en-GB"/>
              </w:rPr>
              <w:t>-</w:t>
            </w:r>
            <w:r w:rsidRPr="00050C9D">
              <w:rPr>
                <w:rFonts w:ascii="Calibri" w:eastAsia="Times New Roman" w:hAnsi="Calibri" w:cs="Calibri"/>
                <w:b/>
                <w:bCs/>
                <w:color w:val="000000"/>
                <w:lang w:eastAsia="en-GB"/>
              </w:rPr>
              <w:t>cause mortality</w:t>
            </w:r>
          </w:p>
        </w:tc>
      </w:tr>
      <w:tr w:rsidR="00405739" w:rsidRPr="00050C9D" w14:paraId="773E5208" w14:textId="77777777" w:rsidTr="00090831">
        <w:trPr>
          <w:trHeight w:val="690"/>
        </w:trPr>
        <w:tc>
          <w:tcPr>
            <w:tcW w:w="2694" w:type="dxa"/>
            <w:shd w:val="clear" w:color="auto" w:fill="auto"/>
            <w:hideMark/>
          </w:tcPr>
          <w:p w14:paraId="3719EEEC"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Model B</w:t>
            </w:r>
            <w:r>
              <w:rPr>
                <w:rFonts w:ascii="Calibri" w:eastAsia="Times New Roman" w:hAnsi="Calibri" w:cs="Calibri"/>
                <w:b/>
                <w:bCs/>
                <w:color w:val="000000"/>
                <w:lang w:eastAsia="en-GB"/>
              </w:rPr>
              <w:t xml:space="preserve"> compared to Model A</w:t>
            </w:r>
          </w:p>
        </w:tc>
        <w:tc>
          <w:tcPr>
            <w:tcW w:w="1705" w:type="dxa"/>
            <w:shd w:val="clear" w:color="auto" w:fill="auto"/>
            <w:noWrap/>
          </w:tcPr>
          <w:p w14:paraId="78EFB630"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0.08 ( &lt;0.001)</w:t>
            </w:r>
          </w:p>
        </w:tc>
        <w:tc>
          <w:tcPr>
            <w:tcW w:w="1846" w:type="dxa"/>
            <w:shd w:val="clear" w:color="auto" w:fill="auto"/>
            <w:noWrap/>
          </w:tcPr>
          <w:p w14:paraId="1F2D4334"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0.12 (&lt;0.001)</w:t>
            </w:r>
          </w:p>
        </w:tc>
        <w:tc>
          <w:tcPr>
            <w:tcW w:w="1769" w:type="dxa"/>
            <w:shd w:val="clear" w:color="auto" w:fill="auto"/>
            <w:noWrap/>
          </w:tcPr>
          <w:p w14:paraId="2677EDCB"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0.08 (&lt;0.001)</w:t>
            </w:r>
          </w:p>
        </w:tc>
        <w:tc>
          <w:tcPr>
            <w:tcW w:w="1846" w:type="dxa"/>
            <w:shd w:val="clear" w:color="auto" w:fill="auto"/>
            <w:noWrap/>
          </w:tcPr>
          <w:p w14:paraId="61EA5EA9"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0.03 (&lt;0.001)</w:t>
            </w:r>
          </w:p>
        </w:tc>
      </w:tr>
      <w:tr w:rsidR="00405739" w:rsidRPr="00050C9D" w14:paraId="5EAB955F" w14:textId="77777777" w:rsidTr="00090831">
        <w:trPr>
          <w:trHeight w:val="825"/>
        </w:trPr>
        <w:tc>
          <w:tcPr>
            <w:tcW w:w="2694" w:type="dxa"/>
            <w:shd w:val="clear" w:color="auto" w:fill="auto"/>
            <w:vAlign w:val="center"/>
            <w:hideMark/>
          </w:tcPr>
          <w:p w14:paraId="2CDDF88A"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Model C</w:t>
            </w:r>
            <w:r>
              <w:rPr>
                <w:rFonts w:ascii="Calibri" w:eastAsia="Times New Roman" w:hAnsi="Calibri" w:cs="Calibri"/>
                <w:b/>
                <w:bCs/>
                <w:color w:val="000000"/>
                <w:lang w:eastAsia="en-GB"/>
              </w:rPr>
              <w:t>:</w:t>
            </w:r>
            <w:r w:rsidRPr="00050C9D">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compared to Model B</w:t>
            </w:r>
          </w:p>
        </w:tc>
        <w:tc>
          <w:tcPr>
            <w:tcW w:w="1705" w:type="dxa"/>
            <w:shd w:val="clear" w:color="auto" w:fill="auto"/>
            <w:noWrap/>
          </w:tcPr>
          <w:p w14:paraId="5A9494E2"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0.06 (&lt;0.001)</w:t>
            </w:r>
          </w:p>
        </w:tc>
        <w:tc>
          <w:tcPr>
            <w:tcW w:w="1846" w:type="dxa"/>
            <w:shd w:val="clear" w:color="auto" w:fill="auto"/>
            <w:noWrap/>
          </w:tcPr>
          <w:p w14:paraId="11207846"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0.1 (&lt;0.001)</w:t>
            </w:r>
          </w:p>
        </w:tc>
        <w:tc>
          <w:tcPr>
            <w:tcW w:w="1769" w:type="dxa"/>
            <w:shd w:val="clear" w:color="auto" w:fill="auto"/>
            <w:noWrap/>
          </w:tcPr>
          <w:p w14:paraId="25B2C490"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0.06 (&lt;0.001)</w:t>
            </w:r>
          </w:p>
        </w:tc>
        <w:tc>
          <w:tcPr>
            <w:tcW w:w="1846" w:type="dxa"/>
            <w:shd w:val="clear" w:color="auto" w:fill="auto"/>
            <w:noWrap/>
          </w:tcPr>
          <w:p w14:paraId="562B8574"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-0.02 (&lt;0.001)</w:t>
            </w:r>
          </w:p>
        </w:tc>
      </w:tr>
      <w:tr w:rsidR="00405739" w:rsidRPr="00050C9D" w14:paraId="6BE71E55" w14:textId="77777777" w:rsidTr="00090831">
        <w:trPr>
          <w:trHeight w:val="495"/>
        </w:trPr>
        <w:tc>
          <w:tcPr>
            <w:tcW w:w="2694" w:type="dxa"/>
            <w:shd w:val="clear" w:color="auto" w:fill="auto"/>
            <w:vAlign w:val="center"/>
            <w:hideMark/>
          </w:tcPr>
          <w:p w14:paraId="778E3C5E" w14:textId="77777777" w:rsidR="00405739" w:rsidRPr="00050C9D" w:rsidRDefault="00405739" w:rsidP="00090831">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Model C compared to Model A</w:t>
            </w:r>
          </w:p>
        </w:tc>
        <w:tc>
          <w:tcPr>
            <w:tcW w:w="1705" w:type="dxa"/>
            <w:shd w:val="clear" w:color="auto" w:fill="auto"/>
            <w:noWrap/>
          </w:tcPr>
          <w:p w14:paraId="26AEE0B4"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-0.02 (&lt;0.001)</w:t>
            </w:r>
          </w:p>
        </w:tc>
        <w:tc>
          <w:tcPr>
            <w:tcW w:w="1846" w:type="dxa"/>
            <w:shd w:val="clear" w:color="auto" w:fill="auto"/>
            <w:noWrap/>
          </w:tcPr>
          <w:p w14:paraId="1DEF2B4A"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-0.02 (&lt;0.001)</w:t>
            </w:r>
          </w:p>
        </w:tc>
        <w:tc>
          <w:tcPr>
            <w:tcW w:w="1769" w:type="dxa"/>
            <w:shd w:val="clear" w:color="auto" w:fill="auto"/>
            <w:noWrap/>
          </w:tcPr>
          <w:p w14:paraId="7B5C7DD0"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-0.02 (&lt;0.001)</w:t>
            </w:r>
          </w:p>
        </w:tc>
        <w:tc>
          <w:tcPr>
            <w:tcW w:w="1846" w:type="dxa"/>
            <w:shd w:val="clear" w:color="auto" w:fill="auto"/>
            <w:noWrap/>
          </w:tcPr>
          <w:p w14:paraId="26537CCA"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-0.06 (&lt;0.001)</w:t>
            </w:r>
          </w:p>
        </w:tc>
      </w:tr>
      <w:tr w:rsidR="00405739" w:rsidRPr="00050C9D" w14:paraId="20FEF8EB" w14:textId="77777777" w:rsidTr="00090831">
        <w:trPr>
          <w:trHeight w:val="720"/>
        </w:trPr>
        <w:tc>
          <w:tcPr>
            <w:tcW w:w="2694" w:type="dxa"/>
            <w:shd w:val="clear" w:color="auto" w:fill="auto"/>
            <w:hideMark/>
          </w:tcPr>
          <w:p w14:paraId="1C8391A0" w14:textId="77777777" w:rsidR="00405739" w:rsidRPr="00050C9D" w:rsidRDefault="00405739" w:rsidP="00090831">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Model D compared to Model C</w:t>
            </w:r>
          </w:p>
        </w:tc>
        <w:tc>
          <w:tcPr>
            <w:tcW w:w="1705" w:type="dxa"/>
            <w:shd w:val="clear" w:color="auto" w:fill="auto"/>
            <w:noWrap/>
          </w:tcPr>
          <w:p w14:paraId="7E766C94"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 (0.387)</w:t>
            </w:r>
          </w:p>
        </w:tc>
        <w:tc>
          <w:tcPr>
            <w:tcW w:w="1846" w:type="dxa"/>
            <w:shd w:val="clear" w:color="auto" w:fill="auto"/>
            <w:noWrap/>
          </w:tcPr>
          <w:p w14:paraId="20307895"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 (0.475)</w:t>
            </w:r>
          </w:p>
        </w:tc>
        <w:tc>
          <w:tcPr>
            <w:tcW w:w="1769" w:type="dxa"/>
            <w:shd w:val="clear" w:color="auto" w:fill="auto"/>
            <w:noWrap/>
          </w:tcPr>
          <w:p w14:paraId="7E8EA7B2"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 (0.421)</w:t>
            </w:r>
          </w:p>
        </w:tc>
        <w:tc>
          <w:tcPr>
            <w:tcW w:w="1846" w:type="dxa"/>
            <w:shd w:val="clear" w:color="auto" w:fill="auto"/>
            <w:noWrap/>
          </w:tcPr>
          <w:p w14:paraId="41C44103" w14:textId="77777777" w:rsidR="00405739" w:rsidRPr="00050C9D" w:rsidRDefault="00405739" w:rsidP="00090831">
            <w:pPr>
              <w:spacing w:after="0" w:line="240" w:lineRule="auto"/>
              <w:jc w:val="center"/>
              <w:rPr>
                <w:rFonts w:ascii="Calibri" w:eastAsia="Times New Roman" w:hAnsi="Calibri" w:cs="Calibri"/>
                <w:lang w:eastAsia="en-GB"/>
              </w:rPr>
            </w:pPr>
            <w:r>
              <w:rPr>
                <w:rFonts w:ascii="Calibri" w:hAnsi="Calibri" w:cs="Calibri"/>
                <w:color w:val="000000"/>
              </w:rPr>
              <w:t>-0.08 (&lt;0.001)</w:t>
            </w:r>
          </w:p>
        </w:tc>
      </w:tr>
      <w:tr w:rsidR="00405739" w:rsidRPr="00050C9D" w14:paraId="5EF1AF95" w14:textId="77777777" w:rsidTr="00090831">
        <w:trPr>
          <w:trHeight w:val="780"/>
        </w:trPr>
        <w:tc>
          <w:tcPr>
            <w:tcW w:w="2694" w:type="dxa"/>
            <w:shd w:val="clear" w:color="auto" w:fill="auto"/>
            <w:hideMark/>
          </w:tcPr>
          <w:p w14:paraId="70A00744"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Model E</w:t>
            </w:r>
            <w:r>
              <w:rPr>
                <w:rFonts w:ascii="Calibri" w:eastAsia="Times New Roman" w:hAnsi="Calibri" w:cs="Calibri"/>
                <w:b/>
                <w:bCs/>
                <w:color w:val="000000"/>
                <w:lang w:eastAsia="en-GB"/>
              </w:rPr>
              <w:t xml:space="preserve"> compared to Model C</w:t>
            </w:r>
          </w:p>
        </w:tc>
        <w:tc>
          <w:tcPr>
            <w:tcW w:w="1705" w:type="dxa"/>
            <w:shd w:val="clear" w:color="auto" w:fill="auto"/>
            <w:noWrap/>
          </w:tcPr>
          <w:p w14:paraId="4643A8E0"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-0.04 (&lt;0.001)</w:t>
            </w:r>
          </w:p>
        </w:tc>
        <w:tc>
          <w:tcPr>
            <w:tcW w:w="1846" w:type="dxa"/>
            <w:shd w:val="clear" w:color="auto" w:fill="auto"/>
            <w:noWrap/>
          </w:tcPr>
          <w:p w14:paraId="2CB265E1"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-0.01 (0.02481)</w:t>
            </w:r>
          </w:p>
        </w:tc>
        <w:tc>
          <w:tcPr>
            <w:tcW w:w="1769" w:type="dxa"/>
            <w:shd w:val="clear" w:color="auto" w:fill="auto"/>
            <w:noWrap/>
          </w:tcPr>
          <w:p w14:paraId="52FB2DAC" w14:textId="77777777" w:rsidR="00405739" w:rsidRPr="00050C9D" w:rsidRDefault="00405739" w:rsidP="00090831">
            <w:pPr>
              <w:spacing w:after="0" w:line="240" w:lineRule="auto"/>
              <w:jc w:val="center"/>
              <w:rPr>
                <w:rFonts w:ascii="Calibri" w:eastAsia="Times New Roman" w:hAnsi="Calibri" w:cs="Calibri"/>
                <w:color w:val="000000"/>
                <w:lang w:eastAsia="en-GB"/>
              </w:rPr>
            </w:pPr>
            <w:r>
              <w:rPr>
                <w:rFonts w:ascii="Calibri" w:hAnsi="Calibri" w:cs="Calibri"/>
                <w:color w:val="000000"/>
              </w:rPr>
              <w:t>-0.11 (&lt;0.001)</w:t>
            </w:r>
          </w:p>
        </w:tc>
        <w:tc>
          <w:tcPr>
            <w:tcW w:w="1846" w:type="dxa"/>
            <w:shd w:val="clear" w:color="auto" w:fill="auto"/>
            <w:noWrap/>
          </w:tcPr>
          <w:p w14:paraId="0913FD86" w14:textId="77777777" w:rsidR="00405739" w:rsidRPr="00050C9D" w:rsidRDefault="00405739" w:rsidP="00090831">
            <w:pPr>
              <w:spacing w:after="0" w:line="240" w:lineRule="auto"/>
              <w:jc w:val="center"/>
              <w:rPr>
                <w:rFonts w:ascii="Calibri" w:eastAsia="Times New Roman" w:hAnsi="Calibri" w:cs="Calibri"/>
                <w:lang w:eastAsia="en-GB"/>
              </w:rPr>
            </w:pPr>
            <w:r>
              <w:rPr>
                <w:rFonts w:ascii="Calibri" w:hAnsi="Calibri" w:cs="Calibri"/>
                <w:color w:val="000000"/>
              </w:rPr>
              <w:t>-0.1 (&lt;0.001)</w:t>
            </w:r>
          </w:p>
        </w:tc>
      </w:tr>
    </w:tbl>
    <w:p w14:paraId="78E9BFEA" w14:textId="07772F3A" w:rsidR="00405739" w:rsidRDefault="00405739" w:rsidP="00405739">
      <w:pPr>
        <w:spacing w:line="240" w:lineRule="auto"/>
        <w:rPr>
          <w:b/>
          <w:sz w:val="28"/>
          <w:szCs w:val="28"/>
        </w:rPr>
      </w:pPr>
    </w:p>
    <w:p w14:paraId="733A82D5" w14:textId="0086AF0A" w:rsidR="008778D5" w:rsidRDefault="008778D5" w:rsidP="008778D5">
      <w:pPr>
        <w:spacing w:line="480" w:lineRule="auto"/>
        <w:rPr>
          <w:sz w:val="24"/>
          <w:szCs w:val="24"/>
        </w:rPr>
      </w:pPr>
      <w:r w:rsidRPr="00824E6C">
        <w:rPr>
          <w:sz w:val="24"/>
          <w:szCs w:val="24"/>
        </w:rPr>
        <w:t>We also calculated the pseudo R</w:t>
      </w:r>
      <w:r w:rsidRPr="00824E6C">
        <w:rPr>
          <w:sz w:val="24"/>
          <w:szCs w:val="24"/>
          <w:vertAlign w:val="superscript"/>
        </w:rPr>
        <w:t>2</w:t>
      </w:r>
      <w:r w:rsidRPr="00824E6C">
        <w:rPr>
          <w:sz w:val="24"/>
          <w:szCs w:val="24"/>
        </w:rPr>
        <w:t xml:space="preserve"> of the logistic regression models</w:t>
      </w:r>
      <w:r>
        <w:rPr>
          <w:sz w:val="24"/>
          <w:szCs w:val="24"/>
        </w:rPr>
        <w:t xml:space="preserve"> (shown in Table A3)</w:t>
      </w:r>
      <w:r w:rsidRPr="00824E6C">
        <w:rPr>
          <w:sz w:val="24"/>
          <w:szCs w:val="24"/>
        </w:rPr>
        <w:t xml:space="preserve"> using the training dataset as an estimate of model fit.</w:t>
      </w:r>
    </w:p>
    <w:p w14:paraId="025B7C58" w14:textId="77777777" w:rsidR="008778D5" w:rsidRDefault="008778D5" w:rsidP="00405739">
      <w:pPr>
        <w:spacing w:line="240" w:lineRule="auto"/>
        <w:rPr>
          <w:b/>
          <w:sz w:val="28"/>
          <w:szCs w:val="28"/>
        </w:rPr>
      </w:pPr>
    </w:p>
    <w:p w14:paraId="3A747D94" w14:textId="77777777" w:rsidR="00405739" w:rsidRDefault="00405739" w:rsidP="00405739">
      <w:pPr>
        <w:spacing w:line="240" w:lineRule="auto"/>
        <w:rPr>
          <w:b/>
          <w:sz w:val="28"/>
          <w:szCs w:val="28"/>
        </w:rPr>
      </w:pPr>
      <w:r>
        <w:rPr>
          <w:b/>
          <w:sz w:val="28"/>
          <w:szCs w:val="28"/>
        </w:rPr>
        <w:t>Table A3: Pseudo R</w:t>
      </w:r>
      <w:r w:rsidRPr="00D557ED">
        <w:rPr>
          <w:b/>
          <w:sz w:val="28"/>
          <w:szCs w:val="28"/>
          <w:vertAlign w:val="superscript"/>
        </w:rPr>
        <w:t>2</w:t>
      </w:r>
      <w:r>
        <w:rPr>
          <w:b/>
          <w:sz w:val="28"/>
          <w:szCs w:val="28"/>
        </w:rPr>
        <w:t xml:space="preserve"> for logistic regression models using the training dataset</w:t>
      </w:r>
    </w:p>
    <w:p w14:paraId="22025D20" w14:textId="77777777" w:rsidR="00405739" w:rsidRDefault="00405739" w:rsidP="00405739">
      <w:pPr>
        <w:spacing w:line="240" w:lineRule="auto"/>
        <w:rPr>
          <w:b/>
          <w:sz w:val="28"/>
          <w:szCs w:val="28"/>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5"/>
        <w:gridCol w:w="1846"/>
        <w:gridCol w:w="1769"/>
        <w:gridCol w:w="1846"/>
      </w:tblGrid>
      <w:tr w:rsidR="00405739" w:rsidRPr="00050C9D" w14:paraId="7D01CF38" w14:textId="77777777" w:rsidTr="00090831">
        <w:trPr>
          <w:trHeight w:val="630"/>
        </w:trPr>
        <w:tc>
          <w:tcPr>
            <w:tcW w:w="2694" w:type="dxa"/>
            <w:shd w:val="clear" w:color="auto" w:fill="auto"/>
            <w:noWrap/>
            <w:vAlign w:val="bottom"/>
            <w:hideMark/>
          </w:tcPr>
          <w:p w14:paraId="4FBB5D9B" w14:textId="77777777" w:rsidR="00405739" w:rsidRPr="00050C9D" w:rsidRDefault="00405739" w:rsidP="00090831">
            <w:pPr>
              <w:spacing w:after="0" w:line="240" w:lineRule="auto"/>
              <w:rPr>
                <w:rFonts w:ascii="Calibri" w:eastAsia="Times New Roman" w:hAnsi="Calibri" w:cs="Calibri"/>
                <w:color w:val="000000"/>
                <w:lang w:eastAsia="en-GB"/>
              </w:rPr>
            </w:pPr>
            <w:r w:rsidRPr="00050C9D">
              <w:rPr>
                <w:rFonts w:ascii="Calibri" w:eastAsia="Times New Roman" w:hAnsi="Calibri" w:cs="Calibri"/>
                <w:color w:val="000000"/>
                <w:lang w:eastAsia="en-GB"/>
              </w:rPr>
              <w:lastRenderedPageBreak/>
              <w:t> </w:t>
            </w:r>
          </w:p>
        </w:tc>
        <w:tc>
          <w:tcPr>
            <w:tcW w:w="1705" w:type="dxa"/>
            <w:shd w:val="clear" w:color="auto" w:fill="auto"/>
            <w:vAlign w:val="center"/>
            <w:hideMark/>
          </w:tcPr>
          <w:p w14:paraId="6202DA00"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Emergency admissions</w:t>
            </w:r>
          </w:p>
        </w:tc>
        <w:tc>
          <w:tcPr>
            <w:tcW w:w="1846" w:type="dxa"/>
            <w:shd w:val="clear" w:color="auto" w:fill="auto"/>
            <w:vAlign w:val="center"/>
            <w:hideMark/>
          </w:tcPr>
          <w:p w14:paraId="227211E9"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A&amp;E attendance</w:t>
            </w:r>
          </w:p>
        </w:tc>
        <w:tc>
          <w:tcPr>
            <w:tcW w:w="1769" w:type="dxa"/>
            <w:shd w:val="clear" w:color="auto" w:fill="auto"/>
            <w:vAlign w:val="center"/>
            <w:hideMark/>
          </w:tcPr>
          <w:p w14:paraId="0D25DE4E"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GP practice contacts</w:t>
            </w:r>
          </w:p>
        </w:tc>
        <w:tc>
          <w:tcPr>
            <w:tcW w:w="1846" w:type="dxa"/>
            <w:shd w:val="clear" w:color="auto" w:fill="auto"/>
            <w:vAlign w:val="center"/>
            <w:hideMark/>
          </w:tcPr>
          <w:p w14:paraId="00CE14D5"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All</w:t>
            </w:r>
            <w:r>
              <w:rPr>
                <w:rFonts w:ascii="Calibri" w:eastAsia="Times New Roman" w:hAnsi="Calibri" w:cs="Calibri"/>
                <w:b/>
                <w:bCs/>
                <w:color w:val="000000"/>
                <w:lang w:eastAsia="en-GB"/>
              </w:rPr>
              <w:t>-</w:t>
            </w:r>
            <w:r w:rsidRPr="00050C9D">
              <w:rPr>
                <w:rFonts w:ascii="Calibri" w:eastAsia="Times New Roman" w:hAnsi="Calibri" w:cs="Calibri"/>
                <w:b/>
                <w:bCs/>
                <w:color w:val="000000"/>
                <w:lang w:eastAsia="en-GB"/>
              </w:rPr>
              <w:t>cause mortality</w:t>
            </w:r>
          </w:p>
        </w:tc>
      </w:tr>
      <w:tr w:rsidR="00405739" w:rsidRPr="00050C9D" w14:paraId="4EA005FD" w14:textId="77777777" w:rsidTr="00090831">
        <w:trPr>
          <w:trHeight w:val="240"/>
        </w:trPr>
        <w:tc>
          <w:tcPr>
            <w:tcW w:w="2694" w:type="dxa"/>
            <w:shd w:val="clear" w:color="auto" w:fill="auto"/>
            <w:noWrap/>
            <w:vAlign w:val="bottom"/>
            <w:hideMark/>
          </w:tcPr>
          <w:p w14:paraId="49779F1D" w14:textId="77777777" w:rsidR="00405739" w:rsidRPr="00050C9D" w:rsidRDefault="00405739" w:rsidP="00090831">
            <w:pPr>
              <w:spacing w:after="0" w:line="240" w:lineRule="auto"/>
              <w:jc w:val="center"/>
              <w:rPr>
                <w:rFonts w:ascii="Calibri" w:eastAsia="Times New Roman" w:hAnsi="Calibri" w:cs="Calibri"/>
                <w:b/>
                <w:bCs/>
                <w:color w:val="000000"/>
                <w:lang w:eastAsia="en-GB"/>
              </w:rPr>
            </w:pPr>
          </w:p>
        </w:tc>
        <w:tc>
          <w:tcPr>
            <w:tcW w:w="1705" w:type="dxa"/>
            <w:shd w:val="clear" w:color="auto" w:fill="auto"/>
            <w:noWrap/>
            <w:hideMark/>
          </w:tcPr>
          <w:p w14:paraId="0D200603" w14:textId="77777777" w:rsidR="00405739" w:rsidRPr="00050C9D" w:rsidRDefault="00405739" w:rsidP="00090831">
            <w:pPr>
              <w:spacing w:after="0" w:line="240" w:lineRule="auto"/>
              <w:rPr>
                <w:rFonts w:ascii="Calibri" w:eastAsia="Times New Roman" w:hAnsi="Calibri" w:cs="Calibri"/>
                <w:color w:val="000000"/>
                <w:lang w:eastAsia="en-GB"/>
              </w:rPr>
            </w:pPr>
            <w:r w:rsidRPr="00050C9D">
              <w:rPr>
                <w:rFonts w:ascii="Calibri" w:eastAsia="Times New Roman" w:hAnsi="Calibri" w:cs="Calibri"/>
                <w:color w:val="000000"/>
                <w:lang w:eastAsia="en-GB"/>
              </w:rPr>
              <w:t> </w:t>
            </w:r>
          </w:p>
        </w:tc>
        <w:tc>
          <w:tcPr>
            <w:tcW w:w="1846" w:type="dxa"/>
            <w:shd w:val="clear" w:color="auto" w:fill="auto"/>
            <w:noWrap/>
            <w:vAlign w:val="bottom"/>
            <w:hideMark/>
          </w:tcPr>
          <w:p w14:paraId="209358D7" w14:textId="77777777" w:rsidR="00405739" w:rsidRPr="00050C9D" w:rsidRDefault="00405739" w:rsidP="00090831">
            <w:pPr>
              <w:spacing w:after="0" w:line="240" w:lineRule="auto"/>
              <w:rPr>
                <w:rFonts w:ascii="Calibri" w:eastAsia="Times New Roman" w:hAnsi="Calibri" w:cs="Calibri"/>
                <w:color w:val="000000"/>
                <w:lang w:eastAsia="en-GB"/>
              </w:rPr>
            </w:pPr>
            <w:r w:rsidRPr="00050C9D">
              <w:rPr>
                <w:rFonts w:ascii="Calibri" w:eastAsia="Times New Roman" w:hAnsi="Calibri" w:cs="Calibri"/>
                <w:color w:val="000000"/>
                <w:lang w:eastAsia="en-GB"/>
              </w:rPr>
              <w:t> </w:t>
            </w:r>
          </w:p>
        </w:tc>
        <w:tc>
          <w:tcPr>
            <w:tcW w:w="1769" w:type="dxa"/>
            <w:shd w:val="clear" w:color="auto" w:fill="auto"/>
            <w:noWrap/>
            <w:vAlign w:val="bottom"/>
            <w:hideMark/>
          </w:tcPr>
          <w:p w14:paraId="4FC3E8FA" w14:textId="77777777" w:rsidR="00405739" w:rsidRPr="00050C9D" w:rsidRDefault="00405739" w:rsidP="00090831">
            <w:pPr>
              <w:spacing w:after="0" w:line="240" w:lineRule="auto"/>
              <w:rPr>
                <w:rFonts w:ascii="Calibri" w:eastAsia="Times New Roman" w:hAnsi="Calibri" w:cs="Calibri"/>
                <w:color w:val="000000"/>
                <w:lang w:eastAsia="en-GB"/>
              </w:rPr>
            </w:pPr>
            <w:r w:rsidRPr="00050C9D">
              <w:rPr>
                <w:rFonts w:ascii="Calibri" w:eastAsia="Times New Roman" w:hAnsi="Calibri" w:cs="Calibri"/>
                <w:color w:val="000000"/>
                <w:lang w:eastAsia="en-GB"/>
              </w:rPr>
              <w:t> </w:t>
            </w:r>
          </w:p>
        </w:tc>
        <w:tc>
          <w:tcPr>
            <w:tcW w:w="1846" w:type="dxa"/>
            <w:shd w:val="clear" w:color="auto" w:fill="auto"/>
            <w:noWrap/>
            <w:vAlign w:val="bottom"/>
            <w:hideMark/>
          </w:tcPr>
          <w:p w14:paraId="29CD937E" w14:textId="77777777" w:rsidR="00405739" w:rsidRPr="00050C9D" w:rsidRDefault="00405739" w:rsidP="00090831">
            <w:pPr>
              <w:spacing w:after="0" w:line="240" w:lineRule="auto"/>
              <w:rPr>
                <w:rFonts w:ascii="Calibri" w:eastAsia="Times New Roman" w:hAnsi="Calibri" w:cs="Calibri"/>
                <w:color w:val="000000"/>
                <w:lang w:eastAsia="en-GB"/>
              </w:rPr>
            </w:pPr>
            <w:r w:rsidRPr="00050C9D">
              <w:rPr>
                <w:rFonts w:ascii="Calibri" w:eastAsia="Times New Roman" w:hAnsi="Calibri" w:cs="Calibri"/>
                <w:color w:val="000000"/>
                <w:lang w:eastAsia="en-GB"/>
              </w:rPr>
              <w:t> </w:t>
            </w:r>
          </w:p>
        </w:tc>
      </w:tr>
      <w:tr w:rsidR="00405739" w:rsidRPr="00050C9D" w14:paraId="67824E84" w14:textId="77777777" w:rsidTr="00090831">
        <w:trPr>
          <w:trHeight w:val="690"/>
        </w:trPr>
        <w:tc>
          <w:tcPr>
            <w:tcW w:w="2694" w:type="dxa"/>
            <w:shd w:val="clear" w:color="auto" w:fill="auto"/>
            <w:hideMark/>
          </w:tcPr>
          <w:p w14:paraId="6C12A41B"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Model A: with age, sex and deprivation</w:t>
            </w:r>
          </w:p>
        </w:tc>
        <w:tc>
          <w:tcPr>
            <w:tcW w:w="1705" w:type="dxa"/>
            <w:shd w:val="clear" w:color="auto" w:fill="auto"/>
            <w:noWrap/>
            <w:vAlign w:val="bottom"/>
          </w:tcPr>
          <w:p w14:paraId="222EA0EA"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0.05</w:t>
            </w:r>
          </w:p>
        </w:tc>
        <w:tc>
          <w:tcPr>
            <w:tcW w:w="1846" w:type="dxa"/>
            <w:shd w:val="clear" w:color="auto" w:fill="auto"/>
            <w:noWrap/>
            <w:vAlign w:val="bottom"/>
          </w:tcPr>
          <w:p w14:paraId="71DFE348"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0.02</w:t>
            </w:r>
          </w:p>
        </w:tc>
        <w:tc>
          <w:tcPr>
            <w:tcW w:w="1769" w:type="dxa"/>
            <w:shd w:val="clear" w:color="auto" w:fill="auto"/>
            <w:noWrap/>
            <w:vAlign w:val="bottom"/>
          </w:tcPr>
          <w:p w14:paraId="351F3CCA"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0.11</w:t>
            </w:r>
          </w:p>
        </w:tc>
        <w:tc>
          <w:tcPr>
            <w:tcW w:w="1846" w:type="dxa"/>
            <w:shd w:val="clear" w:color="auto" w:fill="auto"/>
            <w:noWrap/>
            <w:vAlign w:val="bottom"/>
          </w:tcPr>
          <w:p w14:paraId="0A6BE023"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0.23</w:t>
            </w:r>
          </w:p>
        </w:tc>
      </w:tr>
      <w:tr w:rsidR="00405739" w:rsidRPr="00050C9D" w14:paraId="4917815A" w14:textId="77777777" w:rsidTr="00090831">
        <w:trPr>
          <w:trHeight w:val="825"/>
        </w:trPr>
        <w:tc>
          <w:tcPr>
            <w:tcW w:w="2694" w:type="dxa"/>
            <w:shd w:val="clear" w:color="auto" w:fill="auto"/>
            <w:vAlign w:val="center"/>
            <w:hideMark/>
          </w:tcPr>
          <w:p w14:paraId="0D0B19D0"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Model B: full model with segments</w:t>
            </w:r>
            <w:r>
              <w:rPr>
                <w:rFonts w:ascii="Calibri" w:eastAsia="Times New Roman" w:hAnsi="Calibri" w:cs="Calibri"/>
                <w:b/>
                <w:bCs/>
                <w:color w:val="000000"/>
                <w:lang w:eastAsia="en-GB"/>
              </w:rPr>
              <w:t xml:space="preserve"> (incl. chronic conditions)</w:t>
            </w:r>
            <w:r w:rsidRPr="00050C9D">
              <w:rPr>
                <w:rFonts w:ascii="Calibri" w:eastAsia="Times New Roman" w:hAnsi="Calibri" w:cs="Calibri"/>
                <w:b/>
                <w:bCs/>
                <w:color w:val="000000"/>
                <w:lang w:eastAsia="en-GB"/>
              </w:rPr>
              <w:t>, age, sex and deprivation</w:t>
            </w:r>
          </w:p>
        </w:tc>
        <w:tc>
          <w:tcPr>
            <w:tcW w:w="1705" w:type="dxa"/>
            <w:shd w:val="clear" w:color="auto" w:fill="auto"/>
            <w:noWrap/>
            <w:vAlign w:val="bottom"/>
          </w:tcPr>
          <w:p w14:paraId="7DE9FDB3"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0.11</w:t>
            </w:r>
          </w:p>
        </w:tc>
        <w:tc>
          <w:tcPr>
            <w:tcW w:w="1846" w:type="dxa"/>
            <w:shd w:val="clear" w:color="auto" w:fill="auto"/>
            <w:noWrap/>
            <w:vAlign w:val="bottom"/>
          </w:tcPr>
          <w:p w14:paraId="14B6C4A0"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0.08</w:t>
            </w:r>
          </w:p>
        </w:tc>
        <w:tc>
          <w:tcPr>
            <w:tcW w:w="1769" w:type="dxa"/>
            <w:shd w:val="clear" w:color="auto" w:fill="auto"/>
            <w:noWrap/>
            <w:vAlign w:val="bottom"/>
          </w:tcPr>
          <w:p w14:paraId="42A1E6B2"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0.22</w:t>
            </w:r>
          </w:p>
        </w:tc>
        <w:tc>
          <w:tcPr>
            <w:tcW w:w="1846" w:type="dxa"/>
            <w:shd w:val="clear" w:color="auto" w:fill="auto"/>
            <w:noWrap/>
            <w:vAlign w:val="bottom"/>
          </w:tcPr>
          <w:p w14:paraId="581C19D2"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0.29</w:t>
            </w:r>
          </w:p>
        </w:tc>
      </w:tr>
      <w:tr w:rsidR="00405739" w:rsidRPr="00050C9D" w14:paraId="796AA086" w14:textId="77777777" w:rsidTr="00090831">
        <w:trPr>
          <w:trHeight w:val="495"/>
        </w:trPr>
        <w:tc>
          <w:tcPr>
            <w:tcW w:w="2694" w:type="dxa"/>
            <w:shd w:val="clear" w:color="auto" w:fill="auto"/>
            <w:vAlign w:val="center"/>
            <w:hideMark/>
          </w:tcPr>
          <w:p w14:paraId="25CA4166"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Model C</w:t>
            </w:r>
            <w:r>
              <w:rPr>
                <w:rFonts w:ascii="Calibri" w:eastAsia="Times New Roman" w:hAnsi="Calibri" w:cs="Calibri"/>
                <w:b/>
                <w:bCs/>
                <w:color w:val="000000"/>
                <w:lang w:eastAsia="en-GB"/>
              </w:rPr>
              <w:t>:</w:t>
            </w:r>
            <w:r w:rsidRPr="00050C9D">
              <w:rPr>
                <w:rFonts w:ascii="Calibri" w:eastAsia="Times New Roman" w:hAnsi="Calibri" w:cs="Calibri"/>
                <w:b/>
                <w:bCs/>
                <w:color w:val="000000"/>
                <w:lang w:eastAsia="en-GB"/>
              </w:rPr>
              <w:t xml:space="preserve"> with segments </w:t>
            </w:r>
            <w:r>
              <w:rPr>
                <w:rFonts w:ascii="Calibri" w:eastAsia="Times New Roman" w:hAnsi="Calibri" w:cs="Calibri"/>
                <w:b/>
                <w:bCs/>
                <w:color w:val="000000"/>
                <w:lang w:eastAsia="en-GB"/>
              </w:rPr>
              <w:t xml:space="preserve">(incl. chronic conditions) </w:t>
            </w:r>
            <w:r w:rsidRPr="00050C9D">
              <w:rPr>
                <w:rFonts w:ascii="Calibri" w:eastAsia="Times New Roman" w:hAnsi="Calibri" w:cs="Calibri"/>
                <w:b/>
                <w:bCs/>
                <w:color w:val="000000"/>
                <w:lang w:eastAsia="en-GB"/>
              </w:rPr>
              <w:t>only</w:t>
            </w:r>
          </w:p>
        </w:tc>
        <w:tc>
          <w:tcPr>
            <w:tcW w:w="1705" w:type="dxa"/>
            <w:shd w:val="clear" w:color="auto" w:fill="auto"/>
            <w:noWrap/>
            <w:vAlign w:val="bottom"/>
          </w:tcPr>
          <w:p w14:paraId="5B3BA884"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0.09</w:t>
            </w:r>
          </w:p>
        </w:tc>
        <w:tc>
          <w:tcPr>
            <w:tcW w:w="1846" w:type="dxa"/>
            <w:shd w:val="clear" w:color="auto" w:fill="auto"/>
            <w:noWrap/>
            <w:vAlign w:val="bottom"/>
          </w:tcPr>
          <w:p w14:paraId="1ABCAE37"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0.07</w:t>
            </w:r>
          </w:p>
        </w:tc>
        <w:tc>
          <w:tcPr>
            <w:tcW w:w="1769" w:type="dxa"/>
            <w:shd w:val="clear" w:color="auto" w:fill="auto"/>
            <w:noWrap/>
            <w:vAlign w:val="bottom"/>
          </w:tcPr>
          <w:p w14:paraId="53743AC9"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0.20</w:t>
            </w:r>
          </w:p>
        </w:tc>
        <w:tc>
          <w:tcPr>
            <w:tcW w:w="1846" w:type="dxa"/>
            <w:shd w:val="clear" w:color="auto" w:fill="auto"/>
            <w:noWrap/>
            <w:vAlign w:val="bottom"/>
          </w:tcPr>
          <w:p w14:paraId="2D0023D0"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0.20</w:t>
            </w:r>
          </w:p>
        </w:tc>
      </w:tr>
      <w:tr w:rsidR="00405739" w:rsidRPr="00050C9D" w14:paraId="68F09395" w14:textId="77777777" w:rsidTr="00090831">
        <w:trPr>
          <w:trHeight w:val="720"/>
        </w:trPr>
        <w:tc>
          <w:tcPr>
            <w:tcW w:w="2694" w:type="dxa"/>
            <w:shd w:val="clear" w:color="auto" w:fill="auto"/>
            <w:hideMark/>
          </w:tcPr>
          <w:p w14:paraId="0A9D3D34" w14:textId="77777777" w:rsidR="00405739" w:rsidRPr="00050C9D" w:rsidRDefault="00405739" w:rsidP="00090831">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Model D: </w:t>
            </w:r>
            <w:r w:rsidRPr="00050C9D">
              <w:rPr>
                <w:rFonts w:ascii="Calibri" w:eastAsia="Times New Roman" w:hAnsi="Calibri" w:cs="Calibri"/>
                <w:b/>
                <w:bCs/>
                <w:color w:val="000000"/>
                <w:lang w:eastAsia="en-GB"/>
              </w:rPr>
              <w:t xml:space="preserve">with utilisation-only segments </w:t>
            </w:r>
            <w:r>
              <w:rPr>
                <w:rFonts w:ascii="Calibri" w:eastAsia="Times New Roman" w:hAnsi="Calibri" w:cs="Calibri"/>
                <w:b/>
                <w:bCs/>
                <w:color w:val="000000"/>
                <w:lang w:eastAsia="en-GB"/>
              </w:rPr>
              <w:t>(no chronic conditions)</w:t>
            </w:r>
          </w:p>
        </w:tc>
        <w:tc>
          <w:tcPr>
            <w:tcW w:w="1705" w:type="dxa"/>
            <w:shd w:val="clear" w:color="auto" w:fill="auto"/>
            <w:noWrap/>
            <w:vAlign w:val="bottom"/>
          </w:tcPr>
          <w:p w14:paraId="4D41A591"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0.09</w:t>
            </w:r>
          </w:p>
        </w:tc>
        <w:tc>
          <w:tcPr>
            <w:tcW w:w="1846" w:type="dxa"/>
            <w:shd w:val="clear" w:color="auto" w:fill="auto"/>
            <w:noWrap/>
            <w:vAlign w:val="bottom"/>
          </w:tcPr>
          <w:p w14:paraId="6A7995EC"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0.07</w:t>
            </w:r>
          </w:p>
        </w:tc>
        <w:tc>
          <w:tcPr>
            <w:tcW w:w="1769" w:type="dxa"/>
            <w:shd w:val="clear" w:color="auto" w:fill="auto"/>
            <w:noWrap/>
            <w:vAlign w:val="bottom"/>
          </w:tcPr>
          <w:p w14:paraId="55796E4D"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0.20</w:t>
            </w:r>
          </w:p>
        </w:tc>
        <w:tc>
          <w:tcPr>
            <w:tcW w:w="1846" w:type="dxa"/>
            <w:shd w:val="clear" w:color="auto" w:fill="auto"/>
            <w:noWrap/>
            <w:vAlign w:val="bottom"/>
          </w:tcPr>
          <w:p w14:paraId="2E896B92" w14:textId="77777777" w:rsidR="00405739" w:rsidRPr="00050C9D" w:rsidRDefault="00405739" w:rsidP="00090831">
            <w:pPr>
              <w:spacing w:after="0" w:line="240" w:lineRule="auto"/>
              <w:jc w:val="right"/>
              <w:rPr>
                <w:rFonts w:ascii="Calibri" w:eastAsia="Times New Roman" w:hAnsi="Calibri" w:cs="Calibri"/>
                <w:lang w:eastAsia="en-GB"/>
              </w:rPr>
            </w:pPr>
            <w:r>
              <w:rPr>
                <w:rFonts w:ascii="Calibri" w:hAnsi="Calibri" w:cs="Calibri"/>
                <w:color w:val="000000"/>
              </w:rPr>
              <w:t>0.14</w:t>
            </w:r>
          </w:p>
        </w:tc>
      </w:tr>
      <w:tr w:rsidR="00405739" w:rsidRPr="00050C9D" w14:paraId="46BB2272" w14:textId="77777777" w:rsidTr="00090831">
        <w:trPr>
          <w:trHeight w:val="780"/>
        </w:trPr>
        <w:tc>
          <w:tcPr>
            <w:tcW w:w="2694" w:type="dxa"/>
            <w:shd w:val="clear" w:color="auto" w:fill="auto"/>
            <w:hideMark/>
          </w:tcPr>
          <w:p w14:paraId="705AA945" w14:textId="77777777" w:rsidR="00405739" w:rsidRPr="00050C9D" w:rsidRDefault="00405739" w:rsidP="00090831">
            <w:pPr>
              <w:spacing w:after="0" w:line="240" w:lineRule="auto"/>
              <w:rPr>
                <w:rFonts w:ascii="Calibri" w:eastAsia="Times New Roman" w:hAnsi="Calibri" w:cs="Calibri"/>
                <w:b/>
                <w:bCs/>
                <w:color w:val="000000"/>
                <w:lang w:eastAsia="en-GB"/>
              </w:rPr>
            </w:pPr>
            <w:r w:rsidRPr="00050C9D">
              <w:rPr>
                <w:rFonts w:ascii="Calibri" w:eastAsia="Times New Roman" w:hAnsi="Calibri" w:cs="Calibri"/>
                <w:b/>
                <w:bCs/>
                <w:color w:val="000000"/>
                <w:lang w:eastAsia="en-GB"/>
              </w:rPr>
              <w:t xml:space="preserve">Model E:  with segments </w:t>
            </w:r>
            <w:r>
              <w:rPr>
                <w:rFonts w:ascii="Calibri" w:eastAsia="Times New Roman" w:hAnsi="Calibri" w:cs="Calibri"/>
                <w:b/>
                <w:bCs/>
                <w:color w:val="000000"/>
                <w:lang w:eastAsia="en-GB"/>
              </w:rPr>
              <w:t>excluding</w:t>
            </w:r>
            <w:r w:rsidRPr="00050C9D">
              <w:rPr>
                <w:rFonts w:ascii="Calibri" w:eastAsia="Times New Roman" w:hAnsi="Calibri" w:cs="Calibri"/>
                <w:b/>
                <w:bCs/>
                <w:color w:val="000000"/>
                <w:lang w:eastAsia="en-GB"/>
              </w:rPr>
              <w:t xml:space="preserve"> primary care </w:t>
            </w:r>
            <w:r>
              <w:rPr>
                <w:rFonts w:ascii="Calibri" w:eastAsia="Times New Roman" w:hAnsi="Calibri" w:cs="Calibri"/>
                <w:b/>
                <w:bCs/>
                <w:color w:val="000000"/>
                <w:lang w:eastAsia="en-GB"/>
              </w:rPr>
              <w:t>data</w:t>
            </w:r>
          </w:p>
        </w:tc>
        <w:tc>
          <w:tcPr>
            <w:tcW w:w="1705" w:type="dxa"/>
            <w:shd w:val="clear" w:color="auto" w:fill="auto"/>
            <w:noWrap/>
            <w:vAlign w:val="bottom"/>
          </w:tcPr>
          <w:p w14:paraId="611CBCB7"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0.07</w:t>
            </w:r>
          </w:p>
        </w:tc>
        <w:tc>
          <w:tcPr>
            <w:tcW w:w="1846" w:type="dxa"/>
            <w:shd w:val="clear" w:color="auto" w:fill="auto"/>
            <w:noWrap/>
            <w:vAlign w:val="bottom"/>
          </w:tcPr>
          <w:p w14:paraId="2680B40A"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0.06</w:t>
            </w:r>
          </w:p>
        </w:tc>
        <w:tc>
          <w:tcPr>
            <w:tcW w:w="1769" w:type="dxa"/>
            <w:shd w:val="clear" w:color="auto" w:fill="auto"/>
            <w:noWrap/>
            <w:vAlign w:val="bottom"/>
          </w:tcPr>
          <w:p w14:paraId="3287AB44" w14:textId="77777777" w:rsidR="00405739" w:rsidRPr="00050C9D" w:rsidRDefault="00405739" w:rsidP="00090831">
            <w:pPr>
              <w:spacing w:after="0" w:line="240" w:lineRule="auto"/>
              <w:jc w:val="right"/>
              <w:rPr>
                <w:rFonts w:ascii="Calibri" w:eastAsia="Times New Roman" w:hAnsi="Calibri" w:cs="Calibri"/>
                <w:color w:val="000000"/>
                <w:lang w:eastAsia="en-GB"/>
              </w:rPr>
            </w:pPr>
            <w:r>
              <w:rPr>
                <w:rFonts w:ascii="Calibri" w:hAnsi="Calibri" w:cs="Calibri"/>
                <w:color w:val="000000"/>
              </w:rPr>
              <w:t>0.08</w:t>
            </w:r>
          </w:p>
        </w:tc>
        <w:tc>
          <w:tcPr>
            <w:tcW w:w="1846" w:type="dxa"/>
            <w:shd w:val="clear" w:color="auto" w:fill="auto"/>
            <w:noWrap/>
            <w:vAlign w:val="bottom"/>
          </w:tcPr>
          <w:p w14:paraId="19C21C0F" w14:textId="77777777" w:rsidR="00405739" w:rsidRPr="00050C9D" w:rsidRDefault="00405739" w:rsidP="00090831">
            <w:pPr>
              <w:spacing w:after="0" w:line="240" w:lineRule="auto"/>
              <w:jc w:val="right"/>
              <w:rPr>
                <w:rFonts w:ascii="Calibri" w:eastAsia="Times New Roman" w:hAnsi="Calibri" w:cs="Calibri"/>
                <w:lang w:eastAsia="en-GB"/>
              </w:rPr>
            </w:pPr>
            <w:r>
              <w:rPr>
                <w:rFonts w:ascii="Calibri" w:hAnsi="Calibri" w:cs="Calibri"/>
                <w:color w:val="000000"/>
              </w:rPr>
              <w:t>0.11</w:t>
            </w:r>
          </w:p>
        </w:tc>
      </w:tr>
    </w:tbl>
    <w:p w14:paraId="142555B2" w14:textId="77777777" w:rsidR="00405739" w:rsidRPr="002E4A41" w:rsidRDefault="00405739" w:rsidP="00405739">
      <w:pPr>
        <w:spacing w:line="240" w:lineRule="auto"/>
        <w:rPr>
          <w:b/>
          <w:sz w:val="24"/>
          <w:szCs w:val="24"/>
        </w:rPr>
      </w:pPr>
    </w:p>
    <w:p w14:paraId="77553ED0" w14:textId="77777777" w:rsidR="00E44BC0" w:rsidRDefault="00DA798E"/>
    <w:sectPr w:rsidR="00E44BC0" w:rsidSect="00E05C10">
      <w:footerReference w:type="default" r:id="rId10"/>
      <w:pgSz w:w="11906" w:h="16838"/>
      <w:pgMar w:top="1440" w:right="1440" w:bottom="1440" w:left="1440" w:header="708" w:footer="708" w:gutter="0"/>
      <w:lnNumType w:countBy="1" w:restart="continuou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CC300" w14:textId="77777777" w:rsidR="006A78F3" w:rsidRDefault="008778D5">
      <w:pPr>
        <w:spacing w:after="0" w:line="240" w:lineRule="auto"/>
      </w:pPr>
      <w:r>
        <w:separator/>
      </w:r>
    </w:p>
  </w:endnote>
  <w:endnote w:type="continuationSeparator" w:id="0">
    <w:p w14:paraId="2C9411E2" w14:textId="77777777" w:rsidR="006A78F3" w:rsidRDefault="00877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32053"/>
      <w:docPartObj>
        <w:docPartGallery w:val="Page Numbers (Bottom of Page)"/>
        <w:docPartUnique/>
      </w:docPartObj>
    </w:sdtPr>
    <w:sdtEndPr>
      <w:rPr>
        <w:noProof/>
      </w:rPr>
    </w:sdtEndPr>
    <w:sdtContent>
      <w:p w14:paraId="41C84DB6" w14:textId="5E12FE15" w:rsidR="00906122" w:rsidRDefault="00405739">
        <w:pPr>
          <w:pStyle w:val="Footer"/>
          <w:jc w:val="center"/>
        </w:pPr>
        <w:r>
          <w:fldChar w:fldCharType="begin"/>
        </w:r>
        <w:r>
          <w:instrText xml:space="preserve"> PAGE   \* MERGEFORMAT </w:instrText>
        </w:r>
        <w:r>
          <w:fldChar w:fldCharType="separate"/>
        </w:r>
        <w:r w:rsidR="00DA798E">
          <w:rPr>
            <w:noProof/>
          </w:rPr>
          <w:t>3</w:t>
        </w:r>
        <w:r>
          <w:rPr>
            <w:noProof/>
          </w:rPr>
          <w:fldChar w:fldCharType="end"/>
        </w:r>
      </w:p>
    </w:sdtContent>
  </w:sdt>
  <w:p w14:paraId="3C5A1369" w14:textId="77777777" w:rsidR="00906122" w:rsidRDefault="00DA7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81A6C" w14:textId="77777777" w:rsidR="006A78F3" w:rsidRDefault="008778D5">
      <w:pPr>
        <w:spacing w:after="0" w:line="240" w:lineRule="auto"/>
      </w:pPr>
      <w:r>
        <w:separator/>
      </w:r>
    </w:p>
  </w:footnote>
  <w:footnote w:type="continuationSeparator" w:id="0">
    <w:p w14:paraId="7976AB7C" w14:textId="77777777" w:rsidR="006A78F3" w:rsidRDefault="008778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739"/>
    <w:rsid w:val="000E66B2"/>
    <w:rsid w:val="000F2153"/>
    <w:rsid w:val="00405739"/>
    <w:rsid w:val="0062033E"/>
    <w:rsid w:val="006A78F3"/>
    <w:rsid w:val="008778D5"/>
    <w:rsid w:val="00AD604A"/>
    <w:rsid w:val="00DA798E"/>
    <w:rsid w:val="00F8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F0069"/>
  <w15:chartTrackingRefBased/>
  <w15:docId w15:val="{AEAEB994-0843-4821-B872-EF4D29C3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7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57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739"/>
  </w:style>
  <w:style w:type="character" w:styleId="LineNumber">
    <w:name w:val="line number"/>
    <w:basedOn w:val="DefaultParagraphFont"/>
    <w:uiPriority w:val="99"/>
    <w:semiHidden/>
    <w:unhideWhenUsed/>
    <w:rsid w:val="00405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6" ma:contentTypeDescription="Create a new document." ma:contentTypeScope="" ma:versionID="a63fe321ea5641d084a1065bebef181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81fb6b520cf50e2ccb87e432702ef5f3"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7DFCC650-534D-4D39-A0DF-385BDB260915}">
  <ds:schemaRefs>
    <ds:schemaRef ds:uri="http://schemas.microsoft.com/sharepoint/v3/contenttype/forms"/>
  </ds:schemaRefs>
</ds:datastoreItem>
</file>

<file path=customXml/itemProps2.xml><?xml version="1.0" encoding="utf-8"?>
<ds:datastoreItem xmlns:ds="http://schemas.openxmlformats.org/officeDocument/2006/customXml" ds:itemID="{DAF9BBCC-8976-461D-89D1-6F277EBFD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0EC75E-CF64-4F66-B073-9F4DAC433507}">
  <ds:schemaRefs>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ee8746d6-0e70-4dab-b276-28e422542d2f"/>
    <ds:schemaRef ds:uri="http://schemas.microsoft.com/office/infopath/2007/PartnerControls"/>
    <ds:schemaRef ds:uri="c8c88429-e1a5-4fcd-9b6a-57468ba8afe4"/>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Gartner (CTM UHB - Public Health )</dc:creator>
  <cp:keywords/>
  <dc:description/>
  <cp:lastModifiedBy>Andrea Gartner (CTM UHB - Public Health )</cp:lastModifiedBy>
  <cp:revision>4</cp:revision>
  <dcterms:created xsi:type="dcterms:W3CDTF">2024-05-30T07:47:00Z</dcterms:created>
  <dcterms:modified xsi:type="dcterms:W3CDTF">2024-05-30T12:31:00Z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