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61B" w:rsidRPr="00A65F75" w:rsidRDefault="006B061B" w:rsidP="006B061B">
      <w:pPr>
        <w:spacing w:after="294" w:line="360" w:lineRule="auto"/>
        <w:ind w:firstLineChars="200" w:firstLine="402"/>
        <w:jc w:val="center"/>
        <w:rPr>
          <w:rFonts w:ascii="Arial" w:hAnsi="Arial" w:cs="Arial"/>
          <w:b/>
          <w:bCs/>
          <w:color w:val="auto"/>
          <w:sz w:val="20"/>
          <w:szCs w:val="24"/>
        </w:rPr>
      </w:pPr>
      <w:r w:rsidRPr="00A65F75">
        <w:rPr>
          <w:rFonts w:ascii="Arial" w:hAnsi="Arial" w:cs="Arial"/>
          <w:b/>
          <w:bCs/>
          <w:color w:val="auto"/>
          <w:sz w:val="20"/>
          <w:szCs w:val="24"/>
        </w:rPr>
        <w:t>S</w:t>
      </w:r>
      <w:r w:rsidRPr="00A65F75">
        <w:rPr>
          <w:rFonts w:ascii="Arial" w:hAnsi="Arial" w:cs="Arial" w:hint="eastAsia"/>
          <w:b/>
          <w:bCs/>
          <w:color w:val="auto"/>
          <w:sz w:val="20"/>
          <w:szCs w:val="24"/>
        </w:rPr>
        <w:t>upplement</w:t>
      </w:r>
      <w:r w:rsidRPr="00A65F75">
        <w:rPr>
          <w:rFonts w:ascii="Arial" w:hAnsi="Arial" w:cs="Arial"/>
          <w:b/>
          <w:bCs/>
          <w:color w:val="auto"/>
          <w:sz w:val="20"/>
          <w:szCs w:val="24"/>
        </w:rPr>
        <w:t xml:space="preserve"> Results</w:t>
      </w:r>
    </w:p>
    <w:p w:rsidR="00131275" w:rsidRDefault="00131275" w:rsidP="006B061B">
      <w:pPr>
        <w:spacing w:line="360" w:lineRule="auto"/>
        <w:rPr>
          <w:rFonts w:ascii="Arial" w:hAnsi="Arial" w:cs="Arial"/>
          <w:b/>
          <w:bCs/>
          <w:sz w:val="20"/>
          <w:szCs w:val="24"/>
        </w:rPr>
      </w:pPr>
      <w:r w:rsidRPr="00131275">
        <w:rPr>
          <w:rFonts w:ascii="Arial" w:hAnsi="Arial" w:cs="Arial"/>
          <w:b/>
          <w:bCs/>
          <w:sz w:val="20"/>
          <w:szCs w:val="24"/>
        </w:rPr>
        <w:t>Global incidence and mortality in 2020</w:t>
      </w:r>
    </w:p>
    <w:p w:rsidR="00131275" w:rsidRDefault="00131275" w:rsidP="00131275">
      <w:pPr>
        <w:spacing w:line="360" w:lineRule="auto"/>
        <w:ind w:firstLineChars="200" w:firstLine="400"/>
        <w:rPr>
          <w:rFonts w:ascii="Arial" w:hAnsi="Arial" w:cs="Arial"/>
          <w:sz w:val="20"/>
          <w:szCs w:val="24"/>
        </w:rPr>
      </w:pPr>
      <w:r w:rsidRPr="00131275">
        <w:rPr>
          <w:rFonts w:ascii="Arial" w:hAnsi="Arial" w:cs="Arial"/>
          <w:sz w:val="20"/>
          <w:szCs w:val="24"/>
        </w:rPr>
        <w:t>Among the population aged 20-44, Sao Tome and Principe, Mongolia, South Korea, Samoa, and France have the highest incidence rate</w:t>
      </w:r>
      <w:bookmarkStart w:id="0" w:name="_Hlk105614831"/>
      <w:r w:rsidR="00737BF5">
        <w:rPr>
          <w:rFonts w:ascii="Arial" w:hAnsi="Arial" w:cs="Arial"/>
          <w:sz w:val="20"/>
          <w:szCs w:val="24"/>
        </w:rPr>
        <w:t xml:space="preserve"> </w:t>
      </w:r>
      <w:r w:rsidR="00737BF5" w:rsidRPr="00737BF5">
        <w:rPr>
          <w:rFonts w:ascii="Arial" w:hAnsi="Arial" w:cs="Arial"/>
          <w:sz w:val="20"/>
          <w:szCs w:val="24"/>
        </w:rPr>
        <w:t>(Figure 2A)</w:t>
      </w:r>
      <w:r>
        <w:rPr>
          <w:rFonts w:ascii="Arial" w:hAnsi="Arial" w:cs="Arial"/>
          <w:sz w:val="20"/>
          <w:szCs w:val="24"/>
        </w:rPr>
        <w:t>.</w:t>
      </w:r>
    </w:p>
    <w:p w:rsidR="00131275" w:rsidRDefault="00131275" w:rsidP="00131275">
      <w:pPr>
        <w:spacing w:line="360" w:lineRule="auto"/>
        <w:ind w:firstLineChars="200" w:firstLine="400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A</w:t>
      </w:r>
      <w:r w:rsidRPr="00131275">
        <w:rPr>
          <w:rFonts w:ascii="Arial" w:hAnsi="Arial" w:cs="Arial"/>
          <w:sz w:val="20"/>
          <w:szCs w:val="24"/>
        </w:rPr>
        <w:t>mong the population aged 45-69</w:t>
      </w:r>
      <w:bookmarkEnd w:id="0"/>
      <w:r w:rsidRPr="00131275">
        <w:rPr>
          <w:rFonts w:ascii="Arial" w:hAnsi="Arial" w:cs="Arial"/>
          <w:sz w:val="20"/>
          <w:szCs w:val="24"/>
        </w:rPr>
        <w:t>, Mongolia, Japan, South Korea, China, and Tajikistan have the highest incidence rate</w:t>
      </w:r>
      <w:r w:rsidR="00737BF5">
        <w:rPr>
          <w:rFonts w:ascii="Arial" w:hAnsi="Arial" w:cs="Arial"/>
          <w:sz w:val="20"/>
          <w:szCs w:val="24"/>
        </w:rPr>
        <w:t xml:space="preserve"> </w:t>
      </w:r>
      <w:r w:rsidR="00737BF5" w:rsidRPr="00737BF5">
        <w:rPr>
          <w:rFonts w:ascii="Arial" w:hAnsi="Arial" w:cs="Arial"/>
          <w:sz w:val="20"/>
          <w:szCs w:val="24"/>
        </w:rPr>
        <w:t>(Figure 2A)</w:t>
      </w:r>
      <w:r>
        <w:rPr>
          <w:rFonts w:ascii="Arial" w:hAnsi="Arial" w:cs="Arial"/>
          <w:sz w:val="20"/>
          <w:szCs w:val="24"/>
        </w:rPr>
        <w:t>.</w:t>
      </w:r>
      <w:r w:rsidRPr="00131275">
        <w:rPr>
          <w:rFonts w:ascii="Arial" w:hAnsi="Arial" w:cs="Arial"/>
          <w:sz w:val="20"/>
          <w:szCs w:val="24"/>
        </w:rPr>
        <w:t xml:space="preserve"> </w:t>
      </w:r>
    </w:p>
    <w:p w:rsidR="00131275" w:rsidRPr="00131275" w:rsidRDefault="00131275" w:rsidP="00131275">
      <w:pPr>
        <w:spacing w:line="360" w:lineRule="auto"/>
        <w:ind w:firstLineChars="200" w:firstLine="400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A</w:t>
      </w:r>
      <w:r w:rsidRPr="00131275">
        <w:rPr>
          <w:rFonts w:ascii="Arial" w:hAnsi="Arial" w:cs="Arial"/>
          <w:sz w:val="20"/>
          <w:szCs w:val="24"/>
        </w:rPr>
        <w:t xml:space="preserve">mong the population aged </w:t>
      </w:r>
      <w:bookmarkStart w:id="1" w:name="_Hlk105615161"/>
      <w:r w:rsidRPr="00131275">
        <w:rPr>
          <w:rFonts w:ascii="Arial" w:hAnsi="Arial" w:cs="Arial"/>
          <w:sz w:val="20"/>
          <w:szCs w:val="24"/>
        </w:rPr>
        <w:t>70-85+</w:t>
      </w:r>
      <w:bookmarkEnd w:id="1"/>
      <w:r w:rsidRPr="00131275">
        <w:rPr>
          <w:rFonts w:ascii="Arial" w:hAnsi="Arial" w:cs="Arial"/>
          <w:sz w:val="20"/>
          <w:szCs w:val="24"/>
        </w:rPr>
        <w:t>, Japan, Mongolia, Tajikistan, Iran, and South Korea have the highest incidence rate</w:t>
      </w:r>
      <w:r w:rsidR="00737BF5">
        <w:rPr>
          <w:rFonts w:ascii="Arial" w:hAnsi="Arial" w:cs="Arial"/>
          <w:sz w:val="20"/>
          <w:szCs w:val="24"/>
        </w:rPr>
        <w:t xml:space="preserve"> </w:t>
      </w:r>
      <w:r w:rsidR="00737BF5" w:rsidRPr="00737BF5">
        <w:rPr>
          <w:rFonts w:ascii="Arial" w:hAnsi="Arial" w:cs="Arial"/>
          <w:sz w:val="20"/>
          <w:szCs w:val="24"/>
        </w:rPr>
        <w:t>(Figure 2A)</w:t>
      </w:r>
      <w:r w:rsidRPr="00131275">
        <w:rPr>
          <w:rFonts w:ascii="Arial" w:hAnsi="Arial" w:cs="Arial"/>
          <w:sz w:val="20"/>
          <w:szCs w:val="24"/>
        </w:rPr>
        <w:t>.</w:t>
      </w:r>
    </w:p>
    <w:p w:rsidR="00131275" w:rsidRDefault="00131275" w:rsidP="00131275">
      <w:pPr>
        <w:spacing w:line="360" w:lineRule="auto"/>
        <w:ind w:firstLineChars="200" w:firstLine="400"/>
        <w:rPr>
          <w:rFonts w:ascii="Arial" w:hAnsi="Arial" w:cs="Arial"/>
          <w:sz w:val="20"/>
          <w:szCs w:val="24"/>
        </w:rPr>
      </w:pPr>
      <w:r w:rsidRPr="00131275">
        <w:rPr>
          <w:rFonts w:ascii="Arial" w:hAnsi="Arial" w:cs="Arial"/>
          <w:sz w:val="20"/>
          <w:szCs w:val="24"/>
        </w:rPr>
        <w:t>Among the population aged 20-44, Sao Tome and Principe, Samoa, Mongolia, Tajikistan, and Lao People's Democratic Republic have the highest mortality rates</w:t>
      </w:r>
      <w:r w:rsidR="00737BF5">
        <w:rPr>
          <w:rFonts w:ascii="Arial" w:hAnsi="Arial" w:cs="Arial"/>
          <w:sz w:val="20"/>
          <w:szCs w:val="24"/>
        </w:rPr>
        <w:t xml:space="preserve"> </w:t>
      </w:r>
      <w:r w:rsidR="00737BF5" w:rsidRPr="00737BF5">
        <w:rPr>
          <w:rFonts w:ascii="Arial" w:hAnsi="Arial" w:cs="Arial"/>
          <w:sz w:val="20"/>
          <w:szCs w:val="24"/>
        </w:rPr>
        <w:t>(Figure 2</w:t>
      </w:r>
      <w:r w:rsidR="004F16A5">
        <w:rPr>
          <w:rFonts w:ascii="Arial" w:hAnsi="Arial" w:cs="Arial"/>
          <w:sz w:val="20"/>
          <w:szCs w:val="24"/>
        </w:rPr>
        <w:t>B</w:t>
      </w:r>
      <w:r w:rsidR="00737BF5" w:rsidRPr="00737BF5">
        <w:rPr>
          <w:rFonts w:ascii="Arial" w:hAnsi="Arial" w:cs="Arial"/>
          <w:sz w:val="20"/>
          <w:szCs w:val="24"/>
        </w:rPr>
        <w:t>)</w:t>
      </w:r>
      <w:r w:rsidR="00737BF5" w:rsidRPr="00131275">
        <w:rPr>
          <w:rFonts w:ascii="Arial" w:hAnsi="Arial" w:cs="Arial"/>
          <w:sz w:val="20"/>
          <w:szCs w:val="24"/>
        </w:rPr>
        <w:t>.</w:t>
      </w:r>
    </w:p>
    <w:p w:rsidR="00131275" w:rsidRDefault="00131275" w:rsidP="00131275">
      <w:pPr>
        <w:spacing w:line="360" w:lineRule="auto"/>
        <w:ind w:firstLineChars="200" w:firstLine="400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A</w:t>
      </w:r>
      <w:r w:rsidRPr="00131275">
        <w:rPr>
          <w:rFonts w:ascii="Arial" w:hAnsi="Arial" w:cs="Arial"/>
          <w:sz w:val="20"/>
          <w:szCs w:val="24"/>
        </w:rPr>
        <w:t>mong the population aged 45-69, Mongolia, Bhutan, Tajikistan, Kyrgyzstan, and Sao Tome and Principe have the highest mortality rates</w:t>
      </w:r>
      <w:r w:rsidR="00737BF5">
        <w:rPr>
          <w:rFonts w:ascii="Arial" w:hAnsi="Arial" w:cs="Arial"/>
          <w:sz w:val="20"/>
          <w:szCs w:val="24"/>
        </w:rPr>
        <w:t xml:space="preserve"> </w:t>
      </w:r>
      <w:r w:rsidR="00737BF5" w:rsidRPr="00737BF5">
        <w:rPr>
          <w:rFonts w:ascii="Arial" w:hAnsi="Arial" w:cs="Arial"/>
          <w:sz w:val="20"/>
          <w:szCs w:val="24"/>
        </w:rPr>
        <w:t>(Figure 2</w:t>
      </w:r>
      <w:r w:rsidR="004F16A5">
        <w:rPr>
          <w:rFonts w:ascii="Arial" w:hAnsi="Arial" w:cs="Arial"/>
          <w:sz w:val="20"/>
          <w:szCs w:val="24"/>
        </w:rPr>
        <w:t>B</w:t>
      </w:r>
      <w:r w:rsidR="00737BF5" w:rsidRPr="00737BF5">
        <w:rPr>
          <w:rFonts w:ascii="Arial" w:hAnsi="Arial" w:cs="Arial"/>
          <w:sz w:val="20"/>
          <w:szCs w:val="24"/>
        </w:rPr>
        <w:t>)</w:t>
      </w:r>
      <w:r w:rsidR="00737BF5" w:rsidRPr="00131275">
        <w:rPr>
          <w:rFonts w:ascii="Arial" w:hAnsi="Arial" w:cs="Arial"/>
          <w:sz w:val="20"/>
          <w:szCs w:val="24"/>
        </w:rPr>
        <w:t>.</w:t>
      </w:r>
    </w:p>
    <w:p w:rsidR="00131275" w:rsidRDefault="00131275" w:rsidP="00131275">
      <w:pPr>
        <w:spacing w:line="360" w:lineRule="auto"/>
        <w:ind w:firstLineChars="200" w:firstLine="400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A</w:t>
      </w:r>
      <w:r w:rsidRPr="00131275">
        <w:rPr>
          <w:rFonts w:ascii="Arial" w:hAnsi="Arial" w:cs="Arial"/>
          <w:sz w:val="20"/>
          <w:szCs w:val="24"/>
        </w:rPr>
        <w:t>mong the population aged 70-85+, Mongolia, Tajikistan, Iran, Cape Verde, and China have the highest mortality rates</w:t>
      </w:r>
      <w:r w:rsidR="00737BF5">
        <w:rPr>
          <w:rFonts w:ascii="Arial" w:hAnsi="Arial" w:cs="Arial"/>
          <w:sz w:val="20"/>
          <w:szCs w:val="24"/>
        </w:rPr>
        <w:t xml:space="preserve"> </w:t>
      </w:r>
      <w:r w:rsidR="00737BF5" w:rsidRPr="00737BF5">
        <w:rPr>
          <w:rFonts w:ascii="Arial" w:hAnsi="Arial" w:cs="Arial"/>
          <w:sz w:val="20"/>
          <w:szCs w:val="24"/>
        </w:rPr>
        <w:t>(Figure 2</w:t>
      </w:r>
      <w:r w:rsidR="004F16A5">
        <w:rPr>
          <w:rFonts w:ascii="Arial" w:hAnsi="Arial" w:cs="Arial"/>
          <w:sz w:val="20"/>
          <w:szCs w:val="24"/>
        </w:rPr>
        <w:t>B</w:t>
      </w:r>
      <w:r w:rsidR="00737BF5" w:rsidRPr="00737BF5">
        <w:rPr>
          <w:rFonts w:ascii="Arial" w:hAnsi="Arial" w:cs="Arial"/>
          <w:sz w:val="20"/>
          <w:szCs w:val="24"/>
        </w:rPr>
        <w:t>)</w:t>
      </w:r>
      <w:r w:rsidR="00737BF5" w:rsidRPr="00131275">
        <w:rPr>
          <w:rFonts w:ascii="Arial" w:hAnsi="Arial" w:cs="Arial"/>
          <w:sz w:val="20"/>
          <w:szCs w:val="24"/>
        </w:rPr>
        <w:t>.</w:t>
      </w:r>
    </w:p>
    <w:p w:rsidR="00071028" w:rsidRPr="00131275" w:rsidRDefault="00071028" w:rsidP="00131275">
      <w:pPr>
        <w:spacing w:line="360" w:lineRule="auto"/>
        <w:ind w:firstLineChars="200" w:firstLine="400"/>
        <w:rPr>
          <w:rFonts w:ascii="Arial" w:hAnsi="Arial" w:cs="Arial"/>
          <w:sz w:val="20"/>
          <w:szCs w:val="24"/>
        </w:rPr>
      </w:pPr>
    </w:p>
    <w:p w:rsidR="006B061B" w:rsidRPr="00A65F75" w:rsidRDefault="006B061B" w:rsidP="006B061B">
      <w:pPr>
        <w:spacing w:line="360" w:lineRule="auto"/>
        <w:rPr>
          <w:rFonts w:ascii="Arial" w:hAnsi="Arial" w:cs="Arial"/>
          <w:b/>
          <w:bCs/>
          <w:sz w:val="20"/>
          <w:szCs w:val="24"/>
        </w:rPr>
      </w:pPr>
      <w:r w:rsidRPr="00A65F75">
        <w:rPr>
          <w:rFonts w:ascii="Arial" w:hAnsi="Arial" w:cs="Arial"/>
          <w:b/>
          <w:bCs/>
          <w:sz w:val="20"/>
          <w:szCs w:val="24"/>
        </w:rPr>
        <w:t>Average annual percent change in the incidence of gastric cancer from 2003 to 2012</w:t>
      </w:r>
    </w:p>
    <w:p w:rsidR="006B061B" w:rsidRPr="00A65F75" w:rsidRDefault="006B061B" w:rsidP="006B061B">
      <w:pPr>
        <w:spacing w:line="360" w:lineRule="auto"/>
        <w:ind w:firstLineChars="200" w:firstLine="400"/>
        <w:rPr>
          <w:rFonts w:ascii="Arial" w:hAnsi="Arial" w:cs="Arial"/>
          <w:sz w:val="20"/>
          <w:szCs w:val="24"/>
        </w:rPr>
      </w:pPr>
      <w:r w:rsidRPr="00A65F75">
        <w:rPr>
          <w:rFonts w:ascii="Arial" w:hAnsi="Arial" w:cs="Arial"/>
          <w:sz w:val="20"/>
          <w:szCs w:val="24"/>
        </w:rPr>
        <w:t xml:space="preserve">Among the male </w:t>
      </w:r>
      <w:bookmarkStart w:id="2" w:name="_Hlk105616750"/>
      <w:r w:rsidRPr="00A65F75">
        <w:rPr>
          <w:rFonts w:ascii="Arial" w:hAnsi="Arial" w:cs="Arial"/>
          <w:sz w:val="20"/>
          <w:szCs w:val="24"/>
        </w:rPr>
        <w:t xml:space="preserve">population </w:t>
      </w:r>
      <w:bookmarkStart w:id="3" w:name="_Hlk107077251"/>
      <w:bookmarkEnd w:id="2"/>
      <w:r w:rsidRPr="00A65F75">
        <w:rPr>
          <w:rFonts w:ascii="Arial" w:hAnsi="Arial" w:cs="Arial"/>
          <w:sz w:val="20"/>
          <w:szCs w:val="24"/>
        </w:rPr>
        <w:t>aged 20-44</w:t>
      </w:r>
      <w:bookmarkEnd w:id="3"/>
      <w:r w:rsidRPr="00A65F75">
        <w:rPr>
          <w:rFonts w:ascii="Arial" w:hAnsi="Arial" w:cs="Arial"/>
          <w:sz w:val="20"/>
          <w:szCs w:val="24"/>
        </w:rPr>
        <w:t xml:space="preserve">, Brazil, Sweden, Switzerland, UK, Australia, New Zealand, Lithuania, Ecuador, USA, the Netherlands and Estonia </w:t>
      </w:r>
      <w:bookmarkStart w:id="4" w:name="_Hlk105616897"/>
      <w:r w:rsidRPr="00A65F75">
        <w:rPr>
          <w:rFonts w:ascii="Arial" w:hAnsi="Arial" w:cs="Arial"/>
          <w:sz w:val="20"/>
          <w:szCs w:val="24"/>
        </w:rPr>
        <w:t>had an increasing trend</w:t>
      </w:r>
      <w:bookmarkEnd w:id="4"/>
      <w:r w:rsidRPr="00A65F75">
        <w:rPr>
          <w:rFonts w:ascii="Arial" w:hAnsi="Arial" w:cs="Arial"/>
          <w:sz w:val="20"/>
          <w:szCs w:val="24"/>
        </w:rPr>
        <w:t xml:space="preserve"> (P&gt;0.05); 24 countries had a decreasing trend (P&gt;0.05); Other 6 countries had a decreasing trend (P&lt;0.05); Among women population aged 20-44, USA [AAPC, 2.0; (95%Cl, 0.8-3.2), P&lt;0.05] and Ecuador [AAPC, 4.0; (95%Cl, 0.5-7.6), P&lt;0.05] had an increasing trend; Norway, Poland, Thailand, the Netherlands, Canada, Lithuania, Turkey, Colombia and Slovakia had an increasing trend (P&gt;0.05); 23 countries had a decreasing trend (P&gt;0.05); 2 countries had a decreasing trend (P&lt;0.05) (Supplement Table 1 and Supplement Figure 1).</w:t>
      </w:r>
    </w:p>
    <w:p w:rsidR="006B061B" w:rsidRPr="00A65F75" w:rsidRDefault="006B061B" w:rsidP="006B061B">
      <w:pPr>
        <w:spacing w:line="360" w:lineRule="auto"/>
        <w:ind w:firstLineChars="200" w:firstLine="400"/>
        <w:rPr>
          <w:rFonts w:ascii="Arial" w:hAnsi="Arial" w:cs="Arial"/>
          <w:sz w:val="20"/>
          <w:szCs w:val="24"/>
        </w:rPr>
      </w:pPr>
      <w:r w:rsidRPr="00A65F75">
        <w:rPr>
          <w:rFonts w:ascii="Arial" w:hAnsi="Arial" w:cs="Arial"/>
          <w:sz w:val="20"/>
          <w:szCs w:val="24"/>
        </w:rPr>
        <w:t xml:space="preserve">Among the </w:t>
      </w:r>
      <w:bookmarkStart w:id="5" w:name="_Hlk105618259"/>
      <w:r w:rsidRPr="00A65F75">
        <w:rPr>
          <w:rFonts w:ascii="Arial" w:hAnsi="Arial" w:cs="Arial"/>
          <w:sz w:val="20"/>
          <w:szCs w:val="24"/>
        </w:rPr>
        <w:t>male population aged</w:t>
      </w:r>
      <w:bookmarkEnd w:id="5"/>
      <w:r w:rsidRPr="00A65F75">
        <w:rPr>
          <w:rFonts w:ascii="Arial" w:hAnsi="Arial" w:cs="Arial"/>
          <w:sz w:val="20"/>
          <w:szCs w:val="24"/>
        </w:rPr>
        <w:t xml:space="preserve"> </w:t>
      </w:r>
      <w:bookmarkStart w:id="6" w:name="_Hlk107077286"/>
      <w:r w:rsidRPr="00A65F75">
        <w:rPr>
          <w:rFonts w:ascii="Arial" w:hAnsi="Arial" w:cs="Arial"/>
          <w:sz w:val="20"/>
          <w:szCs w:val="24"/>
        </w:rPr>
        <w:t>45-69</w:t>
      </w:r>
      <w:bookmarkEnd w:id="6"/>
      <w:r w:rsidRPr="00A65F75">
        <w:rPr>
          <w:rFonts w:ascii="Arial" w:hAnsi="Arial" w:cs="Arial"/>
          <w:sz w:val="20"/>
          <w:szCs w:val="24"/>
        </w:rPr>
        <w:t xml:space="preserve">, Canada [AAPC, 0.9; (95%cl, 0-1.9), P&lt;0.05] showed an increasing trend; Cyprus, Switzerland, Thailand, Malta, South Korea, and </w:t>
      </w:r>
      <w:r w:rsidRPr="00A65F75">
        <w:rPr>
          <w:rFonts w:ascii="Arial" w:hAnsi="Arial" w:cs="Arial"/>
          <w:sz w:val="20"/>
          <w:szCs w:val="24"/>
        </w:rPr>
        <w:lastRenderedPageBreak/>
        <w:t xml:space="preserve">Germany had an increasing trend (P&gt;0.05); 14 countries </w:t>
      </w:r>
      <w:bookmarkStart w:id="7" w:name="_Hlk105618185"/>
      <w:bookmarkStart w:id="8" w:name="_Hlk105617099"/>
      <w:r w:rsidRPr="00A65F75">
        <w:rPr>
          <w:rFonts w:ascii="Arial" w:hAnsi="Arial" w:cs="Arial"/>
          <w:sz w:val="20"/>
          <w:szCs w:val="24"/>
        </w:rPr>
        <w:t>had a decreasing trend</w:t>
      </w:r>
      <w:bookmarkEnd w:id="7"/>
      <w:r w:rsidRPr="00A65F75">
        <w:rPr>
          <w:rFonts w:ascii="Arial" w:hAnsi="Arial" w:cs="Arial"/>
          <w:sz w:val="20"/>
          <w:szCs w:val="24"/>
        </w:rPr>
        <w:t xml:space="preserve"> </w:t>
      </w:r>
      <w:bookmarkEnd w:id="8"/>
      <w:r w:rsidRPr="00A65F75">
        <w:rPr>
          <w:rFonts w:ascii="Arial" w:hAnsi="Arial" w:cs="Arial"/>
          <w:sz w:val="20"/>
          <w:szCs w:val="24"/>
        </w:rPr>
        <w:t xml:space="preserve">(P&gt;0.05); 19 countries had a decreasing trend (P&lt;0.05); among the female population aged 45-69, Canada [AAPC, 3.1; (95%Cl, 1.7-4.5), P&lt;0.05] had an increasing trend; Slovakia, Cyprus, Switzerland, Thailand, Ecuador, Denmark, South Korea, and Slovenia showed an increasing trend (P&gt;0.05); 17 countries </w:t>
      </w:r>
      <w:bookmarkStart w:id="9" w:name="_Hlk105618311"/>
      <w:r w:rsidRPr="00A65F75">
        <w:rPr>
          <w:rFonts w:ascii="Arial" w:hAnsi="Arial" w:cs="Arial"/>
          <w:sz w:val="20"/>
          <w:szCs w:val="24"/>
        </w:rPr>
        <w:t>had a decreasing trend</w:t>
      </w:r>
      <w:bookmarkEnd w:id="9"/>
      <w:r w:rsidRPr="00A65F75">
        <w:rPr>
          <w:rFonts w:ascii="Arial" w:hAnsi="Arial" w:cs="Arial"/>
          <w:sz w:val="20"/>
          <w:szCs w:val="24"/>
        </w:rPr>
        <w:t xml:space="preserve"> (P&gt;0.05); 15 countries had a decreasing trend (P&lt;0.05) (Supplement Table 2 and Supplement Figure 2).</w:t>
      </w:r>
    </w:p>
    <w:p w:rsidR="006B061B" w:rsidRDefault="006B061B" w:rsidP="006B061B">
      <w:pPr>
        <w:spacing w:line="360" w:lineRule="auto"/>
        <w:ind w:firstLineChars="200" w:firstLine="400"/>
        <w:rPr>
          <w:rFonts w:ascii="Arial" w:hAnsi="Arial" w:cs="Arial"/>
          <w:sz w:val="20"/>
          <w:szCs w:val="24"/>
        </w:rPr>
      </w:pPr>
      <w:r w:rsidRPr="00A65F75">
        <w:rPr>
          <w:rFonts w:ascii="Arial" w:hAnsi="Arial" w:cs="Arial"/>
          <w:sz w:val="20"/>
          <w:szCs w:val="24"/>
        </w:rPr>
        <w:t xml:space="preserve">Among the male population </w:t>
      </w:r>
      <w:bookmarkStart w:id="10" w:name="_Hlk107077303"/>
      <w:r w:rsidRPr="00A65F75">
        <w:rPr>
          <w:rFonts w:ascii="Arial" w:hAnsi="Arial" w:cs="Arial"/>
          <w:sz w:val="20"/>
          <w:szCs w:val="24"/>
        </w:rPr>
        <w:t>aged 70-85+</w:t>
      </w:r>
      <w:bookmarkEnd w:id="10"/>
      <w:r w:rsidRPr="00A65F75">
        <w:rPr>
          <w:rFonts w:ascii="Arial" w:hAnsi="Arial" w:cs="Arial"/>
          <w:sz w:val="20"/>
          <w:szCs w:val="24"/>
        </w:rPr>
        <w:t xml:space="preserve">, Japanese males [AAPC, 1; (95%Cl, 0.2-1.9), P&lt;0.05] had an increasing trend; Switzerland, India, Ireland, and South Korea </w:t>
      </w:r>
      <w:bookmarkStart w:id="11" w:name="_Hlk105619885"/>
      <w:r w:rsidRPr="00A65F75">
        <w:rPr>
          <w:rFonts w:ascii="Arial" w:hAnsi="Arial" w:cs="Arial"/>
          <w:sz w:val="20"/>
          <w:szCs w:val="24"/>
        </w:rPr>
        <w:t>had an increasing trend</w:t>
      </w:r>
      <w:bookmarkEnd w:id="11"/>
      <w:r w:rsidRPr="00A65F75">
        <w:rPr>
          <w:rFonts w:ascii="Arial" w:hAnsi="Arial" w:cs="Arial"/>
          <w:sz w:val="20"/>
          <w:szCs w:val="24"/>
        </w:rPr>
        <w:t xml:space="preserve"> (P&gt;0.05); 22 countries had a decreasing trend (P&gt;0.05); 14 countries </w:t>
      </w:r>
      <w:bookmarkStart w:id="12" w:name="_Hlk105619932"/>
      <w:r w:rsidRPr="00A65F75">
        <w:rPr>
          <w:rFonts w:ascii="Arial" w:hAnsi="Arial" w:cs="Arial"/>
          <w:sz w:val="20"/>
          <w:szCs w:val="24"/>
        </w:rPr>
        <w:t>had a decreasing trend</w:t>
      </w:r>
      <w:bookmarkEnd w:id="12"/>
      <w:r w:rsidRPr="00A65F75">
        <w:rPr>
          <w:rFonts w:ascii="Arial" w:hAnsi="Arial" w:cs="Arial"/>
          <w:sz w:val="20"/>
          <w:szCs w:val="24"/>
        </w:rPr>
        <w:t xml:space="preserve"> (P&lt;0.05); among the female population aged 70-85+, Japan women [AAPC, 0.5; (95%Cl, 0-1), P&lt;0.05] had an increasing trend; Slovakia, India, Thailand, and Chile had an increasing trend (P&gt;0.05); 18 countries had a decreasing trend (P&gt;0.05); 17 countries had a decreasing trend (P&lt;0.05) (Supplement Table 3 and Supplement Figure 3).</w:t>
      </w:r>
    </w:p>
    <w:p w:rsidR="00071028" w:rsidRPr="00A65F75" w:rsidRDefault="00071028" w:rsidP="006B061B">
      <w:pPr>
        <w:spacing w:line="360" w:lineRule="auto"/>
        <w:ind w:firstLineChars="200" w:firstLine="402"/>
        <w:rPr>
          <w:rFonts w:ascii="Arial" w:hAnsi="Arial" w:cs="Arial"/>
          <w:b/>
          <w:bCs/>
          <w:sz w:val="20"/>
          <w:szCs w:val="24"/>
        </w:rPr>
      </w:pPr>
      <w:bookmarkStart w:id="13" w:name="_GoBack"/>
      <w:bookmarkEnd w:id="13"/>
    </w:p>
    <w:p w:rsidR="006B061B" w:rsidRPr="00A65F75" w:rsidRDefault="006B061B" w:rsidP="006B061B">
      <w:pPr>
        <w:spacing w:line="360" w:lineRule="auto"/>
        <w:rPr>
          <w:rFonts w:ascii="Arial" w:hAnsi="Arial" w:cs="Arial"/>
          <w:b/>
          <w:bCs/>
          <w:sz w:val="20"/>
          <w:szCs w:val="24"/>
        </w:rPr>
      </w:pPr>
      <w:r w:rsidRPr="00A65F75">
        <w:rPr>
          <w:rFonts w:ascii="Arial" w:hAnsi="Arial" w:cs="Arial"/>
          <w:b/>
          <w:bCs/>
          <w:sz w:val="20"/>
          <w:szCs w:val="24"/>
        </w:rPr>
        <w:t>Average annual percent change in the mortality of gastric cancer from 2006 to 2015</w:t>
      </w:r>
    </w:p>
    <w:p w:rsidR="006B061B" w:rsidRPr="00A65F75" w:rsidRDefault="006B061B" w:rsidP="006B061B">
      <w:pPr>
        <w:spacing w:line="360" w:lineRule="auto"/>
        <w:ind w:firstLineChars="200" w:firstLine="400"/>
        <w:rPr>
          <w:rFonts w:ascii="Arial" w:hAnsi="Arial" w:cs="Arial"/>
          <w:sz w:val="20"/>
          <w:szCs w:val="24"/>
        </w:rPr>
      </w:pPr>
      <w:r w:rsidRPr="00A65F75">
        <w:rPr>
          <w:rFonts w:ascii="Arial" w:hAnsi="Arial" w:cs="Arial"/>
          <w:sz w:val="20"/>
          <w:szCs w:val="24"/>
        </w:rPr>
        <w:t xml:space="preserve">Among the male population aged 20-44, Thailand [AAPC, 3.4; (95%Cl, 1.3-5.4), P&lt;0.05] </w:t>
      </w:r>
      <w:bookmarkStart w:id="14" w:name="_Hlk105620657"/>
      <w:r w:rsidRPr="00A65F75">
        <w:rPr>
          <w:rFonts w:ascii="Arial" w:hAnsi="Arial" w:cs="Arial"/>
          <w:sz w:val="20"/>
          <w:szCs w:val="24"/>
        </w:rPr>
        <w:t>showed an increasing trend</w:t>
      </w:r>
      <w:bookmarkEnd w:id="14"/>
      <w:r w:rsidRPr="00A65F75">
        <w:rPr>
          <w:rFonts w:ascii="Arial" w:hAnsi="Arial" w:cs="Arial"/>
          <w:sz w:val="20"/>
          <w:szCs w:val="24"/>
        </w:rPr>
        <w:t>; Norway, New Zealand, The Netherlands, Slovakia, France, Colombia, Lithuania, and the USA showed an increasing trend (P&gt;0.05); 17 countries had a decreasing trend (P&gt;0.05); 11 countries had a decreasing trend (P&lt;0.05); among women population aged 20-44, Bulgaria, Lithuania, Thailand, Slovakia, UK, Australia, Chile, Switzerland, Colombia, France, Sweden, Ecuador, and Brazil had an increasing trend (P&gt;0.05); 17 countries had an increasing trend (P&gt;0.05); eight countries had an increasing trend (P&lt;0.05) (</w:t>
      </w:r>
      <w:bookmarkStart w:id="15" w:name="_Hlk105620970"/>
      <w:r w:rsidRPr="00A65F75">
        <w:rPr>
          <w:rFonts w:ascii="Arial" w:hAnsi="Arial" w:cs="Arial"/>
          <w:sz w:val="20"/>
          <w:szCs w:val="24"/>
        </w:rPr>
        <w:t>Supplement Table 4 and Supplement Figure 4</w:t>
      </w:r>
      <w:bookmarkEnd w:id="15"/>
      <w:r w:rsidRPr="00A65F75">
        <w:rPr>
          <w:rFonts w:ascii="Arial" w:hAnsi="Arial" w:cs="Arial"/>
          <w:sz w:val="20"/>
          <w:szCs w:val="24"/>
        </w:rPr>
        <w:t>).</w:t>
      </w:r>
    </w:p>
    <w:p w:rsidR="006B061B" w:rsidRPr="00A65F75" w:rsidRDefault="006B061B" w:rsidP="006B061B">
      <w:pPr>
        <w:spacing w:line="360" w:lineRule="auto"/>
        <w:ind w:firstLineChars="200" w:firstLine="400"/>
        <w:rPr>
          <w:rFonts w:ascii="Arial" w:hAnsi="Arial" w:cs="Arial"/>
          <w:sz w:val="20"/>
          <w:szCs w:val="24"/>
        </w:rPr>
      </w:pPr>
      <w:r w:rsidRPr="00A65F75">
        <w:rPr>
          <w:rFonts w:ascii="Arial" w:hAnsi="Arial" w:cs="Arial"/>
          <w:sz w:val="20"/>
          <w:szCs w:val="24"/>
        </w:rPr>
        <w:t xml:space="preserve">Among the male population aged 45-69, Thailand [AAPC, 3.5; (95%Cl, 1.9-5.1), P&lt;0.05] had an increasing trend; 7 countries had an increasing trend (P&gt;0.05); 33 countries had a decreasing trend (P&lt;0.05); among the female population aged 45-69, Thailand [AAPC, 5.3; (95%Cl, 3.8-6.9), P&lt;0.05] had an increasing trend; 17 countries had an increasing trend </w:t>
      </w:r>
      <w:r w:rsidRPr="00A65F75">
        <w:rPr>
          <w:rFonts w:ascii="Arial" w:hAnsi="Arial" w:cs="Arial"/>
          <w:sz w:val="20"/>
          <w:szCs w:val="24"/>
        </w:rPr>
        <w:lastRenderedPageBreak/>
        <w:t xml:space="preserve">(P&gt;0.05); 8 countries had a decreasing trend (P&lt;0.05) (Supplement Table 5 and </w:t>
      </w:r>
      <w:bookmarkStart w:id="16" w:name="_Hlk107077231"/>
      <w:r w:rsidRPr="00A65F75">
        <w:rPr>
          <w:rFonts w:ascii="Arial" w:hAnsi="Arial" w:cs="Arial"/>
          <w:sz w:val="20"/>
          <w:szCs w:val="24"/>
        </w:rPr>
        <w:t xml:space="preserve">Supplement </w:t>
      </w:r>
      <w:bookmarkEnd w:id="16"/>
      <w:r w:rsidRPr="00A65F75">
        <w:rPr>
          <w:rFonts w:ascii="Arial" w:hAnsi="Arial" w:cs="Arial"/>
          <w:sz w:val="20"/>
          <w:szCs w:val="24"/>
        </w:rPr>
        <w:t>Figure 5).</w:t>
      </w:r>
    </w:p>
    <w:p w:rsidR="006B061B" w:rsidRPr="00A65F75" w:rsidRDefault="006B061B" w:rsidP="006B061B">
      <w:pPr>
        <w:spacing w:line="360" w:lineRule="auto"/>
        <w:ind w:firstLineChars="200" w:firstLine="400"/>
        <w:rPr>
          <w:rFonts w:ascii="Arial" w:hAnsi="Arial" w:cs="Arial"/>
          <w:sz w:val="20"/>
          <w:szCs w:val="24"/>
        </w:rPr>
      </w:pPr>
      <w:r w:rsidRPr="00A65F75">
        <w:rPr>
          <w:rFonts w:ascii="Arial" w:hAnsi="Arial" w:cs="Arial"/>
          <w:sz w:val="20"/>
          <w:szCs w:val="24"/>
        </w:rPr>
        <w:t>Among the male population 70-85+, Thailand [AAPC, 4.1; (95%Cl, 1 -7.2), P&lt;0.05] had an increasing trend; Cyprus had an increasing trend (P&gt;0.05); 7 countries had a decreasing trend (P&gt;0.05); 32 countries had a decreasing trend (P&lt;0.05); among women population aged 70-85 +, Thailand [AAPC, 4.5; (95%cl, 2.6-6.4), P&lt;0.05] had an increasing trend; Malta, Turkey, and Cyprus had an increasing trend (P&gt;0.05); 3 countries had a decreasing trend (P&gt;0.05); 34 countries had a decreasing trend (P&lt;0.05) (Supplementary Table 6 and Supplement Figure 6).</w:t>
      </w:r>
    </w:p>
    <w:p w:rsidR="00CA57E9" w:rsidRPr="00A65F75" w:rsidRDefault="00CA57E9">
      <w:pPr>
        <w:rPr>
          <w:sz w:val="20"/>
          <w:szCs w:val="24"/>
        </w:rPr>
      </w:pPr>
    </w:p>
    <w:sectPr w:rsidR="00CA57E9" w:rsidRPr="00A65F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722"/>
    <w:rsid w:val="00071028"/>
    <w:rsid w:val="00110722"/>
    <w:rsid w:val="00131275"/>
    <w:rsid w:val="00265EE8"/>
    <w:rsid w:val="004F16A5"/>
    <w:rsid w:val="00672480"/>
    <w:rsid w:val="006B061B"/>
    <w:rsid w:val="00737BF5"/>
    <w:rsid w:val="00A65F75"/>
    <w:rsid w:val="00CA57E9"/>
    <w:rsid w:val="00CC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C4CEF"/>
  <w15:chartTrackingRefBased/>
  <w15:docId w15:val="{3F7708D5-B733-4669-AF79-F13360AB8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61B"/>
    <w:pPr>
      <w:spacing w:after="160" w:line="256" w:lineRule="auto"/>
    </w:pPr>
    <w:rPr>
      <w:rFonts w:ascii="Calibri" w:eastAsia="宋体" w:hAnsi="Calibri" w:cs="宋体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701</Words>
  <Characters>4000</Characters>
  <Application>Microsoft Office Word</Application>
  <DocSecurity>0</DocSecurity>
  <Lines>33</Lines>
  <Paragraphs>9</Paragraphs>
  <ScaleCrop>false</ScaleCrop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linjuli</dc:creator>
  <cp:keywords/>
  <dc:description/>
  <cp:lastModifiedBy>linjuli</cp:lastModifiedBy>
  <cp:revision>11</cp:revision>
  <dcterms:created xsi:type="dcterms:W3CDTF">2024-02-19T17:41:00Z</dcterms:created>
  <dcterms:modified xsi:type="dcterms:W3CDTF">2024-02-20T02:19:00Z</dcterms:modified>
</cp:coreProperties>
</file>