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jc w:val="center"/>
        <w:rPr>
          <w:rFonts w:ascii="Times New Roman" w:hAnsi="Times New Roman" w:eastAsia="Calibri"/>
          <w:b/>
          <w:bCs/>
          <w:sz w:val="44"/>
          <w:szCs w:val="44"/>
        </w:rPr>
      </w:pPr>
      <w:r>
        <w:rPr>
          <w:rFonts w:ascii="Times New Roman" w:hAnsi="Times New Roman" w:eastAsia="Calibri"/>
          <w:b/>
          <w:bCs/>
          <w:sz w:val="44"/>
          <w:szCs w:val="44"/>
        </w:rPr>
        <w:t>Supplementary Material</w:t>
      </w:r>
    </w:p>
    <w:p>
      <w:pPr>
        <w:pStyle w:val="6"/>
        <w:jc w:val="center"/>
        <w:rPr>
          <w:rFonts w:ascii="Times New Roman" w:hAnsi="Times New Roman"/>
          <w:b/>
          <w:sz w:val="32"/>
          <w:szCs w:val="32"/>
        </w:rPr>
      </w:pPr>
      <w:r>
        <w:rPr>
          <w:rFonts w:ascii="Times New Roman" w:hAnsi="Times New Roman"/>
          <w:b/>
          <w:sz w:val="32"/>
          <w:szCs w:val="32"/>
        </w:rPr>
        <w:t>The Association Between Screen Time Exposure and Myopia in Children and Adolescents: A Meta-Analysis</w:t>
      </w:r>
    </w:p>
    <w:p>
      <w:pPr>
        <w:pStyle w:val="6"/>
        <w:jc w:val="left"/>
        <w:rPr>
          <w:rFonts w:ascii="Times New Roman" w:hAnsi="Times New Roman"/>
          <w:color w:val="000000"/>
          <w:kern w:val="0"/>
          <w:vertAlign w:val="superscript"/>
        </w:rPr>
      </w:pPr>
      <w:r>
        <w:rPr>
          <w:rFonts w:ascii="Times New Roman" w:hAnsi="Times New Roman"/>
          <w:color w:val="000000"/>
          <w:kern w:val="0"/>
        </w:rPr>
        <w:t>Zhiqiang Zong</w:t>
      </w:r>
      <w:r>
        <w:rPr>
          <w:rFonts w:ascii="Times New Roman" w:hAnsi="Times New Roman"/>
          <w:color w:val="000000"/>
          <w:kern w:val="0"/>
          <w:vertAlign w:val="superscript"/>
        </w:rPr>
        <w:t>1</w:t>
      </w:r>
      <w:r>
        <w:rPr>
          <w:rFonts w:ascii="Times New Roman" w:hAnsi="Times New Roman"/>
          <w:color w:val="000000"/>
          <w:kern w:val="0"/>
        </w:rPr>
        <w:t>, Yaxin Zhang</w:t>
      </w:r>
      <w:r>
        <w:rPr>
          <w:rFonts w:ascii="Times New Roman" w:hAnsi="Times New Roman"/>
          <w:color w:val="000000"/>
          <w:kern w:val="0"/>
          <w:vertAlign w:val="superscript"/>
        </w:rPr>
        <w:t>2</w:t>
      </w:r>
      <w:r>
        <w:rPr>
          <w:rFonts w:ascii="Times New Roman" w:hAnsi="Times New Roman"/>
          <w:color w:val="000000"/>
          <w:kern w:val="0"/>
        </w:rPr>
        <w:t>, Jianchao Qiao</w:t>
      </w:r>
      <w:r>
        <w:rPr>
          <w:rFonts w:ascii="Times New Roman" w:hAnsi="Times New Roman"/>
          <w:color w:val="000000"/>
          <w:kern w:val="0"/>
          <w:vertAlign w:val="superscript"/>
        </w:rPr>
        <w:t>1</w:t>
      </w:r>
      <w:r>
        <w:rPr>
          <w:rFonts w:ascii="Times New Roman" w:hAnsi="Times New Roman"/>
          <w:color w:val="000000"/>
          <w:kern w:val="0"/>
        </w:rPr>
        <w:t>, Yuan Tian</w:t>
      </w:r>
      <w:r>
        <w:rPr>
          <w:rFonts w:ascii="Times New Roman" w:hAnsi="Times New Roman"/>
          <w:color w:val="000000"/>
          <w:kern w:val="0"/>
          <w:vertAlign w:val="superscript"/>
        </w:rPr>
        <w:t>3</w:t>
      </w:r>
      <w:r>
        <w:rPr>
          <w:rFonts w:ascii="Times New Roman" w:hAnsi="Times New Roman"/>
          <w:color w:val="000000"/>
          <w:kern w:val="0"/>
        </w:rPr>
        <w:t>, Shaojun Xu</w:t>
      </w:r>
      <w:r>
        <w:rPr>
          <w:rFonts w:ascii="Times New Roman" w:hAnsi="Times New Roman"/>
          <w:color w:val="000000"/>
          <w:kern w:val="0"/>
          <w:vertAlign w:val="superscript"/>
        </w:rPr>
        <w:t>2,4</w:t>
      </w:r>
      <w:r>
        <w:rPr>
          <w:rFonts w:hint="default" w:ascii="Times New Roman" w:hAnsi="Times New Roman"/>
          <w:color w:val="000000"/>
          <w:kern w:val="0"/>
          <w:vertAlign w:val="superscript"/>
          <w:lang w:val="en-US"/>
        </w:rPr>
        <w:t>,</w:t>
      </w:r>
      <w:bookmarkStart w:id="0" w:name="_GoBack"/>
      <w:bookmarkEnd w:id="0"/>
      <w:r>
        <w:rPr>
          <w:rFonts w:ascii="Times New Roman" w:hAnsi="Times New Roman"/>
          <w:color w:val="000000"/>
          <w:kern w:val="0"/>
          <w:vertAlign w:val="superscript"/>
        </w:rPr>
        <w:t>1</w:t>
      </w:r>
    </w:p>
    <w:p>
      <w:pPr>
        <w:pStyle w:val="6"/>
        <w:jc w:val="left"/>
        <w:rPr>
          <w:rFonts w:ascii="Times New Roman" w:hAnsi="Times New Roman"/>
          <w:color w:val="000000"/>
          <w:kern w:val="0"/>
        </w:rPr>
      </w:pPr>
      <w:r>
        <w:rPr>
          <w:rFonts w:ascii="Times New Roman" w:hAnsi="Times New Roman"/>
          <w:color w:val="000000"/>
          <w:kern w:val="0"/>
          <w:vertAlign w:val="superscript"/>
        </w:rPr>
        <w:t xml:space="preserve">1. </w:t>
      </w:r>
      <w:r>
        <w:rPr>
          <w:rFonts w:ascii="Times New Roman" w:hAnsi="Times New Roman"/>
          <w:color w:val="000000"/>
          <w:kern w:val="0"/>
        </w:rPr>
        <w:t>The Second School of Clinical Medicine, Anhui Medical University, 81 Meishan Road, Hefei, 230032, Anhui, China</w:t>
      </w:r>
    </w:p>
    <w:p>
      <w:pPr>
        <w:pStyle w:val="6"/>
        <w:jc w:val="left"/>
        <w:rPr>
          <w:rFonts w:ascii="Times New Roman" w:hAnsi="Times New Roman"/>
          <w:color w:val="000000"/>
          <w:kern w:val="0"/>
        </w:rPr>
      </w:pPr>
      <w:r>
        <w:rPr>
          <w:rFonts w:ascii="Times New Roman" w:hAnsi="Times New Roman"/>
          <w:color w:val="000000"/>
          <w:kern w:val="0"/>
          <w:vertAlign w:val="superscript"/>
        </w:rPr>
        <w:t>2</w:t>
      </w:r>
      <w:r>
        <w:rPr>
          <w:rFonts w:ascii="Times New Roman" w:hAnsi="Times New Roman"/>
          <w:color w:val="000000"/>
          <w:kern w:val="0"/>
        </w:rPr>
        <w:t xml:space="preserve"> Department of Maternal, Child and Adolescent Health, School of Public Health, Anhui Medical University, 81 Meishan Road, Hefei 230032, Anhui, China</w:t>
      </w:r>
    </w:p>
    <w:p>
      <w:pPr>
        <w:pStyle w:val="6"/>
        <w:jc w:val="left"/>
        <w:rPr>
          <w:rFonts w:ascii="Times New Roman" w:hAnsi="Times New Roman"/>
          <w:color w:val="000000"/>
          <w:kern w:val="0"/>
        </w:rPr>
      </w:pPr>
      <w:r>
        <w:rPr>
          <w:rFonts w:ascii="Times New Roman" w:hAnsi="Times New Roman"/>
          <w:color w:val="000000"/>
          <w:kern w:val="0"/>
          <w:vertAlign w:val="superscript"/>
        </w:rPr>
        <w:t>3</w:t>
      </w:r>
      <w:r>
        <w:rPr>
          <w:rFonts w:ascii="Times New Roman" w:hAnsi="Times New Roman"/>
          <w:color w:val="000000"/>
          <w:kern w:val="0"/>
        </w:rPr>
        <w:t xml:space="preserve"> The First School of Clinical Medicine, Anhui Medical University, 81 Meishan Road, Hefei, 230032, Anhui, China</w:t>
      </w:r>
    </w:p>
    <w:p>
      <w:pPr>
        <w:pStyle w:val="6"/>
        <w:jc w:val="left"/>
        <w:rPr>
          <w:rFonts w:ascii="Times New Roman" w:hAnsi="Times New Roman"/>
          <w:color w:val="000000"/>
          <w:kern w:val="0"/>
        </w:rPr>
      </w:pPr>
      <w:r>
        <w:rPr>
          <w:rFonts w:ascii="Times New Roman" w:hAnsi="Times New Roman"/>
          <w:color w:val="000000"/>
          <w:kern w:val="0"/>
          <w:vertAlign w:val="superscript"/>
        </w:rPr>
        <w:t xml:space="preserve">4 </w:t>
      </w:r>
      <w:r>
        <w:rPr>
          <w:rFonts w:ascii="Times New Roman" w:hAnsi="Times New Roman"/>
          <w:color w:val="000000"/>
          <w:kern w:val="0"/>
        </w:rPr>
        <w:t>MOE Key Laboratory of Population Health Across Life Cycle, 81 Meishan Road, Hefei 230032, Anhui, China</w:t>
      </w:r>
    </w:p>
    <w:p>
      <w:pPr>
        <w:pStyle w:val="6"/>
        <w:jc w:val="left"/>
        <w:rPr>
          <w:rStyle w:val="8"/>
          <w:color w:val="000000"/>
          <w:kern w:val="0"/>
        </w:rPr>
      </w:pPr>
      <w:r>
        <w:rPr>
          <w:rFonts w:ascii="Times New Roman" w:hAnsi="Times New Roman"/>
          <w:b/>
          <w:bCs/>
          <w:color w:val="000000"/>
          <w:kern w:val="0"/>
        </w:rPr>
        <w:t xml:space="preserve">Corresponding author: </w:t>
      </w:r>
      <w:r>
        <w:rPr>
          <w:rFonts w:ascii="Times New Roman" w:hAnsi="Times New Roman"/>
          <w:color w:val="000000"/>
          <w:kern w:val="0"/>
        </w:rPr>
        <w:t xml:space="preserve">Shao-Jun Xu, Email: </w:t>
      </w:r>
      <w:r>
        <w:fldChar w:fldCharType="begin"/>
      </w:r>
      <w:r>
        <w:instrText xml:space="preserve"> HYPERLINK "mailto:xushaojun@ahmu.edu.cn" </w:instrText>
      </w:r>
      <w:r>
        <w:fldChar w:fldCharType="separate"/>
      </w:r>
      <w:r>
        <w:rPr>
          <w:rStyle w:val="5"/>
          <w:rFonts w:ascii="Times New Roman" w:hAnsi="Times New Roman"/>
          <w:color w:val="auto"/>
          <w:kern w:val="0"/>
          <w:u w:val="none"/>
        </w:rPr>
        <w:t>xushaojun@ahmu.edu.cn</w:t>
      </w:r>
      <w:r>
        <w:rPr>
          <w:rStyle w:val="5"/>
          <w:rFonts w:ascii="Times New Roman" w:hAnsi="Times New Roman"/>
          <w:color w:val="auto"/>
          <w:kern w:val="0"/>
          <w:u w:val="none"/>
        </w:rPr>
        <w:fldChar w:fldCharType="end"/>
      </w:r>
    </w:p>
    <w:p>
      <w:pPr>
        <w:pStyle w:val="6"/>
        <w:rPr>
          <w:rFonts w:ascii="Times New Roman" w:hAnsi="Times New Roman"/>
          <w:b/>
          <w:sz w:val="30"/>
          <w:szCs w:val="30"/>
        </w:rPr>
      </w:pPr>
      <w:r>
        <w:rPr>
          <w:rFonts w:ascii="Times New Roman" w:hAnsi="Times New Roman"/>
          <w:b/>
          <w:bCs/>
          <w:sz w:val="32"/>
          <w:szCs w:val="32"/>
        </w:rPr>
        <w:t>Table of contents</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54" w:type="dxa"/>
            <w:tcBorders>
              <w:top w:val="single" w:color="auto" w:sz="4" w:space="0"/>
              <w:left w:val="single" w:color="auto" w:sz="4" w:space="0"/>
              <w:bottom w:val="single" w:color="auto" w:sz="4" w:space="0"/>
              <w:right w:val="single" w:color="auto" w:sz="4" w:space="0"/>
            </w:tcBorders>
          </w:tcPr>
          <w:p>
            <w:pPr>
              <w:rPr>
                <w:rFonts w:ascii="Times New Roman" w:hAnsi="Times New Roman"/>
                <w:b/>
                <w:kern w:val="0"/>
                <w:sz w:val="30"/>
                <w:szCs w:val="30"/>
              </w:rPr>
            </w:pPr>
            <w:r>
              <w:rPr>
                <w:rFonts w:ascii="Times New Roman" w:hAnsi="Times New Roman"/>
                <w:b/>
                <w:kern w:val="0"/>
                <w:sz w:val="30"/>
                <w:szCs w:val="30"/>
              </w:rPr>
              <w:t xml:space="preserve">Table S1. </w:t>
            </w:r>
            <w:r>
              <w:rPr>
                <w:rFonts w:ascii="Times New Roman" w:hAnsi="Times New Roman"/>
                <w:bCs/>
                <w:kern w:val="0"/>
                <w:sz w:val="30"/>
                <w:szCs w:val="30"/>
              </w:rPr>
              <w:t>Preferred Reporting Items for Systematic Reviews and Meta-Analysis (PRISMA) 2020 Checklist.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54" w:type="dxa"/>
            <w:tcBorders>
              <w:top w:val="single" w:color="auto" w:sz="4" w:space="0"/>
              <w:left w:val="single" w:color="auto" w:sz="4" w:space="0"/>
              <w:bottom w:val="single" w:color="auto" w:sz="4" w:space="0"/>
              <w:right w:val="single" w:color="auto" w:sz="4" w:space="0"/>
            </w:tcBorders>
          </w:tcPr>
          <w:p>
            <w:pPr>
              <w:rPr>
                <w:rFonts w:ascii="Times New Roman" w:hAnsi="Times New Roman"/>
                <w:b/>
                <w:kern w:val="0"/>
                <w:sz w:val="30"/>
                <w:szCs w:val="30"/>
              </w:rPr>
            </w:pPr>
            <w:r>
              <w:rPr>
                <w:rFonts w:ascii="Times New Roman" w:hAnsi="Times New Roman"/>
                <w:b/>
                <w:kern w:val="0"/>
                <w:sz w:val="30"/>
                <w:szCs w:val="30"/>
              </w:rPr>
              <w:t xml:space="preserve">Table S2. </w:t>
            </w:r>
            <w:r>
              <w:rPr>
                <w:rFonts w:ascii="Times New Roman" w:hAnsi="Times New Roman"/>
                <w:bCs/>
                <w:kern w:val="0"/>
                <w:sz w:val="30"/>
                <w:szCs w:val="30"/>
              </w:rPr>
              <w:t>Database search term list.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5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bCs/>
                <w:kern w:val="0"/>
                <w:sz w:val="30"/>
                <w:szCs w:val="30"/>
              </w:rPr>
            </w:pPr>
            <w:r>
              <w:rPr>
                <w:rFonts w:ascii="Times New Roman" w:hAnsi="Times New Roman"/>
                <w:b/>
                <w:kern w:val="0"/>
                <w:sz w:val="30"/>
                <w:szCs w:val="30"/>
              </w:rPr>
              <w:t xml:space="preserve">Table S3. </w:t>
            </w:r>
            <w:r>
              <w:rPr>
                <w:rFonts w:ascii="Times New Roman" w:hAnsi="Times New Roman"/>
                <w:bCs/>
                <w:kern w:val="0"/>
                <w:sz w:val="30"/>
                <w:szCs w:val="30"/>
              </w:rPr>
              <w:t>Newcastle-Ottawa Quality Assessment Scale for cohort studies.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bCs/>
                <w:kern w:val="0"/>
                <w:sz w:val="30"/>
                <w:szCs w:val="30"/>
              </w:rPr>
            </w:pPr>
            <w:r>
              <w:rPr>
                <w:rFonts w:ascii="Times New Roman" w:hAnsi="Times New Roman"/>
                <w:b/>
                <w:kern w:val="0"/>
                <w:sz w:val="30"/>
                <w:szCs w:val="30"/>
              </w:rPr>
              <w:t xml:space="preserve">Table S4. </w:t>
            </w:r>
            <w:r>
              <w:rPr>
                <w:rFonts w:ascii="Times New Roman" w:hAnsi="Times New Roman"/>
                <w:bCs/>
                <w:kern w:val="0"/>
                <w:sz w:val="30"/>
                <w:szCs w:val="30"/>
              </w:rPr>
              <w:t>Newcastle-Ottawa Quality Assessment Scale for cross-sectional studies.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b/>
                <w:kern w:val="0"/>
                <w:sz w:val="30"/>
                <w:szCs w:val="30"/>
              </w:rPr>
            </w:pPr>
            <w:r>
              <w:rPr>
                <w:rFonts w:ascii="Times New Roman" w:hAnsi="Times New Roman"/>
                <w:b/>
                <w:kern w:val="0"/>
                <w:sz w:val="30"/>
                <w:szCs w:val="30"/>
              </w:rPr>
              <w:t xml:space="preserve">Table S5. </w:t>
            </w:r>
            <w:r>
              <w:rPr>
                <w:rFonts w:ascii="Times New Roman" w:hAnsi="Times New Roman"/>
                <w:bCs/>
                <w:kern w:val="0"/>
                <w:sz w:val="30"/>
                <w:szCs w:val="30"/>
              </w:rPr>
              <w:t>Reasons for the exclusion of 20 articles in the full-text rescreening.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b/>
                <w:kern w:val="0"/>
                <w:sz w:val="30"/>
                <w:szCs w:val="30"/>
              </w:rPr>
            </w:pPr>
            <w:r>
              <w:rPr>
                <w:rFonts w:ascii="Times New Roman" w:hAnsi="Times New Roman"/>
                <w:b/>
                <w:kern w:val="0"/>
                <w:sz w:val="30"/>
                <w:szCs w:val="30"/>
              </w:rPr>
              <w:t xml:space="preserve">Table S6. </w:t>
            </w:r>
            <w:r>
              <w:rPr>
                <w:rFonts w:ascii="Times New Roman" w:hAnsi="Times New Roman"/>
                <w:bCs/>
                <w:kern w:val="0"/>
                <w:sz w:val="30"/>
                <w:szCs w:val="30"/>
              </w:rPr>
              <w:t>Evaluation of risk of bias using the Newcastle Ottawa Scale (NOS) for 18 observational studies included in the meta-analysis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bCs/>
                <w:kern w:val="0"/>
                <w:sz w:val="30"/>
                <w:szCs w:val="30"/>
              </w:rPr>
            </w:pPr>
            <w:r>
              <w:rPr>
                <w:rFonts w:ascii="Times New Roman" w:hAnsi="Times New Roman"/>
                <w:b/>
                <w:kern w:val="0"/>
                <w:sz w:val="30"/>
                <w:szCs w:val="30"/>
              </w:rPr>
              <w:t>Figure S1.</w:t>
            </w:r>
            <w:r>
              <w:rPr>
                <w:rFonts w:ascii="Times New Roman" w:hAnsi="Times New Roman"/>
                <w:bCs/>
                <w:kern w:val="0"/>
                <w:sz w:val="30"/>
                <w:szCs w:val="30"/>
              </w:rPr>
              <w:t xml:space="preserve"> Subgroup analysis stratified by screen device type in cross-sectional studies, forest plots for the association between categorical exposure to screen time (high vs. low) and myopia in children and adolescents.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bCs/>
                <w:kern w:val="0"/>
                <w:sz w:val="30"/>
                <w:szCs w:val="30"/>
              </w:rPr>
            </w:pPr>
            <w:r>
              <w:rPr>
                <w:rFonts w:ascii="Times New Roman" w:hAnsi="Times New Roman"/>
                <w:b/>
                <w:kern w:val="0"/>
                <w:sz w:val="30"/>
                <w:szCs w:val="30"/>
              </w:rPr>
              <w:t>Figure S2.</w:t>
            </w:r>
            <w:r>
              <w:rPr>
                <w:rFonts w:ascii="Times New Roman" w:hAnsi="Times New Roman"/>
                <w:bCs/>
                <w:kern w:val="0"/>
                <w:sz w:val="30"/>
                <w:szCs w:val="30"/>
              </w:rPr>
              <w:t xml:space="preserve"> Subgroup analysis stratified by study quality in cross-sectional studies, forest plots for the association between categorical exposure to screen time (high vs. low) and myopia in children and adolescents.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bCs/>
                <w:kern w:val="0"/>
                <w:sz w:val="30"/>
                <w:szCs w:val="30"/>
              </w:rPr>
            </w:pPr>
            <w:r>
              <w:rPr>
                <w:rFonts w:ascii="Times New Roman" w:hAnsi="Times New Roman"/>
                <w:b/>
                <w:kern w:val="0"/>
                <w:sz w:val="30"/>
                <w:szCs w:val="30"/>
              </w:rPr>
              <w:t>Figure S3.</w:t>
            </w:r>
            <w:r>
              <w:rPr>
                <w:rFonts w:ascii="Times New Roman" w:hAnsi="Times New Roman"/>
                <w:bCs/>
                <w:kern w:val="0"/>
                <w:sz w:val="30"/>
                <w:szCs w:val="30"/>
              </w:rPr>
              <w:t xml:space="preserve"> Subgroup analysis stratified by geographic region in cross-sectional studies, forest plots for the association between categorical exposure to screen time (high vs. low) and myopia in children and adolescents.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b/>
                <w:kern w:val="0"/>
                <w:sz w:val="30"/>
                <w:szCs w:val="30"/>
              </w:rPr>
            </w:pPr>
            <w:r>
              <w:rPr>
                <w:rFonts w:ascii="Times New Roman" w:hAnsi="Times New Roman"/>
                <w:b/>
                <w:kern w:val="0"/>
                <w:sz w:val="30"/>
                <w:szCs w:val="30"/>
              </w:rPr>
              <w:t xml:space="preserve">Figure S4. </w:t>
            </w:r>
            <w:r>
              <w:rPr>
                <w:rFonts w:ascii="Times New Roman" w:hAnsi="Times New Roman"/>
                <w:bCs/>
                <w:kern w:val="0"/>
                <w:sz w:val="30"/>
                <w:szCs w:val="30"/>
              </w:rPr>
              <w:t>Subgroup analysis stratified by research period in cross-sectional studies, forest plots for the association between categorical exposure to screen time (high vs. low) and myopia in children and adolesce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bCs/>
                <w:kern w:val="0"/>
                <w:sz w:val="30"/>
                <w:szCs w:val="30"/>
              </w:rPr>
            </w:pPr>
            <w:r>
              <w:rPr>
                <w:rFonts w:ascii="Times New Roman" w:hAnsi="Times New Roman"/>
                <w:b/>
                <w:kern w:val="0"/>
                <w:sz w:val="30"/>
                <w:szCs w:val="30"/>
              </w:rPr>
              <w:t xml:space="preserve">Figure S5. </w:t>
            </w:r>
            <w:r>
              <w:rPr>
                <w:rFonts w:ascii="Times New Roman" w:hAnsi="Times New Roman"/>
                <w:bCs/>
                <w:kern w:val="0"/>
                <w:sz w:val="30"/>
                <w:szCs w:val="30"/>
              </w:rPr>
              <w:t>Subgroup analysis stratified by screen device type in cross-sectional studies, forest plots for the association between continuous exposure to screen time (per 1h/d increase) and myopia in children and adolescents.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b/>
                <w:kern w:val="0"/>
                <w:sz w:val="30"/>
                <w:szCs w:val="30"/>
              </w:rPr>
            </w:pPr>
            <w:r>
              <w:rPr>
                <w:rFonts w:ascii="Times New Roman" w:hAnsi="Times New Roman"/>
                <w:b/>
                <w:kern w:val="0"/>
                <w:sz w:val="30"/>
                <w:szCs w:val="30"/>
              </w:rPr>
              <w:t>Figure S6.</w:t>
            </w:r>
            <w:r>
              <w:rPr>
                <w:rFonts w:ascii="Times New Roman" w:hAnsi="Times New Roman"/>
                <w:bCs/>
                <w:kern w:val="0"/>
                <w:sz w:val="30"/>
                <w:szCs w:val="30"/>
              </w:rPr>
              <w:t xml:space="preserve"> Subgroup analysis stratified by geographic region in cross-sectional studies, forest plots for the association between continuous exposure to screen time (per/d 1h increase) and myopia in children and adolescents.</w:t>
            </w:r>
          </w:p>
        </w:tc>
      </w:tr>
    </w:tbl>
    <w:p>
      <w:pPr>
        <w:rPr>
          <w:rFonts w:ascii="Times New Roman" w:hAnsi="Times New Roman"/>
          <w:b/>
          <w:sz w:val="30"/>
          <w:szCs w:val="30"/>
        </w:rPr>
      </w:pPr>
      <w:r>
        <w:rPr>
          <w:rFonts w:ascii="Times New Roman" w:hAnsi="Times New Roman"/>
          <w:b/>
          <w:sz w:val="30"/>
          <w:szCs w:val="30"/>
        </w:rPr>
        <w:br w:type="page"/>
      </w:r>
      <w:r>
        <w:rPr>
          <w:rFonts w:ascii="Times New Roman" w:hAnsi="Times New Roman"/>
          <w:b/>
          <w:sz w:val="30"/>
          <w:szCs w:val="30"/>
        </w:rPr>
        <w:t xml:space="preserve">Table S1. </w:t>
      </w:r>
      <w:r>
        <w:rPr>
          <w:rFonts w:ascii="Times New Roman" w:hAnsi="Times New Roman"/>
          <w:bCs/>
          <w:sz w:val="30"/>
          <w:szCs w:val="30"/>
        </w:rPr>
        <w:t>Preferred Reporting Items for Systematic Reviews and Meta-Analysis (PRISMA) 2020 Checklist.</w:t>
      </w:r>
    </w:p>
    <w:tbl>
      <w:tblPr>
        <w:tblStyle w:val="2"/>
        <w:tblW w:w="5000" w:type="pct"/>
        <w:jc w:val="center"/>
        <w:tblLayout w:type="autofit"/>
        <w:tblCellMar>
          <w:top w:w="0" w:type="dxa"/>
          <w:left w:w="108" w:type="dxa"/>
          <w:bottom w:w="0" w:type="dxa"/>
          <w:right w:w="108" w:type="dxa"/>
        </w:tblCellMar>
      </w:tblPr>
      <w:tblGrid>
        <w:gridCol w:w="1588"/>
        <w:gridCol w:w="585"/>
        <w:gridCol w:w="9793"/>
        <w:gridCol w:w="1666"/>
      </w:tblGrid>
      <w:tr>
        <w:tblPrEx>
          <w:tblCellMar>
            <w:top w:w="0" w:type="dxa"/>
            <w:left w:w="108" w:type="dxa"/>
            <w:bottom w:w="0" w:type="dxa"/>
            <w:right w:w="108" w:type="dxa"/>
          </w:tblCellMar>
        </w:tblPrEx>
        <w:trPr>
          <w:trHeight w:val="65" w:hRule="atLeast"/>
          <w:jc w:val="center"/>
        </w:trPr>
        <w:tc>
          <w:tcPr>
            <w:tcW w:w="1665" w:type="dxa"/>
            <w:tcBorders>
              <w:top w:val="double" w:color="000000" w:sz="2" w:space="0"/>
              <w:left w:val="single" w:color="000000" w:sz="4" w:space="0"/>
              <w:bottom w:val="double" w:color="FFFFCC" w:sz="2" w:space="0"/>
              <w:right w:val="single" w:color="000000" w:sz="4" w:space="0"/>
            </w:tcBorders>
            <w:shd w:val="clear" w:color="auto" w:fill="63639A"/>
            <w:vAlign w:val="center"/>
          </w:tcPr>
          <w:p>
            <w:pPr>
              <w:pStyle w:val="7"/>
              <w:rPr>
                <w:rFonts w:ascii="Times New Roman" w:hAnsi="Times New Roman" w:cs="Times New Roman"/>
                <w:color w:val="FFFFFF"/>
                <w:sz w:val="18"/>
                <w:szCs w:val="18"/>
              </w:rPr>
            </w:pPr>
            <w:r>
              <w:rPr>
                <w:rFonts w:ascii="Times New Roman" w:hAnsi="Times New Roman" w:cs="Times New Roman"/>
                <w:b/>
                <w:bCs/>
                <w:color w:val="FFFFFF"/>
                <w:sz w:val="18"/>
                <w:szCs w:val="18"/>
              </w:rPr>
              <w:t xml:space="preserve">Section and Topic </w:t>
            </w:r>
          </w:p>
        </w:tc>
        <w:tc>
          <w:tcPr>
            <w:tcW w:w="587" w:type="dxa"/>
            <w:tcBorders>
              <w:top w:val="double" w:color="000000" w:sz="2" w:space="0"/>
              <w:left w:val="nil"/>
              <w:bottom w:val="double" w:color="FFFFCC" w:sz="2" w:space="0"/>
              <w:right w:val="single" w:color="000000" w:sz="4" w:space="0"/>
            </w:tcBorders>
            <w:shd w:val="clear" w:color="auto" w:fill="63639A"/>
            <w:vAlign w:val="center"/>
          </w:tcPr>
          <w:p>
            <w:pPr>
              <w:pStyle w:val="7"/>
              <w:rPr>
                <w:rFonts w:ascii="Times New Roman" w:hAnsi="Times New Roman" w:cs="Times New Roman"/>
                <w:b/>
                <w:bCs/>
                <w:color w:val="FFFFFF"/>
                <w:sz w:val="18"/>
                <w:szCs w:val="18"/>
              </w:rPr>
            </w:pPr>
            <w:r>
              <w:rPr>
                <w:rFonts w:ascii="Times New Roman" w:hAnsi="Times New Roman" w:cs="Times New Roman"/>
                <w:b/>
                <w:bCs/>
                <w:color w:val="FFFFFF"/>
                <w:sz w:val="18"/>
                <w:szCs w:val="18"/>
              </w:rPr>
              <w:t>Item #</w:t>
            </w:r>
          </w:p>
        </w:tc>
        <w:tc>
          <w:tcPr>
            <w:tcW w:w="11631" w:type="dxa"/>
            <w:tcBorders>
              <w:top w:val="double" w:color="000000" w:sz="2" w:space="0"/>
              <w:left w:val="nil"/>
              <w:bottom w:val="double" w:color="000000" w:sz="2" w:space="0"/>
              <w:right w:val="single" w:color="000000" w:sz="4" w:space="0"/>
            </w:tcBorders>
            <w:shd w:val="clear" w:color="auto" w:fill="63639A"/>
            <w:vAlign w:val="center"/>
          </w:tcPr>
          <w:p>
            <w:pPr>
              <w:pStyle w:val="7"/>
              <w:rPr>
                <w:rFonts w:ascii="Times New Roman" w:hAnsi="Times New Roman" w:cs="Times New Roman"/>
                <w:color w:val="FFFFFF"/>
                <w:sz w:val="18"/>
                <w:szCs w:val="18"/>
              </w:rPr>
            </w:pPr>
            <w:r>
              <w:rPr>
                <w:rFonts w:ascii="Times New Roman" w:hAnsi="Times New Roman" w:cs="Times New Roman"/>
                <w:b/>
                <w:bCs/>
                <w:color w:val="FFFFFF"/>
                <w:sz w:val="18"/>
                <w:szCs w:val="18"/>
              </w:rPr>
              <w:t xml:space="preserve">Checklist item </w:t>
            </w:r>
          </w:p>
        </w:tc>
        <w:tc>
          <w:tcPr>
            <w:tcW w:w="1705" w:type="dxa"/>
            <w:tcBorders>
              <w:top w:val="double" w:color="000000" w:sz="2" w:space="0"/>
              <w:left w:val="nil"/>
              <w:bottom w:val="double" w:color="000000" w:sz="2" w:space="0"/>
              <w:right w:val="single" w:color="000000" w:sz="4" w:space="0"/>
            </w:tcBorders>
            <w:shd w:val="clear" w:color="auto" w:fill="63639A"/>
            <w:vAlign w:val="center"/>
          </w:tcPr>
          <w:p>
            <w:pPr>
              <w:pStyle w:val="7"/>
              <w:rPr>
                <w:rFonts w:ascii="Times New Roman" w:hAnsi="Times New Roman" w:cs="Times New Roman"/>
                <w:color w:val="FFFFFF"/>
                <w:sz w:val="18"/>
                <w:szCs w:val="18"/>
              </w:rPr>
            </w:pPr>
            <w:r>
              <w:rPr>
                <w:rFonts w:ascii="Times New Roman" w:hAnsi="Times New Roman" w:cs="Times New Roman"/>
                <w:b/>
                <w:bCs/>
                <w:color w:val="FFFFFF"/>
                <w:sz w:val="18"/>
                <w:szCs w:val="18"/>
              </w:rPr>
              <w:t xml:space="preserve">Location where item is reported </w:t>
            </w:r>
          </w:p>
        </w:tc>
      </w:tr>
      <w:tr>
        <w:tblPrEx>
          <w:tblCellMar>
            <w:top w:w="0" w:type="dxa"/>
            <w:left w:w="108" w:type="dxa"/>
            <w:bottom w:w="0" w:type="dxa"/>
            <w:right w:w="108" w:type="dxa"/>
          </w:tblCellMar>
        </w:tblPrEx>
        <w:trPr>
          <w:trHeight w:val="24" w:hRule="atLeast"/>
          <w:jc w:val="center"/>
        </w:trPr>
        <w:tc>
          <w:tcPr>
            <w:tcW w:w="13883" w:type="dxa"/>
            <w:gridSpan w:val="3"/>
            <w:tcBorders>
              <w:top w:val="double" w:color="000000" w:sz="2" w:space="0"/>
              <w:left w:val="single" w:color="000000" w:sz="4" w:space="0"/>
              <w:bottom w:val="single" w:color="000000" w:sz="4" w:space="0"/>
              <w:right w:val="single" w:color="000000" w:sz="4" w:space="0"/>
            </w:tcBorders>
            <w:shd w:val="clear" w:color="auto" w:fill="FFFFCC"/>
            <w:vAlign w:val="center"/>
          </w:tcPr>
          <w:p>
            <w:pPr>
              <w:pStyle w:val="7"/>
              <w:rPr>
                <w:rFonts w:ascii="Times New Roman" w:hAnsi="Times New Roman" w:cs="Times New Roman"/>
                <w:sz w:val="18"/>
                <w:szCs w:val="18"/>
              </w:rPr>
            </w:pPr>
            <w:r>
              <w:rPr>
                <w:rFonts w:ascii="Times New Roman" w:hAnsi="Times New Roman" w:cs="Times New Roman"/>
                <w:b/>
                <w:bCs/>
                <w:sz w:val="18"/>
                <w:szCs w:val="18"/>
              </w:rPr>
              <w:t xml:space="preserve">TITLE </w:t>
            </w:r>
          </w:p>
        </w:tc>
        <w:tc>
          <w:tcPr>
            <w:tcW w:w="1705" w:type="dxa"/>
            <w:tcBorders>
              <w:top w:val="double" w:color="000000" w:sz="2" w:space="0"/>
              <w:left w:val="nil"/>
              <w:bottom w:val="single" w:color="000000" w:sz="4" w:space="0"/>
              <w:right w:val="single" w:color="000000" w:sz="4" w:space="0"/>
            </w:tcBorders>
            <w:shd w:val="clear" w:color="auto" w:fill="FFFFCC"/>
          </w:tcPr>
          <w:p>
            <w:pPr>
              <w:pStyle w:val="7"/>
              <w:jc w:val="right"/>
              <w:rPr>
                <w:rFonts w:ascii="Times New Roman" w:hAnsi="Times New Roman" w:cs="Times New Roman"/>
                <w:sz w:val="18"/>
                <w:szCs w:val="18"/>
              </w:rPr>
            </w:pPr>
          </w:p>
        </w:tc>
      </w:tr>
      <w:tr>
        <w:tblPrEx>
          <w:tblCellMar>
            <w:top w:w="0" w:type="dxa"/>
            <w:left w:w="108" w:type="dxa"/>
            <w:bottom w:w="0" w:type="dxa"/>
            <w:right w:w="108" w:type="dxa"/>
          </w:tblCellMar>
        </w:tblPrEx>
        <w:trPr>
          <w:trHeight w:val="48" w:hRule="atLeast"/>
          <w:jc w:val="center"/>
        </w:trPr>
        <w:tc>
          <w:tcPr>
            <w:tcW w:w="1665"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 xml:space="preserve">Title </w:t>
            </w:r>
          </w:p>
        </w:tc>
        <w:tc>
          <w:tcPr>
            <w:tcW w:w="587" w:type="dxa"/>
            <w:tcBorders>
              <w:top w:val="single" w:color="000000" w:sz="4" w:space="0"/>
              <w:left w:val="nil"/>
              <w:bottom w:val="double" w:color="FFFFCC" w:sz="2"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1</w:t>
            </w:r>
          </w:p>
        </w:tc>
        <w:tc>
          <w:tcPr>
            <w:tcW w:w="11631" w:type="dxa"/>
            <w:tcBorders>
              <w:top w:val="single" w:color="000000" w:sz="4" w:space="0"/>
              <w:left w:val="nil"/>
              <w:bottom w:val="double" w:color="000000" w:sz="2"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Identify the report as a systematic review.</w:t>
            </w:r>
          </w:p>
        </w:tc>
        <w:tc>
          <w:tcPr>
            <w:tcW w:w="1705" w:type="dxa"/>
            <w:tcBorders>
              <w:top w:val="single" w:color="000000" w:sz="4" w:space="0"/>
              <w:left w:val="nil"/>
              <w:bottom w:val="double" w:color="000000" w:sz="2"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1</w:t>
            </w:r>
          </w:p>
        </w:tc>
      </w:tr>
      <w:tr>
        <w:tblPrEx>
          <w:tblCellMar>
            <w:top w:w="0" w:type="dxa"/>
            <w:left w:w="108" w:type="dxa"/>
            <w:bottom w:w="0" w:type="dxa"/>
            <w:right w:w="108" w:type="dxa"/>
          </w:tblCellMar>
        </w:tblPrEx>
        <w:trPr>
          <w:trHeight w:val="24" w:hRule="atLeast"/>
          <w:jc w:val="center"/>
        </w:trPr>
        <w:tc>
          <w:tcPr>
            <w:tcW w:w="13883" w:type="dxa"/>
            <w:gridSpan w:val="3"/>
            <w:tcBorders>
              <w:top w:val="double" w:color="000000" w:sz="2" w:space="0"/>
              <w:left w:val="single" w:color="000000" w:sz="4" w:space="0"/>
              <w:bottom w:val="single" w:color="000000" w:sz="4" w:space="0"/>
              <w:right w:val="single" w:color="000000" w:sz="4" w:space="0"/>
            </w:tcBorders>
            <w:shd w:val="clear" w:color="auto" w:fill="FFFFCC"/>
            <w:vAlign w:val="center"/>
          </w:tcPr>
          <w:p>
            <w:pPr>
              <w:pStyle w:val="7"/>
              <w:rPr>
                <w:rFonts w:ascii="Times New Roman" w:hAnsi="Times New Roman" w:cs="Times New Roman"/>
                <w:sz w:val="18"/>
                <w:szCs w:val="18"/>
              </w:rPr>
            </w:pPr>
            <w:r>
              <w:rPr>
                <w:rFonts w:ascii="Times New Roman" w:hAnsi="Times New Roman" w:cs="Times New Roman"/>
                <w:b/>
                <w:bCs/>
                <w:sz w:val="18"/>
                <w:szCs w:val="18"/>
              </w:rPr>
              <w:t xml:space="preserve">ABSTRACT </w:t>
            </w:r>
          </w:p>
        </w:tc>
        <w:tc>
          <w:tcPr>
            <w:tcW w:w="1705" w:type="dxa"/>
            <w:tcBorders>
              <w:top w:val="double" w:color="000000" w:sz="2" w:space="0"/>
              <w:left w:val="nil"/>
              <w:bottom w:val="single" w:color="000000" w:sz="4" w:space="0"/>
              <w:right w:val="single" w:color="000000" w:sz="4" w:space="0"/>
            </w:tcBorders>
            <w:shd w:val="clear" w:color="auto" w:fill="FFFFCC"/>
          </w:tcPr>
          <w:p>
            <w:pPr>
              <w:pStyle w:val="7"/>
              <w:jc w:val="right"/>
              <w:rPr>
                <w:rFonts w:ascii="Times New Roman" w:hAnsi="Times New Roman" w:cs="Times New Roman"/>
                <w:sz w:val="18"/>
                <w:szCs w:val="18"/>
              </w:rPr>
            </w:pPr>
          </w:p>
        </w:tc>
      </w:tr>
      <w:tr>
        <w:trPr>
          <w:trHeight w:val="48" w:hRule="atLeast"/>
          <w:jc w:val="center"/>
        </w:trPr>
        <w:tc>
          <w:tcPr>
            <w:tcW w:w="1665"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 xml:space="preserve">Abstract </w:t>
            </w:r>
          </w:p>
        </w:tc>
        <w:tc>
          <w:tcPr>
            <w:tcW w:w="587" w:type="dxa"/>
            <w:tcBorders>
              <w:top w:val="single" w:color="000000" w:sz="4" w:space="0"/>
              <w:left w:val="nil"/>
              <w:bottom w:val="double" w:color="FFFFCC" w:sz="2"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2</w:t>
            </w:r>
          </w:p>
        </w:tc>
        <w:tc>
          <w:tcPr>
            <w:tcW w:w="11631" w:type="dxa"/>
            <w:tcBorders>
              <w:top w:val="single" w:color="000000" w:sz="4" w:space="0"/>
              <w:left w:val="nil"/>
              <w:bottom w:val="double" w:color="000000" w:sz="2"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See the PRISMA 2020 for Abstracts checklist.</w:t>
            </w:r>
          </w:p>
        </w:tc>
        <w:tc>
          <w:tcPr>
            <w:tcW w:w="1705" w:type="dxa"/>
            <w:tcBorders>
              <w:top w:val="single" w:color="000000" w:sz="4" w:space="0"/>
              <w:left w:val="nil"/>
              <w:bottom w:val="double" w:color="000000" w:sz="2"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1-2</w:t>
            </w:r>
          </w:p>
        </w:tc>
      </w:tr>
      <w:tr>
        <w:tblPrEx>
          <w:tblCellMar>
            <w:top w:w="0" w:type="dxa"/>
            <w:left w:w="108" w:type="dxa"/>
            <w:bottom w:w="0" w:type="dxa"/>
            <w:right w:w="108" w:type="dxa"/>
          </w:tblCellMar>
        </w:tblPrEx>
        <w:trPr>
          <w:trHeight w:val="24" w:hRule="atLeast"/>
          <w:jc w:val="center"/>
        </w:trPr>
        <w:tc>
          <w:tcPr>
            <w:tcW w:w="13883" w:type="dxa"/>
            <w:gridSpan w:val="3"/>
            <w:tcBorders>
              <w:top w:val="double" w:color="000000" w:sz="2" w:space="0"/>
              <w:left w:val="single" w:color="000000" w:sz="4" w:space="0"/>
              <w:bottom w:val="single" w:color="000000" w:sz="4" w:space="0"/>
              <w:right w:val="single" w:color="000000" w:sz="4" w:space="0"/>
            </w:tcBorders>
            <w:shd w:val="clear" w:color="auto" w:fill="FFFFCC"/>
            <w:vAlign w:val="center"/>
          </w:tcPr>
          <w:p>
            <w:pPr>
              <w:pStyle w:val="7"/>
              <w:rPr>
                <w:rFonts w:ascii="Times New Roman" w:hAnsi="Times New Roman" w:cs="Times New Roman"/>
                <w:sz w:val="18"/>
                <w:szCs w:val="18"/>
              </w:rPr>
            </w:pPr>
            <w:r>
              <w:rPr>
                <w:rFonts w:ascii="Times New Roman" w:hAnsi="Times New Roman" w:cs="Times New Roman"/>
                <w:b/>
                <w:bCs/>
                <w:sz w:val="18"/>
                <w:szCs w:val="18"/>
              </w:rPr>
              <w:t xml:space="preserve">INTRODUCTION </w:t>
            </w:r>
          </w:p>
        </w:tc>
        <w:tc>
          <w:tcPr>
            <w:tcW w:w="1705" w:type="dxa"/>
            <w:tcBorders>
              <w:top w:val="double" w:color="000000" w:sz="2" w:space="0"/>
              <w:left w:val="nil"/>
              <w:bottom w:val="single" w:color="000000" w:sz="4" w:space="0"/>
              <w:right w:val="single" w:color="000000" w:sz="4" w:space="0"/>
            </w:tcBorders>
            <w:shd w:val="clear" w:color="auto" w:fill="FFFFCC"/>
          </w:tcPr>
          <w:p>
            <w:pPr>
              <w:pStyle w:val="7"/>
              <w:jc w:val="right"/>
              <w:rPr>
                <w:rFonts w:ascii="Times New Roman" w:hAnsi="Times New Roman" w:cs="Times New Roman"/>
                <w:sz w:val="18"/>
                <w:szCs w:val="18"/>
              </w:rPr>
            </w:pPr>
          </w:p>
        </w:tc>
      </w:tr>
      <w:tr>
        <w:tblPrEx>
          <w:tblCellMar>
            <w:top w:w="0" w:type="dxa"/>
            <w:left w:w="108" w:type="dxa"/>
            <w:bottom w:w="0" w:type="dxa"/>
            <w:right w:w="108" w:type="dxa"/>
          </w:tblCellMar>
        </w:tblPrEx>
        <w:trPr>
          <w:trHeight w:val="48" w:hRule="atLeast"/>
          <w:jc w:val="center"/>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 xml:space="preserve">Rationale </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3</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Describe the rationale for the review in the context of existing knowledge.</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2-3</w:t>
            </w:r>
          </w:p>
        </w:tc>
      </w:tr>
      <w:tr>
        <w:tblPrEx>
          <w:tblCellMar>
            <w:top w:w="0" w:type="dxa"/>
            <w:left w:w="108" w:type="dxa"/>
            <w:bottom w:w="0" w:type="dxa"/>
            <w:right w:w="108" w:type="dxa"/>
          </w:tblCellMar>
        </w:tblPrEx>
        <w:trPr>
          <w:trHeight w:val="48" w:hRule="atLeast"/>
          <w:jc w:val="center"/>
        </w:trPr>
        <w:tc>
          <w:tcPr>
            <w:tcW w:w="1665"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 xml:space="preserve">Objectives </w:t>
            </w:r>
          </w:p>
        </w:tc>
        <w:tc>
          <w:tcPr>
            <w:tcW w:w="587" w:type="dxa"/>
            <w:tcBorders>
              <w:top w:val="single" w:color="000000" w:sz="4" w:space="0"/>
              <w:left w:val="nil"/>
              <w:bottom w:val="double" w:color="FFFFCC" w:sz="2"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4</w:t>
            </w:r>
          </w:p>
        </w:tc>
        <w:tc>
          <w:tcPr>
            <w:tcW w:w="11631" w:type="dxa"/>
            <w:tcBorders>
              <w:top w:val="single" w:color="000000" w:sz="4" w:space="0"/>
              <w:left w:val="nil"/>
              <w:bottom w:val="double" w:color="000000" w:sz="2"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Provide an explicit statement of the objective(s) or question(s) the review addresses.</w:t>
            </w:r>
          </w:p>
        </w:tc>
        <w:tc>
          <w:tcPr>
            <w:tcW w:w="1705" w:type="dxa"/>
            <w:tcBorders>
              <w:top w:val="single" w:color="000000" w:sz="4" w:space="0"/>
              <w:left w:val="nil"/>
              <w:bottom w:val="double" w:color="000000" w:sz="2"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2-3</w:t>
            </w:r>
          </w:p>
        </w:tc>
      </w:tr>
      <w:tr>
        <w:tblPrEx>
          <w:tblCellMar>
            <w:top w:w="0" w:type="dxa"/>
            <w:left w:w="108" w:type="dxa"/>
            <w:bottom w:w="0" w:type="dxa"/>
            <w:right w:w="108" w:type="dxa"/>
          </w:tblCellMar>
        </w:tblPrEx>
        <w:trPr>
          <w:trHeight w:val="24" w:hRule="atLeast"/>
          <w:jc w:val="center"/>
        </w:trPr>
        <w:tc>
          <w:tcPr>
            <w:tcW w:w="13883" w:type="dxa"/>
            <w:gridSpan w:val="3"/>
            <w:tcBorders>
              <w:top w:val="double" w:color="000000" w:sz="2" w:space="0"/>
              <w:left w:val="single" w:color="000000" w:sz="4" w:space="0"/>
              <w:bottom w:val="single" w:color="000000" w:sz="4" w:space="0"/>
              <w:right w:val="single" w:color="000000" w:sz="4" w:space="0"/>
            </w:tcBorders>
            <w:shd w:val="clear" w:color="auto" w:fill="FFFFCC"/>
            <w:vAlign w:val="center"/>
          </w:tcPr>
          <w:p>
            <w:pPr>
              <w:pStyle w:val="7"/>
              <w:rPr>
                <w:rFonts w:ascii="Times New Roman" w:hAnsi="Times New Roman" w:cs="Times New Roman"/>
                <w:sz w:val="18"/>
                <w:szCs w:val="18"/>
              </w:rPr>
            </w:pPr>
            <w:r>
              <w:rPr>
                <w:rFonts w:ascii="Times New Roman" w:hAnsi="Times New Roman" w:cs="Times New Roman"/>
                <w:b/>
                <w:bCs/>
                <w:sz w:val="18"/>
                <w:szCs w:val="18"/>
              </w:rPr>
              <w:t xml:space="preserve">METHODS </w:t>
            </w:r>
          </w:p>
        </w:tc>
        <w:tc>
          <w:tcPr>
            <w:tcW w:w="1705" w:type="dxa"/>
            <w:tcBorders>
              <w:top w:val="double" w:color="000000" w:sz="2" w:space="0"/>
              <w:left w:val="nil"/>
              <w:bottom w:val="single" w:color="000000" w:sz="4" w:space="0"/>
              <w:right w:val="single" w:color="000000" w:sz="4" w:space="0"/>
            </w:tcBorders>
            <w:shd w:val="clear" w:color="auto" w:fill="FFFFCC"/>
          </w:tcPr>
          <w:p>
            <w:pPr>
              <w:pStyle w:val="7"/>
              <w:jc w:val="right"/>
              <w:rPr>
                <w:rFonts w:ascii="Times New Roman" w:hAnsi="Times New Roman" w:cs="Times New Roman"/>
                <w:sz w:val="18"/>
                <w:szCs w:val="18"/>
              </w:rPr>
            </w:pPr>
          </w:p>
        </w:tc>
      </w:tr>
      <w:tr>
        <w:tblPrEx>
          <w:tblCellMar>
            <w:top w:w="0" w:type="dxa"/>
            <w:left w:w="108" w:type="dxa"/>
            <w:bottom w:w="0" w:type="dxa"/>
            <w:right w:w="108" w:type="dxa"/>
          </w:tblCellMar>
        </w:tblPrEx>
        <w:trPr>
          <w:trHeight w:val="48" w:hRule="atLeast"/>
          <w:jc w:val="center"/>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 xml:space="preserve">Eligibility criteria </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5</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Specify the inclusion and exclusion criteria for the review and how studies were grouped for the syntheses.</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3-4</w:t>
            </w:r>
          </w:p>
        </w:tc>
      </w:tr>
      <w:tr>
        <w:tblPrEx>
          <w:tblCellMar>
            <w:top w:w="0" w:type="dxa"/>
            <w:left w:w="108" w:type="dxa"/>
            <w:bottom w:w="0" w:type="dxa"/>
            <w:right w:w="108" w:type="dxa"/>
          </w:tblCellMar>
        </w:tblPrEx>
        <w:trPr>
          <w:trHeight w:val="191" w:hRule="atLeast"/>
          <w:jc w:val="center"/>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 xml:space="preserve">Information sources </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6</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Specify all databases, registers, websites, organizations, reference lists and other sources searched or consulted to identify studies. Specify the date when each source was last searched or consulted.</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3-4</w:t>
            </w:r>
          </w:p>
        </w:tc>
      </w:tr>
      <w:tr>
        <w:tblPrEx>
          <w:tblCellMar>
            <w:top w:w="0" w:type="dxa"/>
            <w:left w:w="108" w:type="dxa"/>
            <w:bottom w:w="0" w:type="dxa"/>
            <w:right w:w="108" w:type="dxa"/>
          </w:tblCellMar>
        </w:tblPrEx>
        <w:trPr>
          <w:trHeight w:val="48" w:hRule="atLeast"/>
          <w:jc w:val="center"/>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Search strategy</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7</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Present the full search strategies for all databases, registers and websites, including any filters and limits used.</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3-4,Supplemental Material Table S2</w:t>
            </w:r>
          </w:p>
        </w:tc>
      </w:tr>
      <w:tr>
        <w:tblPrEx>
          <w:tblCellMar>
            <w:top w:w="0" w:type="dxa"/>
            <w:left w:w="108" w:type="dxa"/>
            <w:bottom w:w="0" w:type="dxa"/>
            <w:right w:w="108" w:type="dxa"/>
          </w:tblCellMar>
        </w:tblPrEx>
        <w:trPr>
          <w:trHeight w:val="48" w:hRule="atLeast"/>
          <w:jc w:val="center"/>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Selection process</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8</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4， Supplemental Material Table S5</w:t>
            </w:r>
          </w:p>
        </w:tc>
      </w:tr>
      <w:tr>
        <w:tblPrEx>
          <w:tblCellMar>
            <w:top w:w="0" w:type="dxa"/>
            <w:left w:w="108" w:type="dxa"/>
            <w:bottom w:w="0" w:type="dxa"/>
            <w:right w:w="108" w:type="dxa"/>
          </w:tblCellMar>
        </w:tblPrEx>
        <w:trPr>
          <w:trHeight w:val="152" w:hRule="atLeast"/>
          <w:jc w:val="center"/>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 xml:space="preserve">Data collection process </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9</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4</w:t>
            </w:r>
          </w:p>
        </w:tc>
      </w:tr>
      <w:tr>
        <w:tblPrEx>
          <w:tblCellMar>
            <w:top w:w="0" w:type="dxa"/>
            <w:left w:w="108" w:type="dxa"/>
            <w:bottom w:w="0" w:type="dxa"/>
            <w:right w:w="108" w:type="dxa"/>
          </w:tblCellMar>
        </w:tblPrEx>
        <w:trPr>
          <w:trHeight w:val="48" w:hRule="atLeast"/>
          <w:jc w:val="center"/>
        </w:trPr>
        <w:tc>
          <w:tcPr>
            <w:tcW w:w="1665" w:type="dxa"/>
            <w:vMerge w:val="restart"/>
            <w:tcBorders>
              <w:top w:val="nil"/>
              <w:left w:val="single" w:color="000000" w:sz="4" w:space="0"/>
              <w:bottom w:val="nil"/>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 xml:space="preserve">Data items </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10a</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4</w:t>
            </w:r>
          </w:p>
        </w:tc>
      </w:tr>
      <w:tr>
        <w:tblPrEx>
          <w:tblCellMar>
            <w:top w:w="0" w:type="dxa"/>
            <w:left w:w="108" w:type="dxa"/>
            <w:bottom w:w="0" w:type="dxa"/>
            <w:right w:w="108" w:type="dxa"/>
          </w:tblCellMar>
        </w:tblPrEx>
        <w:trPr>
          <w:trHeight w:val="48" w:hRule="atLeast"/>
          <w:jc w:val="center"/>
        </w:trPr>
        <w:tc>
          <w:tcPr>
            <w:tcW w:w="0" w:type="auto"/>
            <w:vMerge w:val="continue"/>
            <w:tcBorders>
              <w:top w:val="nil"/>
              <w:left w:val="single" w:color="000000" w:sz="4" w:space="0"/>
              <w:bottom w:val="nil"/>
              <w:right w:val="single" w:color="000000" w:sz="4" w:space="0"/>
            </w:tcBorders>
            <w:vAlign w:val="center"/>
          </w:tcPr>
          <w:p>
            <w:pPr>
              <w:widowControl/>
              <w:jc w:val="left"/>
              <w:rPr>
                <w:rFonts w:ascii="Times New Roman" w:hAnsi="Times New Roman" w:eastAsia="等线"/>
                <w:color w:val="000000"/>
                <w:kern w:val="0"/>
                <w:sz w:val="18"/>
                <w:szCs w:val="18"/>
              </w:rPr>
            </w:pP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10b</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4</w:t>
            </w:r>
          </w:p>
        </w:tc>
      </w:tr>
      <w:tr>
        <w:tblPrEx>
          <w:tblCellMar>
            <w:top w:w="0" w:type="dxa"/>
            <w:left w:w="108" w:type="dxa"/>
            <w:bottom w:w="0" w:type="dxa"/>
            <w:right w:w="108" w:type="dxa"/>
          </w:tblCellMar>
        </w:tblPrEx>
        <w:trPr>
          <w:trHeight w:val="48" w:hRule="atLeast"/>
          <w:jc w:val="center"/>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Study risk of bias assessment</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11</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4，Supplemental Material Table S3-4</w:t>
            </w:r>
          </w:p>
        </w:tc>
      </w:tr>
      <w:tr>
        <w:tblPrEx>
          <w:tblCellMar>
            <w:top w:w="0" w:type="dxa"/>
            <w:left w:w="108" w:type="dxa"/>
            <w:bottom w:w="0" w:type="dxa"/>
            <w:right w:w="108" w:type="dxa"/>
          </w:tblCellMar>
        </w:tblPrEx>
        <w:trPr>
          <w:trHeight w:val="48" w:hRule="atLeast"/>
          <w:jc w:val="center"/>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 xml:space="preserve">Effect measures </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12</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Specify for each outcome the effect measure(s) (e.g. risk ratio, mean difference) used in the synthesis or presentation of results.</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4</w:t>
            </w:r>
          </w:p>
        </w:tc>
      </w:tr>
      <w:tr>
        <w:tblPrEx>
          <w:tblCellMar>
            <w:top w:w="0" w:type="dxa"/>
            <w:left w:w="108" w:type="dxa"/>
            <w:bottom w:w="0" w:type="dxa"/>
            <w:right w:w="108" w:type="dxa"/>
          </w:tblCellMar>
        </w:tblPrEx>
        <w:trPr>
          <w:trHeight w:val="48" w:hRule="atLeast"/>
          <w:jc w:val="center"/>
        </w:trPr>
        <w:tc>
          <w:tcPr>
            <w:tcW w:w="1665" w:type="dxa"/>
            <w:vMerge w:val="restart"/>
            <w:tcBorders>
              <w:top w:val="nil"/>
              <w:left w:val="single" w:color="000000" w:sz="4" w:space="0"/>
              <w:bottom w:val="nil"/>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Synthesis methods</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13a</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4-5</w:t>
            </w:r>
          </w:p>
        </w:tc>
      </w:tr>
      <w:tr>
        <w:tblPrEx>
          <w:tblCellMar>
            <w:top w:w="0" w:type="dxa"/>
            <w:left w:w="108" w:type="dxa"/>
            <w:bottom w:w="0" w:type="dxa"/>
            <w:right w:w="108" w:type="dxa"/>
          </w:tblCellMar>
        </w:tblPrEx>
        <w:trPr>
          <w:trHeight w:val="48" w:hRule="atLeast"/>
          <w:jc w:val="center"/>
        </w:trPr>
        <w:tc>
          <w:tcPr>
            <w:tcW w:w="0" w:type="auto"/>
            <w:vMerge w:val="continue"/>
            <w:tcBorders>
              <w:top w:val="nil"/>
              <w:left w:val="single" w:color="000000" w:sz="4" w:space="0"/>
              <w:bottom w:val="nil"/>
              <w:right w:val="single" w:color="000000" w:sz="4" w:space="0"/>
            </w:tcBorders>
            <w:vAlign w:val="center"/>
          </w:tcPr>
          <w:p>
            <w:pPr>
              <w:widowControl/>
              <w:jc w:val="left"/>
              <w:rPr>
                <w:rFonts w:ascii="Times New Roman" w:hAnsi="Times New Roman" w:eastAsia="等线"/>
                <w:color w:val="000000"/>
                <w:kern w:val="0"/>
                <w:sz w:val="18"/>
                <w:szCs w:val="18"/>
              </w:rPr>
            </w:pP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13b</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5</w:t>
            </w:r>
          </w:p>
        </w:tc>
      </w:tr>
      <w:tr>
        <w:tblPrEx>
          <w:tblCellMar>
            <w:top w:w="0" w:type="dxa"/>
            <w:left w:w="108" w:type="dxa"/>
            <w:bottom w:w="0" w:type="dxa"/>
            <w:right w:w="108" w:type="dxa"/>
          </w:tblCellMar>
        </w:tblPrEx>
        <w:trPr>
          <w:trHeight w:val="48" w:hRule="atLeast"/>
          <w:jc w:val="center"/>
        </w:trPr>
        <w:tc>
          <w:tcPr>
            <w:tcW w:w="0" w:type="auto"/>
            <w:vMerge w:val="continue"/>
            <w:tcBorders>
              <w:top w:val="nil"/>
              <w:left w:val="single" w:color="000000" w:sz="4" w:space="0"/>
              <w:bottom w:val="nil"/>
              <w:right w:val="single" w:color="000000" w:sz="4" w:space="0"/>
            </w:tcBorders>
            <w:vAlign w:val="center"/>
          </w:tcPr>
          <w:p>
            <w:pPr>
              <w:widowControl/>
              <w:jc w:val="left"/>
              <w:rPr>
                <w:rFonts w:ascii="Times New Roman" w:hAnsi="Times New Roman" w:eastAsia="等线"/>
                <w:color w:val="000000"/>
                <w:kern w:val="0"/>
                <w:sz w:val="18"/>
                <w:szCs w:val="18"/>
              </w:rPr>
            </w:pP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13c</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Describe any methods used to tabulate or visually display results of individual studies and syntheses.</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5</w:t>
            </w:r>
          </w:p>
        </w:tc>
      </w:tr>
      <w:tr>
        <w:tblPrEx>
          <w:tblCellMar>
            <w:top w:w="0" w:type="dxa"/>
            <w:left w:w="108" w:type="dxa"/>
            <w:bottom w:w="0" w:type="dxa"/>
            <w:right w:w="108" w:type="dxa"/>
          </w:tblCellMar>
        </w:tblPrEx>
        <w:trPr>
          <w:trHeight w:val="48" w:hRule="atLeast"/>
          <w:jc w:val="center"/>
        </w:trPr>
        <w:tc>
          <w:tcPr>
            <w:tcW w:w="0" w:type="auto"/>
            <w:vMerge w:val="continue"/>
            <w:tcBorders>
              <w:top w:val="nil"/>
              <w:left w:val="single" w:color="000000" w:sz="4" w:space="0"/>
              <w:bottom w:val="nil"/>
              <w:right w:val="single" w:color="000000" w:sz="4" w:space="0"/>
            </w:tcBorders>
            <w:vAlign w:val="center"/>
          </w:tcPr>
          <w:p>
            <w:pPr>
              <w:widowControl/>
              <w:jc w:val="left"/>
              <w:rPr>
                <w:rFonts w:ascii="Times New Roman" w:hAnsi="Times New Roman" w:eastAsia="等线"/>
                <w:color w:val="000000"/>
                <w:kern w:val="0"/>
                <w:sz w:val="18"/>
                <w:szCs w:val="18"/>
              </w:rPr>
            </w:pP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13d</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5</w:t>
            </w:r>
          </w:p>
        </w:tc>
      </w:tr>
      <w:tr>
        <w:tblPrEx>
          <w:tblCellMar>
            <w:top w:w="0" w:type="dxa"/>
            <w:left w:w="108" w:type="dxa"/>
            <w:bottom w:w="0" w:type="dxa"/>
            <w:right w:w="108" w:type="dxa"/>
          </w:tblCellMar>
        </w:tblPrEx>
        <w:trPr>
          <w:trHeight w:val="48" w:hRule="atLeast"/>
          <w:jc w:val="center"/>
        </w:trPr>
        <w:tc>
          <w:tcPr>
            <w:tcW w:w="0" w:type="auto"/>
            <w:vMerge w:val="continue"/>
            <w:tcBorders>
              <w:top w:val="nil"/>
              <w:left w:val="single" w:color="000000" w:sz="4" w:space="0"/>
              <w:bottom w:val="nil"/>
              <w:right w:val="single" w:color="000000" w:sz="4" w:space="0"/>
            </w:tcBorders>
            <w:vAlign w:val="center"/>
          </w:tcPr>
          <w:p>
            <w:pPr>
              <w:widowControl/>
              <w:jc w:val="left"/>
              <w:rPr>
                <w:rFonts w:ascii="Times New Roman" w:hAnsi="Times New Roman" w:eastAsia="等线"/>
                <w:color w:val="000000"/>
                <w:kern w:val="0"/>
                <w:sz w:val="18"/>
                <w:szCs w:val="18"/>
              </w:rPr>
            </w:pP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13e</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Describe any methods used to explore possible causes of heterogeneity among study results (e.g. subgroup analysis, meta-regression).</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5</w:t>
            </w:r>
          </w:p>
        </w:tc>
      </w:tr>
      <w:tr>
        <w:tblPrEx>
          <w:tblCellMar>
            <w:top w:w="0" w:type="dxa"/>
            <w:left w:w="108" w:type="dxa"/>
            <w:bottom w:w="0" w:type="dxa"/>
            <w:right w:w="108" w:type="dxa"/>
          </w:tblCellMar>
        </w:tblPrEx>
        <w:trPr>
          <w:trHeight w:val="50" w:hRule="atLeast"/>
          <w:jc w:val="center"/>
        </w:trPr>
        <w:tc>
          <w:tcPr>
            <w:tcW w:w="0" w:type="auto"/>
            <w:vMerge w:val="continue"/>
            <w:tcBorders>
              <w:top w:val="nil"/>
              <w:left w:val="single" w:color="000000" w:sz="4" w:space="0"/>
              <w:bottom w:val="nil"/>
              <w:right w:val="single" w:color="000000" w:sz="4" w:space="0"/>
            </w:tcBorders>
            <w:vAlign w:val="center"/>
          </w:tcPr>
          <w:p>
            <w:pPr>
              <w:widowControl/>
              <w:jc w:val="left"/>
              <w:rPr>
                <w:rFonts w:ascii="Times New Roman" w:hAnsi="Times New Roman" w:eastAsia="等线"/>
                <w:color w:val="000000"/>
                <w:kern w:val="0"/>
                <w:sz w:val="18"/>
                <w:szCs w:val="18"/>
              </w:rPr>
            </w:pP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13f</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Describe any sensitivity analyses conducted to assess robustness of the synthesized results.</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5</w:t>
            </w:r>
          </w:p>
        </w:tc>
      </w:tr>
      <w:tr>
        <w:tblPrEx>
          <w:tblCellMar>
            <w:top w:w="0" w:type="dxa"/>
            <w:left w:w="108" w:type="dxa"/>
            <w:bottom w:w="0" w:type="dxa"/>
            <w:right w:w="108" w:type="dxa"/>
          </w:tblCellMar>
        </w:tblPrEx>
        <w:trPr>
          <w:trHeight w:val="48" w:hRule="atLeast"/>
          <w:jc w:val="center"/>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Reporting bias assessment</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14</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Describe any methods used to assess risk of bias due to missing results in a synthesis (arising from reporting biases).</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5</w:t>
            </w:r>
          </w:p>
        </w:tc>
      </w:tr>
      <w:tr>
        <w:tblPrEx>
          <w:tblCellMar>
            <w:top w:w="0" w:type="dxa"/>
            <w:left w:w="108" w:type="dxa"/>
            <w:bottom w:w="0" w:type="dxa"/>
            <w:right w:w="108" w:type="dxa"/>
          </w:tblCellMar>
        </w:tblPrEx>
        <w:trPr>
          <w:trHeight w:val="48" w:hRule="atLeast"/>
          <w:jc w:val="center"/>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Certainty assessment</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15</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Describe any methods used to assess certainty (or confidence) in the body of evidence for an outcome.</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NA</w:t>
            </w:r>
          </w:p>
        </w:tc>
      </w:tr>
      <w:tr>
        <w:tblPrEx>
          <w:tblCellMar>
            <w:top w:w="0" w:type="dxa"/>
            <w:left w:w="108" w:type="dxa"/>
            <w:bottom w:w="0" w:type="dxa"/>
            <w:right w:w="108" w:type="dxa"/>
          </w:tblCellMar>
        </w:tblPrEx>
        <w:trPr>
          <w:trHeight w:val="24" w:hRule="atLeast"/>
          <w:jc w:val="center"/>
        </w:trPr>
        <w:tc>
          <w:tcPr>
            <w:tcW w:w="13883" w:type="dxa"/>
            <w:gridSpan w:val="3"/>
            <w:tcBorders>
              <w:top w:val="double" w:color="000000" w:sz="2" w:space="0"/>
              <w:left w:val="single" w:color="000000" w:sz="4" w:space="0"/>
              <w:bottom w:val="single" w:color="000000" w:sz="4" w:space="0"/>
              <w:right w:val="single" w:color="000000" w:sz="4" w:space="0"/>
            </w:tcBorders>
            <w:shd w:val="clear" w:color="auto" w:fill="FFFFCC"/>
            <w:vAlign w:val="center"/>
          </w:tcPr>
          <w:p>
            <w:pPr>
              <w:pStyle w:val="7"/>
              <w:rPr>
                <w:rFonts w:ascii="Times New Roman" w:hAnsi="Times New Roman" w:cs="Times New Roman"/>
                <w:sz w:val="18"/>
                <w:szCs w:val="18"/>
              </w:rPr>
            </w:pPr>
            <w:r>
              <w:rPr>
                <w:rFonts w:ascii="Times New Roman" w:hAnsi="Times New Roman" w:cs="Times New Roman"/>
                <w:b/>
                <w:bCs/>
                <w:sz w:val="18"/>
                <w:szCs w:val="18"/>
              </w:rPr>
              <w:t xml:space="preserve">RESULTS </w:t>
            </w:r>
          </w:p>
        </w:tc>
        <w:tc>
          <w:tcPr>
            <w:tcW w:w="1705" w:type="dxa"/>
            <w:tcBorders>
              <w:top w:val="double" w:color="000000" w:sz="2" w:space="0"/>
              <w:left w:val="nil"/>
              <w:bottom w:val="single" w:color="000000" w:sz="4" w:space="0"/>
              <w:right w:val="single" w:color="000000" w:sz="4" w:space="0"/>
            </w:tcBorders>
            <w:shd w:val="clear" w:color="auto" w:fill="FFFFCC"/>
          </w:tcPr>
          <w:p>
            <w:pPr>
              <w:pStyle w:val="7"/>
              <w:jc w:val="center"/>
              <w:rPr>
                <w:rFonts w:ascii="Times New Roman" w:hAnsi="Times New Roman" w:cs="Times New Roman"/>
                <w:sz w:val="18"/>
                <w:szCs w:val="18"/>
              </w:rPr>
            </w:pPr>
          </w:p>
        </w:tc>
      </w:tr>
      <w:tr>
        <w:tblPrEx>
          <w:tblCellMar>
            <w:top w:w="0" w:type="dxa"/>
            <w:left w:w="108" w:type="dxa"/>
            <w:bottom w:w="0" w:type="dxa"/>
            <w:right w:w="108" w:type="dxa"/>
          </w:tblCellMar>
        </w:tblPrEx>
        <w:trPr>
          <w:trHeight w:val="48" w:hRule="atLeast"/>
          <w:jc w:val="center"/>
        </w:trPr>
        <w:tc>
          <w:tcPr>
            <w:tcW w:w="1665" w:type="dxa"/>
            <w:vMerge w:val="restart"/>
            <w:tcBorders>
              <w:top w:val="nil"/>
              <w:left w:val="single" w:color="000000" w:sz="4" w:space="0"/>
              <w:bottom w:val="nil"/>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 xml:space="preserve">Study selection </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16a</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5, Figure 1</w:t>
            </w:r>
          </w:p>
        </w:tc>
      </w:tr>
      <w:tr>
        <w:tblPrEx>
          <w:tblCellMar>
            <w:top w:w="0" w:type="dxa"/>
            <w:left w:w="108" w:type="dxa"/>
            <w:bottom w:w="0" w:type="dxa"/>
            <w:right w:w="108" w:type="dxa"/>
          </w:tblCellMar>
        </w:tblPrEx>
        <w:trPr>
          <w:trHeight w:val="48" w:hRule="atLeast"/>
          <w:jc w:val="center"/>
        </w:trPr>
        <w:tc>
          <w:tcPr>
            <w:tcW w:w="0" w:type="auto"/>
            <w:vMerge w:val="continue"/>
            <w:tcBorders>
              <w:top w:val="nil"/>
              <w:left w:val="single" w:color="000000" w:sz="4" w:space="0"/>
              <w:bottom w:val="nil"/>
              <w:right w:val="single" w:color="000000" w:sz="4" w:space="0"/>
            </w:tcBorders>
            <w:vAlign w:val="center"/>
          </w:tcPr>
          <w:p>
            <w:pPr>
              <w:widowControl/>
              <w:jc w:val="left"/>
              <w:rPr>
                <w:rFonts w:ascii="Times New Roman" w:hAnsi="Times New Roman" w:eastAsia="等线"/>
                <w:color w:val="000000"/>
                <w:kern w:val="0"/>
                <w:sz w:val="18"/>
                <w:szCs w:val="18"/>
              </w:rPr>
            </w:pP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16b</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Cite studies that might appear to meet the inclusion criteria, but which were excluded, and explain why they were excluded.</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5</w:t>
            </w:r>
          </w:p>
        </w:tc>
      </w:tr>
      <w:tr>
        <w:tblPrEx>
          <w:tblCellMar>
            <w:top w:w="0" w:type="dxa"/>
            <w:left w:w="108" w:type="dxa"/>
            <w:bottom w:w="0" w:type="dxa"/>
            <w:right w:w="108" w:type="dxa"/>
          </w:tblCellMar>
        </w:tblPrEx>
        <w:trPr>
          <w:trHeight w:val="103" w:hRule="atLeast"/>
          <w:jc w:val="center"/>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 xml:space="preserve">Study characteristics </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17</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Cite each included study and present its characteristics.</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5, Table 1</w:t>
            </w:r>
          </w:p>
        </w:tc>
      </w:tr>
      <w:tr>
        <w:tblPrEx>
          <w:tblCellMar>
            <w:top w:w="0" w:type="dxa"/>
            <w:left w:w="108" w:type="dxa"/>
            <w:bottom w:w="0" w:type="dxa"/>
            <w:right w:w="108" w:type="dxa"/>
          </w:tblCellMar>
        </w:tblPrEx>
        <w:trPr>
          <w:trHeight w:val="48" w:hRule="atLeast"/>
          <w:jc w:val="center"/>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 xml:space="preserve">Risk of bias in studies </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18</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Present assessments of risk of bias for each included study.</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5-6, Table 2</w:t>
            </w:r>
          </w:p>
        </w:tc>
      </w:tr>
      <w:tr>
        <w:tblPrEx>
          <w:tblCellMar>
            <w:top w:w="0" w:type="dxa"/>
            <w:left w:w="108" w:type="dxa"/>
            <w:bottom w:w="0" w:type="dxa"/>
            <w:right w:w="108" w:type="dxa"/>
          </w:tblCellMar>
        </w:tblPrEx>
        <w:trPr>
          <w:trHeight w:val="48" w:hRule="atLeast"/>
          <w:jc w:val="center"/>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 xml:space="preserve">Results of individual studies </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19</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For all outcomes, present, for each study: (a) summary statistics for each group (where appropriate) and (b) an effect estimate and its precision (e.g. confidence/credible interval), ideally using structured tables or plots.</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5-6, Table 1</w:t>
            </w:r>
          </w:p>
        </w:tc>
      </w:tr>
      <w:tr>
        <w:tblPrEx>
          <w:tblCellMar>
            <w:top w:w="0" w:type="dxa"/>
            <w:left w:w="108" w:type="dxa"/>
            <w:bottom w:w="0" w:type="dxa"/>
            <w:right w:w="108" w:type="dxa"/>
          </w:tblCellMar>
        </w:tblPrEx>
        <w:trPr>
          <w:trHeight w:val="48" w:hRule="atLeast"/>
          <w:jc w:val="center"/>
        </w:trPr>
        <w:tc>
          <w:tcPr>
            <w:tcW w:w="1665" w:type="dxa"/>
            <w:vMerge w:val="restart"/>
            <w:tcBorders>
              <w:top w:val="nil"/>
              <w:left w:val="single" w:color="000000" w:sz="4" w:space="0"/>
              <w:bottom w:val="nil"/>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Results of syntheses</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20a</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For each synthesis, briefly summarise the characteristics and risk of bias among contributing studies.</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6</w:t>
            </w:r>
          </w:p>
        </w:tc>
      </w:tr>
      <w:tr>
        <w:tblPrEx>
          <w:tblCellMar>
            <w:top w:w="0" w:type="dxa"/>
            <w:left w:w="108" w:type="dxa"/>
            <w:bottom w:w="0" w:type="dxa"/>
            <w:right w:w="108" w:type="dxa"/>
          </w:tblCellMar>
        </w:tblPrEx>
        <w:trPr>
          <w:trHeight w:val="203" w:hRule="atLeast"/>
          <w:jc w:val="center"/>
        </w:trPr>
        <w:tc>
          <w:tcPr>
            <w:tcW w:w="0" w:type="auto"/>
            <w:vMerge w:val="continue"/>
            <w:tcBorders>
              <w:top w:val="nil"/>
              <w:left w:val="single" w:color="000000" w:sz="4" w:space="0"/>
              <w:bottom w:val="nil"/>
              <w:right w:val="single" w:color="000000" w:sz="4" w:space="0"/>
            </w:tcBorders>
            <w:vAlign w:val="center"/>
          </w:tcPr>
          <w:p>
            <w:pPr>
              <w:widowControl/>
              <w:jc w:val="left"/>
              <w:rPr>
                <w:rFonts w:ascii="Times New Roman" w:hAnsi="Times New Roman" w:eastAsia="等线"/>
                <w:color w:val="000000"/>
                <w:kern w:val="0"/>
                <w:sz w:val="18"/>
                <w:szCs w:val="18"/>
              </w:rPr>
            </w:pP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20b</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6, Figure 2, Supplemental Material  Figure S1-S5</w:t>
            </w:r>
          </w:p>
        </w:tc>
      </w:tr>
      <w:tr>
        <w:tblPrEx>
          <w:tblCellMar>
            <w:top w:w="0" w:type="dxa"/>
            <w:left w:w="108" w:type="dxa"/>
            <w:bottom w:w="0" w:type="dxa"/>
            <w:right w:w="108" w:type="dxa"/>
          </w:tblCellMar>
        </w:tblPrEx>
        <w:trPr>
          <w:trHeight w:val="48" w:hRule="atLeast"/>
          <w:jc w:val="center"/>
        </w:trPr>
        <w:tc>
          <w:tcPr>
            <w:tcW w:w="0" w:type="auto"/>
            <w:vMerge w:val="continue"/>
            <w:tcBorders>
              <w:top w:val="nil"/>
              <w:left w:val="single" w:color="000000" w:sz="4" w:space="0"/>
              <w:bottom w:val="nil"/>
              <w:right w:val="single" w:color="000000" w:sz="4" w:space="0"/>
            </w:tcBorders>
            <w:vAlign w:val="center"/>
          </w:tcPr>
          <w:p>
            <w:pPr>
              <w:widowControl/>
              <w:jc w:val="left"/>
              <w:rPr>
                <w:rFonts w:ascii="Times New Roman" w:hAnsi="Times New Roman" w:eastAsia="等线"/>
                <w:color w:val="000000"/>
                <w:kern w:val="0"/>
                <w:sz w:val="18"/>
                <w:szCs w:val="18"/>
              </w:rPr>
            </w:pP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20c</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Present results of all investigations of possible causes of heterogeneity among study results.</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6</w:t>
            </w:r>
          </w:p>
        </w:tc>
      </w:tr>
      <w:tr>
        <w:tblPrEx>
          <w:tblCellMar>
            <w:top w:w="0" w:type="dxa"/>
            <w:left w:w="108" w:type="dxa"/>
            <w:bottom w:w="0" w:type="dxa"/>
            <w:right w:w="108" w:type="dxa"/>
          </w:tblCellMar>
        </w:tblPrEx>
        <w:trPr>
          <w:trHeight w:val="48" w:hRule="atLeast"/>
          <w:jc w:val="center"/>
        </w:trPr>
        <w:tc>
          <w:tcPr>
            <w:tcW w:w="0" w:type="auto"/>
            <w:vMerge w:val="continue"/>
            <w:tcBorders>
              <w:top w:val="nil"/>
              <w:left w:val="single" w:color="000000" w:sz="4" w:space="0"/>
              <w:bottom w:val="nil"/>
              <w:right w:val="single" w:color="000000" w:sz="4" w:space="0"/>
            </w:tcBorders>
            <w:vAlign w:val="center"/>
          </w:tcPr>
          <w:p>
            <w:pPr>
              <w:widowControl/>
              <w:jc w:val="left"/>
              <w:rPr>
                <w:rFonts w:ascii="Times New Roman" w:hAnsi="Times New Roman" w:eastAsia="等线"/>
                <w:color w:val="000000"/>
                <w:kern w:val="0"/>
                <w:sz w:val="18"/>
                <w:szCs w:val="18"/>
              </w:rPr>
            </w:pP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20d</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Present results of all sensitivity analyses conducted to assess the robustness of the synthesized results.</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6, Figure 4</w:t>
            </w:r>
          </w:p>
        </w:tc>
      </w:tr>
      <w:tr>
        <w:tblPrEx>
          <w:tblCellMar>
            <w:top w:w="0" w:type="dxa"/>
            <w:left w:w="108" w:type="dxa"/>
            <w:bottom w:w="0" w:type="dxa"/>
            <w:right w:w="108" w:type="dxa"/>
          </w:tblCellMar>
        </w:tblPrEx>
        <w:trPr>
          <w:trHeight w:val="48" w:hRule="atLeast"/>
          <w:jc w:val="center"/>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Reporting biases</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21</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Present assessments of risk of bias due to missing results (arising from reporting biases) for each synthesis assessed.</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6, Figure 3</w:t>
            </w:r>
          </w:p>
        </w:tc>
      </w:tr>
      <w:tr>
        <w:tblPrEx>
          <w:tblCellMar>
            <w:top w:w="0" w:type="dxa"/>
            <w:left w:w="108" w:type="dxa"/>
            <w:bottom w:w="0" w:type="dxa"/>
            <w:right w:w="108" w:type="dxa"/>
          </w:tblCellMar>
        </w:tblPrEx>
        <w:trPr>
          <w:trHeight w:val="48" w:hRule="atLeast"/>
          <w:jc w:val="center"/>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 xml:space="preserve">Certainty of evidence </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22</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Present assessments of certainty (or confidence) in the body of evidence for each outcome assessed.</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NA</w:t>
            </w:r>
          </w:p>
        </w:tc>
      </w:tr>
      <w:tr>
        <w:tblPrEx>
          <w:tblCellMar>
            <w:top w:w="0" w:type="dxa"/>
            <w:left w:w="108" w:type="dxa"/>
            <w:bottom w:w="0" w:type="dxa"/>
            <w:right w:w="108" w:type="dxa"/>
          </w:tblCellMar>
        </w:tblPrEx>
        <w:trPr>
          <w:trHeight w:val="24" w:hRule="atLeast"/>
          <w:jc w:val="center"/>
        </w:trPr>
        <w:tc>
          <w:tcPr>
            <w:tcW w:w="13883" w:type="dxa"/>
            <w:gridSpan w:val="3"/>
            <w:tcBorders>
              <w:top w:val="double" w:color="000000" w:sz="2" w:space="0"/>
              <w:left w:val="single" w:color="000000" w:sz="4" w:space="0"/>
              <w:bottom w:val="single" w:color="000000" w:sz="4" w:space="0"/>
              <w:right w:val="single" w:color="000000" w:sz="4" w:space="0"/>
            </w:tcBorders>
            <w:shd w:val="clear" w:color="auto" w:fill="FFFFCC"/>
            <w:vAlign w:val="center"/>
          </w:tcPr>
          <w:p>
            <w:pPr>
              <w:pStyle w:val="7"/>
              <w:rPr>
                <w:rFonts w:ascii="Times New Roman" w:hAnsi="Times New Roman" w:cs="Times New Roman"/>
                <w:sz w:val="18"/>
                <w:szCs w:val="18"/>
              </w:rPr>
            </w:pPr>
            <w:r>
              <w:rPr>
                <w:rFonts w:ascii="Times New Roman" w:hAnsi="Times New Roman" w:cs="Times New Roman"/>
                <w:b/>
                <w:bCs/>
                <w:sz w:val="18"/>
                <w:szCs w:val="18"/>
              </w:rPr>
              <w:t xml:space="preserve">DISCUSSION </w:t>
            </w:r>
          </w:p>
        </w:tc>
        <w:tc>
          <w:tcPr>
            <w:tcW w:w="1705" w:type="dxa"/>
            <w:tcBorders>
              <w:top w:val="double" w:color="000000" w:sz="2" w:space="0"/>
              <w:left w:val="nil"/>
              <w:bottom w:val="single" w:color="000000" w:sz="4" w:space="0"/>
              <w:right w:val="single" w:color="000000" w:sz="4" w:space="0"/>
            </w:tcBorders>
            <w:shd w:val="clear" w:color="auto" w:fill="FFFFCC"/>
          </w:tcPr>
          <w:p>
            <w:pPr>
              <w:pStyle w:val="7"/>
              <w:jc w:val="center"/>
              <w:rPr>
                <w:rFonts w:ascii="Times New Roman" w:hAnsi="Times New Roman" w:cs="Times New Roman"/>
                <w:sz w:val="18"/>
                <w:szCs w:val="18"/>
              </w:rPr>
            </w:pPr>
          </w:p>
        </w:tc>
      </w:tr>
      <w:tr>
        <w:tblPrEx>
          <w:tblCellMar>
            <w:top w:w="0" w:type="dxa"/>
            <w:left w:w="108" w:type="dxa"/>
            <w:bottom w:w="0" w:type="dxa"/>
            <w:right w:w="108" w:type="dxa"/>
          </w:tblCellMar>
        </w:tblPrEx>
        <w:trPr>
          <w:trHeight w:val="48" w:hRule="atLeast"/>
          <w:jc w:val="center"/>
        </w:trPr>
        <w:tc>
          <w:tcPr>
            <w:tcW w:w="1665" w:type="dxa"/>
            <w:vMerge w:val="restart"/>
            <w:tcBorders>
              <w:top w:val="nil"/>
              <w:left w:val="single" w:color="000000" w:sz="4" w:space="0"/>
              <w:bottom w:val="nil"/>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 xml:space="preserve">Discussion </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23a</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Provide a general interpretation of the results in the context of other evidence.</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6-8</w:t>
            </w:r>
          </w:p>
        </w:tc>
      </w:tr>
      <w:tr>
        <w:tblPrEx>
          <w:tblCellMar>
            <w:top w:w="0" w:type="dxa"/>
            <w:left w:w="108" w:type="dxa"/>
            <w:bottom w:w="0" w:type="dxa"/>
            <w:right w:w="108" w:type="dxa"/>
          </w:tblCellMar>
        </w:tblPrEx>
        <w:trPr>
          <w:trHeight w:val="48" w:hRule="atLeast"/>
          <w:jc w:val="center"/>
        </w:trPr>
        <w:tc>
          <w:tcPr>
            <w:tcW w:w="0" w:type="auto"/>
            <w:vMerge w:val="continue"/>
            <w:tcBorders>
              <w:top w:val="nil"/>
              <w:left w:val="single" w:color="000000" w:sz="4" w:space="0"/>
              <w:bottom w:val="nil"/>
              <w:right w:val="single" w:color="000000" w:sz="4" w:space="0"/>
            </w:tcBorders>
            <w:vAlign w:val="center"/>
          </w:tcPr>
          <w:p>
            <w:pPr>
              <w:widowControl/>
              <w:jc w:val="left"/>
              <w:rPr>
                <w:rFonts w:ascii="Times New Roman" w:hAnsi="Times New Roman" w:eastAsia="等线"/>
                <w:color w:val="000000"/>
                <w:kern w:val="0"/>
                <w:sz w:val="18"/>
                <w:szCs w:val="18"/>
              </w:rPr>
            </w:pP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23b</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Discuss any limitations of the evidence included in the review.</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8-9</w:t>
            </w:r>
          </w:p>
        </w:tc>
      </w:tr>
      <w:tr>
        <w:tblPrEx>
          <w:tblCellMar>
            <w:top w:w="0" w:type="dxa"/>
            <w:left w:w="108" w:type="dxa"/>
            <w:bottom w:w="0" w:type="dxa"/>
            <w:right w:w="108" w:type="dxa"/>
          </w:tblCellMar>
        </w:tblPrEx>
        <w:trPr>
          <w:trHeight w:val="48" w:hRule="atLeast"/>
          <w:jc w:val="center"/>
        </w:trPr>
        <w:tc>
          <w:tcPr>
            <w:tcW w:w="0" w:type="auto"/>
            <w:vMerge w:val="continue"/>
            <w:tcBorders>
              <w:top w:val="nil"/>
              <w:left w:val="single" w:color="000000" w:sz="4" w:space="0"/>
              <w:bottom w:val="nil"/>
              <w:right w:val="single" w:color="000000" w:sz="4" w:space="0"/>
            </w:tcBorders>
            <w:vAlign w:val="center"/>
          </w:tcPr>
          <w:p>
            <w:pPr>
              <w:widowControl/>
              <w:jc w:val="left"/>
              <w:rPr>
                <w:rFonts w:ascii="Times New Roman" w:hAnsi="Times New Roman" w:eastAsia="等线"/>
                <w:color w:val="000000"/>
                <w:kern w:val="0"/>
                <w:sz w:val="18"/>
                <w:szCs w:val="18"/>
              </w:rPr>
            </w:pPr>
          </w:p>
        </w:tc>
        <w:tc>
          <w:tcPr>
            <w:tcW w:w="587" w:type="dxa"/>
            <w:tcBorders>
              <w:top w:val="single" w:color="000000" w:sz="4" w:space="0"/>
              <w:left w:val="nil"/>
              <w:bottom w:val="single" w:color="auto"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23c</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Discuss any limitations of the review processes used.</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8-9</w:t>
            </w:r>
          </w:p>
        </w:tc>
      </w:tr>
      <w:tr>
        <w:tblPrEx>
          <w:tblCellMar>
            <w:top w:w="0" w:type="dxa"/>
            <w:left w:w="108" w:type="dxa"/>
            <w:bottom w:w="0" w:type="dxa"/>
            <w:right w:w="108" w:type="dxa"/>
          </w:tblCellMar>
        </w:tblPrEx>
        <w:trPr>
          <w:trHeight w:val="48" w:hRule="atLeast"/>
          <w:jc w:val="center"/>
        </w:trPr>
        <w:tc>
          <w:tcPr>
            <w:tcW w:w="0" w:type="auto"/>
            <w:vMerge w:val="continue"/>
            <w:tcBorders>
              <w:top w:val="nil"/>
              <w:left w:val="single" w:color="000000" w:sz="4" w:space="0"/>
              <w:bottom w:val="nil"/>
              <w:right w:val="single" w:color="000000" w:sz="4" w:space="0"/>
            </w:tcBorders>
            <w:vAlign w:val="center"/>
          </w:tcPr>
          <w:p>
            <w:pPr>
              <w:widowControl/>
              <w:jc w:val="left"/>
              <w:rPr>
                <w:rFonts w:ascii="Times New Roman" w:hAnsi="Times New Roman" w:eastAsia="等线"/>
                <w:color w:val="000000"/>
                <w:kern w:val="0"/>
                <w:sz w:val="18"/>
                <w:szCs w:val="18"/>
              </w:rPr>
            </w:pPr>
          </w:p>
        </w:tc>
        <w:tc>
          <w:tcPr>
            <w:tcW w:w="587" w:type="dxa"/>
            <w:tcBorders>
              <w:top w:val="single" w:color="auto" w:sz="4" w:space="0"/>
              <w:left w:val="nil"/>
              <w:bottom w:val="single" w:color="auto" w:sz="4" w:space="0"/>
              <w:right w:val="single" w:color="auto"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23d</w:t>
            </w:r>
          </w:p>
        </w:tc>
        <w:tc>
          <w:tcPr>
            <w:tcW w:w="11631" w:type="dxa"/>
            <w:tcBorders>
              <w:top w:val="single" w:color="000000" w:sz="4" w:space="0"/>
              <w:left w:val="nil"/>
              <w:bottom w:val="double" w:color="000000" w:sz="2"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Discuss implications of the results for practice, policy, and future research.</w:t>
            </w:r>
          </w:p>
        </w:tc>
        <w:tc>
          <w:tcPr>
            <w:tcW w:w="1705" w:type="dxa"/>
            <w:tcBorders>
              <w:top w:val="single" w:color="000000" w:sz="4" w:space="0"/>
              <w:left w:val="nil"/>
              <w:bottom w:val="double" w:color="000000" w:sz="2"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9</w:t>
            </w:r>
          </w:p>
        </w:tc>
      </w:tr>
      <w:tr>
        <w:tblPrEx>
          <w:tblCellMar>
            <w:top w:w="0" w:type="dxa"/>
            <w:left w:w="108" w:type="dxa"/>
            <w:bottom w:w="0" w:type="dxa"/>
            <w:right w:w="108" w:type="dxa"/>
          </w:tblCellMar>
        </w:tblPrEx>
        <w:trPr>
          <w:trHeight w:val="24" w:hRule="atLeast"/>
          <w:jc w:val="center"/>
        </w:trPr>
        <w:tc>
          <w:tcPr>
            <w:tcW w:w="13883" w:type="dxa"/>
            <w:gridSpan w:val="3"/>
            <w:tcBorders>
              <w:top w:val="double" w:color="000000" w:sz="2" w:space="0"/>
              <w:left w:val="single" w:color="000000" w:sz="4" w:space="0"/>
              <w:bottom w:val="single" w:color="000000" w:sz="4" w:space="0"/>
              <w:right w:val="single" w:color="000000" w:sz="4" w:space="0"/>
            </w:tcBorders>
            <w:shd w:val="clear" w:color="auto" w:fill="FFFFCC"/>
            <w:vAlign w:val="center"/>
          </w:tcPr>
          <w:p>
            <w:pPr>
              <w:pStyle w:val="7"/>
              <w:rPr>
                <w:rFonts w:ascii="Times New Roman" w:hAnsi="Times New Roman" w:cs="Times New Roman"/>
                <w:sz w:val="18"/>
                <w:szCs w:val="18"/>
              </w:rPr>
            </w:pPr>
            <w:r>
              <w:rPr>
                <w:rFonts w:ascii="Times New Roman" w:hAnsi="Times New Roman" w:cs="Times New Roman"/>
                <w:b/>
                <w:bCs/>
                <w:sz w:val="18"/>
                <w:szCs w:val="18"/>
              </w:rPr>
              <w:t>OTHER INFORMATION</w:t>
            </w:r>
          </w:p>
        </w:tc>
        <w:tc>
          <w:tcPr>
            <w:tcW w:w="1705" w:type="dxa"/>
            <w:tcBorders>
              <w:top w:val="double" w:color="000000" w:sz="2" w:space="0"/>
              <w:left w:val="nil"/>
              <w:bottom w:val="single" w:color="000000" w:sz="4" w:space="0"/>
              <w:right w:val="single" w:color="000000" w:sz="4" w:space="0"/>
            </w:tcBorders>
            <w:shd w:val="clear" w:color="auto" w:fill="FFFFCC"/>
          </w:tcPr>
          <w:p>
            <w:pPr>
              <w:pStyle w:val="7"/>
              <w:jc w:val="center"/>
              <w:rPr>
                <w:rFonts w:ascii="Times New Roman" w:hAnsi="Times New Roman" w:cs="Times New Roman"/>
                <w:sz w:val="18"/>
                <w:szCs w:val="18"/>
              </w:rPr>
            </w:pPr>
          </w:p>
        </w:tc>
      </w:tr>
      <w:tr>
        <w:tblPrEx>
          <w:tblCellMar>
            <w:top w:w="0" w:type="dxa"/>
            <w:left w:w="108" w:type="dxa"/>
            <w:bottom w:w="0" w:type="dxa"/>
            <w:right w:w="108" w:type="dxa"/>
          </w:tblCellMar>
        </w:tblPrEx>
        <w:trPr>
          <w:trHeight w:val="48" w:hRule="atLeast"/>
          <w:jc w:val="center"/>
        </w:trPr>
        <w:tc>
          <w:tcPr>
            <w:tcW w:w="1665" w:type="dxa"/>
            <w:vMerge w:val="restart"/>
            <w:tcBorders>
              <w:top w:val="nil"/>
              <w:left w:val="single" w:color="000000" w:sz="4" w:space="0"/>
              <w:bottom w:val="nil"/>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Registration and protocol</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24a</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Provide registration information for the review, including register name and registration number, or state that the review was not registered.</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NA</w:t>
            </w:r>
          </w:p>
        </w:tc>
      </w:tr>
      <w:tr>
        <w:tblPrEx>
          <w:tblCellMar>
            <w:top w:w="0" w:type="dxa"/>
            <w:left w:w="108" w:type="dxa"/>
            <w:bottom w:w="0" w:type="dxa"/>
            <w:right w:w="108" w:type="dxa"/>
          </w:tblCellMar>
        </w:tblPrEx>
        <w:trPr>
          <w:trHeight w:val="57" w:hRule="atLeast"/>
          <w:jc w:val="center"/>
        </w:trPr>
        <w:tc>
          <w:tcPr>
            <w:tcW w:w="0" w:type="auto"/>
            <w:vMerge w:val="continue"/>
            <w:tcBorders>
              <w:top w:val="nil"/>
              <w:left w:val="single" w:color="000000" w:sz="4" w:space="0"/>
              <w:bottom w:val="nil"/>
              <w:right w:val="single" w:color="000000" w:sz="4" w:space="0"/>
            </w:tcBorders>
            <w:vAlign w:val="center"/>
          </w:tcPr>
          <w:p>
            <w:pPr>
              <w:widowControl/>
              <w:jc w:val="left"/>
              <w:rPr>
                <w:rFonts w:ascii="Times New Roman" w:hAnsi="Times New Roman" w:eastAsia="等线"/>
                <w:color w:val="000000"/>
                <w:kern w:val="0"/>
                <w:sz w:val="18"/>
                <w:szCs w:val="18"/>
              </w:rPr>
            </w:pP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24b</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Indicate where the review protocol can be accessed, or state that a protocol was not prepared.</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Not prepared</w:t>
            </w:r>
          </w:p>
        </w:tc>
      </w:tr>
      <w:tr>
        <w:tblPrEx>
          <w:tblCellMar>
            <w:top w:w="0" w:type="dxa"/>
            <w:left w:w="108" w:type="dxa"/>
            <w:bottom w:w="0" w:type="dxa"/>
            <w:right w:w="108" w:type="dxa"/>
          </w:tblCellMar>
        </w:tblPrEx>
        <w:trPr>
          <w:trHeight w:val="48" w:hRule="atLeast"/>
          <w:jc w:val="center"/>
        </w:trPr>
        <w:tc>
          <w:tcPr>
            <w:tcW w:w="0" w:type="auto"/>
            <w:vMerge w:val="continue"/>
            <w:tcBorders>
              <w:top w:val="nil"/>
              <w:left w:val="single" w:color="000000" w:sz="4" w:space="0"/>
              <w:bottom w:val="nil"/>
              <w:right w:val="single" w:color="000000" w:sz="4" w:space="0"/>
            </w:tcBorders>
            <w:vAlign w:val="center"/>
          </w:tcPr>
          <w:p>
            <w:pPr>
              <w:widowControl/>
              <w:jc w:val="left"/>
              <w:rPr>
                <w:rFonts w:ascii="Times New Roman" w:hAnsi="Times New Roman" w:eastAsia="等线"/>
                <w:color w:val="000000"/>
                <w:kern w:val="0"/>
                <w:sz w:val="18"/>
                <w:szCs w:val="18"/>
              </w:rPr>
            </w:pP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24c</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Describe and explain any amendments to information provided at registration or in the protocol.</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NA</w:t>
            </w:r>
          </w:p>
        </w:tc>
      </w:tr>
      <w:tr>
        <w:tblPrEx>
          <w:tblCellMar>
            <w:top w:w="0" w:type="dxa"/>
            <w:left w:w="108" w:type="dxa"/>
            <w:bottom w:w="0" w:type="dxa"/>
            <w:right w:w="108" w:type="dxa"/>
          </w:tblCellMar>
        </w:tblPrEx>
        <w:trPr>
          <w:trHeight w:val="48" w:hRule="atLeast"/>
          <w:jc w:val="center"/>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Support</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25</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Describe sources of financial or non-financial support for the review, and the role of the funders or sponsors in the review.</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9-11</w:t>
            </w:r>
          </w:p>
        </w:tc>
      </w:tr>
      <w:tr>
        <w:tblPrEx>
          <w:tblCellMar>
            <w:top w:w="0" w:type="dxa"/>
            <w:left w:w="108" w:type="dxa"/>
            <w:bottom w:w="0" w:type="dxa"/>
            <w:right w:w="108" w:type="dxa"/>
          </w:tblCellMar>
        </w:tblPrEx>
        <w:trPr>
          <w:trHeight w:val="48" w:hRule="atLeast"/>
          <w:jc w:val="center"/>
        </w:trPr>
        <w:tc>
          <w:tcPr>
            <w:tcW w:w="166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Competing interests</w:t>
            </w:r>
          </w:p>
        </w:tc>
        <w:tc>
          <w:tcPr>
            <w:tcW w:w="587" w:type="dxa"/>
            <w:tcBorders>
              <w:top w:val="single" w:color="000000" w:sz="4" w:space="0"/>
              <w:left w:val="nil"/>
              <w:bottom w:val="single" w:color="000000" w:sz="4"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26</w:t>
            </w:r>
          </w:p>
        </w:tc>
        <w:tc>
          <w:tcPr>
            <w:tcW w:w="11631"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Declare any competing interests of review authors.</w:t>
            </w:r>
          </w:p>
        </w:tc>
        <w:tc>
          <w:tcPr>
            <w:tcW w:w="1705" w:type="dxa"/>
            <w:tcBorders>
              <w:top w:val="single" w:color="000000" w:sz="4" w:space="0"/>
              <w:left w:val="nil"/>
              <w:bottom w:val="single" w:color="000000" w:sz="4"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9-11</w:t>
            </w:r>
          </w:p>
        </w:tc>
      </w:tr>
      <w:tr>
        <w:tblPrEx>
          <w:tblCellMar>
            <w:top w:w="0" w:type="dxa"/>
            <w:left w:w="108" w:type="dxa"/>
            <w:bottom w:w="0" w:type="dxa"/>
            <w:right w:w="108" w:type="dxa"/>
          </w:tblCellMar>
        </w:tblPrEx>
        <w:trPr>
          <w:trHeight w:val="219" w:hRule="atLeast"/>
          <w:jc w:val="center"/>
        </w:trPr>
        <w:tc>
          <w:tcPr>
            <w:tcW w:w="1665" w:type="dxa"/>
            <w:tcBorders>
              <w:top w:val="single" w:color="000000" w:sz="4" w:space="0"/>
              <w:left w:val="single" w:color="000000" w:sz="4" w:space="0"/>
              <w:bottom w:val="double" w:color="000000" w:sz="2"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Availability of data, code and other materials</w:t>
            </w:r>
          </w:p>
        </w:tc>
        <w:tc>
          <w:tcPr>
            <w:tcW w:w="587" w:type="dxa"/>
            <w:tcBorders>
              <w:top w:val="single" w:color="000000" w:sz="4" w:space="0"/>
              <w:left w:val="nil"/>
              <w:bottom w:val="double" w:color="000000" w:sz="2" w:space="0"/>
              <w:right w:val="single" w:color="000000" w:sz="4" w:space="0"/>
            </w:tcBorders>
          </w:tcPr>
          <w:p>
            <w:pPr>
              <w:pStyle w:val="7"/>
              <w:spacing w:before="40" w:after="40"/>
              <w:jc w:val="right"/>
              <w:rPr>
                <w:rFonts w:ascii="Times New Roman" w:hAnsi="Times New Roman" w:cs="Times New Roman"/>
                <w:sz w:val="18"/>
                <w:szCs w:val="18"/>
              </w:rPr>
            </w:pPr>
            <w:r>
              <w:rPr>
                <w:rFonts w:ascii="Times New Roman" w:hAnsi="Times New Roman" w:cs="Times New Roman"/>
                <w:sz w:val="18"/>
                <w:szCs w:val="18"/>
              </w:rPr>
              <w:t>27</w:t>
            </w:r>
          </w:p>
        </w:tc>
        <w:tc>
          <w:tcPr>
            <w:tcW w:w="11631" w:type="dxa"/>
            <w:tcBorders>
              <w:top w:val="single" w:color="000000" w:sz="4" w:space="0"/>
              <w:left w:val="nil"/>
              <w:bottom w:val="double" w:color="000000" w:sz="2"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705" w:type="dxa"/>
            <w:tcBorders>
              <w:top w:val="single" w:color="000000" w:sz="4" w:space="0"/>
              <w:left w:val="nil"/>
              <w:bottom w:val="double" w:color="000000" w:sz="2" w:space="0"/>
              <w:right w:val="single" w:color="000000" w:sz="4" w:space="0"/>
            </w:tcBorders>
          </w:tcPr>
          <w:p>
            <w:pPr>
              <w:pStyle w:val="7"/>
              <w:spacing w:before="40" w:after="40"/>
              <w:rPr>
                <w:rFonts w:ascii="Times New Roman" w:hAnsi="Times New Roman" w:cs="Times New Roman"/>
                <w:sz w:val="18"/>
                <w:szCs w:val="18"/>
              </w:rPr>
            </w:pPr>
            <w:r>
              <w:rPr>
                <w:rFonts w:ascii="Times New Roman" w:hAnsi="Times New Roman" w:cs="Times New Roman"/>
                <w:sz w:val="18"/>
                <w:szCs w:val="18"/>
              </w:rPr>
              <w:t>Page 9-11</w:t>
            </w:r>
          </w:p>
        </w:tc>
      </w:tr>
    </w:tbl>
    <w:p>
      <w:pPr>
        <w:rPr>
          <w:rFonts w:ascii="Times New Roman" w:hAnsi="Times New Roman"/>
          <w:b/>
          <w:sz w:val="30"/>
          <w:szCs w:val="30"/>
        </w:rPr>
      </w:pPr>
      <w:r>
        <w:rPr>
          <w:rFonts w:ascii="Times New Roman" w:hAnsi="Times New Roman"/>
          <w:b/>
          <w:sz w:val="30"/>
          <w:szCs w:val="30"/>
        </w:rPr>
        <w:br w:type="page"/>
      </w:r>
      <w:r>
        <w:rPr>
          <w:rFonts w:ascii="Times New Roman" w:hAnsi="Times New Roman"/>
          <w:b/>
          <w:sz w:val="30"/>
          <w:szCs w:val="30"/>
        </w:rPr>
        <w:t xml:space="preserve"> Table S2. </w:t>
      </w:r>
      <w:r>
        <w:rPr>
          <w:rFonts w:ascii="Times New Roman" w:hAnsi="Times New Roman"/>
          <w:bCs/>
          <w:sz w:val="30"/>
          <w:szCs w:val="30"/>
        </w:rPr>
        <w:t>Database search term list.</w:t>
      </w:r>
    </w:p>
    <w:tbl>
      <w:tblPr>
        <w:tblStyle w:val="3"/>
        <w:tblW w:w="0" w:type="auto"/>
        <w:tblInd w:w="0" w:type="dxa"/>
        <w:tblBorders>
          <w:top w:val="single" w:color="CFCECE" w:sz="4" w:space="0"/>
          <w:left w:val="single" w:color="CFCECE" w:sz="4" w:space="0"/>
          <w:bottom w:val="single" w:color="CFCECE" w:sz="4" w:space="0"/>
          <w:right w:val="single" w:color="CFCECE" w:sz="4" w:space="0"/>
          <w:insideH w:val="single" w:color="CFCECE" w:sz="4" w:space="0"/>
          <w:insideV w:val="single" w:color="CFCECE" w:sz="4" w:space="0"/>
        </w:tblBorders>
        <w:tblLayout w:type="autofit"/>
        <w:tblCellMar>
          <w:top w:w="0" w:type="dxa"/>
          <w:left w:w="108" w:type="dxa"/>
          <w:bottom w:w="0" w:type="dxa"/>
          <w:right w:w="108" w:type="dxa"/>
        </w:tblCellMar>
      </w:tblPr>
      <w:tblGrid>
        <w:gridCol w:w="2678"/>
        <w:gridCol w:w="10776"/>
      </w:tblGrid>
      <w:tr>
        <w:tblPrEx>
          <w:tblBorders>
            <w:top w:val="single" w:color="CFCECE" w:sz="4" w:space="0"/>
            <w:left w:val="single" w:color="CFCECE" w:sz="4" w:space="0"/>
            <w:bottom w:val="single" w:color="CFCECE" w:sz="4" w:space="0"/>
            <w:right w:val="single" w:color="CFCECE" w:sz="4" w:space="0"/>
            <w:insideH w:val="single" w:color="CFCECE" w:sz="4" w:space="0"/>
            <w:insideV w:val="single" w:color="CFCECE" w:sz="4" w:space="0"/>
          </w:tblBorders>
          <w:tblCellMar>
            <w:top w:w="0" w:type="dxa"/>
            <w:left w:w="108" w:type="dxa"/>
            <w:bottom w:w="0" w:type="dxa"/>
            <w:right w:w="108" w:type="dxa"/>
          </w:tblCellMar>
        </w:tblPrEx>
        <w:tc>
          <w:tcPr>
            <w:tcW w:w="2678" w:type="dxa"/>
            <w:tcBorders>
              <w:top w:val="single" w:color="CFCECE" w:sz="4" w:space="0"/>
              <w:left w:val="single" w:color="CFCECE" w:sz="4" w:space="0"/>
              <w:bottom w:val="single" w:color="CFCECE" w:sz="4" w:space="0"/>
              <w:right w:val="single" w:color="CFCECE" w:sz="4" w:space="0"/>
            </w:tcBorders>
          </w:tcPr>
          <w:p>
            <w:pPr>
              <w:rPr>
                <w:rFonts w:ascii="Times New Roman" w:hAnsi="Times New Roman"/>
                <w:kern w:val="0"/>
                <w:sz w:val="32"/>
                <w:szCs w:val="32"/>
              </w:rPr>
            </w:pPr>
            <w:r>
              <w:rPr>
                <w:rFonts w:ascii="Times New Roman" w:hAnsi="Times New Roman"/>
                <w:kern w:val="0"/>
                <w:sz w:val="32"/>
                <w:szCs w:val="32"/>
              </w:rPr>
              <w:t>Database</w:t>
            </w:r>
          </w:p>
        </w:tc>
        <w:tc>
          <w:tcPr>
            <w:tcW w:w="10776" w:type="dxa"/>
            <w:tcBorders>
              <w:top w:val="single" w:color="CFCECE" w:sz="4" w:space="0"/>
              <w:left w:val="single" w:color="CFCECE" w:sz="4" w:space="0"/>
              <w:bottom w:val="single" w:color="CFCECE" w:sz="4" w:space="0"/>
              <w:right w:val="single" w:color="CFCECE" w:sz="4" w:space="0"/>
            </w:tcBorders>
          </w:tcPr>
          <w:p>
            <w:pPr>
              <w:rPr>
                <w:rFonts w:ascii="Times New Roman" w:hAnsi="Times New Roman"/>
                <w:kern w:val="0"/>
                <w:sz w:val="32"/>
                <w:szCs w:val="32"/>
              </w:rPr>
            </w:pPr>
            <w:r>
              <w:rPr>
                <w:rFonts w:ascii="Times New Roman" w:hAnsi="Times New Roman"/>
                <w:kern w:val="0"/>
                <w:sz w:val="32"/>
                <w:szCs w:val="32"/>
              </w:rPr>
              <w:t>Search term</w:t>
            </w:r>
          </w:p>
        </w:tc>
      </w:tr>
      <w:tr>
        <w:tblPrEx>
          <w:tblBorders>
            <w:top w:val="single" w:color="CFCECE" w:sz="4" w:space="0"/>
            <w:left w:val="single" w:color="CFCECE" w:sz="4" w:space="0"/>
            <w:bottom w:val="single" w:color="CFCECE" w:sz="4" w:space="0"/>
            <w:right w:val="single" w:color="CFCECE" w:sz="4" w:space="0"/>
            <w:insideH w:val="single" w:color="CFCECE" w:sz="4" w:space="0"/>
            <w:insideV w:val="single" w:color="CFCECE" w:sz="4" w:space="0"/>
          </w:tblBorders>
          <w:tblCellMar>
            <w:top w:w="0" w:type="dxa"/>
            <w:left w:w="108" w:type="dxa"/>
            <w:bottom w:w="0" w:type="dxa"/>
            <w:right w:w="108" w:type="dxa"/>
          </w:tblCellMar>
        </w:tblPrEx>
        <w:tc>
          <w:tcPr>
            <w:tcW w:w="2678" w:type="dxa"/>
            <w:tcBorders>
              <w:top w:val="single" w:color="CFCECE" w:sz="4" w:space="0"/>
              <w:left w:val="single" w:color="CFCECE" w:sz="4" w:space="0"/>
              <w:bottom w:val="single" w:color="CFCECE" w:sz="4" w:space="0"/>
              <w:right w:val="single" w:color="CFCECE" w:sz="4" w:space="0"/>
            </w:tcBorders>
          </w:tcPr>
          <w:p>
            <w:pPr>
              <w:rPr>
                <w:rFonts w:ascii="Times New Roman" w:hAnsi="Times New Roman"/>
                <w:kern w:val="0"/>
                <w:sz w:val="32"/>
                <w:szCs w:val="32"/>
              </w:rPr>
            </w:pPr>
            <w:r>
              <w:rPr>
                <w:rFonts w:ascii="Times New Roman" w:hAnsi="Times New Roman"/>
                <w:kern w:val="0"/>
                <w:sz w:val="32"/>
                <w:szCs w:val="32"/>
              </w:rPr>
              <w:t>PubMed</w:t>
            </w:r>
          </w:p>
        </w:tc>
        <w:tc>
          <w:tcPr>
            <w:tcW w:w="10776" w:type="dxa"/>
            <w:tcBorders>
              <w:top w:val="single" w:color="CFCECE" w:sz="4" w:space="0"/>
              <w:left w:val="single" w:color="CFCECE" w:sz="4" w:space="0"/>
              <w:bottom w:val="single" w:color="CFCECE" w:sz="4" w:space="0"/>
              <w:right w:val="single" w:color="CFCECE" w:sz="4" w:space="0"/>
            </w:tcBorders>
          </w:tcPr>
          <w:p>
            <w:pPr>
              <w:rPr>
                <w:rFonts w:ascii="Times New Roman" w:hAnsi="Times New Roman"/>
                <w:kern w:val="0"/>
                <w:sz w:val="28"/>
                <w:szCs w:val="28"/>
              </w:rPr>
            </w:pPr>
            <w:r>
              <w:rPr>
                <w:rFonts w:ascii="Times New Roman" w:hAnsi="Times New Roman"/>
                <w:kern w:val="0"/>
                <w:sz w:val="28"/>
                <w:szCs w:val="28"/>
              </w:rPr>
              <w:t xml:space="preserve">("screen time" [Mesh] OR "digital screen"[tiab] OR "electronic screen"[tiab] OR computer[tiab] OR "personal computer"[tiab] OR video[tiab] OR "video game"[tiab] OR "video console"[tiab] OR "computer game"[tiab] OR "digital game"[tiab] OR "electronic game"[tiab] OR television[tiab] OR TV[tiab] OR "watching TV"[tiab] OR "watching television"[tiab] OR "television watching"[tiab] OR tablet[tiab] OR laptop[tiab] OR desktop[tiab] OR smartphone[tiab] OR phone[tiab] OR "cell phone"[tiab] OR "mobile device"[tiab] OR "electronic device"[tiab] OR "handheld device"[tiab] OR Internet[tiab] OR ipad[tiab] OR i-pad[tiab] OR i-phone[tiab] OR iphone[tiab]) AND (myopia[Mesh] OR "refractive error"[tiab] OR nearsightedness[tiab] OR shortsightedness[tiab] OR "poor vision"[tiab] OR "myopic vision"[tiab] OR "blurred vision" [tiab] OR "occular myopia"[tiab]) AND (child [Mesh] OR adolescent[Mesh] OR children [tiab] OR "young children"[tiab] OR kid[tiab] OR "young kid"[tiab] OR teen[tiab] OR adolescence[tiab] OR "young people" [tiab] OR "young person"[tiab] OR youth[tiab] OR juvenile[tiab] OR youngers[tiab] OR newborn[tiab] OR infant[tiab] OR kindergarden [tiab] OR "primary school"[tiab] OR "high school"[tiab] OR "middle school"[tiab] OR boy[tiab] OR girl[tiab]) </w:t>
            </w:r>
          </w:p>
        </w:tc>
      </w:tr>
      <w:tr>
        <w:tblPrEx>
          <w:tblBorders>
            <w:top w:val="single" w:color="CFCECE" w:sz="4" w:space="0"/>
            <w:left w:val="single" w:color="CFCECE" w:sz="4" w:space="0"/>
            <w:bottom w:val="single" w:color="CFCECE" w:sz="4" w:space="0"/>
            <w:right w:val="single" w:color="CFCECE" w:sz="4" w:space="0"/>
            <w:insideH w:val="single" w:color="CFCECE" w:sz="4" w:space="0"/>
            <w:insideV w:val="single" w:color="CFCECE" w:sz="4" w:space="0"/>
          </w:tblBorders>
          <w:tblCellMar>
            <w:top w:w="0" w:type="dxa"/>
            <w:left w:w="108" w:type="dxa"/>
            <w:bottom w:w="0" w:type="dxa"/>
            <w:right w:w="108" w:type="dxa"/>
          </w:tblCellMar>
        </w:tblPrEx>
        <w:tc>
          <w:tcPr>
            <w:tcW w:w="2678" w:type="dxa"/>
            <w:tcBorders>
              <w:top w:val="single" w:color="CFCECE" w:sz="4" w:space="0"/>
              <w:left w:val="single" w:color="CFCECE" w:sz="4" w:space="0"/>
              <w:bottom w:val="single" w:color="CFCECE" w:sz="4" w:space="0"/>
              <w:right w:val="single" w:color="CFCECE" w:sz="4" w:space="0"/>
            </w:tcBorders>
          </w:tcPr>
          <w:p>
            <w:pPr>
              <w:rPr>
                <w:rFonts w:ascii="Times New Roman" w:hAnsi="Times New Roman"/>
                <w:kern w:val="0"/>
                <w:sz w:val="32"/>
                <w:szCs w:val="32"/>
              </w:rPr>
            </w:pPr>
            <w:r>
              <w:rPr>
                <w:rFonts w:ascii="Times New Roman" w:hAnsi="Times New Roman"/>
                <w:kern w:val="0"/>
                <w:sz w:val="32"/>
                <w:szCs w:val="32"/>
              </w:rPr>
              <w:t>Embase</w:t>
            </w:r>
          </w:p>
        </w:tc>
        <w:tc>
          <w:tcPr>
            <w:tcW w:w="10776" w:type="dxa"/>
            <w:tcBorders>
              <w:top w:val="single" w:color="CFCECE" w:sz="4" w:space="0"/>
              <w:left w:val="single" w:color="CFCECE" w:sz="4" w:space="0"/>
              <w:bottom w:val="single" w:color="CFCECE" w:sz="4" w:space="0"/>
              <w:right w:val="single" w:color="CFCECE" w:sz="4" w:space="0"/>
            </w:tcBorders>
          </w:tcPr>
          <w:p>
            <w:pPr>
              <w:numPr>
                <w:ilvl w:val="0"/>
                <w:numId w:val="1"/>
              </w:numPr>
              <w:rPr>
                <w:rFonts w:ascii="Times New Roman" w:hAnsi="Times New Roman"/>
                <w:kern w:val="0"/>
                <w:sz w:val="28"/>
                <w:szCs w:val="28"/>
              </w:rPr>
            </w:pPr>
            <w:r>
              <w:rPr>
                <w:rFonts w:ascii="Times New Roman" w:hAnsi="Times New Roman"/>
                <w:kern w:val="0"/>
                <w:sz w:val="28"/>
                <w:szCs w:val="28"/>
              </w:rPr>
              <w:t>('screen time'/exp OR 'digital screen' OR 'electronic screen' OR computer/exp OR 'personal computer' OR video OR 'video game' OR 'video console' OR 'computer game' OR 'digital game' OR 'electronic game' OR television OR TV OR 'watching TV' OR 'watching television' OR 'television watching'/exp OR 'television watching' OR tablet OR laptop OR desktop OR smartphone OR phone OR 'cell phone' OR 'mobile device' OR 'electronic device'/exp OR 'electronic device' OR 'handheld device' OR Internet OR ipad OR i-pad OR i-phone OR iphone). ti.ab.2. (myopia/exp OR 'refractive error'/exp OR 'refractive error' OR nearsightedness OR 'shortsightedness'/exp OR shortsightedness OR 'poor vision' OR 'myopic vision' OR 'blurred vision'/exp OR 'blurred vision' OR 'occular myopia').ti.ab. 3. (child/exp OR 'young children' OR kid OR 'young kid' OR teenager OR teen OR teenage OR adolescent OR adolescence OR 'young people' OR 'young person' OR youth OR juvenile OR youngers OR infant OR newborn OR kindergarden OR 'primary school' OR 'high school' OR 'middle school' OR boy OR girl).ti.ab.1 AND 2 AND 3</w:t>
            </w:r>
          </w:p>
        </w:tc>
      </w:tr>
      <w:tr>
        <w:tblPrEx>
          <w:tblBorders>
            <w:top w:val="single" w:color="CFCECE" w:sz="4" w:space="0"/>
            <w:left w:val="single" w:color="CFCECE" w:sz="4" w:space="0"/>
            <w:bottom w:val="single" w:color="CFCECE" w:sz="4" w:space="0"/>
            <w:right w:val="single" w:color="CFCECE" w:sz="4" w:space="0"/>
            <w:insideH w:val="single" w:color="CFCECE" w:sz="4" w:space="0"/>
            <w:insideV w:val="single" w:color="CFCECE" w:sz="4" w:space="0"/>
          </w:tblBorders>
          <w:tblCellMar>
            <w:top w:w="0" w:type="dxa"/>
            <w:left w:w="108" w:type="dxa"/>
            <w:bottom w:w="0" w:type="dxa"/>
            <w:right w:w="108" w:type="dxa"/>
          </w:tblCellMar>
        </w:tblPrEx>
        <w:tc>
          <w:tcPr>
            <w:tcW w:w="2678" w:type="dxa"/>
            <w:tcBorders>
              <w:top w:val="single" w:color="CFCECE" w:sz="4" w:space="0"/>
              <w:left w:val="single" w:color="CFCECE" w:sz="4" w:space="0"/>
              <w:bottom w:val="single" w:color="CFCECE" w:sz="4" w:space="0"/>
              <w:right w:val="single" w:color="CFCECE" w:sz="4" w:space="0"/>
            </w:tcBorders>
          </w:tcPr>
          <w:p>
            <w:pPr>
              <w:rPr>
                <w:rFonts w:ascii="Times New Roman" w:hAnsi="Times New Roman"/>
                <w:kern w:val="0"/>
                <w:sz w:val="32"/>
                <w:szCs w:val="32"/>
              </w:rPr>
            </w:pPr>
            <w:r>
              <w:rPr>
                <w:rFonts w:ascii="Times New Roman" w:hAnsi="Times New Roman"/>
                <w:kern w:val="0"/>
                <w:sz w:val="32"/>
                <w:szCs w:val="32"/>
              </w:rPr>
              <w:t>Web of Science</w:t>
            </w:r>
          </w:p>
        </w:tc>
        <w:tc>
          <w:tcPr>
            <w:tcW w:w="10776" w:type="dxa"/>
            <w:tcBorders>
              <w:top w:val="single" w:color="CFCECE" w:sz="4" w:space="0"/>
              <w:left w:val="single" w:color="CFCECE" w:sz="4" w:space="0"/>
              <w:bottom w:val="single" w:color="CFCECE" w:sz="4" w:space="0"/>
              <w:right w:val="single" w:color="CFCECE" w:sz="4" w:space="0"/>
            </w:tcBorders>
          </w:tcPr>
          <w:p>
            <w:pPr>
              <w:rPr>
                <w:rFonts w:ascii="Times New Roman" w:hAnsi="Times New Roman"/>
                <w:kern w:val="0"/>
                <w:sz w:val="28"/>
                <w:szCs w:val="28"/>
              </w:rPr>
            </w:pPr>
            <w:r>
              <w:rPr>
                <w:rFonts w:ascii="Times New Roman" w:hAnsi="Times New Roman"/>
                <w:b/>
                <w:bCs/>
                <w:kern w:val="0"/>
                <w:sz w:val="28"/>
                <w:szCs w:val="28"/>
              </w:rPr>
              <w:t>TS =</w:t>
            </w:r>
            <w:r>
              <w:rPr>
                <w:rFonts w:ascii="Times New Roman" w:hAnsi="Times New Roman"/>
                <w:kern w:val="0"/>
                <w:sz w:val="28"/>
                <w:szCs w:val="28"/>
              </w:rPr>
              <w:t xml:space="preserve"> ("screen time" OR screen OR "digital screen" OR "electronic screen" OR computer OR "personal computer" OR "computer use" OR video OR "video game" OR "video console" OR "computer game" OR "digital game" OR "electronic game" OR television OR TV OR "watching TV" OR "watching television" OR "television watching" OR tablet OR laptop OR desktop OR smartphone OR phone OR "cell phone" OR "mobile device" OR "electronic device" OR "handheld device" OR Internet OR ipad OR i-pad OR i-phone OR iphone) AND </w:t>
            </w:r>
            <w:r>
              <w:rPr>
                <w:rFonts w:ascii="Times New Roman" w:hAnsi="Times New Roman"/>
                <w:b/>
                <w:bCs/>
                <w:kern w:val="0"/>
                <w:sz w:val="28"/>
                <w:szCs w:val="28"/>
              </w:rPr>
              <w:t xml:space="preserve">TS = </w:t>
            </w:r>
            <w:r>
              <w:rPr>
                <w:rFonts w:ascii="Times New Roman" w:hAnsi="Times New Roman"/>
                <w:kern w:val="0"/>
                <w:sz w:val="28"/>
                <w:szCs w:val="28"/>
              </w:rPr>
              <w:t xml:space="preserve">(myopia OR "refractive error" OR nearsightedness OR shortsightedness OR "poor vision" OR "myopic vision" OR "blurred vision" OR "occular myopia") AND </w:t>
            </w:r>
            <w:r>
              <w:rPr>
                <w:rFonts w:ascii="Times New Roman" w:hAnsi="Times New Roman"/>
                <w:b/>
                <w:bCs/>
                <w:kern w:val="0"/>
                <w:sz w:val="28"/>
                <w:szCs w:val="28"/>
              </w:rPr>
              <w:t xml:space="preserve">TS = </w:t>
            </w:r>
            <w:r>
              <w:rPr>
                <w:rFonts w:ascii="Times New Roman" w:hAnsi="Times New Roman"/>
                <w:kern w:val="0"/>
                <w:sz w:val="28"/>
                <w:szCs w:val="28"/>
              </w:rPr>
              <w:t>(child OR children OR "young children" OR kid OR "young kid" OR teenager OR teen OR teenage OR adolescent OR adolescence OR "young people" OR "young person" OR youth OR juvenile OR youngers OR infant OR newborn OR  "kindergarden" OR "primary school" OR "high school" OR "middle school" OR boy OR girl) Indexes=SCI-EXPANDED, SSCI, CPCI-S, CPCI-SSH Timespan = All years</w:t>
            </w:r>
          </w:p>
        </w:tc>
      </w:tr>
    </w:tbl>
    <w:p>
      <w:pPr>
        <w:rPr>
          <w:rFonts w:ascii="Times New Roman" w:hAnsi="Times New Roman"/>
        </w:rPr>
      </w:pPr>
      <w:r>
        <w:rPr>
          <w:rFonts w:ascii="Times New Roman" w:hAnsi="Times New Roman"/>
          <w:b/>
          <w:sz w:val="30"/>
          <w:szCs w:val="30"/>
        </w:rPr>
        <w:t xml:space="preserve"> </w:t>
      </w:r>
      <w:r>
        <w:rPr>
          <w:rFonts w:ascii="Times New Roman" w:hAnsi="Times New Roman"/>
          <w:b/>
          <w:sz w:val="30"/>
          <w:szCs w:val="30"/>
        </w:rPr>
        <w:br w:type="page"/>
      </w:r>
      <w:r>
        <w:rPr>
          <w:rFonts w:ascii="Times New Roman" w:hAnsi="Times New Roman"/>
          <w:b/>
          <w:sz w:val="24"/>
          <w:szCs w:val="24"/>
        </w:rPr>
        <w:t>Table S3.</w:t>
      </w:r>
      <w:r>
        <w:rPr>
          <w:rFonts w:ascii="Times New Roman" w:hAnsi="Times New Roman"/>
          <w:bCs/>
          <w:sz w:val="24"/>
          <w:szCs w:val="24"/>
        </w:rPr>
        <w:t xml:space="preserve"> Newcastle-Ottawa Quality Assessment Scale for cohort studies.</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53" w:type="dxa"/>
            <w:tcBorders>
              <w:top w:val="single" w:color="auto" w:sz="4" w:space="0"/>
              <w:left w:val="single" w:color="auto" w:sz="4" w:space="0"/>
              <w:bottom w:val="single" w:color="auto" w:sz="4" w:space="0"/>
              <w:right w:val="single" w:color="auto" w:sz="4" w:space="0"/>
            </w:tcBorders>
          </w:tcPr>
          <w:p>
            <w:pPr>
              <w:rPr>
                <w:rFonts w:ascii="Times New Roman" w:hAnsi="Times New Roman"/>
                <w:kern w:val="0"/>
              </w:rPr>
            </w:pPr>
            <w:r>
              <w:rPr>
                <w:rFonts w:ascii="Times New Roman" w:hAnsi="Times New Roman"/>
                <w:b/>
                <w:kern w:val="0"/>
              </w:rPr>
              <w:t xml:space="preserve">Selection: </w:t>
            </w:r>
            <w:r>
              <w:rPr>
                <w:rFonts w:ascii="Times New Roman" w:hAnsi="Times New Roman"/>
                <w:kern w:val="0"/>
              </w:rPr>
              <w:t>(Maximum 4 stars)</w:t>
            </w:r>
          </w:p>
          <w:p>
            <w:pPr>
              <w:rPr>
                <w:rFonts w:ascii="Times New Roman" w:hAnsi="Times New Roman"/>
                <w:kern w:val="0"/>
              </w:rPr>
            </w:pPr>
            <w:r>
              <w:rPr>
                <w:rFonts w:ascii="Times New Roman" w:hAnsi="Times New Roman"/>
                <w:kern w:val="0"/>
              </w:rPr>
              <w:t>1) Selection of the non exposed cohort:</w:t>
            </w:r>
          </w:p>
          <w:p>
            <w:pPr>
              <w:ind w:left="840" w:hanging="840" w:hangingChars="400"/>
              <w:rPr>
                <w:rFonts w:ascii="Times New Roman" w:hAnsi="Times New Roman"/>
                <w:kern w:val="0"/>
              </w:rPr>
            </w:pPr>
            <w:r>
              <w:rPr>
                <w:rFonts w:ascii="Times New Roman" w:hAnsi="Times New Roman"/>
                <w:kern w:val="0"/>
              </w:rPr>
              <w:t xml:space="preserve">                a) truly representative of the average </w:t>
            </w:r>
            <w:r>
              <w:rPr>
                <w:rFonts w:ascii="Times New Roman" w:hAnsi="Times New Roman"/>
                <w:kern w:val="0"/>
                <w:u w:val="single"/>
              </w:rPr>
              <w:t>children and adolescents who are less likely to use screen devices</w:t>
            </w:r>
            <w:r>
              <w:rPr>
                <w:rFonts w:ascii="Times New Roman" w:hAnsi="Times New Roman"/>
                <w:kern w:val="0"/>
              </w:rPr>
              <w:t xml:space="preserve">  (describe) in the community. </w:t>
            </w:r>
          </w:p>
          <w:p>
            <w:pPr>
              <w:ind w:left="840" w:hanging="840" w:hangingChars="400"/>
              <w:rPr>
                <w:rFonts w:ascii="Times New Roman" w:hAnsi="Times New Roman"/>
                <w:kern w:val="0"/>
              </w:rPr>
            </w:pPr>
            <w:r>
              <w:rPr>
                <w:rFonts w:ascii="Times New Roman" w:hAnsi="Times New Roman"/>
                <w:kern w:val="0"/>
              </w:rPr>
              <w:t xml:space="preserve">                b) somewhat representative of the average </w:t>
            </w:r>
            <w:r>
              <w:rPr>
                <w:rFonts w:ascii="Times New Roman" w:hAnsi="Times New Roman"/>
                <w:kern w:val="0"/>
                <w:u w:val="single"/>
              </w:rPr>
              <w:t xml:space="preserve">children and adolescents who are less likely to use screen devices </w:t>
            </w:r>
            <w:r>
              <w:rPr>
                <w:rFonts w:ascii="Times New Roman" w:hAnsi="Times New Roman"/>
                <w:kern w:val="0"/>
              </w:rPr>
              <w:t xml:space="preserve">(describe) in the community. </w:t>
            </w:r>
          </w:p>
          <w:p>
            <w:pPr>
              <w:rPr>
                <w:rFonts w:ascii="Times New Roman" w:hAnsi="Times New Roman"/>
                <w:kern w:val="0"/>
              </w:rPr>
            </w:pPr>
            <w:r>
              <w:rPr>
                <w:rFonts w:ascii="Times New Roman" w:hAnsi="Times New Roman"/>
                <w:kern w:val="0"/>
              </w:rPr>
              <w:t xml:space="preserve">                c) selected group of users eg nurses, volunteers. </w:t>
            </w:r>
          </w:p>
          <w:p>
            <w:pPr>
              <w:rPr>
                <w:rFonts w:ascii="Times New Roman" w:hAnsi="Times New Roman"/>
                <w:kern w:val="0"/>
              </w:rPr>
            </w:pPr>
            <w:r>
              <w:rPr>
                <w:rFonts w:ascii="Times New Roman" w:hAnsi="Times New Roman"/>
                <w:kern w:val="0"/>
              </w:rPr>
              <w:t xml:space="preserve">                d) no description of the derivation of the cohort. </w:t>
            </w:r>
          </w:p>
          <w:p>
            <w:pPr>
              <w:rPr>
                <w:rFonts w:ascii="Times New Roman" w:hAnsi="Times New Roman"/>
                <w:kern w:val="0"/>
              </w:rPr>
            </w:pPr>
            <w:r>
              <w:rPr>
                <w:rFonts w:ascii="Times New Roman" w:hAnsi="Times New Roman"/>
                <w:kern w:val="0"/>
              </w:rPr>
              <w:t>2) Selection of the non exposed cohort:</w:t>
            </w:r>
          </w:p>
          <w:p>
            <w:pPr>
              <w:rPr>
                <w:rFonts w:ascii="Times New Roman" w:hAnsi="Times New Roman"/>
                <w:kern w:val="0"/>
              </w:rPr>
            </w:pPr>
            <w:r>
              <w:rPr>
                <w:rFonts w:ascii="Times New Roman" w:hAnsi="Times New Roman"/>
                <w:kern w:val="0"/>
              </w:rPr>
              <w:t xml:space="preserve">                a) drawn from the same community as the exposed cohort. </w:t>
            </w:r>
          </w:p>
          <w:p>
            <w:pPr>
              <w:rPr>
                <w:rFonts w:ascii="Times New Roman" w:hAnsi="Times New Roman"/>
                <w:kern w:val="0"/>
              </w:rPr>
            </w:pPr>
            <w:r>
              <w:rPr>
                <w:rFonts w:ascii="Times New Roman" w:hAnsi="Times New Roman"/>
                <w:kern w:val="0"/>
              </w:rPr>
              <w:t xml:space="preserve">                b) drawn from a different source. </w:t>
            </w:r>
          </w:p>
          <w:p>
            <w:pPr>
              <w:rPr>
                <w:rFonts w:ascii="Times New Roman" w:hAnsi="Times New Roman"/>
                <w:kern w:val="0"/>
              </w:rPr>
            </w:pPr>
            <w:r>
              <w:rPr>
                <w:rFonts w:ascii="Times New Roman" w:hAnsi="Times New Roman"/>
                <w:kern w:val="0"/>
              </w:rPr>
              <w:t xml:space="preserve">                c) no description of the derivation of the non exposed cohort. </w:t>
            </w:r>
          </w:p>
          <w:p>
            <w:pPr>
              <w:rPr>
                <w:rFonts w:ascii="Times New Roman" w:hAnsi="Times New Roman"/>
                <w:kern w:val="0"/>
              </w:rPr>
            </w:pPr>
            <w:r>
              <w:rPr>
                <w:rFonts w:ascii="Times New Roman" w:hAnsi="Times New Roman"/>
                <w:kern w:val="0"/>
              </w:rPr>
              <w:t>3) Ascertainment of exposure:</w:t>
            </w:r>
          </w:p>
          <w:p>
            <w:pPr>
              <w:rPr>
                <w:rFonts w:ascii="Times New Roman" w:hAnsi="Times New Roman"/>
                <w:kern w:val="0"/>
              </w:rPr>
            </w:pPr>
            <w:r>
              <w:rPr>
                <w:rFonts w:ascii="Times New Roman" w:hAnsi="Times New Roman"/>
                <w:kern w:val="0"/>
              </w:rPr>
              <w:t xml:space="preserve">                a) secure record (eg. Surgical records). </w:t>
            </w:r>
          </w:p>
          <w:p>
            <w:pPr>
              <w:rPr>
                <w:rFonts w:ascii="Times New Roman" w:hAnsi="Times New Roman"/>
                <w:kern w:val="0"/>
              </w:rPr>
            </w:pPr>
            <w:r>
              <w:rPr>
                <w:rFonts w:ascii="Times New Roman" w:hAnsi="Times New Roman"/>
                <w:kern w:val="0"/>
              </w:rPr>
              <w:t xml:space="preserve">                b) structured interview. </w:t>
            </w:r>
          </w:p>
          <w:p>
            <w:pPr>
              <w:rPr>
                <w:rFonts w:ascii="Times New Roman" w:hAnsi="Times New Roman"/>
                <w:kern w:val="0"/>
              </w:rPr>
            </w:pPr>
            <w:r>
              <w:rPr>
                <w:rFonts w:ascii="Times New Roman" w:hAnsi="Times New Roman"/>
                <w:kern w:val="0"/>
              </w:rPr>
              <w:t xml:space="preserve">                c) written self repot. </w:t>
            </w:r>
          </w:p>
          <w:p>
            <w:pPr>
              <w:rPr>
                <w:rFonts w:ascii="Times New Roman" w:hAnsi="Times New Roman"/>
                <w:kern w:val="0"/>
              </w:rPr>
            </w:pPr>
            <w:r>
              <w:rPr>
                <w:rFonts w:ascii="Times New Roman" w:hAnsi="Times New Roman"/>
                <w:kern w:val="0"/>
              </w:rPr>
              <w:t xml:space="preserve">                d) no description. </w:t>
            </w:r>
          </w:p>
          <w:p>
            <w:pPr>
              <w:rPr>
                <w:rFonts w:ascii="Times New Roman" w:hAnsi="Times New Roman"/>
                <w:kern w:val="0"/>
              </w:rPr>
            </w:pPr>
            <w:r>
              <w:rPr>
                <w:rFonts w:ascii="Times New Roman" w:hAnsi="Times New Roman"/>
                <w:kern w:val="0"/>
              </w:rPr>
              <w:t>4) Demonstration that outcome of interest was not present at start of study:</w:t>
            </w:r>
          </w:p>
          <w:p>
            <w:pPr>
              <w:rPr>
                <w:rFonts w:ascii="Times New Roman" w:hAnsi="Times New Roman"/>
                <w:kern w:val="0"/>
              </w:rPr>
            </w:pPr>
            <w:r>
              <w:rPr>
                <w:rFonts w:ascii="Times New Roman" w:hAnsi="Times New Roman"/>
                <w:kern w:val="0"/>
              </w:rPr>
              <w:t xml:space="preserve">                a) yes. </w:t>
            </w:r>
          </w:p>
          <w:p>
            <w:pPr>
              <w:rPr>
                <w:rFonts w:ascii="Times New Roman" w:hAnsi="Times New Roman"/>
                <w:kern w:val="0"/>
                <w:sz w:val="20"/>
              </w:rPr>
            </w:pPr>
            <w:r>
              <w:rPr>
                <w:rFonts w:ascii="Times New Roman" w:hAnsi="Times New Roman"/>
                <w:kern w:val="0"/>
              </w:rPr>
              <w:t xml:space="preserve">                b) no.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trPr>
        <w:tc>
          <w:tcPr>
            <w:tcW w:w="13353" w:type="dxa"/>
            <w:tcBorders>
              <w:top w:val="single" w:color="auto" w:sz="4" w:space="0"/>
              <w:left w:val="single" w:color="auto" w:sz="4" w:space="0"/>
              <w:bottom w:val="single" w:color="auto" w:sz="4" w:space="0"/>
              <w:right w:val="single" w:color="auto" w:sz="4" w:space="0"/>
            </w:tcBorders>
          </w:tcPr>
          <w:p>
            <w:pPr>
              <w:rPr>
                <w:rFonts w:ascii="Times New Roman" w:hAnsi="Times New Roman"/>
                <w:kern w:val="0"/>
              </w:rPr>
            </w:pPr>
            <w:r>
              <w:rPr>
                <w:rFonts w:ascii="Times New Roman" w:hAnsi="Times New Roman"/>
                <w:b/>
                <w:kern w:val="0"/>
              </w:rPr>
              <w:t xml:space="preserve">Comparability: </w:t>
            </w:r>
            <w:r>
              <w:rPr>
                <w:rFonts w:ascii="Times New Roman" w:hAnsi="Times New Roman"/>
                <w:kern w:val="0"/>
              </w:rPr>
              <w:t>(Maximum 2 stars)</w:t>
            </w:r>
          </w:p>
          <w:p>
            <w:pPr>
              <w:rPr>
                <w:rFonts w:ascii="Times New Roman" w:hAnsi="Times New Roman"/>
                <w:kern w:val="0"/>
              </w:rPr>
            </w:pPr>
          </w:p>
          <w:p>
            <w:pPr>
              <w:rPr>
                <w:rFonts w:ascii="Times New Roman" w:hAnsi="Times New Roman"/>
                <w:kern w:val="0"/>
              </w:rPr>
            </w:pPr>
            <w:r>
              <w:rPr>
                <w:rFonts w:ascii="Times New Roman" w:hAnsi="Times New Roman"/>
                <w:kern w:val="0"/>
              </w:rPr>
              <w:t>1) Comparability of cohorts on the basis of the design or analysis:</w:t>
            </w:r>
          </w:p>
          <w:p>
            <w:pPr>
              <w:rPr>
                <w:rFonts w:ascii="Times New Roman" w:hAnsi="Times New Roman"/>
                <w:kern w:val="0"/>
              </w:rPr>
            </w:pPr>
            <w:r>
              <w:rPr>
                <w:rFonts w:ascii="Times New Roman" w:hAnsi="Times New Roman"/>
                <w:kern w:val="0"/>
              </w:rPr>
              <w:t xml:space="preserve">                a) The study controls for the most important factor (</w:t>
            </w:r>
            <w:r>
              <w:rPr>
                <w:rFonts w:ascii="Times New Roman" w:hAnsi="Times New Roman"/>
                <w:kern w:val="0"/>
                <w:u w:val="single"/>
              </w:rPr>
              <w:t>age, and gender</w:t>
            </w:r>
            <w:r>
              <w:rPr>
                <w:rFonts w:ascii="Times New Roman" w:hAnsi="Times New Roman"/>
                <w:kern w:val="0"/>
              </w:rPr>
              <w:t xml:space="preserve">). </w:t>
            </w:r>
          </w:p>
          <w:p>
            <w:pPr>
              <w:rPr>
                <w:rFonts w:ascii="Times New Roman" w:hAnsi="Times New Roman"/>
                <w:kern w:val="0"/>
                <w:sz w:val="20"/>
              </w:rPr>
            </w:pPr>
            <w:r>
              <w:rPr>
                <w:rFonts w:ascii="Times New Roman" w:hAnsi="Times New Roman"/>
                <w:kern w:val="0"/>
              </w:rPr>
              <w:t xml:space="preserve">                b) The study control for any additional factor (</w:t>
            </w:r>
            <w:r>
              <w:rPr>
                <w:rFonts w:ascii="Times New Roman" w:hAnsi="Times New Roman"/>
                <w:kern w:val="0"/>
                <w:u w:val="single"/>
              </w:rPr>
              <w:t>outdoor activity/outdoor time</w:t>
            </w:r>
            <w:r>
              <w:rPr>
                <w:rFonts w:ascii="Times New Roman" w:hAnsi="Times New Roman"/>
                <w:kern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53" w:type="dxa"/>
            <w:tcBorders>
              <w:top w:val="single" w:color="auto" w:sz="4" w:space="0"/>
              <w:left w:val="single" w:color="auto" w:sz="4" w:space="0"/>
              <w:bottom w:val="single" w:color="auto" w:sz="4" w:space="0"/>
              <w:right w:val="single" w:color="auto" w:sz="4" w:space="0"/>
            </w:tcBorders>
          </w:tcPr>
          <w:p>
            <w:pPr>
              <w:rPr>
                <w:rFonts w:ascii="Times New Roman" w:hAnsi="Times New Roman"/>
                <w:kern w:val="0"/>
              </w:rPr>
            </w:pPr>
            <w:r>
              <w:rPr>
                <w:rFonts w:ascii="Times New Roman" w:hAnsi="Times New Roman"/>
                <w:b/>
                <w:kern w:val="0"/>
              </w:rPr>
              <w:t xml:space="preserve">Outcome: </w:t>
            </w:r>
            <w:r>
              <w:rPr>
                <w:rFonts w:ascii="Times New Roman" w:hAnsi="Times New Roman"/>
                <w:kern w:val="0"/>
              </w:rPr>
              <w:t>(Maximum 4 stars)</w:t>
            </w:r>
          </w:p>
          <w:p>
            <w:pPr>
              <w:rPr>
                <w:rFonts w:ascii="Times New Roman" w:hAnsi="Times New Roman"/>
                <w:kern w:val="0"/>
              </w:rPr>
            </w:pPr>
            <w:r>
              <w:rPr>
                <w:rFonts w:ascii="Times New Roman" w:hAnsi="Times New Roman"/>
                <w:kern w:val="0"/>
              </w:rPr>
              <w:t>1) Assessment of the outcome:</w:t>
            </w:r>
          </w:p>
          <w:p>
            <w:pPr>
              <w:rPr>
                <w:rFonts w:ascii="Times New Roman" w:hAnsi="Times New Roman"/>
                <w:kern w:val="0"/>
              </w:rPr>
            </w:pPr>
            <w:r>
              <w:rPr>
                <w:rFonts w:ascii="Times New Roman" w:hAnsi="Times New Roman"/>
                <w:kern w:val="0"/>
              </w:rPr>
              <w:t xml:space="preserve">                a) Independent blind assessment. </w:t>
            </w:r>
          </w:p>
          <w:p>
            <w:pPr>
              <w:rPr>
                <w:rFonts w:ascii="Times New Roman" w:hAnsi="Times New Roman"/>
                <w:kern w:val="0"/>
              </w:rPr>
            </w:pPr>
            <w:r>
              <w:rPr>
                <w:rFonts w:ascii="Times New Roman" w:hAnsi="Times New Roman"/>
                <w:kern w:val="0"/>
              </w:rPr>
              <w:t xml:space="preserve">                b) Record linkage. </w:t>
            </w:r>
          </w:p>
          <w:p>
            <w:pPr>
              <w:rPr>
                <w:rFonts w:ascii="Times New Roman" w:hAnsi="Times New Roman"/>
                <w:kern w:val="0"/>
              </w:rPr>
            </w:pPr>
            <w:r>
              <w:rPr>
                <w:rFonts w:ascii="Times New Roman" w:hAnsi="Times New Roman"/>
                <w:kern w:val="0"/>
              </w:rPr>
              <w:t xml:space="preserve">                c) Self report.  </w:t>
            </w:r>
          </w:p>
          <w:p>
            <w:pPr>
              <w:rPr>
                <w:rFonts w:ascii="Times New Roman" w:hAnsi="Times New Roman"/>
                <w:kern w:val="0"/>
              </w:rPr>
            </w:pPr>
            <w:r>
              <w:rPr>
                <w:rFonts w:ascii="Times New Roman" w:hAnsi="Times New Roman"/>
                <w:kern w:val="0"/>
              </w:rPr>
              <w:t xml:space="preserve">                d) No description.</w:t>
            </w:r>
          </w:p>
          <w:p>
            <w:pPr>
              <w:rPr>
                <w:rFonts w:ascii="Times New Roman" w:hAnsi="Times New Roman"/>
                <w:kern w:val="0"/>
              </w:rPr>
            </w:pPr>
            <w:r>
              <w:rPr>
                <w:rFonts w:ascii="Times New Roman" w:hAnsi="Times New Roman"/>
                <w:kern w:val="0"/>
              </w:rPr>
              <w:t>2) Was follow-up long enough for outcomes to occur:</w:t>
            </w:r>
          </w:p>
          <w:p>
            <w:pPr>
              <w:rPr>
                <w:rFonts w:ascii="Times New Roman" w:hAnsi="Times New Roman"/>
                <w:kern w:val="0"/>
              </w:rPr>
            </w:pPr>
            <w:r>
              <w:rPr>
                <w:rFonts w:ascii="Times New Roman" w:hAnsi="Times New Roman"/>
                <w:kern w:val="0"/>
              </w:rPr>
              <w:t xml:space="preserve">                a) yes (select an adequate follow up period for outcome of interest). </w:t>
            </w:r>
          </w:p>
          <w:p>
            <w:pPr>
              <w:rPr>
                <w:rFonts w:ascii="Times New Roman" w:hAnsi="Times New Roman"/>
                <w:kern w:val="0"/>
              </w:rPr>
            </w:pPr>
            <w:r>
              <w:rPr>
                <w:rFonts w:ascii="Times New Roman" w:hAnsi="Times New Roman"/>
                <w:kern w:val="0"/>
              </w:rPr>
              <w:t xml:space="preserve">                b) no.</w:t>
            </w:r>
          </w:p>
          <w:p>
            <w:pPr>
              <w:rPr>
                <w:rFonts w:ascii="Times New Roman" w:hAnsi="Times New Roman"/>
                <w:kern w:val="0"/>
              </w:rPr>
            </w:pPr>
            <w:r>
              <w:rPr>
                <w:rFonts w:ascii="Times New Roman" w:hAnsi="Times New Roman"/>
                <w:kern w:val="0"/>
              </w:rPr>
              <w:t>Adequacy of follow up of cohorts:</w:t>
            </w:r>
          </w:p>
          <w:p>
            <w:pPr>
              <w:rPr>
                <w:rFonts w:ascii="Times New Roman" w:hAnsi="Times New Roman"/>
                <w:kern w:val="0"/>
              </w:rPr>
            </w:pPr>
            <w:r>
              <w:rPr>
                <w:rFonts w:ascii="Times New Roman" w:hAnsi="Times New Roman"/>
                <w:kern w:val="0"/>
              </w:rPr>
              <w:t xml:space="preserve">                a) complete follow up - all subjects account for. </w:t>
            </w:r>
          </w:p>
          <w:p>
            <w:pPr>
              <w:ind w:left="630" w:hanging="630" w:hangingChars="300"/>
              <w:rPr>
                <w:rFonts w:ascii="Times New Roman" w:hAnsi="Times New Roman"/>
                <w:kern w:val="0"/>
              </w:rPr>
            </w:pPr>
            <w:r>
              <w:rPr>
                <w:rFonts w:ascii="Times New Roman" w:hAnsi="Times New Roman"/>
                <w:kern w:val="0"/>
              </w:rPr>
              <w:t xml:space="preserve">                b) subjects lost to follow up unlikely to introduce bias - small number lost - &gt; </w:t>
            </w:r>
            <w:r>
              <w:rPr>
                <w:rFonts w:ascii="Times New Roman" w:hAnsi="Times New Roman"/>
                <w:kern w:val="0"/>
                <w:u w:val="single"/>
              </w:rPr>
              <w:t>90 %</w:t>
            </w:r>
            <w:r>
              <w:rPr>
                <w:rFonts w:ascii="Times New Roman" w:hAnsi="Times New Roman"/>
                <w:kern w:val="0"/>
              </w:rPr>
              <w:t xml:space="preserve"> (select an adequate %)</w:t>
            </w:r>
            <w:r>
              <w:rPr>
                <w:rFonts w:ascii="Times New Roman" w:hAnsi="Times New Roman"/>
                <w:color w:val="FFFFFF"/>
                <w:kern w:val="0"/>
              </w:rPr>
              <w:t xml:space="preserve"> </w:t>
            </w:r>
            <w:r>
              <w:rPr>
                <w:rFonts w:ascii="Times New Roman" w:hAnsi="Times New Roman"/>
                <w:kern w:val="0"/>
              </w:rPr>
              <w:t xml:space="preserve">follow up, or description provided of those lost). </w:t>
            </w:r>
          </w:p>
          <w:p>
            <w:pPr>
              <w:rPr>
                <w:rFonts w:ascii="Times New Roman" w:hAnsi="Times New Roman"/>
                <w:kern w:val="0"/>
              </w:rPr>
            </w:pPr>
            <w:r>
              <w:rPr>
                <w:rFonts w:ascii="Times New Roman" w:hAnsi="Times New Roman"/>
                <w:kern w:val="0"/>
              </w:rPr>
              <w:t xml:space="preserve">                c) follow-up rate &lt;</w:t>
            </w:r>
            <w:r>
              <w:rPr>
                <w:rFonts w:ascii="Times New Roman" w:hAnsi="Times New Roman"/>
                <w:kern w:val="0"/>
                <w:u w:val="single"/>
              </w:rPr>
              <w:t xml:space="preserve"> 90 </w:t>
            </w:r>
            <w:r>
              <w:rPr>
                <w:rFonts w:ascii="Times New Roman" w:hAnsi="Times New Roman"/>
                <w:kern w:val="0"/>
              </w:rPr>
              <w:t xml:space="preserve">% (select an adequate %) and no description of those lost. </w:t>
            </w:r>
          </w:p>
          <w:p>
            <w:pPr>
              <w:rPr>
                <w:rFonts w:ascii="Times New Roman" w:hAnsi="Times New Roman"/>
                <w:bCs/>
                <w:kern w:val="0"/>
              </w:rPr>
            </w:pPr>
            <w:r>
              <w:rPr>
                <w:rFonts w:ascii="Times New Roman" w:hAnsi="Times New Roman"/>
                <w:kern w:val="0"/>
              </w:rPr>
              <w:t xml:space="preserve">                d) no statement</w:t>
            </w:r>
          </w:p>
        </w:tc>
      </w:tr>
    </w:tbl>
    <w:p>
      <w:pPr>
        <w:rPr>
          <w:rFonts w:ascii="Times New Roman" w:hAnsi="Times New Roman"/>
          <w:bCs/>
          <w:sz w:val="24"/>
          <w:szCs w:val="24"/>
        </w:rPr>
      </w:pPr>
      <w:r>
        <w:rPr>
          <w:rFonts w:ascii="Times New Roman" w:hAnsi="Times New Roman"/>
          <w:bCs/>
        </w:rPr>
        <w:br w:type="page"/>
      </w:r>
      <w:r>
        <w:rPr>
          <w:rFonts w:ascii="Times New Roman" w:hAnsi="Times New Roman"/>
          <w:bCs/>
        </w:rPr>
        <w:t xml:space="preserve"> </w:t>
      </w:r>
      <w:r>
        <w:rPr>
          <w:rFonts w:ascii="Times New Roman" w:hAnsi="Times New Roman"/>
          <w:b/>
          <w:sz w:val="24"/>
          <w:szCs w:val="24"/>
        </w:rPr>
        <w:t xml:space="preserve">Table S4. </w:t>
      </w:r>
      <w:r>
        <w:rPr>
          <w:rFonts w:ascii="Times New Roman" w:hAnsi="Times New Roman"/>
          <w:bCs/>
          <w:sz w:val="24"/>
          <w:szCs w:val="24"/>
        </w:rPr>
        <w:t>Newcastle-Ottawa Quality Assessment Scale adapted for cross-sectional studies. This scale has been adapted from the Newcastle-Ottawa Quality Assessment Scale for cohort studies to perform a quality assessment of cross-sectional studies for the systematic review.</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04" w:type="dxa"/>
            <w:tcBorders>
              <w:top w:val="single" w:color="auto" w:sz="4" w:space="0"/>
              <w:left w:val="single" w:color="auto" w:sz="4" w:space="0"/>
              <w:bottom w:val="single" w:color="auto" w:sz="4" w:space="0"/>
              <w:right w:val="single" w:color="auto" w:sz="4" w:space="0"/>
            </w:tcBorders>
          </w:tcPr>
          <w:p>
            <w:pPr>
              <w:rPr>
                <w:rFonts w:ascii="Times New Roman" w:hAnsi="Times New Roman"/>
                <w:kern w:val="0"/>
              </w:rPr>
            </w:pPr>
            <w:r>
              <w:rPr>
                <w:rFonts w:ascii="Times New Roman" w:hAnsi="Times New Roman"/>
                <w:b/>
                <w:kern w:val="0"/>
              </w:rPr>
              <w:t xml:space="preserve">Selection: </w:t>
            </w:r>
            <w:r>
              <w:rPr>
                <w:rFonts w:ascii="Times New Roman" w:hAnsi="Times New Roman"/>
                <w:kern w:val="0"/>
              </w:rPr>
              <w:t>(Maximum 5 stars)</w:t>
            </w:r>
          </w:p>
          <w:p>
            <w:pPr>
              <w:rPr>
                <w:rFonts w:ascii="Times New Roman" w:hAnsi="Times New Roman"/>
                <w:kern w:val="0"/>
              </w:rPr>
            </w:pPr>
            <w:r>
              <w:rPr>
                <w:rFonts w:ascii="Times New Roman" w:hAnsi="Times New Roman"/>
                <w:kern w:val="0"/>
              </w:rPr>
              <w:t>1) Representativeness of the sample:</w:t>
            </w:r>
          </w:p>
          <w:p>
            <w:pPr>
              <w:ind w:left="720"/>
              <w:rPr>
                <w:rFonts w:ascii="Times New Roman" w:hAnsi="Times New Roman"/>
                <w:kern w:val="0"/>
              </w:rPr>
            </w:pPr>
            <w:r>
              <w:rPr>
                <w:rFonts w:ascii="Times New Roman" w:hAnsi="Times New Roman"/>
                <w:kern w:val="0"/>
              </w:rPr>
              <w:t>a) Truly representative of the average in the target population.  (all subjects or random sampling)</w:t>
            </w:r>
          </w:p>
          <w:p>
            <w:pPr>
              <w:ind w:left="720"/>
              <w:rPr>
                <w:rFonts w:ascii="Times New Roman" w:hAnsi="Times New Roman"/>
                <w:kern w:val="0"/>
              </w:rPr>
            </w:pPr>
            <w:r>
              <w:rPr>
                <w:rFonts w:ascii="Times New Roman" w:hAnsi="Times New Roman"/>
                <w:kern w:val="0"/>
              </w:rPr>
              <w:t>b) Somewhat representative of the average in the target population.  (non-random sampling)</w:t>
            </w:r>
          </w:p>
          <w:p>
            <w:pPr>
              <w:ind w:left="720"/>
              <w:rPr>
                <w:rFonts w:ascii="Times New Roman" w:hAnsi="Times New Roman"/>
                <w:kern w:val="0"/>
              </w:rPr>
            </w:pPr>
            <w:r>
              <w:rPr>
                <w:rFonts w:ascii="Times New Roman" w:hAnsi="Times New Roman"/>
                <w:kern w:val="0"/>
              </w:rPr>
              <w:t>c) Selected group of users.</w:t>
            </w:r>
          </w:p>
          <w:p>
            <w:pPr>
              <w:ind w:left="720"/>
              <w:rPr>
                <w:rFonts w:ascii="Times New Roman" w:hAnsi="Times New Roman"/>
                <w:kern w:val="0"/>
              </w:rPr>
            </w:pPr>
            <w:r>
              <w:rPr>
                <w:rFonts w:ascii="Times New Roman" w:hAnsi="Times New Roman"/>
                <w:kern w:val="0"/>
              </w:rPr>
              <w:t>d) No description of the sampling strategy.</w:t>
            </w:r>
          </w:p>
          <w:p>
            <w:pPr>
              <w:rPr>
                <w:rFonts w:ascii="Times New Roman" w:hAnsi="Times New Roman"/>
                <w:kern w:val="0"/>
              </w:rPr>
            </w:pPr>
            <w:r>
              <w:rPr>
                <w:rFonts w:ascii="Times New Roman" w:hAnsi="Times New Roman"/>
                <w:kern w:val="0"/>
              </w:rPr>
              <w:t>2) Sample size:</w:t>
            </w:r>
          </w:p>
          <w:p>
            <w:pPr>
              <w:rPr>
                <w:rFonts w:ascii="Times New Roman" w:hAnsi="Times New Roman"/>
                <w:kern w:val="0"/>
              </w:rPr>
            </w:pPr>
            <w:r>
              <w:rPr>
                <w:rFonts w:ascii="Times New Roman" w:hAnsi="Times New Roman"/>
                <w:kern w:val="0"/>
              </w:rPr>
              <w:t xml:space="preserve">              a) Justified and satisfactory (</w:t>
            </w:r>
            <w:r>
              <w:rPr>
                <w:rFonts w:ascii="Times New Roman" w:hAnsi="Times New Roman"/>
                <w:kern w:val="0"/>
                <w:u w:val="single"/>
              </w:rPr>
              <w:t>&gt; 1000</w:t>
            </w:r>
            <w:r>
              <w:rPr>
                <w:rFonts w:ascii="Times New Roman" w:hAnsi="Times New Roman"/>
                <w:kern w:val="0"/>
              </w:rPr>
              <w:t xml:space="preserve">). </w:t>
            </w:r>
          </w:p>
          <w:p>
            <w:pPr>
              <w:rPr>
                <w:rFonts w:ascii="Times New Roman" w:hAnsi="Times New Roman"/>
                <w:kern w:val="0"/>
              </w:rPr>
            </w:pPr>
            <w:r>
              <w:rPr>
                <w:rFonts w:ascii="Times New Roman" w:hAnsi="Times New Roman"/>
                <w:kern w:val="0"/>
              </w:rPr>
              <w:t xml:space="preserve">              b) Not justified.</w:t>
            </w:r>
          </w:p>
          <w:p>
            <w:pPr>
              <w:rPr>
                <w:rFonts w:ascii="Times New Roman" w:hAnsi="Times New Roman"/>
                <w:kern w:val="0"/>
              </w:rPr>
            </w:pPr>
            <w:r>
              <w:rPr>
                <w:rFonts w:ascii="Times New Roman" w:hAnsi="Times New Roman"/>
                <w:kern w:val="0"/>
              </w:rPr>
              <w:t>3) Non-respondents:</w:t>
            </w:r>
          </w:p>
          <w:p>
            <w:pPr>
              <w:rPr>
                <w:rFonts w:ascii="Times New Roman" w:hAnsi="Times New Roman"/>
                <w:kern w:val="0"/>
              </w:rPr>
            </w:pPr>
            <w:r>
              <w:rPr>
                <w:rFonts w:ascii="Times New Roman" w:hAnsi="Times New Roman"/>
                <w:kern w:val="0"/>
              </w:rPr>
              <w:t xml:space="preserve">              a) Comparability between respondents and non-respondents characteristics is established, and the response rate is satisfactory. </w:t>
            </w:r>
          </w:p>
          <w:p>
            <w:pPr>
              <w:rPr>
                <w:rFonts w:ascii="Times New Roman" w:hAnsi="Times New Roman"/>
                <w:kern w:val="0"/>
              </w:rPr>
            </w:pPr>
            <w:r>
              <w:rPr>
                <w:rFonts w:ascii="Times New Roman" w:hAnsi="Times New Roman"/>
                <w:kern w:val="0"/>
              </w:rPr>
              <w:t xml:space="preserve">              b) The response rate is unsatisfactory, or the comparability between respondents and non-respondents is unsatisfactory.</w:t>
            </w:r>
          </w:p>
          <w:p>
            <w:pPr>
              <w:rPr>
                <w:rFonts w:ascii="Times New Roman" w:hAnsi="Times New Roman"/>
                <w:kern w:val="0"/>
              </w:rPr>
            </w:pPr>
            <w:r>
              <w:rPr>
                <w:rFonts w:ascii="Times New Roman" w:hAnsi="Times New Roman"/>
                <w:kern w:val="0"/>
              </w:rPr>
              <w:t xml:space="preserve">              c) No description of the response rate or the characteristics of the responders and the non-responders.</w:t>
            </w:r>
          </w:p>
          <w:p>
            <w:pPr>
              <w:rPr>
                <w:rFonts w:ascii="Times New Roman" w:hAnsi="Times New Roman"/>
                <w:kern w:val="0"/>
              </w:rPr>
            </w:pPr>
            <w:r>
              <w:rPr>
                <w:rFonts w:ascii="Times New Roman" w:hAnsi="Times New Roman"/>
                <w:kern w:val="0"/>
              </w:rPr>
              <w:t>4) Ascertainment of the exposure (risk factor):</w:t>
            </w:r>
          </w:p>
          <w:p>
            <w:pPr>
              <w:rPr>
                <w:rFonts w:ascii="Times New Roman" w:hAnsi="Times New Roman"/>
                <w:kern w:val="0"/>
              </w:rPr>
            </w:pPr>
            <w:r>
              <w:rPr>
                <w:rFonts w:ascii="Times New Roman" w:hAnsi="Times New Roman"/>
                <w:kern w:val="0"/>
              </w:rPr>
              <w:t xml:space="preserve">               a) Validated measurement tool. </w:t>
            </w:r>
          </w:p>
          <w:p>
            <w:pPr>
              <w:rPr>
                <w:rFonts w:ascii="Times New Roman" w:hAnsi="Times New Roman"/>
                <w:kern w:val="0"/>
              </w:rPr>
            </w:pPr>
            <w:r>
              <w:rPr>
                <w:rFonts w:ascii="Times New Roman" w:hAnsi="Times New Roman"/>
                <w:kern w:val="0"/>
              </w:rPr>
              <w:t xml:space="preserve">               b) Non-validated measurement tool, but the tool is available or described. </w:t>
            </w:r>
          </w:p>
          <w:p>
            <w:pPr>
              <w:rPr>
                <w:rFonts w:ascii="Times New Roman" w:hAnsi="Times New Roman"/>
                <w:kern w:val="0"/>
                <w:sz w:val="18"/>
                <w:szCs w:val="18"/>
              </w:rPr>
            </w:pPr>
            <w:r>
              <w:rPr>
                <w:rFonts w:ascii="Times New Roman" w:hAnsi="Times New Roman"/>
                <w:kern w:val="0"/>
              </w:rPr>
              <w:t xml:space="preserve">               c) No description of the measurement tool.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04" w:type="dxa"/>
            <w:tcBorders>
              <w:top w:val="single" w:color="auto" w:sz="4" w:space="0"/>
              <w:left w:val="single" w:color="auto" w:sz="4" w:space="0"/>
              <w:bottom w:val="single" w:color="auto" w:sz="4" w:space="0"/>
              <w:right w:val="single" w:color="auto" w:sz="4" w:space="0"/>
            </w:tcBorders>
          </w:tcPr>
          <w:p>
            <w:pPr>
              <w:rPr>
                <w:rFonts w:ascii="Times New Roman" w:hAnsi="Times New Roman"/>
                <w:kern w:val="0"/>
              </w:rPr>
            </w:pPr>
            <w:r>
              <w:rPr>
                <w:rFonts w:ascii="Times New Roman" w:hAnsi="Times New Roman"/>
                <w:b/>
                <w:kern w:val="0"/>
              </w:rPr>
              <w:t xml:space="preserve">Comparability: </w:t>
            </w:r>
            <w:r>
              <w:rPr>
                <w:rFonts w:ascii="Times New Roman" w:hAnsi="Times New Roman"/>
                <w:kern w:val="0"/>
              </w:rPr>
              <w:t>(Maximum 2 stars)</w:t>
            </w:r>
          </w:p>
          <w:p>
            <w:pPr>
              <w:rPr>
                <w:rFonts w:ascii="Times New Roman" w:hAnsi="Times New Roman"/>
                <w:kern w:val="0"/>
              </w:rPr>
            </w:pPr>
          </w:p>
          <w:p>
            <w:pPr>
              <w:rPr>
                <w:rFonts w:ascii="Times New Roman" w:hAnsi="Times New Roman"/>
                <w:kern w:val="0"/>
              </w:rPr>
            </w:pPr>
            <w:r>
              <w:rPr>
                <w:rFonts w:ascii="Times New Roman" w:hAnsi="Times New Roman"/>
                <w:kern w:val="0"/>
              </w:rPr>
              <w:t>1) The subjects in different outcome groups are comparable, based on the study design or analysis. Confounding factors are controlled.</w:t>
            </w:r>
          </w:p>
          <w:p>
            <w:pPr>
              <w:rPr>
                <w:rFonts w:ascii="Times New Roman" w:hAnsi="Times New Roman"/>
                <w:kern w:val="0"/>
              </w:rPr>
            </w:pPr>
            <w:r>
              <w:rPr>
                <w:rFonts w:ascii="Times New Roman" w:hAnsi="Times New Roman"/>
                <w:kern w:val="0"/>
              </w:rPr>
              <w:t xml:space="preserve">                a) The study controls for the most important factor (</w:t>
            </w:r>
            <w:r>
              <w:rPr>
                <w:rFonts w:ascii="Times New Roman" w:hAnsi="Times New Roman"/>
                <w:kern w:val="0"/>
                <w:u w:val="single"/>
              </w:rPr>
              <w:t>age, and gender</w:t>
            </w:r>
            <w:r>
              <w:rPr>
                <w:rFonts w:ascii="Times New Roman" w:hAnsi="Times New Roman"/>
                <w:kern w:val="0"/>
              </w:rPr>
              <w:t xml:space="preserve">). </w:t>
            </w:r>
          </w:p>
          <w:p>
            <w:pPr>
              <w:rPr>
                <w:rFonts w:ascii="Times New Roman" w:hAnsi="Times New Roman"/>
                <w:kern w:val="0"/>
              </w:rPr>
            </w:pPr>
            <w:r>
              <w:rPr>
                <w:rFonts w:ascii="Times New Roman" w:hAnsi="Times New Roman"/>
                <w:kern w:val="0"/>
              </w:rPr>
              <w:t xml:space="preserve">                b) The study control for any additional factor (</w:t>
            </w:r>
            <w:r>
              <w:rPr>
                <w:rFonts w:ascii="Times New Roman" w:hAnsi="Times New Roman"/>
                <w:kern w:val="0"/>
                <w:u w:val="single"/>
              </w:rPr>
              <w:t>outdoor activity/outdoor time</w:t>
            </w:r>
            <w:r>
              <w:rPr>
                <w:rFonts w:ascii="Times New Roman" w:hAnsi="Times New Roman"/>
                <w:kern w:val="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04" w:type="dxa"/>
            <w:tcBorders>
              <w:top w:val="single" w:color="auto" w:sz="4" w:space="0"/>
              <w:left w:val="single" w:color="auto" w:sz="4" w:space="0"/>
              <w:bottom w:val="single" w:color="auto" w:sz="4" w:space="0"/>
              <w:right w:val="single" w:color="auto" w:sz="4" w:space="0"/>
            </w:tcBorders>
          </w:tcPr>
          <w:p>
            <w:pPr>
              <w:rPr>
                <w:rFonts w:ascii="Times New Roman" w:hAnsi="Times New Roman"/>
                <w:kern w:val="0"/>
              </w:rPr>
            </w:pPr>
            <w:r>
              <w:rPr>
                <w:rFonts w:ascii="Times New Roman" w:hAnsi="Times New Roman"/>
                <w:b/>
                <w:kern w:val="0"/>
              </w:rPr>
              <w:t xml:space="preserve">Outcome: </w:t>
            </w:r>
            <w:r>
              <w:rPr>
                <w:rFonts w:ascii="Times New Roman" w:hAnsi="Times New Roman"/>
                <w:kern w:val="0"/>
              </w:rPr>
              <w:t>(Maximum 3 stars)</w:t>
            </w:r>
          </w:p>
          <w:p>
            <w:pPr>
              <w:rPr>
                <w:rFonts w:ascii="Times New Roman" w:hAnsi="Times New Roman"/>
                <w:kern w:val="0"/>
              </w:rPr>
            </w:pPr>
            <w:r>
              <w:rPr>
                <w:rFonts w:ascii="Times New Roman" w:hAnsi="Times New Roman"/>
                <w:kern w:val="0"/>
              </w:rPr>
              <w:t>1) Assessment of the outcome:</w:t>
            </w:r>
          </w:p>
          <w:p>
            <w:pPr>
              <w:rPr>
                <w:rFonts w:ascii="Times New Roman" w:hAnsi="Times New Roman"/>
                <w:kern w:val="0"/>
              </w:rPr>
            </w:pPr>
            <w:r>
              <w:rPr>
                <w:rFonts w:ascii="Times New Roman" w:hAnsi="Times New Roman"/>
                <w:kern w:val="0"/>
              </w:rPr>
              <w:t xml:space="preserve">                a) Independent blind assessment. </w:t>
            </w:r>
          </w:p>
          <w:p>
            <w:pPr>
              <w:rPr>
                <w:rFonts w:ascii="Times New Roman" w:hAnsi="Times New Roman"/>
                <w:kern w:val="0"/>
              </w:rPr>
            </w:pPr>
            <w:r>
              <w:rPr>
                <w:rFonts w:ascii="Times New Roman" w:hAnsi="Times New Roman"/>
                <w:kern w:val="0"/>
              </w:rPr>
              <w:t xml:space="preserve">                b) Record linkage. </w:t>
            </w:r>
          </w:p>
          <w:p>
            <w:pPr>
              <w:rPr>
                <w:rFonts w:ascii="Times New Roman" w:hAnsi="Times New Roman"/>
                <w:kern w:val="0"/>
              </w:rPr>
            </w:pPr>
            <w:r>
              <w:rPr>
                <w:rFonts w:ascii="Times New Roman" w:hAnsi="Times New Roman"/>
                <w:kern w:val="0"/>
              </w:rPr>
              <w:t xml:space="preserve">                c) Self report. </w:t>
            </w:r>
          </w:p>
          <w:p>
            <w:pPr>
              <w:rPr>
                <w:rFonts w:ascii="Times New Roman" w:hAnsi="Times New Roman"/>
                <w:kern w:val="0"/>
              </w:rPr>
            </w:pPr>
            <w:r>
              <w:rPr>
                <w:rFonts w:ascii="Times New Roman" w:hAnsi="Times New Roman"/>
                <w:kern w:val="0"/>
              </w:rPr>
              <w:t xml:space="preserve">                d) No description.</w:t>
            </w:r>
          </w:p>
          <w:p>
            <w:pPr>
              <w:rPr>
                <w:rFonts w:ascii="Times New Roman" w:hAnsi="Times New Roman"/>
                <w:kern w:val="0"/>
              </w:rPr>
            </w:pPr>
            <w:r>
              <w:rPr>
                <w:rFonts w:ascii="Times New Roman" w:hAnsi="Times New Roman"/>
                <w:kern w:val="0"/>
              </w:rPr>
              <w:t>2) Statistical test:</w:t>
            </w:r>
          </w:p>
          <w:p>
            <w:pPr>
              <w:rPr>
                <w:rFonts w:ascii="Times New Roman" w:hAnsi="Times New Roman"/>
                <w:kern w:val="0"/>
              </w:rPr>
            </w:pPr>
            <w:r>
              <w:rPr>
                <w:rFonts w:ascii="Times New Roman" w:hAnsi="Times New Roman"/>
                <w:kern w:val="0"/>
              </w:rPr>
              <w:t xml:space="preserve">                a) The statistical test used to analyze the data is clearly described and appropriate, and the measurement of the association is presented, including confidence intervals and the probability level (p value). </w:t>
            </w:r>
          </w:p>
          <w:p>
            <w:pPr>
              <w:rPr>
                <w:rFonts w:ascii="Times New Roman" w:hAnsi="Times New Roman"/>
                <w:kern w:val="0"/>
                <w:sz w:val="18"/>
                <w:szCs w:val="18"/>
              </w:rPr>
            </w:pPr>
            <w:r>
              <w:rPr>
                <w:rFonts w:ascii="Times New Roman" w:hAnsi="Times New Roman"/>
                <w:kern w:val="0"/>
              </w:rPr>
              <w:t xml:space="preserve">                b) The statistical test is not appropriate, not described or incomplete.</w:t>
            </w:r>
          </w:p>
        </w:tc>
      </w:tr>
    </w:tbl>
    <w:p>
      <w:pPr>
        <w:spacing w:line="273" w:lineRule="auto"/>
        <w:rPr>
          <w:rFonts w:ascii="Times New Roman" w:hAnsi="Times New Roman"/>
          <w:bCs/>
          <w:sz w:val="30"/>
          <w:szCs w:val="30"/>
        </w:rPr>
      </w:pPr>
      <w:r>
        <w:rPr>
          <w:rFonts w:ascii="Times New Roman" w:hAnsi="Times New Roman"/>
          <w:bCs/>
        </w:rPr>
        <w:t xml:space="preserve"> </w:t>
      </w:r>
      <w:r>
        <w:rPr>
          <w:rFonts w:ascii="Times New Roman" w:hAnsi="Times New Roman"/>
          <w:bCs/>
        </w:rPr>
        <w:br w:type="page"/>
      </w:r>
      <w:r>
        <w:rPr>
          <w:rFonts w:ascii="Times New Roman" w:hAnsi="Times New Roman"/>
          <w:b/>
          <w:sz w:val="30"/>
          <w:szCs w:val="30"/>
        </w:rPr>
        <w:t xml:space="preserve">Table S5. </w:t>
      </w:r>
      <w:r>
        <w:rPr>
          <w:rFonts w:ascii="Times New Roman" w:hAnsi="Times New Roman"/>
          <w:bCs/>
          <w:sz w:val="30"/>
          <w:szCs w:val="30"/>
        </w:rPr>
        <w:t xml:space="preserve">Reasons for </w:t>
      </w:r>
      <w:r>
        <w:rPr>
          <w:rFonts w:hint="eastAsia" w:ascii="Times New Roman" w:hAnsi="Times New Roman"/>
          <w:bCs/>
          <w:sz w:val="30"/>
          <w:szCs w:val="30"/>
        </w:rPr>
        <w:t>the</w:t>
      </w:r>
      <w:r>
        <w:rPr>
          <w:rFonts w:ascii="Times New Roman" w:hAnsi="Times New Roman"/>
          <w:bCs/>
          <w:sz w:val="30"/>
          <w:szCs w:val="30"/>
        </w:rPr>
        <w:t xml:space="preserve"> exclusion of 20 articles in the full-text rescreening.</w:t>
      </w:r>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2279"/>
        <w:gridCol w:w="1390"/>
        <w:gridCol w:w="9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41"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No.</w:t>
            </w:r>
          </w:p>
        </w:tc>
        <w:tc>
          <w:tcPr>
            <w:tcW w:w="2102"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Studies excluded</w:t>
            </w:r>
          </w:p>
        </w:tc>
        <w:tc>
          <w:tcPr>
            <w:tcW w:w="1384"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PMID</w:t>
            </w:r>
          </w:p>
        </w:tc>
        <w:tc>
          <w:tcPr>
            <w:tcW w:w="9279"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Reasons for exclusion of studies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1</w:t>
            </w:r>
          </w:p>
        </w:tc>
        <w:tc>
          <w:tcPr>
            <w:tcW w:w="2102"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Alvarez-Peregrina et al., 2019</w:t>
            </w:r>
          </w:p>
        </w:tc>
        <w:tc>
          <w:tcPr>
            <w:tcW w:w="1384"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31531234</w:t>
            </w:r>
          </w:p>
        </w:tc>
        <w:tc>
          <w:tcPr>
            <w:tcW w:w="9279" w:type="dxa"/>
            <w:tcBorders>
              <w:top w:val="single" w:color="auto" w:sz="4" w:space="0"/>
              <w:left w:val="single" w:color="auto" w:sz="4" w:space="0"/>
              <w:bottom w:val="single" w:color="auto" w:sz="4" w:space="0"/>
              <w:right w:val="single" w:color="auto" w:sz="4" w:space="0"/>
            </w:tcBorders>
          </w:tcPr>
          <w:p>
            <w:pPr>
              <w:spacing w:line="273" w:lineRule="auto"/>
              <w:jc w:val="left"/>
              <w:rPr>
                <w:rFonts w:ascii="Times New Roman" w:hAnsi="Times New Roman"/>
                <w:bCs/>
                <w:kern w:val="0"/>
                <w:sz w:val="28"/>
                <w:szCs w:val="28"/>
              </w:rPr>
            </w:pPr>
            <w:r>
              <w:rPr>
                <w:rFonts w:ascii="Times New Roman" w:hAnsi="Times New Roman"/>
                <w:bCs/>
                <w:kern w:val="0"/>
                <w:sz w:val="28"/>
                <w:szCs w:val="28"/>
              </w:rPr>
              <w:t>This article did not provide a valuable effect value. Multivariate logistic regression was not used to analyze the probability of being myopic, and estimating ORs (95CIs) were not presented.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2</w:t>
            </w:r>
          </w:p>
        </w:tc>
        <w:tc>
          <w:tcPr>
            <w:tcW w:w="2102"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Foreman et al., 2021</w:t>
            </w:r>
          </w:p>
        </w:tc>
        <w:tc>
          <w:tcPr>
            <w:tcW w:w="1384"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34625399</w:t>
            </w:r>
          </w:p>
        </w:tc>
        <w:tc>
          <w:tcPr>
            <w:tcW w:w="9279" w:type="dxa"/>
            <w:tcBorders>
              <w:top w:val="single" w:color="auto" w:sz="4" w:space="0"/>
              <w:left w:val="single" w:color="auto" w:sz="4" w:space="0"/>
              <w:bottom w:val="single" w:color="auto" w:sz="4" w:space="0"/>
              <w:right w:val="single" w:color="auto" w:sz="4" w:space="0"/>
            </w:tcBorders>
          </w:tcPr>
          <w:p>
            <w:pPr>
              <w:spacing w:line="273" w:lineRule="auto"/>
              <w:jc w:val="left"/>
              <w:rPr>
                <w:rFonts w:ascii="Times New Roman" w:hAnsi="Times New Roman"/>
                <w:bCs/>
                <w:kern w:val="0"/>
                <w:sz w:val="28"/>
                <w:szCs w:val="28"/>
              </w:rPr>
            </w:pPr>
            <w:r>
              <w:rPr>
                <w:rFonts w:ascii="Times New Roman" w:hAnsi="Times New Roman"/>
                <w:bCs/>
                <w:kern w:val="0"/>
                <w:sz w:val="28"/>
                <w:szCs w:val="28"/>
              </w:rPr>
              <w:t>This article is a systematic review and meta-analysis.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3</w:t>
            </w:r>
          </w:p>
        </w:tc>
        <w:tc>
          <w:tcPr>
            <w:tcW w:w="2102"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Hsu et al., 2016</w:t>
            </w:r>
          </w:p>
        </w:tc>
        <w:tc>
          <w:tcPr>
            <w:tcW w:w="1384"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27349942</w:t>
            </w:r>
          </w:p>
        </w:tc>
        <w:tc>
          <w:tcPr>
            <w:tcW w:w="9279" w:type="dxa"/>
            <w:tcBorders>
              <w:top w:val="single" w:color="auto" w:sz="4" w:space="0"/>
              <w:left w:val="single" w:color="auto" w:sz="4" w:space="0"/>
              <w:bottom w:val="single" w:color="auto" w:sz="4" w:space="0"/>
              <w:right w:val="single" w:color="auto" w:sz="4" w:space="0"/>
            </w:tcBorders>
          </w:tcPr>
          <w:p>
            <w:pPr>
              <w:spacing w:line="273" w:lineRule="auto"/>
              <w:jc w:val="left"/>
              <w:rPr>
                <w:rFonts w:ascii="Times New Roman" w:hAnsi="Times New Roman"/>
                <w:bCs/>
                <w:kern w:val="0"/>
                <w:sz w:val="28"/>
                <w:szCs w:val="28"/>
              </w:rPr>
            </w:pPr>
            <w:r>
              <w:rPr>
                <w:rFonts w:ascii="Times New Roman" w:hAnsi="Times New Roman"/>
                <w:bCs/>
                <w:kern w:val="0"/>
                <w:sz w:val="28"/>
                <w:szCs w:val="28"/>
              </w:rPr>
              <w:t>This article did not provide a clear screen time, and the classification only includes yes or no/unknown.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4</w:t>
            </w:r>
          </w:p>
        </w:tc>
        <w:tc>
          <w:tcPr>
            <w:tcW w:w="2102"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Hsu et al., 2017</w:t>
            </w:r>
          </w:p>
        </w:tc>
        <w:tc>
          <w:tcPr>
            <w:tcW w:w="1384"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28315834</w:t>
            </w:r>
          </w:p>
        </w:tc>
        <w:tc>
          <w:tcPr>
            <w:tcW w:w="9279" w:type="dxa"/>
            <w:tcBorders>
              <w:top w:val="single" w:color="auto" w:sz="4" w:space="0"/>
              <w:left w:val="single" w:color="auto" w:sz="4" w:space="0"/>
              <w:bottom w:val="single" w:color="auto" w:sz="4" w:space="0"/>
              <w:right w:val="single" w:color="auto" w:sz="4" w:space="0"/>
            </w:tcBorders>
          </w:tcPr>
          <w:p>
            <w:pPr>
              <w:spacing w:line="273" w:lineRule="auto"/>
              <w:jc w:val="left"/>
              <w:rPr>
                <w:rFonts w:ascii="Times New Roman" w:hAnsi="Times New Roman"/>
                <w:bCs/>
                <w:kern w:val="0"/>
                <w:sz w:val="28"/>
                <w:szCs w:val="28"/>
              </w:rPr>
            </w:pPr>
            <w:r>
              <w:rPr>
                <w:rFonts w:ascii="Times New Roman" w:hAnsi="Times New Roman"/>
                <w:bCs/>
                <w:kern w:val="0"/>
                <w:sz w:val="28"/>
                <w:szCs w:val="28"/>
              </w:rPr>
              <w:t>This article did not provide a clear screen time, and the classification only includes yes or no/unknown.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5</w:t>
            </w:r>
          </w:p>
        </w:tc>
        <w:tc>
          <w:tcPr>
            <w:tcW w:w="2102"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Huang et al., 2019</w:t>
            </w:r>
          </w:p>
        </w:tc>
        <w:tc>
          <w:tcPr>
            <w:tcW w:w="1384"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30855486</w:t>
            </w:r>
          </w:p>
        </w:tc>
        <w:tc>
          <w:tcPr>
            <w:tcW w:w="9279" w:type="dxa"/>
            <w:tcBorders>
              <w:top w:val="single" w:color="auto" w:sz="4" w:space="0"/>
              <w:left w:val="single" w:color="auto" w:sz="4" w:space="0"/>
              <w:bottom w:val="single" w:color="auto" w:sz="4" w:space="0"/>
              <w:right w:val="single" w:color="auto" w:sz="4" w:space="0"/>
            </w:tcBorders>
          </w:tcPr>
          <w:p>
            <w:pPr>
              <w:spacing w:line="273" w:lineRule="auto"/>
              <w:jc w:val="left"/>
              <w:rPr>
                <w:rFonts w:ascii="Times New Roman" w:hAnsi="Times New Roman"/>
                <w:bCs/>
                <w:kern w:val="0"/>
                <w:sz w:val="28"/>
                <w:szCs w:val="28"/>
              </w:rPr>
            </w:pPr>
            <w:r>
              <w:rPr>
                <w:rFonts w:ascii="Times New Roman" w:hAnsi="Times New Roman"/>
                <w:bCs/>
                <w:kern w:val="0"/>
                <w:sz w:val="28"/>
                <w:szCs w:val="28"/>
              </w:rPr>
              <w:t>This article did not adjust for confounding factors and not conduct multivariate logistic regression analysis.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6</w:t>
            </w:r>
          </w:p>
        </w:tc>
        <w:tc>
          <w:tcPr>
            <w:tcW w:w="2102"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Jones et al., 2007</w:t>
            </w:r>
          </w:p>
        </w:tc>
        <w:tc>
          <w:tcPr>
            <w:tcW w:w="1384"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17652719</w:t>
            </w:r>
          </w:p>
        </w:tc>
        <w:tc>
          <w:tcPr>
            <w:tcW w:w="9279" w:type="dxa"/>
            <w:tcBorders>
              <w:top w:val="single" w:color="auto" w:sz="4" w:space="0"/>
              <w:left w:val="single" w:color="auto" w:sz="4" w:space="0"/>
              <w:bottom w:val="single" w:color="auto" w:sz="4" w:space="0"/>
              <w:right w:val="single" w:color="auto" w:sz="4" w:space="0"/>
            </w:tcBorders>
          </w:tcPr>
          <w:p>
            <w:pPr>
              <w:spacing w:line="273" w:lineRule="auto"/>
              <w:jc w:val="left"/>
              <w:rPr>
                <w:rFonts w:ascii="Times New Roman" w:hAnsi="Times New Roman"/>
                <w:bCs/>
                <w:kern w:val="0"/>
                <w:sz w:val="28"/>
                <w:szCs w:val="28"/>
              </w:rPr>
            </w:pPr>
            <w:r>
              <w:rPr>
                <w:rFonts w:ascii="Times New Roman" w:hAnsi="Times New Roman"/>
                <w:bCs/>
                <w:kern w:val="0"/>
                <w:sz w:val="28"/>
                <w:szCs w:val="28"/>
              </w:rPr>
              <w:t>This article did not adjust for confounding factors and not conduct multivariate logistic regression analysis.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7</w:t>
            </w:r>
          </w:p>
        </w:tc>
        <w:tc>
          <w:tcPr>
            <w:tcW w:w="2102"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Lanca et al., 2020</w:t>
            </w:r>
          </w:p>
        </w:tc>
        <w:tc>
          <w:tcPr>
            <w:tcW w:w="1384"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31943280</w:t>
            </w:r>
          </w:p>
        </w:tc>
        <w:tc>
          <w:tcPr>
            <w:tcW w:w="9279" w:type="dxa"/>
            <w:tcBorders>
              <w:top w:val="single" w:color="auto" w:sz="4" w:space="0"/>
              <w:left w:val="single" w:color="auto" w:sz="4" w:space="0"/>
              <w:bottom w:val="single" w:color="auto" w:sz="4" w:space="0"/>
              <w:right w:val="single" w:color="auto" w:sz="4" w:space="0"/>
            </w:tcBorders>
          </w:tcPr>
          <w:p>
            <w:pPr>
              <w:spacing w:line="273" w:lineRule="auto"/>
              <w:jc w:val="left"/>
              <w:rPr>
                <w:rFonts w:ascii="Times New Roman" w:hAnsi="Times New Roman"/>
                <w:bCs/>
                <w:kern w:val="0"/>
                <w:sz w:val="28"/>
                <w:szCs w:val="28"/>
              </w:rPr>
            </w:pPr>
            <w:r>
              <w:rPr>
                <w:rFonts w:ascii="Times New Roman" w:hAnsi="Times New Roman"/>
                <w:bCs/>
                <w:kern w:val="0"/>
                <w:sz w:val="28"/>
                <w:szCs w:val="28"/>
              </w:rPr>
              <w:t>This article is a systematic review and meta-analysis.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8</w:t>
            </w:r>
          </w:p>
        </w:tc>
        <w:tc>
          <w:tcPr>
            <w:tcW w:w="2102"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Liu et al., 2021</w:t>
            </w:r>
          </w:p>
        </w:tc>
        <w:tc>
          <w:tcPr>
            <w:tcW w:w="1384"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34113588</w:t>
            </w:r>
          </w:p>
        </w:tc>
        <w:tc>
          <w:tcPr>
            <w:tcW w:w="9279" w:type="dxa"/>
            <w:tcBorders>
              <w:top w:val="single" w:color="auto" w:sz="4" w:space="0"/>
              <w:left w:val="single" w:color="auto" w:sz="4" w:space="0"/>
              <w:bottom w:val="single" w:color="auto" w:sz="4" w:space="0"/>
              <w:right w:val="single" w:color="auto" w:sz="4" w:space="0"/>
            </w:tcBorders>
          </w:tcPr>
          <w:p>
            <w:pPr>
              <w:spacing w:line="273" w:lineRule="auto"/>
              <w:jc w:val="left"/>
              <w:rPr>
                <w:rFonts w:ascii="Times New Roman" w:hAnsi="Times New Roman"/>
                <w:bCs/>
                <w:kern w:val="0"/>
                <w:sz w:val="28"/>
                <w:szCs w:val="28"/>
              </w:rPr>
            </w:pPr>
            <w:r>
              <w:rPr>
                <w:rFonts w:ascii="Times New Roman" w:hAnsi="Times New Roman"/>
                <w:bCs/>
                <w:kern w:val="0"/>
                <w:sz w:val="28"/>
                <w:szCs w:val="28"/>
              </w:rPr>
              <w:t>This article reported the myopia progression, not prevalence.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9</w:t>
            </w:r>
          </w:p>
        </w:tc>
        <w:tc>
          <w:tcPr>
            <w:tcW w:w="2102"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Lu et al., 2009</w:t>
            </w:r>
          </w:p>
        </w:tc>
        <w:tc>
          <w:tcPr>
            <w:tcW w:w="1384"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19506196</w:t>
            </w:r>
          </w:p>
        </w:tc>
        <w:tc>
          <w:tcPr>
            <w:tcW w:w="9279" w:type="dxa"/>
            <w:tcBorders>
              <w:top w:val="single" w:color="auto" w:sz="4" w:space="0"/>
              <w:left w:val="single" w:color="auto" w:sz="4" w:space="0"/>
              <w:bottom w:val="single" w:color="auto" w:sz="4" w:space="0"/>
              <w:right w:val="single" w:color="auto" w:sz="4" w:space="0"/>
            </w:tcBorders>
          </w:tcPr>
          <w:p>
            <w:pPr>
              <w:spacing w:line="273" w:lineRule="auto"/>
              <w:jc w:val="left"/>
              <w:rPr>
                <w:rFonts w:ascii="Times New Roman" w:hAnsi="Times New Roman"/>
                <w:bCs/>
                <w:kern w:val="0"/>
                <w:sz w:val="28"/>
                <w:szCs w:val="28"/>
              </w:rPr>
            </w:pPr>
            <w:r>
              <w:rPr>
                <w:rFonts w:ascii="Times New Roman" w:hAnsi="Times New Roman"/>
                <w:bCs/>
                <w:kern w:val="0"/>
                <w:sz w:val="28"/>
                <w:szCs w:val="28"/>
              </w:rPr>
              <w:t xml:space="preserve">This article did not provide a valuable effect value. Multivariate logistic regression was not used to analyze the probability of being myopic, but estimating ORs (CIs) for </w:t>
            </w:r>
            <w:r>
              <w:rPr>
                <w:rFonts w:hint="eastAsia" w:ascii="Times New Roman" w:hAnsi="Times New Roman"/>
                <w:bCs/>
                <w:kern w:val="0"/>
                <w:sz w:val="28"/>
                <w:szCs w:val="28"/>
              </w:rPr>
              <w:t>the</w:t>
            </w:r>
            <w:r>
              <w:rPr>
                <w:rFonts w:ascii="Times New Roman" w:hAnsi="Times New Roman"/>
                <w:bCs/>
                <w:kern w:val="0"/>
                <w:sz w:val="28"/>
                <w:szCs w:val="28"/>
              </w:rPr>
              <w:t xml:space="preserve"> </w:t>
            </w:r>
            <w:r>
              <w:rPr>
                <w:rFonts w:hint="eastAsia" w:ascii="Times New Roman" w:hAnsi="Times New Roman"/>
                <w:bCs/>
                <w:kern w:val="0"/>
                <w:sz w:val="28"/>
                <w:szCs w:val="28"/>
              </w:rPr>
              <w:t>association</w:t>
            </w:r>
            <w:r>
              <w:rPr>
                <w:rFonts w:ascii="Times New Roman" w:hAnsi="Times New Roman"/>
                <w:bCs/>
                <w:kern w:val="0"/>
                <w:sz w:val="28"/>
                <w:szCs w:val="28"/>
              </w:rPr>
              <w:t xml:space="preserve"> </w:t>
            </w:r>
            <w:r>
              <w:rPr>
                <w:rFonts w:hint="eastAsia" w:ascii="Times New Roman" w:hAnsi="Times New Roman"/>
                <w:bCs/>
                <w:kern w:val="0"/>
                <w:sz w:val="28"/>
                <w:szCs w:val="28"/>
              </w:rPr>
              <w:t>between</w:t>
            </w:r>
            <w:r>
              <w:rPr>
                <w:rFonts w:ascii="Times New Roman" w:hAnsi="Times New Roman"/>
                <w:bCs/>
                <w:kern w:val="0"/>
                <w:sz w:val="28"/>
                <w:szCs w:val="28"/>
              </w:rPr>
              <w:t xml:space="preserve"> watching television (per 1h/d increase) and myopia w</w:t>
            </w:r>
            <w:r>
              <w:rPr>
                <w:rFonts w:hint="eastAsia" w:ascii="Times New Roman" w:hAnsi="Times New Roman"/>
                <w:bCs/>
                <w:kern w:val="0"/>
                <w:sz w:val="28"/>
                <w:szCs w:val="28"/>
              </w:rPr>
              <w:t>ere</w:t>
            </w:r>
            <w:r>
              <w:rPr>
                <w:rFonts w:ascii="Times New Roman" w:hAnsi="Times New Roman"/>
                <w:bCs/>
                <w:kern w:val="0"/>
                <w:sz w:val="28"/>
                <w:szCs w:val="28"/>
              </w:rPr>
              <w:t xml:space="preserve"> not presented.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10</w:t>
            </w:r>
          </w:p>
        </w:tc>
        <w:tc>
          <w:tcPr>
            <w:tcW w:w="2102"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Ma et al., 2022</w:t>
            </w:r>
          </w:p>
        </w:tc>
        <w:tc>
          <w:tcPr>
            <w:tcW w:w="1384"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35695548</w:t>
            </w:r>
          </w:p>
        </w:tc>
        <w:tc>
          <w:tcPr>
            <w:tcW w:w="9279" w:type="dxa"/>
            <w:tcBorders>
              <w:top w:val="single" w:color="auto" w:sz="4" w:space="0"/>
              <w:left w:val="single" w:color="auto" w:sz="4" w:space="0"/>
              <w:bottom w:val="single" w:color="auto" w:sz="4" w:space="0"/>
              <w:right w:val="single" w:color="auto" w:sz="4" w:space="0"/>
            </w:tcBorders>
          </w:tcPr>
          <w:p>
            <w:pPr>
              <w:spacing w:line="273" w:lineRule="auto"/>
              <w:jc w:val="left"/>
              <w:rPr>
                <w:rFonts w:ascii="Times New Roman" w:hAnsi="Times New Roman"/>
                <w:bCs/>
                <w:kern w:val="0"/>
                <w:sz w:val="28"/>
                <w:szCs w:val="28"/>
              </w:rPr>
            </w:pPr>
            <w:r>
              <w:rPr>
                <w:rFonts w:ascii="Times New Roman" w:hAnsi="Times New Roman"/>
                <w:bCs/>
                <w:kern w:val="0"/>
                <w:sz w:val="28"/>
                <w:szCs w:val="28"/>
              </w:rPr>
              <w:t>This article did not provide a valuable effect value. Multivariate logistic regression was not used to analyze the probability of being myopic, and estimating ORs (CIs) were not presented.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11</w:t>
            </w:r>
          </w:p>
        </w:tc>
        <w:tc>
          <w:tcPr>
            <w:tcW w:w="2102"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Matsumura et al., 2022</w:t>
            </w:r>
          </w:p>
        </w:tc>
        <w:tc>
          <w:tcPr>
            <w:tcW w:w="1384"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35812505</w:t>
            </w:r>
          </w:p>
        </w:tc>
        <w:tc>
          <w:tcPr>
            <w:tcW w:w="9279" w:type="dxa"/>
            <w:tcBorders>
              <w:top w:val="single" w:color="auto" w:sz="4" w:space="0"/>
              <w:left w:val="single" w:color="auto" w:sz="4" w:space="0"/>
              <w:bottom w:val="single" w:color="auto" w:sz="4" w:space="0"/>
              <w:right w:val="single" w:color="auto" w:sz="4" w:space="0"/>
            </w:tcBorders>
          </w:tcPr>
          <w:p>
            <w:pPr>
              <w:spacing w:line="273" w:lineRule="auto"/>
              <w:jc w:val="left"/>
              <w:rPr>
                <w:rFonts w:ascii="Times New Roman" w:hAnsi="Times New Roman"/>
                <w:bCs/>
                <w:kern w:val="0"/>
                <w:sz w:val="28"/>
                <w:szCs w:val="28"/>
              </w:rPr>
            </w:pPr>
            <w:r>
              <w:rPr>
                <w:rFonts w:ascii="Times New Roman" w:hAnsi="Times New Roman"/>
                <w:bCs/>
                <w:kern w:val="0"/>
                <w:sz w:val="28"/>
                <w:szCs w:val="28"/>
              </w:rPr>
              <w:t>This article did not provide a valuable effect value. Multivariate logistic regression model was used, but estimating ORs (CIs) were not presented.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12</w:t>
            </w:r>
          </w:p>
        </w:tc>
        <w:tc>
          <w:tcPr>
            <w:tcW w:w="2102"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Saxena et al., 2017</w:t>
            </w:r>
          </w:p>
        </w:tc>
        <w:tc>
          <w:tcPr>
            <w:tcW w:w="1384"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29253002</w:t>
            </w:r>
          </w:p>
        </w:tc>
        <w:tc>
          <w:tcPr>
            <w:tcW w:w="9279" w:type="dxa"/>
            <w:tcBorders>
              <w:top w:val="single" w:color="auto" w:sz="4" w:space="0"/>
              <w:left w:val="single" w:color="auto" w:sz="4" w:space="0"/>
              <w:bottom w:val="single" w:color="auto" w:sz="4" w:space="0"/>
              <w:right w:val="single" w:color="auto" w:sz="4" w:space="0"/>
            </w:tcBorders>
          </w:tcPr>
          <w:p>
            <w:pPr>
              <w:spacing w:line="273" w:lineRule="auto"/>
              <w:jc w:val="left"/>
              <w:rPr>
                <w:rFonts w:ascii="Times New Roman" w:hAnsi="Times New Roman"/>
                <w:bCs/>
                <w:kern w:val="0"/>
                <w:sz w:val="28"/>
                <w:szCs w:val="28"/>
              </w:rPr>
            </w:pPr>
            <w:r>
              <w:rPr>
                <w:rFonts w:ascii="Times New Roman" w:hAnsi="Times New Roman"/>
                <w:bCs/>
                <w:kern w:val="0"/>
                <w:sz w:val="28"/>
                <w:szCs w:val="28"/>
              </w:rPr>
              <w:t>This article reported the myopia progression, not prevalence.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13</w:t>
            </w:r>
          </w:p>
        </w:tc>
        <w:tc>
          <w:tcPr>
            <w:tcW w:w="2102"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Terasaki et al., 2017</w:t>
            </w:r>
          </w:p>
        </w:tc>
        <w:tc>
          <w:tcPr>
            <w:tcW w:w="1384"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28697750</w:t>
            </w:r>
          </w:p>
        </w:tc>
        <w:tc>
          <w:tcPr>
            <w:tcW w:w="9279" w:type="dxa"/>
            <w:tcBorders>
              <w:top w:val="single" w:color="auto" w:sz="4" w:space="0"/>
              <w:left w:val="single" w:color="auto" w:sz="4" w:space="0"/>
              <w:bottom w:val="single" w:color="auto" w:sz="4" w:space="0"/>
              <w:right w:val="single" w:color="auto" w:sz="4" w:space="0"/>
            </w:tcBorders>
          </w:tcPr>
          <w:p>
            <w:pPr>
              <w:spacing w:line="273" w:lineRule="auto"/>
              <w:jc w:val="left"/>
              <w:rPr>
                <w:rFonts w:ascii="Times New Roman" w:hAnsi="Times New Roman"/>
                <w:bCs/>
                <w:kern w:val="0"/>
                <w:sz w:val="28"/>
                <w:szCs w:val="28"/>
              </w:rPr>
            </w:pPr>
            <w:r>
              <w:rPr>
                <w:rFonts w:ascii="Times New Roman" w:hAnsi="Times New Roman"/>
                <w:bCs/>
                <w:kern w:val="0"/>
                <w:sz w:val="28"/>
                <w:szCs w:val="28"/>
              </w:rPr>
              <w:t>This article did not provide a valuable effect value. Logistic regression model was used, but estimating ORs (95%CIs) were not presented.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14</w:t>
            </w:r>
          </w:p>
        </w:tc>
        <w:tc>
          <w:tcPr>
            <w:tcW w:w="2102"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Toh et al., 2020</w:t>
            </w:r>
          </w:p>
        </w:tc>
        <w:tc>
          <w:tcPr>
            <w:tcW w:w="1384"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240" w:lineRule="atLeast"/>
              <w:jc w:val="center"/>
              <w:rPr>
                <w:rFonts w:ascii="Times New Roman" w:hAnsi="Times New Roman"/>
                <w:bCs/>
                <w:kern w:val="0"/>
                <w:sz w:val="28"/>
                <w:szCs w:val="28"/>
              </w:rPr>
            </w:pPr>
            <w:r>
              <w:rPr>
                <w:rFonts w:ascii="Times New Roman" w:hAnsi="Times New Roman"/>
                <w:bCs/>
                <w:kern w:val="0"/>
                <w:sz w:val="28"/>
                <w:szCs w:val="28"/>
              </w:rPr>
              <w:t>32174368</w:t>
            </w:r>
          </w:p>
        </w:tc>
        <w:tc>
          <w:tcPr>
            <w:tcW w:w="9279" w:type="dxa"/>
            <w:tcBorders>
              <w:top w:val="single" w:color="auto" w:sz="4" w:space="0"/>
              <w:left w:val="single" w:color="auto" w:sz="4" w:space="0"/>
              <w:bottom w:val="single" w:color="auto" w:sz="4" w:space="0"/>
              <w:right w:val="single" w:color="auto" w:sz="4" w:space="0"/>
            </w:tcBorders>
          </w:tcPr>
          <w:p>
            <w:pPr>
              <w:spacing w:line="273" w:lineRule="auto"/>
              <w:jc w:val="left"/>
              <w:rPr>
                <w:rFonts w:ascii="Times New Roman" w:hAnsi="Times New Roman"/>
                <w:bCs/>
                <w:kern w:val="0"/>
                <w:sz w:val="28"/>
                <w:szCs w:val="28"/>
              </w:rPr>
            </w:pPr>
            <w:r>
              <w:rPr>
                <w:rFonts w:ascii="Times New Roman" w:hAnsi="Times New Roman"/>
                <w:bCs/>
                <w:kern w:val="0"/>
                <w:sz w:val="28"/>
                <w:szCs w:val="28"/>
              </w:rPr>
              <w:t>This article did not adjust for confounding factors and not conduct multivariate logistic regression analysis.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15</w:t>
            </w:r>
          </w:p>
        </w:tc>
        <w:tc>
          <w:tcPr>
            <w:tcW w:w="2102"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Morgan et al., 2021</w:t>
            </w:r>
          </w:p>
        </w:tc>
        <w:tc>
          <w:tcPr>
            <w:tcW w:w="1384"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33909035</w:t>
            </w:r>
          </w:p>
        </w:tc>
        <w:tc>
          <w:tcPr>
            <w:tcW w:w="9279" w:type="dxa"/>
            <w:tcBorders>
              <w:top w:val="single" w:color="auto" w:sz="4" w:space="0"/>
              <w:left w:val="single" w:color="auto" w:sz="4" w:space="0"/>
              <w:bottom w:val="single" w:color="auto" w:sz="4" w:space="0"/>
              <w:right w:val="single" w:color="auto" w:sz="4" w:space="0"/>
            </w:tcBorders>
          </w:tcPr>
          <w:p>
            <w:pPr>
              <w:spacing w:line="273" w:lineRule="auto"/>
              <w:jc w:val="left"/>
              <w:rPr>
                <w:rFonts w:ascii="Times New Roman" w:hAnsi="Times New Roman"/>
                <w:bCs/>
                <w:kern w:val="0"/>
                <w:sz w:val="28"/>
                <w:szCs w:val="28"/>
              </w:rPr>
            </w:pPr>
            <w:r>
              <w:rPr>
                <w:rFonts w:ascii="Times New Roman" w:hAnsi="Times New Roman"/>
                <w:bCs/>
                <w:kern w:val="0"/>
                <w:sz w:val="28"/>
                <w:szCs w:val="28"/>
              </w:rPr>
              <w:t>This article was a review for the evidence linking increased screen time to myopia.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16</w:t>
            </w:r>
          </w:p>
        </w:tc>
        <w:tc>
          <w:tcPr>
            <w:tcW w:w="2102"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Wang et al., 2021</w:t>
            </w:r>
          </w:p>
        </w:tc>
        <w:tc>
          <w:tcPr>
            <w:tcW w:w="1384" w:type="dxa"/>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33996724</w:t>
            </w:r>
          </w:p>
        </w:tc>
        <w:tc>
          <w:tcPr>
            <w:tcW w:w="9279" w:type="dxa"/>
            <w:tcBorders>
              <w:top w:val="single" w:color="auto" w:sz="4" w:space="0"/>
              <w:left w:val="single" w:color="auto" w:sz="4" w:space="0"/>
              <w:bottom w:val="single" w:color="auto" w:sz="4" w:space="0"/>
              <w:right w:val="single" w:color="auto" w:sz="4" w:space="0"/>
            </w:tcBorders>
          </w:tcPr>
          <w:p>
            <w:pPr>
              <w:spacing w:line="273" w:lineRule="auto"/>
              <w:jc w:val="left"/>
              <w:rPr>
                <w:rFonts w:ascii="Times New Roman" w:hAnsi="Times New Roman"/>
                <w:bCs/>
                <w:kern w:val="0"/>
                <w:sz w:val="28"/>
                <w:szCs w:val="28"/>
              </w:rPr>
            </w:pPr>
            <w:r>
              <w:rPr>
                <w:rFonts w:ascii="Times New Roman" w:hAnsi="Times New Roman"/>
                <w:bCs/>
                <w:kern w:val="0"/>
                <w:sz w:val="28"/>
                <w:szCs w:val="28"/>
              </w:rPr>
              <w:t>This article did not provide a valuable effect value. Logistic regression model was used, but estimating ORs (95%CIs) were not presented.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17</w:t>
            </w:r>
          </w:p>
        </w:tc>
        <w:tc>
          <w:tcPr>
            <w:tcW w:w="0" w:type="auto"/>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Wang et al., 2021</w:t>
            </w:r>
          </w:p>
        </w:tc>
        <w:tc>
          <w:tcPr>
            <w:tcW w:w="0" w:type="auto"/>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33443542</w:t>
            </w:r>
          </w:p>
        </w:tc>
        <w:tc>
          <w:tcPr>
            <w:tcW w:w="9279" w:type="dxa"/>
            <w:tcBorders>
              <w:top w:val="single" w:color="auto" w:sz="4" w:space="0"/>
              <w:left w:val="single" w:color="auto" w:sz="4" w:space="0"/>
              <w:bottom w:val="single" w:color="auto" w:sz="4" w:space="0"/>
              <w:right w:val="single" w:color="auto" w:sz="4" w:space="0"/>
            </w:tcBorders>
          </w:tcPr>
          <w:p>
            <w:pPr>
              <w:spacing w:line="273" w:lineRule="auto"/>
              <w:jc w:val="left"/>
              <w:rPr>
                <w:rFonts w:ascii="Times New Roman" w:hAnsi="Times New Roman"/>
                <w:bCs/>
                <w:kern w:val="0"/>
                <w:sz w:val="28"/>
                <w:szCs w:val="28"/>
              </w:rPr>
            </w:pPr>
            <w:r>
              <w:rPr>
                <w:rFonts w:ascii="Times New Roman" w:hAnsi="Times New Roman"/>
                <w:bCs/>
                <w:kern w:val="0"/>
                <w:sz w:val="28"/>
                <w:szCs w:val="28"/>
              </w:rPr>
              <w:t>This article did not provide a valuable effect value. Multivariate logistic regression was not used to analyses the probability of being myopic, and estimating ORs (95%CIs) were not presented.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18</w:t>
            </w:r>
          </w:p>
        </w:tc>
        <w:tc>
          <w:tcPr>
            <w:tcW w:w="0" w:type="auto"/>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Wong et al., 2021</w:t>
            </w:r>
          </w:p>
        </w:tc>
        <w:tc>
          <w:tcPr>
            <w:tcW w:w="0" w:type="auto"/>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32738229</w:t>
            </w:r>
          </w:p>
        </w:tc>
        <w:tc>
          <w:tcPr>
            <w:tcW w:w="9279" w:type="dxa"/>
            <w:tcBorders>
              <w:top w:val="single" w:color="auto" w:sz="4" w:space="0"/>
              <w:left w:val="single" w:color="auto" w:sz="4" w:space="0"/>
              <w:bottom w:val="single" w:color="auto" w:sz="4" w:space="0"/>
              <w:right w:val="single" w:color="auto" w:sz="4" w:space="0"/>
            </w:tcBorders>
          </w:tcPr>
          <w:p>
            <w:pPr>
              <w:spacing w:line="273" w:lineRule="auto"/>
              <w:jc w:val="left"/>
              <w:rPr>
                <w:rFonts w:ascii="Times New Roman" w:hAnsi="Times New Roman"/>
                <w:bCs/>
                <w:kern w:val="0"/>
                <w:sz w:val="28"/>
                <w:szCs w:val="28"/>
              </w:rPr>
            </w:pPr>
            <w:r>
              <w:rPr>
                <w:rFonts w:ascii="Times New Roman" w:hAnsi="Times New Roman"/>
                <w:bCs/>
                <w:kern w:val="0"/>
                <w:sz w:val="28"/>
                <w:szCs w:val="28"/>
              </w:rPr>
              <w:t>This article was a review for the impact of increased digital device usage arising during the COVID-19 pandemic on myopia.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19</w:t>
            </w:r>
          </w:p>
        </w:tc>
        <w:tc>
          <w:tcPr>
            <w:tcW w:w="0" w:type="auto"/>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Wu et al., 2019</w:t>
            </w:r>
          </w:p>
        </w:tc>
        <w:tc>
          <w:tcPr>
            <w:tcW w:w="0" w:type="auto"/>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20868261</w:t>
            </w:r>
          </w:p>
        </w:tc>
        <w:tc>
          <w:tcPr>
            <w:tcW w:w="9279" w:type="dxa"/>
            <w:tcBorders>
              <w:top w:val="single" w:color="auto" w:sz="4" w:space="0"/>
              <w:left w:val="single" w:color="auto" w:sz="4" w:space="0"/>
              <w:bottom w:val="single" w:color="auto" w:sz="4" w:space="0"/>
              <w:right w:val="single" w:color="auto" w:sz="4" w:space="0"/>
            </w:tcBorders>
          </w:tcPr>
          <w:p>
            <w:pPr>
              <w:spacing w:line="273" w:lineRule="auto"/>
              <w:jc w:val="left"/>
              <w:rPr>
                <w:rFonts w:ascii="Times New Roman" w:hAnsi="Times New Roman"/>
                <w:bCs/>
                <w:kern w:val="0"/>
                <w:sz w:val="28"/>
                <w:szCs w:val="28"/>
              </w:rPr>
            </w:pPr>
            <w:r>
              <w:rPr>
                <w:rFonts w:ascii="Times New Roman" w:hAnsi="Times New Roman"/>
                <w:bCs/>
                <w:kern w:val="0"/>
                <w:sz w:val="28"/>
                <w:szCs w:val="28"/>
              </w:rPr>
              <w:t>This article did not provide a clear screen time, and the classification only includes seldom or none/often.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32"/>
                <w:szCs w:val="32"/>
              </w:rPr>
            </w:pPr>
            <w:r>
              <w:rPr>
                <w:rFonts w:ascii="Times New Roman" w:hAnsi="Times New Roman"/>
                <w:bCs/>
                <w:kern w:val="0"/>
                <w:sz w:val="28"/>
                <w:szCs w:val="28"/>
              </w:rPr>
              <w:t>20</w:t>
            </w:r>
          </w:p>
        </w:tc>
        <w:tc>
          <w:tcPr>
            <w:tcW w:w="0" w:type="auto"/>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Yang et al.,2020</w:t>
            </w:r>
          </w:p>
        </w:tc>
        <w:tc>
          <w:tcPr>
            <w:tcW w:w="0" w:type="auto"/>
            <w:tcBorders>
              <w:top w:val="single" w:color="auto" w:sz="4" w:space="0"/>
              <w:left w:val="single" w:color="auto" w:sz="4" w:space="0"/>
              <w:bottom w:val="single" w:color="auto" w:sz="4" w:space="0"/>
              <w:right w:val="single" w:color="auto" w:sz="4" w:space="0"/>
            </w:tcBorders>
          </w:tcPr>
          <w:p>
            <w:pPr>
              <w:spacing w:line="273" w:lineRule="auto"/>
              <w:jc w:val="center"/>
              <w:rPr>
                <w:rFonts w:ascii="Times New Roman" w:hAnsi="Times New Roman"/>
                <w:bCs/>
                <w:kern w:val="0"/>
                <w:sz w:val="28"/>
                <w:szCs w:val="28"/>
              </w:rPr>
            </w:pPr>
            <w:r>
              <w:rPr>
                <w:rFonts w:ascii="Times New Roman" w:hAnsi="Times New Roman"/>
                <w:bCs/>
                <w:kern w:val="0"/>
                <w:sz w:val="28"/>
                <w:szCs w:val="28"/>
              </w:rPr>
              <w:t>32046062</w:t>
            </w:r>
          </w:p>
        </w:tc>
        <w:tc>
          <w:tcPr>
            <w:tcW w:w="9279" w:type="dxa"/>
            <w:tcBorders>
              <w:top w:val="single" w:color="auto" w:sz="4" w:space="0"/>
              <w:left w:val="single" w:color="auto" w:sz="4" w:space="0"/>
              <w:bottom w:val="single" w:color="auto" w:sz="4" w:space="0"/>
              <w:right w:val="single" w:color="auto" w:sz="4" w:space="0"/>
            </w:tcBorders>
          </w:tcPr>
          <w:p>
            <w:pPr>
              <w:spacing w:line="273" w:lineRule="auto"/>
              <w:jc w:val="left"/>
              <w:rPr>
                <w:rFonts w:ascii="Times New Roman" w:hAnsi="Times New Roman"/>
                <w:bCs/>
                <w:kern w:val="0"/>
                <w:sz w:val="28"/>
                <w:szCs w:val="28"/>
              </w:rPr>
            </w:pPr>
            <w:r>
              <w:rPr>
                <w:rFonts w:ascii="Times New Roman" w:hAnsi="Times New Roman"/>
                <w:bCs/>
                <w:kern w:val="0"/>
                <w:sz w:val="28"/>
                <w:szCs w:val="28"/>
              </w:rPr>
              <w:t>This article did not provide a valuable effect value. Multivariate logistic regression was not used to analyses the probability of being myopic, and estimating ORs (95CIs) were not presented. They applied cox regression model and gave prevalence ratio (PR).</w:t>
            </w:r>
          </w:p>
        </w:tc>
      </w:tr>
    </w:tbl>
    <w:p>
      <w:pPr>
        <w:widowControl/>
        <w:jc w:val="left"/>
        <w:rPr>
          <w:rFonts w:ascii="Times New Roman" w:hAnsi="Times New Roman"/>
          <w:bCs/>
          <w:sz w:val="30"/>
          <w:szCs w:val="30"/>
        </w:rPr>
      </w:pPr>
      <w:r>
        <w:rPr>
          <w:rFonts w:ascii="Times New Roman" w:hAnsi="Times New Roman"/>
          <w:bCs/>
          <w:sz w:val="30"/>
          <w:szCs w:val="30"/>
        </w:rPr>
        <w:br w:type="page"/>
      </w:r>
    </w:p>
    <w:p>
      <w:pPr>
        <w:widowControl/>
        <w:jc w:val="left"/>
        <w:rPr>
          <w:rFonts w:ascii="Times New Roman" w:hAnsi="Times New Roman"/>
          <w:bCs/>
          <w:sz w:val="30"/>
          <w:szCs w:val="30"/>
        </w:rPr>
      </w:pPr>
      <w:r>
        <w:rPr>
          <w:rFonts w:ascii="Times New Roman" w:hAnsi="Times New Roman"/>
          <w:b/>
        </w:rPr>
        <w:t>Table S6.</w:t>
      </w:r>
      <w:r>
        <w:rPr>
          <w:rFonts w:ascii="Times New Roman" w:hAnsi="Times New Roman"/>
          <w:bCs/>
        </w:rPr>
        <w:t xml:space="preserve"> Evaluation of risk of bias using the Newcastle Ottawa Scale (NOS) for 19 observational studies included in the meta-analysis.</w:t>
      </w:r>
    </w:p>
    <w:tbl>
      <w:tblPr>
        <w:tblStyle w:val="3"/>
        <w:tblW w:w="6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3"/>
        <w:gridCol w:w="1685"/>
        <w:gridCol w:w="1560"/>
        <w:gridCol w:w="1022"/>
        <w:gridCol w:w="1705"/>
        <w:gridCol w:w="1875"/>
        <w:gridCol w:w="1704"/>
        <w:gridCol w:w="1467"/>
        <w:gridCol w:w="1262"/>
        <w:gridCol w:w="1364"/>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Align w:val="center"/>
          </w:tcPr>
          <w:p>
            <w:pPr>
              <w:widowControl/>
              <w:rPr>
                <w:rFonts w:ascii="Times New Roman" w:hAnsi="Times New Roman"/>
                <w:bCs/>
                <w:kern w:val="0"/>
              </w:rPr>
            </w:pPr>
            <w:r>
              <w:rPr>
                <w:rFonts w:hint="eastAsia" w:ascii="Times New Roman" w:hAnsi="Times New Roman"/>
                <w:bCs/>
                <w:kern w:val="0"/>
              </w:rPr>
              <w:t>R</w:t>
            </w:r>
            <w:r>
              <w:rPr>
                <w:rFonts w:ascii="Times New Roman" w:hAnsi="Times New Roman"/>
                <w:bCs/>
                <w:kern w:val="0"/>
              </w:rPr>
              <w:t>eference</w:t>
            </w:r>
          </w:p>
        </w:tc>
        <w:tc>
          <w:tcPr>
            <w:tcW w:w="1657" w:type="dxa"/>
            <w:vAlign w:val="center"/>
          </w:tcPr>
          <w:p>
            <w:pPr>
              <w:widowControl/>
              <w:rPr>
                <w:rFonts w:ascii="Times New Roman" w:hAnsi="Times New Roman"/>
                <w:bCs/>
                <w:kern w:val="0"/>
              </w:rPr>
            </w:pPr>
            <w:r>
              <w:rPr>
                <w:rFonts w:hint="eastAsia" w:ascii="Times New Roman" w:hAnsi="Times New Roman"/>
                <w:bCs/>
                <w:kern w:val="0"/>
              </w:rPr>
              <w:t>S</w:t>
            </w:r>
            <w:r>
              <w:rPr>
                <w:rFonts w:ascii="Times New Roman" w:hAnsi="Times New Roman"/>
                <w:bCs/>
                <w:kern w:val="0"/>
              </w:rPr>
              <w:t>tudy design</w:t>
            </w:r>
          </w:p>
        </w:tc>
        <w:tc>
          <w:tcPr>
            <w:tcW w:w="6060" w:type="dxa"/>
            <w:gridSpan w:val="4"/>
            <w:vAlign w:val="center"/>
          </w:tcPr>
          <w:p>
            <w:pPr>
              <w:widowControl/>
              <w:jc w:val="center"/>
              <w:rPr>
                <w:rFonts w:ascii="Times New Roman" w:hAnsi="Times New Roman"/>
                <w:bCs/>
                <w:kern w:val="0"/>
              </w:rPr>
            </w:pPr>
            <w:r>
              <w:rPr>
                <w:rFonts w:hint="eastAsia" w:ascii="Times New Roman" w:hAnsi="Times New Roman"/>
                <w:bCs/>
                <w:kern w:val="0"/>
              </w:rPr>
              <w:t>S</w:t>
            </w:r>
            <w:r>
              <w:rPr>
                <w:rFonts w:ascii="Times New Roman" w:hAnsi="Times New Roman"/>
                <w:bCs/>
                <w:kern w:val="0"/>
              </w:rPr>
              <w:t>election</w:t>
            </w:r>
          </w:p>
        </w:tc>
        <w:tc>
          <w:tcPr>
            <w:tcW w:w="1676" w:type="dxa"/>
            <w:vAlign w:val="center"/>
          </w:tcPr>
          <w:p>
            <w:pPr>
              <w:widowControl/>
              <w:rPr>
                <w:rFonts w:ascii="Times New Roman" w:hAnsi="Times New Roman"/>
                <w:bCs/>
                <w:kern w:val="0"/>
              </w:rPr>
            </w:pPr>
            <w:r>
              <w:rPr>
                <w:rFonts w:hint="eastAsia" w:ascii="Times New Roman" w:hAnsi="Times New Roman"/>
                <w:bCs/>
                <w:kern w:val="0"/>
              </w:rPr>
              <w:t>C</w:t>
            </w:r>
            <w:r>
              <w:rPr>
                <w:rFonts w:ascii="Times New Roman" w:hAnsi="Times New Roman"/>
                <w:bCs/>
                <w:kern w:val="0"/>
              </w:rPr>
              <w:t>omparability</w:t>
            </w:r>
          </w:p>
        </w:tc>
        <w:tc>
          <w:tcPr>
            <w:tcW w:w="4025" w:type="dxa"/>
            <w:gridSpan w:val="3"/>
            <w:vAlign w:val="center"/>
          </w:tcPr>
          <w:p>
            <w:pPr>
              <w:widowControl/>
              <w:jc w:val="center"/>
              <w:rPr>
                <w:rFonts w:ascii="Times New Roman" w:hAnsi="Times New Roman"/>
                <w:bCs/>
                <w:kern w:val="0"/>
              </w:rPr>
            </w:pPr>
            <w:r>
              <w:rPr>
                <w:rFonts w:hint="eastAsia" w:ascii="Times New Roman" w:hAnsi="Times New Roman"/>
                <w:bCs/>
                <w:kern w:val="0"/>
              </w:rPr>
              <w:t>O</w:t>
            </w:r>
            <w:r>
              <w:rPr>
                <w:rFonts w:ascii="Times New Roman" w:hAnsi="Times New Roman"/>
                <w:bCs/>
                <w:kern w:val="0"/>
              </w:rPr>
              <w:t>utcome</w:t>
            </w:r>
          </w:p>
        </w:tc>
        <w:tc>
          <w:tcPr>
            <w:tcW w:w="837" w:type="dxa"/>
            <w:vMerge w:val="restart"/>
            <w:vAlign w:val="center"/>
          </w:tcPr>
          <w:p>
            <w:pPr>
              <w:rPr>
                <w:rFonts w:ascii="Times New Roman" w:hAnsi="Times New Roman"/>
                <w:bCs/>
                <w:kern w:val="0"/>
              </w:rPr>
            </w:pPr>
            <w:r>
              <w:rPr>
                <w:rFonts w:hint="eastAsia" w:ascii="Times New Roman" w:hAnsi="Times New Roman"/>
                <w:bCs/>
                <w:kern w:val="0"/>
                <w:sz w:val="20"/>
              </w:rPr>
              <w:t>T</w:t>
            </w:r>
            <w:r>
              <w:rPr>
                <w:rFonts w:ascii="Times New Roman" w:hAnsi="Times New Roman"/>
                <w:bCs/>
                <w:kern w:val="0"/>
                <w:sz w:val="20"/>
              </w:rPr>
              <w:t xml:space="preserve">otal </w:t>
            </w:r>
            <w:r>
              <w:rPr>
                <w:rFonts w:hint="eastAsia" w:ascii="Times New Roman" w:hAnsi="Times New Roman"/>
                <w:bCs/>
                <w:kern w:val="0"/>
                <w:sz w:val="20"/>
              </w:rPr>
              <w:t>s</w:t>
            </w:r>
            <w:r>
              <w:rPr>
                <w:rFonts w:ascii="Times New Roman" w:hAnsi="Times New Roman"/>
                <w:bCs/>
                <w:kern w:val="0"/>
                <w:sz w:val="20"/>
              </w:rPr>
              <w:t>core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Align w:val="center"/>
          </w:tcPr>
          <w:p>
            <w:pPr>
              <w:widowControl/>
              <w:rPr>
                <w:rFonts w:ascii="Times New Roman" w:hAnsi="Times New Roman"/>
                <w:bCs/>
                <w:kern w:val="0"/>
                <w:sz w:val="20"/>
              </w:rPr>
            </w:pPr>
          </w:p>
        </w:tc>
        <w:tc>
          <w:tcPr>
            <w:tcW w:w="1657" w:type="dxa"/>
            <w:vAlign w:val="center"/>
          </w:tcPr>
          <w:p>
            <w:pPr>
              <w:widowControl/>
              <w:rPr>
                <w:rFonts w:ascii="Times New Roman" w:hAnsi="Times New Roman"/>
                <w:bCs/>
                <w:kern w:val="0"/>
                <w:sz w:val="20"/>
              </w:rPr>
            </w:pPr>
          </w:p>
        </w:tc>
        <w:tc>
          <w:tcPr>
            <w:tcW w:w="1534" w:type="dxa"/>
            <w:vAlign w:val="center"/>
          </w:tcPr>
          <w:p>
            <w:pPr>
              <w:widowControl/>
              <w:rPr>
                <w:rFonts w:ascii="Times New Roman" w:hAnsi="Times New Roman"/>
                <w:bCs/>
                <w:kern w:val="0"/>
                <w:sz w:val="20"/>
              </w:rPr>
            </w:pPr>
            <w:r>
              <w:rPr>
                <w:rFonts w:hint="eastAsia" w:ascii="Times New Roman" w:hAnsi="Times New Roman"/>
                <w:bCs/>
                <w:kern w:val="0"/>
                <w:sz w:val="20"/>
              </w:rPr>
              <w:t>R</w:t>
            </w:r>
            <w:r>
              <w:rPr>
                <w:rFonts w:ascii="Times New Roman" w:hAnsi="Times New Roman"/>
                <w:bCs/>
                <w:kern w:val="0"/>
                <w:sz w:val="20"/>
              </w:rPr>
              <w:t>epresentactive</w:t>
            </w:r>
            <w:r>
              <w:rPr>
                <w:rFonts w:hint="eastAsia" w:ascii="Times New Roman" w:hAnsi="Times New Roman"/>
                <w:bCs/>
                <w:kern w:val="0"/>
                <w:sz w:val="20"/>
              </w:rPr>
              <w:t>-</w:t>
            </w:r>
            <w:r>
              <w:rPr>
                <w:rFonts w:ascii="Times New Roman" w:hAnsi="Times New Roman"/>
                <w:bCs/>
                <w:kern w:val="0"/>
                <w:sz w:val="20"/>
              </w:rPr>
              <w:t>ness of the sample</w:t>
            </w:r>
          </w:p>
        </w:tc>
        <w:tc>
          <w:tcPr>
            <w:tcW w:w="1005" w:type="dxa"/>
            <w:vAlign w:val="center"/>
          </w:tcPr>
          <w:p>
            <w:pPr>
              <w:widowControl/>
              <w:rPr>
                <w:rFonts w:ascii="Times New Roman" w:hAnsi="Times New Roman"/>
                <w:bCs/>
                <w:kern w:val="0"/>
                <w:sz w:val="20"/>
              </w:rPr>
            </w:pPr>
            <w:r>
              <w:rPr>
                <w:rFonts w:hint="eastAsia" w:ascii="Times New Roman" w:hAnsi="Times New Roman"/>
                <w:bCs/>
                <w:kern w:val="0"/>
                <w:sz w:val="20"/>
              </w:rPr>
              <w:t>S</w:t>
            </w:r>
            <w:r>
              <w:rPr>
                <w:rFonts w:ascii="Times New Roman" w:hAnsi="Times New Roman"/>
                <w:bCs/>
                <w:kern w:val="0"/>
                <w:sz w:val="20"/>
              </w:rPr>
              <w:t>ample size</w:t>
            </w:r>
          </w:p>
        </w:tc>
        <w:tc>
          <w:tcPr>
            <w:tcW w:w="1677" w:type="dxa"/>
            <w:vAlign w:val="center"/>
          </w:tcPr>
          <w:p>
            <w:pPr>
              <w:widowControl/>
              <w:rPr>
                <w:rFonts w:ascii="Times New Roman" w:hAnsi="Times New Roman"/>
                <w:bCs/>
                <w:kern w:val="0"/>
                <w:sz w:val="20"/>
              </w:rPr>
            </w:pPr>
            <w:r>
              <w:rPr>
                <w:rFonts w:hint="eastAsia" w:ascii="Times New Roman" w:hAnsi="Times New Roman"/>
                <w:bCs/>
                <w:kern w:val="0"/>
                <w:sz w:val="20"/>
              </w:rPr>
              <w:t>N</w:t>
            </w:r>
            <w:r>
              <w:rPr>
                <w:rFonts w:ascii="Times New Roman" w:hAnsi="Times New Roman"/>
                <w:bCs/>
                <w:kern w:val="0"/>
                <w:sz w:val="20"/>
              </w:rPr>
              <w:t>on-</w:t>
            </w:r>
            <w:r>
              <w:rPr>
                <w:rFonts w:hint="eastAsia" w:ascii="Times New Roman" w:hAnsi="Times New Roman"/>
                <w:bCs/>
                <w:kern w:val="0"/>
                <w:sz w:val="20"/>
              </w:rPr>
              <w:t>r</w:t>
            </w:r>
            <w:r>
              <w:rPr>
                <w:rFonts w:ascii="Times New Roman" w:hAnsi="Times New Roman"/>
                <w:bCs/>
                <w:kern w:val="0"/>
                <w:sz w:val="20"/>
              </w:rPr>
              <w:t>espondents</w:t>
            </w:r>
          </w:p>
        </w:tc>
        <w:tc>
          <w:tcPr>
            <w:tcW w:w="1844" w:type="dxa"/>
            <w:vAlign w:val="center"/>
          </w:tcPr>
          <w:p>
            <w:pPr>
              <w:widowControl/>
              <w:rPr>
                <w:rFonts w:ascii="Times New Roman" w:hAnsi="Times New Roman"/>
                <w:bCs/>
                <w:kern w:val="0"/>
                <w:sz w:val="20"/>
              </w:rPr>
            </w:pPr>
            <w:r>
              <w:rPr>
                <w:rFonts w:hint="eastAsia" w:ascii="Times New Roman" w:hAnsi="Times New Roman"/>
                <w:bCs/>
                <w:kern w:val="0"/>
                <w:sz w:val="20"/>
              </w:rPr>
              <w:t>A</w:t>
            </w:r>
            <w:r>
              <w:rPr>
                <w:rFonts w:ascii="Times New Roman" w:hAnsi="Times New Roman"/>
                <w:bCs/>
                <w:kern w:val="0"/>
                <w:sz w:val="20"/>
              </w:rPr>
              <w:t>scertainment of exposure</w:t>
            </w:r>
          </w:p>
        </w:tc>
        <w:tc>
          <w:tcPr>
            <w:tcW w:w="1676" w:type="dxa"/>
            <w:vAlign w:val="center"/>
          </w:tcPr>
          <w:p>
            <w:pPr>
              <w:widowControl/>
              <w:rPr>
                <w:rFonts w:ascii="Times New Roman" w:hAnsi="Times New Roman"/>
                <w:bCs/>
                <w:kern w:val="0"/>
                <w:sz w:val="20"/>
              </w:rPr>
            </w:pPr>
            <w:r>
              <w:rPr>
                <w:rFonts w:hint="eastAsia" w:ascii="Times New Roman" w:hAnsi="Times New Roman"/>
                <w:bCs/>
                <w:kern w:val="0"/>
                <w:sz w:val="20"/>
              </w:rPr>
              <w:t>B</w:t>
            </w:r>
            <w:r>
              <w:rPr>
                <w:rFonts w:ascii="Times New Roman" w:hAnsi="Times New Roman"/>
                <w:bCs/>
                <w:kern w:val="0"/>
                <w:sz w:val="20"/>
              </w:rPr>
              <w:t>ased on design and analysis</w:t>
            </w:r>
          </w:p>
        </w:tc>
        <w:tc>
          <w:tcPr>
            <w:tcW w:w="1443" w:type="dxa"/>
            <w:vAlign w:val="center"/>
          </w:tcPr>
          <w:p>
            <w:pPr>
              <w:widowControl/>
              <w:rPr>
                <w:rFonts w:ascii="Times New Roman" w:hAnsi="Times New Roman"/>
                <w:bCs/>
                <w:kern w:val="0"/>
                <w:sz w:val="20"/>
              </w:rPr>
            </w:pPr>
            <w:r>
              <w:rPr>
                <w:rFonts w:hint="eastAsia" w:ascii="Times New Roman" w:hAnsi="Times New Roman"/>
                <w:bCs/>
                <w:kern w:val="0"/>
                <w:sz w:val="20"/>
              </w:rPr>
              <w:t>A</w:t>
            </w:r>
            <w:r>
              <w:rPr>
                <w:rFonts w:ascii="Times New Roman" w:hAnsi="Times New Roman"/>
                <w:bCs/>
                <w:kern w:val="0"/>
                <w:sz w:val="20"/>
              </w:rPr>
              <w:t xml:space="preserve">ssessment </w:t>
            </w:r>
            <w:r>
              <w:rPr>
                <w:rFonts w:hint="eastAsia" w:ascii="Times New Roman" w:hAnsi="Times New Roman"/>
                <w:bCs/>
                <w:kern w:val="0"/>
                <w:sz w:val="20"/>
              </w:rPr>
              <w:t>o</w:t>
            </w:r>
            <w:r>
              <w:rPr>
                <w:rFonts w:ascii="Times New Roman" w:hAnsi="Times New Roman"/>
                <w:bCs/>
                <w:kern w:val="0"/>
                <w:sz w:val="20"/>
              </w:rPr>
              <w:t>f outcome</w:t>
            </w:r>
          </w:p>
        </w:tc>
        <w:tc>
          <w:tcPr>
            <w:tcW w:w="1241" w:type="dxa"/>
            <w:vAlign w:val="center"/>
          </w:tcPr>
          <w:p>
            <w:pPr>
              <w:widowControl/>
              <w:rPr>
                <w:rFonts w:ascii="Times New Roman" w:hAnsi="Times New Roman"/>
                <w:bCs/>
                <w:kern w:val="0"/>
                <w:sz w:val="20"/>
              </w:rPr>
            </w:pPr>
          </w:p>
        </w:tc>
        <w:tc>
          <w:tcPr>
            <w:tcW w:w="1341" w:type="dxa"/>
            <w:vAlign w:val="center"/>
          </w:tcPr>
          <w:p>
            <w:pPr>
              <w:widowControl/>
              <w:rPr>
                <w:rFonts w:ascii="Times New Roman" w:hAnsi="Times New Roman"/>
                <w:bCs/>
                <w:kern w:val="0"/>
                <w:sz w:val="20"/>
              </w:rPr>
            </w:pPr>
            <w:r>
              <w:rPr>
                <w:rFonts w:hint="eastAsia" w:ascii="Times New Roman" w:hAnsi="Times New Roman"/>
                <w:bCs/>
                <w:kern w:val="0"/>
                <w:sz w:val="20"/>
              </w:rPr>
              <w:t>S</w:t>
            </w:r>
            <w:r>
              <w:rPr>
                <w:rFonts w:ascii="Times New Roman" w:hAnsi="Times New Roman"/>
                <w:bCs/>
                <w:kern w:val="0"/>
                <w:sz w:val="20"/>
              </w:rPr>
              <w:t xml:space="preserve">tatistical </w:t>
            </w:r>
            <w:r>
              <w:rPr>
                <w:rFonts w:hint="eastAsia" w:ascii="Times New Roman" w:hAnsi="Times New Roman"/>
                <w:bCs/>
                <w:kern w:val="0"/>
                <w:sz w:val="20"/>
              </w:rPr>
              <w:t>t</w:t>
            </w:r>
            <w:r>
              <w:rPr>
                <w:rFonts w:ascii="Times New Roman" w:hAnsi="Times New Roman"/>
                <w:bCs/>
                <w:kern w:val="0"/>
                <w:sz w:val="20"/>
              </w:rPr>
              <w:t>est</w:t>
            </w:r>
          </w:p>
        </w:tc>
        <w:tc>
          <w:tcPr>
            <w:tcW w:w="837" w:type="dxa"/>
            <w:vMerge w:val="continue"/>
            <w:vAlign w:val="center"/>
          </w:tcPr>
          <w:p>
            <w:pPr>
              <w:widowControl/>
              <w:rPr>
                <w:rFonts w:ascii="Times New Roman" w:hAnsi="Times New Roman"/>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Align w:val="center"/>
          </w:tcPr>
          <w:p>
            <w:pPr>
              <w:widowControl/>
              <w:rPr>
                <w:rFonts w:ascii="Times New Roman" w:hAnsi="Times New Roman"/>
                <w:bCs/>
                <w:kern w:val="0"/>
              </w:rPr>
            </w:pPr>
            <w:r>
              <w:rPr>
                <w:rFonts w:hint="eastAsia" w:ascii="Times New Roman" w:hAnsi="Times New Roman"/>
                <w:bCs/>
                <w:kern w:val="0"/>
              </w:rPr>
              <w:t>Berticat</w:t>
            </w:r>
            <w:r>
              <w:rPr>
                <w:rFonts w:ascii="Times New Roman" w:hAnsi="Times New Roman"/>
                <w:bCs/>
                <w:kern w:val="0"/>
              </w:rPr>
              <w:t xml:space="preserve"> </w:t>
            </w:r>
            <w:r>
              <w:rPr>
                <w:rFonts w:hint="eastAsia" w:ascii="Times New Roman" w:hAnsi="Times New Roman"/>
                <w:bCs/>
                <w:kern w:val="0"/>
              </w:rPr>
              <w:t>et</w:t>
            </w:r>
            <w:r>
              <w:rPr>
                <w:rFonts w:ascii="Times New Roman" w:hAnsi="Times New Roman"/>
                <w:bCs/>
                <w:kern w:val="0"/>
              </w:rPr>
              <w:t xml:space="preserve"> </w:t>
            </w:r>
            <w:r>
              <w:rPr>
                <w:rFonts w:hint="eastAsia" w:ascii="Times New Roman" w:hAnsi="Times New Roman"/>
                <w:bCs/>
                <w:kern w:val="0"/>
              </w:rPr>
              <w:t>al</w:t>
            </w:r>
            <w:r>
              <w:rPr>
                <w:rFonts w:ascii="Times New Roman" w:hAnsi="Times New Roman"/>
                <w:bCs/>
                <w:kern w:val="0"/>
              </w:rPr>
              <w:t>., 2020</w:t>
            </w:r>
          </w:p>
        </w:tc>
        <w:tc>
          <w:tcPr>
            <w:tcW w:w="1657" w:type="dxa"/>
            <w:vAlign w:val="center"/>
          </w:tcPr>
          <w:p>
            <w:pPr>
              <w:widowControl/>
              <w:rPr>
                <w:rFonts w:ascii="Times New Roman" w:hAnsi="Times New Roman"/>
                <w:bCs/>
                <w:kern w:val="0"/>
              </w:rPr>
            </w:pPr>
            <w:r>
              <w:rPr>
                <w:rFonts w:hint="eastAsia" w:ascii="Times New Roman" w:hAnsi="Times New Roman"/>
                <w:bCs/>
                <w:kern w:val="0"/>
              </w:rPr>
              <w:t>C</w:t>
            </w:r>
            <w:r>
              <w:rPr>
                <w:rFonts w:ascii="Times New Roman" w:hAnsi="Times New Roman"/>
                <w:bCs/>
                <w:kern w:val="0"/>
              </w:rPr>
              <w:t>ross-sectional</w:t>
            </w:r>
          </w:p>
        </w:tc>
        <w:tc>
          <w:tcPr>
            <w:tcW w:w="1534"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005" w:type="dxa"/>
            <w:vAlign w:val="center"/>
          </w:tcPr>
          <w:p>
            <w:pPr>
              <w:widowControl/>
              <w:jc w:val="center"/>
              <w:rPr>
                <w:rFonts w:ascii="Times New Roman" w:hAnsi="Times New Roman"/>
                <w:bCs/>
                <w:kern w:val="0"/>
              </w:rPr>
            </w:pPr>
          </w:p>
        </w:tc>
        <w:tc>
          <w:tcPr>
            <w:tcW w:w="1677"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844"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676"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443" w:type="dxa"/>
            <w:vAlign w:val="center"/>
          </w:tcPr>
          <w:p>
            <w:pPr>
              <w:jc w:val="center"/>
              <w:rPr>
                <w:kern w:val="0"/>
                <w:sz w:val="24"/>
                <w:szCs w:val="24"/>
              </w:rPr>
            </w:pPr>
            <w:r>
              <w:rPr>
                <w:rFonts w:hint="eastAsia" w:ascii="MS Gothic" w:hAnsi="MS Gothic" w:eastAsia="MS Gothic" w:cs="MS Gothic"/>
                <w:kern w:val="0"/>
                <w:sz w:val="24"/>
                <w:szCs w:val="24"/>
              </w:rPr>
              <w:t>⋆⋆</w:t>
            </w:r>
          </w:p>
        </w:tc>
        <w:tc>
          <w:tcPr>
            <w:tcW w:w="1241" w:type="dxa"/>
            <w:vAlign w:val="center"/>
          </w:tcPr>
          <w:p>
            <w:pPr>
              <w:widowControl/>
              <w:jc w:val="center"/>
              <w:rPr>
                <w:rFonts w:ascii="Times New Roman" w:hAnsi="Times New Roman"/>
                <w:bCs/>
                <w:kern w:val="0"/>
              </w:rPr>
            </w:pPr>
          </w:p>
        </w:tc>
        <w:tc>
          <w:tcPr>
            <w:tcW w:w="1341"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837" w:type="dxa"/>
            <w:vAlign w:val="center"/>
          </w:tcPr>
          <w:p>
            <w:pPr>
              <w:widowControl/>
              <w:rPr>
                <w:rFonts w:ascii="Times New Roman" w:hAnsi="Times New Roman"/>
                <w:bCs/>
                <w:kern w:val="0"/>
              </w:rPr>
            </w:pPr>
            <w:r>
              <w:rPr>
                <w:rFonts w:hint="eastAsia" w:ascii="Times New Roman" w:hAnsi="Times New Roman"/>
                <w:bCs/>
                <w:kern w:val="0"/>
              </w:rPr>
              <w:t>8</w:t>
            </w:r>
            <w:r>
              <w:rPr>
                <w:rFonts w:ascii="Times New Roman" w:hAnsi="Times New Roman"/>
                <w:bCs/>
                <w:kern w:val="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Align w:val="center"/>
          </w:tcPr>
          <w:p>
            <w:pPr>
              <w:widowControl/>
              <w:rPr>
                <w:rFonts w:ascii="Times New Roman" w:hAnsi="Times New Roman"/>
                <w:bCs/>
                <w:kern w:val="0"/>
              </w:rPr>
            </w:pPr>
            <w:r>
              <w:rPr>
                <w:rFonts w:hint="eastAsia" w:ascii="Times New Roman" w:hAnsi="Times New Roman"/>
                <w:bCs/>
                <w:kern w:val="0"/>
              </w:rPr>
              <w:t>C</w:t>
            </w:r>
            <w:r>
              <w:rPr>
                <w:rFonts w:ascii="Times New Roman" w:hAnsi="Times New Roman"/>
                <w:bCs/>
                <w:kern w:val="0"/>
              </w:rPr>
              <w:t>hiang et al., 2019</w:t>
            </w:r>
          </w:p>
        </w:tc>
        <w:tc>
          <w:tcPr>
            <w:tcW w:w="1657" w:type="dxa"/>
            <w:vAlign w:val="center"/>
          </w:tcPr>
          <w:p>
            <w:pPr>
              <w:widowControl/>
              <w:rPr>
                <w:rFonts w:ascii="Times New Roman" w:hAnsi="Times New Roman"/>
                <w:bCs/>
                <w:kern w:val="0"/>
              </w:rPr>
            </w:pPr>
            <w:r>
              <w:rPr>
                <w:rFonts w:hint="eastAsia" w:ascii="Times New Roman" w:hAnsi="Times New Roman"/>
                <w:bCs/>
                <w:kern w:val="0"/>
              </w:rPr>
              <w:t>C</w:t>
            </w:r>
            <w:r>
              <w:rPr>
                <w:rFonts w:ascii="Times New Roman" w:hAnsi="Times New Roman"/>
                <w:bCs/>
                <w:kern w:val="0"/>
              </w:rPr>
              <w:t>ross-sectional</w:t>
            </w:r>
          </w:p>
        </w:tc>
        <w:tc>
          <w:tcPr>
            <w:tcW w:w="1534"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005"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677"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844"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676" w:type="dxa"/>
            <w:vAlign w:val="center"/>
          </w:tcPr>
          <w:p>
            <w:pPr>
              <w:widowControl/>
              <w:jc w:val="center"/>
              <w:rPr>
                <w:rFonts w:ascii="Times New Roman" w:hAnsi="Times New Roman"/>
                <w:bCs/>
                <w:kern w:val="0"/>
              </w:rPr>
            </w:pPr>
          </w:p>
        </w:tc>
        <w:tc>
          <w:tcPr>
            <w:tcW w:w="1443"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241" w:type="dxa"/>
            <w:vAlign w:val="center"/>
          </w:tcPr>
          <w:p>
            <w:pPr>
              <w:widowControl/>
              <w:jc w:val="center"/>
              <w:rPr>
                <w:rFonts w:ascii="Times New Roman" w:hAnsi="Times New Roman"/>
                <w:bCs/>
                <w:kern w:val="0"/>
              </w:rPr>
            </w:pPr>
          </w:p>
        </w:tc>
        <w:tc>
          <w:tcPr>
            <w:tcW w:w="1341"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837" w:type="dxa"/>
            <w:vAlign w:val="center"/>
          </w:tcPr>
          <w:p>
            <w:pPr>
              <w:widowControl/>
              <w:rPr>
                <w:rFonts w:ascii="Times New Roman" w:hAnsi="Times New Roman"/>
                <w:bCs/>
                <w:kern w:val="0"/>
              </w:rPr>
            </w:pPr>
            <w:r>
              <w:rPr>
                <w:rFonts w:hint="eastAsia" w:ascii="Times New Roman" w:hAnsi="Times New Roman"/>
                <w:bCs/>
                <w:kern w:val="0"/>
              </w:rPr>
              <w:t>6</w:t>
            </w:r>
            <w:r>
              <w:rPr>
                <w:rFonts w:ascii="Times New Roman" w:hAnsi="Times New Roman"/>
                <w:bCs/>
                <w:kern w:val="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Align w:val="center"/>
          </w:tcPr>
          <w:p>
            <w:pPr>
              <w:widowControl/>
              <w:rPr>
                <w:rFonts w:ascii="Times New Roman" w:hAnsi="Times New Roman"/>
                <w:bCs/>
                <w:kern w:val="0"/>
              </w:rPr>
            </w:pPr>
            <w:r>
              <w:rPr>
                <w:rFonts w:hint="eastAsia" w:ascii="Times New Roman" w:hAnsi="Times New Roman"/>
                <w:bCs/>
                <w:kern w:val="0"/>
              </w:rPr>
              <w:t>H</w:t>
            </w:r>
            <w:r>
              <w:rPr>
                <w:rFonts w:ascii="Times New Roman" w:hAnsi="Times New Roman"/>
                <w:bCs/>
                <w:kern w:val="0"/>
              </w:rPr>
              <w:t>agen et al., 2018</w:t>
            </w:r>
          </w:p>
        </w:tc>
        <w:tc>
          <w:tcPr>
            <w:tcW w:w="1657" w:type="dxa"/>
            <w:vAlign w:val="center"/>
          </w:tcPr>
          <w:p>
            <w:pPr>
              <w:widowControl/>
              <w:rPr>
                <w:rFonts w:ascii="Times New Roman" w:hAnsi="Times New Roman"/>
                <w:bCs/>
                <w:kern w:val="0"/>
              </w:rPr>
            </w:pPr>
            <w:r>
              <w:rPr>
                <w:rFonts w:hint="eastAsia" w:ascii="Times New Roman" w:hAnsi="Times New Roman"/>
                <w:bCs/>
                <w:kern w:val="0"/>
              </w:rPr>
              <w:t>C</w:t>
            </w:r>
            <w:r>
              <w:rPr>
                <w:rFonts w:ascii="Times New Roman" w:hAnsi="Times New Roman"/>
                <w:bCs/>
                <w:kern w:val="0"/>
              </w:rPr>
              <w:t>ross-sectional</w:t>
            </w:r>
          </w:p>
        </w:tc>
        <w:tc>
          <w:tcPr>
            <w:tcW w:w="1534"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005" w:type="dxa"/>
            <w:vAlign w:val="center"/>
          </w:tcPr>
          <w:p>
            <w:pPr>
              <w:widowControl/>
              <w:jc w:val="center"/>
              <w:rPr>
                <w:rFonts w:ascii="Times New Roman" w:hAnsi="Times New Roman"/>
                <w:bCs/>
                <w:kern w:val="0"/>
              </w:rPr>
            </w:pPr>
          </w:p>
        </w:tc>
        <w:tc>
          <w:tcPr>
            <w:tcW w:w="1677"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844"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676"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443"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241" w:type="dxa"/>
            <w:vAlign w:val="center"/>
          </w:tcPr>
          <w:p>
            <w:pPr>
              <w:widowControl/>
              <w:jc w:val="center"/>
              <w:rPr>
                <w:rFonts w:ascii="Times New Roman" w:hAnsi="Times New Roman"/>
                <w:bCs/>
                <w:kern w:val="0"/>
              </w:rPr>
            </w:pPr>
          </w:p>
        </w:tc>
        <w:tc>
          <w:tcPr>
            <w:tcW w:w="1341"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837" w:type="dxa"/>
            <w:vAlign w:val="center"/>
          </w:tcPr>
          <w:p>
            <w:pPr>
              <w:widowControl/>
              <w:rPr>
                <w:rFonts w:ascii="Times New Roman" w:hAnsi="Times New Roman"/>
                <w:bCs/>
                <w:kern w:val="0"/>
              </w:rPr>
            </w:pPr>
            <w:r>
              <w:rPr>
                <w:rFonts w:hint="eastAsia" w:ascii="Times New Roman" w:hAnsi="Times New Roman"/>
                <w:bCs/>
                <w:kern w:val="0"/>
              </w:rPr>
              <w:t>7</w:t>
            </w:r>
            <w:r>
              <w:rPr>
                <w:rFonts w:ascii="Times New Roman" w:hAnsi="Times New Roman"/>
                <w:bCs/>
                <w:kern w:val="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Align w:val="center"/>
          </w:tcPr>
          <w:p>
            <w:pPr>
              <w:widowControl/>
              <w:rPr>
                <w:rFonts w:ascii="Times New Roman" w:hAnsi="Times New Roman"/>
                <w:bCs/>
                <w:kern w:val="0"/>
              </w:rPr>
            </w:pPr>
            <w:r>
              <w:rPr>
                <w:rFonts w:hint="eastAsia" w:ascii="Times New Roman" w:hAnsi="Times New Roman"/>
                <w:bCs/>
                <w:kern w:val="0"/>
              </w:rPr>
              <w:t>H</w:t>
            </w:r>
            <w:r>
              <w:rPr>
                <w:rFonts w:ascii="Times New Roman" w:hAnsi="Times New Roman"/>
                <w:bCs/>
                <w:kern w:val="0"/>
              </w:rPr>
              <w:t>arrington et al., 2019</w:t>
            </w:r>
          </w:p>
        </w:tc>
        <w:tc>
          <w:tcPr>
            <w:tcW w:w="1657" w:type="dxa"/>
            <w:vAlign w:val="center"/>
          </w:tcPr>
          <w:p>
            <w:pPr>
              <w:widowControl/>
              <w:rPr>
                <w:rFonts w:ascii="Times New Roman" w:hAnsi="Times New Roman"/>
                <w:bCs/>
                <w:kern w:val="0"/>
              </w:rPr>
            </w:pPr>
            <w:r>
              <w:rPr>
                <w:rFonts w:hint="eastAsia" w:ascii="Times New Roman" w:hAnsi="Times New Roman"/>
                <w:bCs/>
                <w:kern w:val="0"/>
              </w:rPr>
              <w:t>C</w:t>
            </w:r>
            <w:r>
              <w:rPr>
                <w:rFonts w:ascii="Times New Roman" w:hAnsi="Times New Roman"/>
                <w:bCs/>
                <w:kern w:val="0"/>
              </w:rPr>
              <w:t>ross-sectional</w:t>
            </w:r>
          </w:p>
        </w:tc>
        <w:tc>
          <w:tcPr>
            <w:tcW w:w="1534"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005"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677"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844"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676" w:type="dxa"/>
            <w:vAlign w:val="center"/>
          </w:tcPr>
          <w:p>
            <w:pPr>
              <w:widowControl/>
              <w:jc w:val="center"/>
              <w:rPr>
                <w:rFonts w:ascii="Times New Roman" w:hAnsi="Times New Roman"/>
                <w:bCs/>
                <w:kern w:val="0"/>
              </w:rPr>
            </w:pPr>
          </w:p>
        </w:tc>
        <w:tc>
          <w:tcPr>
            <w:tcW w:w="1443"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241" w:type="dxa"/>
            <w:vAlign w:val="center"/>
          </w:tcPr>
          <w:p>
            <w:pPr>
              <w:widowControl/>
              <w:jc w:val="center"/>
              <w:rPr>
                <w:rFonts w:ascii="Times New Roman" w:hAnsi="Times New Roman"/>
                <w:bCs/>
                <w:kern w:val="0"/>
              </w:rPr>
            </w:pPr>
          </w:p>
        </w:tc>
        <w:tc>
          <w:tcPr>
            <w:tcW w:w="1341"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837" w:type="dxa"/>
            <w:vAlign w:val="center"/>
          </w:tcPr>
          <w:p>
            <w:pPr>
              <w:widowControl/>
              <w:rPr>
                <w:rFonts w:ascii="Times New Roman" w:hAnsi="Times New Roman"/>
                <w:bCs/>
                <w:kern w:val="0"/>
              </w:rPr>
            </w:pPr>
            <w:r>
              <w:rPr>
                <w:rFonts w:hint="eastAsia" w:ascii="Times New Roman" w:hAnsi="Times New Roman"/>
                <w:bCs/>
                <w:kern w:val="0"/>
              </w:rPr>
              <w:t>7</w:t>
            </w:r>
            <w:r>
              <w:rPr>
                <w:rFonts w:ascii="Times New Roman" w:hAnsi="Times New Roman"/>
                <w:bCs/>
                <w:kern w:val="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Align w:val="center"/>
          </w:tcPr>
          <w:p>
            <w:pPr>
              <w:widowControl/>
              <w:rPr>
                <w:rFonts w:ascii="Times New Roman" w:hAnsi="Times New Roman"/>
                <w:bCs/>
                <w:kern w:val="0"/>
              </w:rPr>
            </w:pPr>
            <w:r>
              <w:rPr>
                <w:rFonts w:hint="eastAsia" w:ascii="Times New Roman" w:hAnsi="Times New Roman"/>
                <w:bCs/>
                <w:kern w:val="0"/>
              </w:rPr>
              <w:t>H</w:t>
            </w:r>
            <w:r>
              <w:rPr>
                <w:rFonts w:ascii="Times New Roman" w:hAnsi="Times New Roman"/>
                <w:bCs/>
                <w:kern w:val="0"/>
              </w:rPr>
              <w:t>arrington et al., 2023</w:t>
            </w:r>
          </w:p>
        </w:tc>
        <w:tc>
          <w:tcPr>
            <w:tcW w:w="1657" w:type="dxa"/>
            <w:vAlign w:val="center"/>
          </w:tcPr>
          <w:p>
            <w:pPr>
              <w:widowControl/>
              <w:rPr>
                <w:rFonts w:ascii="Times New Roman" w:hAnsi="Times New Roman"/>
                <w:bCs/>
                <w:kern w:val="0"/>
              </w:rPr>
            </w:pPr>
            <w:r>
              <w:rPr>
                <w:rFonts w:hint="eastAsia" w:ascii="Times New Roman" w:hAnsi="Times New Roman"/>
                <w:bCs/>
                <w:kern w:val="0"/>
              </w:rPr>
              <w:t>C</w:t>
            </w:r>
            <w:r>
              <w:rPr>
                <w:rFonts w:ascii="Times New Roman" w:hAnsi="Times New Roman"/>
                <w:bCs/>
                <w:kern w:val="0"/>
              </w:rPr>
              <w:t>ross-sectional</w:t>
            </w:r>
          </w:p>
        </w:tc>
        <w:tc>
          <w:tcPr>
            <w:tcW w:w="1534"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005" w:type="dxa"/>
            <w:vAlign w:val="center"/>
          </w:tcPr>
          <w:p>
            <w:pPr>
              <w:widowControl/>
              <w:jc w:val="center"/>
              <w:rPr>
                <w:rFonts w:ascii="Times New Roman" w:hAnsi="Times New Roman"/>
                <w:bCs/>
                <w:kern w:val="0"/>
              </w:rPr>
            </w:pPr>
          </w:p>
        </w:tc>
        <w:tc>
          <w:tcPr>
            <w:tcW w:w="1677"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844"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676" w:type="dxa"/>
            <w:vAlign w:val="center"/>
          </w:tcPr>
          <w:p>
            <w:pPr>
              <w:widowControl/>
              <w:jc w:val="center"/>
              <w:rPr>
                <w:rFonts w:ascii="Times New Roman" w:hAnsi="Times New Roman"/>
                <w:bCs/>
                <w:kern w:val="0"/>
              </w:rPr>
            </w:pPr>
          </w:p>
        </w:tc>
        <w:tc>
          <w:tcPr>
            <w:tcW w:w="1443"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241" w:type="dxa"/>
            <w:vAlign w:val="center"/>
          </w:tcPr>
          <w:p>
            <w:pPr>
              <w:widowControl/>
              <w:jc w:val="center"/>
              <w:rPr>
                <w:rFonts w:ascii="Times New Roman" w:hAnsi="Times New Roman"/>
                <w:bCs/>
                <w:kern w:val="0"/>
              </w:rPr>
            </w:pPr>
          </w:p>
        </w:tc>
        <w:tc>
          <w:tcPr>
            <w:tcW w:w="1341"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837" w:type="dxa"/>
            <w:vAlign w:val="center"/>
          </w:tcPr>
          <w:p>
            <w:pPr>
              <w:widowControl/>
              <w:rPr>
                <w:rFonts w:ascii="Times New Roman" w:hAnsi="Times New Roman"/>
                <w:bCs/>
                <w:kern w:val="0"/>
              </w:rPr>
            </w:pPr>
            <w:r>
              <w:rPr>
                <w:rFonts w:hint="eastAsia" w:ascii="Times New Roman" w:hAnsi="Times New Roman"/>
                <w:bCs/>
                <w:kern w:val="0"/>
              </w:rPr>
              <w:t>6</w:t>
            </w:r>
            <w:r>
              <w:rPr>
                <w:rFonts w:ascii="Times New Roman" w:hAnsi="Times New Roman"/>
                <w:bCs/>
                <w:kern w:val="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Align w:val="center"/>
          </w:tcPr>
          <w:p>
            <w:pPr>
              <w:widowControl/>
              <w:rPr>
                <w:rFonts w:ascii="Times New Roman" w:hAnsi="Times New Roman"/>
                <w:bCs/>
                <w:kern w:val="0"/>
              </w:rPr>
            </w:pPr>
            <w:r>
              <w:rPr>
                <w:rFonts w:hint="eastAsia" w:ascii="Times New Roman" w:hAnsi="Times New Roman"/>
                <w:bCs/>
                <w:kern w:val="0"/>
              </w:rPr>
              <w:t>G</w:t>
            </w:r>
            <w:r>
              <w:rPr>
                <w:rFonts w:ascii="Times New Roman" w:hAnsi="Times New Roman"/>
                <w:bCs/>
                <w:kern w:val="0"/>
              </w:rPr>
              <w:t>uan et al., 2019</w:t>
            </w:r>
          </w:p>
        </w:tc>
        <w:tc>
          <w:tcPr>
            <w:tcW w:w="1657" w:type="dxa"/>
            <w:vAlign w:val="center"/>
          </w:tcPr>
          <w:p>
            <w:pPr>
              <w:widowControl/>
              <w:rPr>
                <w:rFonts w:ascii="Times New Roman" w:hAnsi="Times New Roman"/>
                <w:bCs/>
                <w:kern w:val="0"/>
              </w:rPr>
            </w:pPr>
            <w:r>
              <w:rPr>
                <w:rFonts w:hint="eastAsia" w:ascii="Times New Roman" w:hAnsi="Times New Roman"/>
                <w:bCs/>
                <w:kern w:val="0"/>
              </w:rPr>
              <w:t>C</w:t>
            </w:r>
            <w:r>
              <w:rPr>
                <w:rFonts w:ascii="Times New Roman" w:hAnsi="Times New Roman"/>
                <w:bCs/>
                <w:kern w:val="0"/>
              </w:rPr>
              <w:t>ross-sectional</w:t>
            </w:r>
          </w:p>
        </w:tc>
        <w:tc>
          <w:tcPr>
            <w:tcW w:w="1534"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005"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677"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844"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676"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443"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241" w:type="dxa"/>
            <w:vAlign w:val="center"/>
          </w:tcPr>
          <w:p>
            <w:pPr>
              <w:widowControl/>
              <w:jc w:val="center"/>
              <w:rPr>
                <w:rFonts w:ascii="Times New Roman" w:hAnsi="Times New Roman"/>
                <w:bCs/>
                <w:kern w:val="0"/>
              </w:rPr>
            </w:pPr>
          </w:p>
        </w:tc>
        <w:tc>
          <w:tcPr>
            <w:tcW w:w="1341"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837" w:type="dxa"/>
            <w:vAlign w:val="center"/>
          </w:tcPr>
          <w:p>
            <w:pPr>
              <w:widowControl/>
              <w:rPr>
                <w:rFonts w:ascii="Times New Roman" w:hAnsi="Times New Roman"/>
                <w:bCs/>
                <w:kern w:val="0"/>
              </w:rPr>
            </w:pPr>
            <w:r>
              <w:rPr>
                <w:rFonts w:hint="eastAsia" w:ascii="Times New Roman" w:hAnsi="Times New Roman"/>
                <w:bCs/>
                <w:kern w:val="0"/>
              </w:rPr>
              <w:t>9</w:t>
            </w:r>
            <w:r>
              <w:rPr>
                <w:rFonts w:ascii="Times New Roman" w:hAnsi="Times New Roman"/>
                <w:bCs/>
                <w:kern w:val="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Align w:val="center"/>
          </w:tcPr>
          <w:p>
            <w:pPr>
              <w:widowControl/>
              <w:rPr>
                <w:rFonts w:ascii="Times New Roman" w:hAnsi="Times New Roman"/>
                <w:bCs/>
                <w:kern w:val="0"/>
              </w:rPr>
            </w:pPr>
            <w:r>
              <w:rPr>
                <w:rFonts w:hint="eastAsia" w:ascii="Times New Roman" w:hAnsi="Times New Roman"/>
                <w:bCs/>
                <w:kern w:val="0"/>
              </w:rPr>
              <w:t>G</w:t>
            </w:r>
            <w:r>
              <w:rPr>
                <w:rFonts w:ascii="Times New Roman" w:hAnsi="Times New Roman"/>
                <w:bCs/>
                <w:kern w:val="0"/>
              </w:rPr>
              <w:t>uo et al., 2016</w:t>
            </w:r>
          </w:p>
        </w:tc>
        <w:tc>
          <w:tcPr>
            <w:tcW w:w="1657" w:type="dxa"/>
            <w:vAlign w:val="center"/>
          </w:tcPr>
          <w:p>
            <w:pPr>
              <w:widowControl/>
              <w:rPr>
                <w:rFonts w:ascii="Times New Roman" w:hAnsi="Times New Roman"/>
                <w:bCs/>
                <w:kern w:val="0"/>
              </w:rPr>
            </w:pPr>
            <w:r>
              <w:rPr>
                <w:rFonts w:hint="eastAsia" w:ascii="Times New Roman" w:hAnsi="Times New Roman"/>
                <w:bCs/>
                <w:kern w:val="0"/>
              </w:rPr>
              <w:t>C</w:t>
            </w:r>
            <w:r>
              <w:rPr>
                <w:rFonts w:ascii="Times New Roman" w:hAnsi="Times New Roman"/>
                <w:bCs/>
                <w:kern w:val="0"/>
              </w:rPr>
              <w:t>ross-sectional</w:t>
            </w:r>
          </w:p>
        </w:tc>
        <w:tc>
          <w:tcPr>
            <w:tcW w:w="1534"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005"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677"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844"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676"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443"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241" w:type="dxa"/>
            <w:vAlign w:val="center"/>
          </w:tcPr>
          <w:p>
            <w:pPr>
              <w:widowControl/>
              <w:jc w:val="center"/>
              <w:rPr>
                <w:rFonts w:ascii="Times New Roman" w:hAnsi="Times New Roman"/>
                <w:bCs/>
                <w:kern w:val="0"/>
              </w:rPr>
            </w:pPr>
          </w:p>
        </w:tc>
        <w:tc>
          <w:tcPr>
            <w:tcW w:w="1341"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837" w:type="dxa"/>
            <w:vAlign w:val="center"/>
          </w:tcPr>
          <w:p>
            <w:pPr>
              <w:widowControl/>
              <w:rPr>
                <w:rFonts w:ascii="Times New Roman" w:hAnsi="Times New Roman"/>
                <w:bCs/>
                <w:kern w:val="0"/>
              </w:rPr>
            </w:pPr>
            <w:r>
              <w:rPr>
                <w:rFonts w:hint="eastAsia" w:ascii="Times New Roman" w:hAnsi="Times New Roman"/>
                <w:bCs/>
                <w:kern w:val="0"/>
              </w:rPr>
              <w:t>8</w:t>
            </w:r>
            <w:r>
              <w:rPr>
                <w:rFonts w:ascii="Times New Roman" w:hAnsi="Times New Roman"/>
                <w:bCs/>
                <w:kern w:val="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Align w:val="center"/>
          </w:tcPr>
          <w:p>
            <w:pPr>
              <w:widowControl/>
              <w:rPr>
                <w:rFonts w:ascii="Times New Roman" w:hAnsi="Times New Roman"/>
                <w:bCs/>
                <w:kern w:val="0"/>
              </w:rPr>
            </w:pPr>
            <w:r>
              <w:rPr>
                <w:rFonts w:hint="eastAsia" w:ascii="Times New Roman" w:hAnsi="Times New Roman"/>
                <w:bCs/>
                <w:kern w:val="0"/>
              </w:rPr>
              <w:t>L</w:t>
            </w:r>
            <w:r>
              <w:rPr>
                <w:rFonts w:ascii="Times New Roman" w:hAnsi="Times New Roman"/>
                <w:bCs/>
                <w:kern w:val="0"/>
              </w:rPr>
              <w:t>iu et al., 2019</w:t>
            </w:r>
          </w:p>
        </w:tc>
        <w:tc>
          <w:tcPr>
            <w:tcW w:w="1657" w:type="dxa"/>
            <w:vAlign w:val="center"/>
          </w:tcPr>
          <w:p>
            <w:pPr>
              <w:widowControl/>
              <w:rPr>
                <w:rFonts w:ascii="Times New Roman" w:hAnsi="Times New Roman"/>
                <w:bCs/>
                <w:kern w:val="0"/>
              </w:rPr>
            </w:pPr>
            <w:r>
              <w:rPr>
                <w:rFonts w:hint="eastAsia" w:ascii="Times New Roman" w:hAnsi="Times New Roman"/>
                <w:bCs/>
                <w:kern w:val="0"/>
              </w:rPr>
              <w:t>C</w:t>
            </w:r>
            <w:r>
              <w:rPr>
                <w:rFonts w:ascii="Times New Roman" w:hAnsi="Times New Roman"/>
                <w:bCs/>
                <w:kern w:val="0"/>
              </w:rPr>
              <w:t>ross-sectional</w:t>
            </w:r>
          </w:p>
        </w:tc>
        <w:tc>
          <w:tcPr>
            <w:tcW w:w="1534"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005" w:type="dxa"/>
            <w:vAlign w:val="center"/>
          </w:tcPr>
          <w:p>
            <w:pPr>
              <w:widowControl/>
              <w:jc w:val="center"/>
              <w:rPr>
                <w:rFonts w:ascii="Times New Roman" w:hAnsi="Times New Roman"/>
                <w:bCs/>
                <w:kern w:val="0"/>
              </w:rPr>
            </w:pPr>
          </w:p>
        </w:tc>
        <w:tc>
          <w:tcPr>
            <w:tcW w:w="1677"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844"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676"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443"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241" w:type="dxa"/>
            <w:vAlign w:val="center"/>
          </w:tcPr>
          <w:p>
            <w:pPr>
              <w:widowControl/>
              <w:jc w:val="center"/>
              <w:rPr>
                <w:rFonts w:ascii="Times New Roman" w:hAnsi="Times New Roman"/>
                <w:bCs/>
                <w:kern w:val="0"/>
              </w:rPr>
            </w:pPr>
          </w:p>
        </w:tc>
        <w:tc>
          <w:tcPr>
            <w:tcW w:w="1341"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837" w:type="dxa"/>
            <w:vAlign w:val="center"/>
          </w:tcPr>
          <w:p>
            <w:pPr>
              <w:widowControl/>
              <w:rPr>
                <w:rFonts w:ascii="Times New Roman" w:hAnsi="Times New Roman"/>
                <w:bCs/>
                <w:kern w:val="0"/>
              </w:rPr>
            </w:pPr>
            <w:r>
              <w:rPr>
                <w:rFonts w:ascii="Times New Roman" w:hAnsi="Times New Roman"/>
                <w:bCs/>
                <w:kern w:val="0"/>
              </w:rPr>
              <w:t>8/10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Align w:val="center"/>
          </w:tcPr>
          <w:p>
            <w:pPr>
              <w:widowControl/>
              <w:rPr>
                <w:rFonts w:ascii="Times New Roman" w:hAnsi="Times New Roman"/>
                <w:bCs/>
                <w:kern w:val="0"/>
              </w:rPr>
            </w:pPr>
            <w:r>
              <w:rPr>
                <w:rFonts w:hint="eastAsia" w:ascii="Times New Roman" w:hAnsi="Times New Roman"/>
                <w:bCs/>
                <w:kern w:val="0"/>
              </w:rPr>
              <w:t>M</w:t>
            </w:r>
            <w:r>
              <w:rPr>
                <w:rFonts w:ascii="Times New Roman" w:hAnsi="Times New Roman"/>
                <w:bCs/>
                <w:kern w:val="0"/>
              </w:rPr>
              <w:t>cMcrann et al., 2020</w:t>
            </w:r>
          </w:p>
        </w:tc>
        <w:tc>
          <w:tcPr>
            <w:tcW w:w="1657" w:type="dxa"/>
            <w:vAlign w:val="center"/>
          </w:tcPr>
          <w:p>
            <w:pPr>
              <w:widowControl/>
              <w:rPr>
                <w:rFonts w:ascii="Times New Roman" w:hAnsi="Times New Roman"/>
                <w:bCs/>
                <w:kern w:val="0"/>
              </w:rPr>
            </w:pPr>
            <w:r>
              <w:rPr>
                <w:rFonts w:hint="eastAsia" w:ascii="Times New Roman" w:hAnsi="Times New Roman"/>
                <w:bCs/>
                <w:kern w:val="0"/>
              </w:rPr>
              <w:t>C</w:t>
            </w:r>
            <w:r>
              <w:rPr>
                <w:rFonts w:ascii="Times New Roman" w:hAnsi="Times New Roman"/>
                <w:bCs/>
                <w:kern w:val="0"/>
              </w:rPr>
              <w:t>ross-sectional</w:t>
            </w:r>
          </w:p>
        </w:tc>
        <w:tc>
          <w:tcPr>
            <w:tcW w:w="1534"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005" w:type="dxa"/>
            <w:vAlign w:val="center"/>
          </w:tcPr>
          <w:p>
            <w:pPr>
              <w:widowControl/>
              <w:jc w:val="center"/>
              <w:rPr>
                <w:rFonts w:ascii="Times New Roman" w:hAnsi="Times New Roman"/>
                <w:bCs/>
                <w:kern w:val="0"/>
              </w:rPr>
            </w:pPr>
          </w:p>
        </w:tc>
        <w:tc>
          <w:tcPr>
            <w:tcW w:w="1677"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844"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676"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443"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241" w:type="dxa"/>
            <w:vAlign w:val="center"/>
          </w:tcPr>
          <w:p>
            <w:pPr>
              <w:widowControl/>
              <w:jc w:val="center"/>
              <w:rPr>
                <w:rFonts w:ascii="Times New Roman" w:hAnsi="Times New Roman"/>
                <w:bCs/>
                <w:kern w:val="0"/>
              </w:rPr>
            </w:pPr>
          </w:p>
        </w:tc>
        <w:tc>
          <w:tcPr>
            <w:tcW w:w="1341"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837" w:type="dxa"/>
            <w:vAlign w:val="center"/>
          </w:tcPr>
          <w:p>
            <w:pPr>
              <w:widowControl/>
              <w:rPr>
                <w:rFonts w:ascii="Times New Roman" w:hAnsi="Times New Roman"/>
                <w:bCs/>
                <w:kern w:val="0"/>
              </w:rPr>
            </w:pPr>
            <w:r>
              <w:rPr>
                <w:rFonts w:hint="eastAsia" w:ascii="Times New Roman" w:hAnsi="Times New Roman"/>
                <w:bCs/>
                <w:kern w:val="0"/>
              </w:rPr>
              <w:t>6</w:t>
            </w:r>
            <w:r>
              <w:rPr>
                <w:rFonts w:ascii="Times New Roman" w:hAnsi="Times New Roman"/>
                <w:bCs/>
                <w:kern w:val="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Align w:val="center"/>
          </w:tcPr>
          <w:p>
            <w:pPr>
              <w:widowControl/>
              <w:rPr>
                <w:rFonts w:ascii="Times New Roman" w:hAnsi="Times New Roman"/>
                <w:bCs/>
                <w:kern w:val="0"/>
              </w:rPr>
            </w:pPr>
            <w:r>
              <w:rPr>
                <w:rFonts w:hint="eastAsia" w:ascii="Times New Roman" w:hAnsi="Times New Roman"/>
                <w:bCs/>
                <w:kern w:val="0"/>
              </w:rPr>
              <w:t>Q</w:t>
            </w:r>
            <w:r>
              <w:rPr>
                <w:rFonts w:ascii="Times New Roman" w:hAnsi="Times New Roman"/>
                <w:bCs/>
                <w:kern w:val="0"/>
              </w:rPr>
              <w:t>ian et al., 2016</w:t>
            </w:r>
          </w:p>
        </w:tc>
        <w:tc>
          <w:tcPr>
            <w:tcW w:w="1657" w:type="dxa"/>
            <w:vAlign w:val="center"/>
          </w:tcPr>
          <w:p>
            <w:pPr>
              <w:widowControl/>
              <w:rPr>
                <w:rFonts w:ascii="Times New Roman" w:hAnsi="Times New Roman"/>
                <w:bCs/>
                <w:kern w:val="0"/>
              </w:rPr>
            </w:pPr>
            <w:r>
              <w:rPr>
                <w:rFonts w:hint="eastAsia" w:ascii="Times New Roman" w:hAnsi="Times New Roman"/>
                <w:bCs/>
                <w:kern w:val="0"/>
              </w:rPr>
              <w:t>C</w:t>
            </w:r>
            <w:r>
              <w:rPr>
                <w:rFonts w:ascii="Times New Roman" w:hAnsi="Times New Roman"/>
                <w:bCs/>
                <w:kern w:val="0"/>
              </w:rPr>
              <w:t>ross-sectional</w:t>
            </w:r>
          </w:p>
        </w:tc>
        <w:tc>
          <w:tcPr>
            <w:tcW w:w="1534"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005"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677"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844"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676"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443"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1241" w:type="dxa"/>
            <w:vAlign w:val="center"/>
          </w:tcPr>
          <w:p>
            <w:pPr>
              <w:widowControl/>
              <w:jc w:val="center"/>
              <w:rPr>
                <w:rFonts w:ascii="Times New Roman" w:hAnsi="Times New Roman"/>
                <w:bCs/>
                <w:kern w:val="0"/>
              </w:rPr>
            </w:pPr>
          </w:p>
        </w:tc>
        <w:tc>
          <w:tcPr>
            <w:tcW w:w="1341" w:type="dxa"/>
            <w:vAlign w:val="center"/>
          </w:tcPr>
          <w:p>
            <w:pPr>
              <w:widowControl/>
              <w:jc w:val="center"/>
              <w:rPr>
                <w:rFonts w:ascii="Times New Roman" w:hAnsi="Times New Roman"/>
                <w:bCs/>
                <w:kern w:val="0"/>
              </w:rPr>
            </w:pPr>
            <w:r>
              <w:rPr>
                <w:rFonts w:hint="eastAsia" w:ascii="MS Gothic" w:hAnsi="MS Gothic" w:eastAsia="MS Gothic" w:cs="MS Gothic"/>
                <w:kern w:val="0"/>
                <w:sz w:val="24"/>
                <w:szCs w:val="24"/>
              </w:rPr>
              <w:t>⋆</w:t>
            </w:r>
          </w:p>
        </w:tc>
        <w:tc>
          <w:tcPr>
            <w:tcW w:w="837" w:type="dxa"/>
            <w:vAlign w:val="center"/>
          </w:tcPr>
          <w:p>
            <w:pPr>
              <w:widowControl/>
              <w:rPr>
                <w:rFonts w:ascii="Times New Roman" w:hAnsi="Times New Roman"/>
                <w:bCs/>
                <w:kern w:val="0"/>
              </w:rPr>
            </w:pPr>
            <w:r>
              <w:rPr>
                <w:rFonts w:hint="eastAsia" w:ascii="Times New Roman" w:hAnsi="Times New Roman"/>
                <w:bCs/>
                <w:kern w:val="0"/>
              </w:rPr>
              <w:t>9</w:t>
            </w:r>
            <w:r>
              <w:rPr>
                <w:rFonts w:ascii="Times New Roman" w:hAnsi="Times New Roman"/>
                <w:bCs/>
                <w:kern w:val="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Align w:val="center"/>
          </w:tcPr>
          <w:p>
            <w:pPr>
              <w:widowControl/>
              <w:rPr>
                <w:rFonts w:ascii="Times New Roman" w:hAnsi="Times New Roman"/>
                <w:bCs/>
                <w:kern w:val="0"/>
                <w:sz w:val="20"/>
              </w:rPr>
            </w:pPr>
            <w:r>
              <w:rPr>
                <w:rFonts w:hint="eastAsia" w:ascii="Times New Roman" w:hAnsi="Times New Roman"/>
                <w:bCs/>
                <w:kern w:val="0"/>
                <w:sz w:val="20"/>
              </w:rPr>
              <w:t>S</w:t>
            </w:r>
            <w:r>
              <w:rPr>
                <w:rFonts w:ascii="Times New Roman" w:hAnsi="Times New Roman"/>
                <w:bCs/>
                <w:kern w:val="0"/>
                <w:sz w:val="20"/>
              </w:rPr>
              <w:t>axena et al., 2015</w:t>
            </w:r>
          </w:p>
        </w:tc>
        <w:tc>
          <w:tcPr>
            <w:tcW w:w="1657" w:type="dxa"/>
            <w:vAlign w:val="center"/>
          </w:tcPr>
          <w:p>
            <w:pPr>
              <w:widowControl/>
              <w:rPr>
                <w:rFonts w:ascii="Times New Roman" w:hAnsi="Times New Roman"/>
                <w:bCs/>
                <w:kern w:val="0"/>
                <w:sz w:val="20"/>
              </w:rPr>
            </w:pPr>
            <w:r>
              <w:rPr>
                <w:rFonts w:hint="eastAsia" w:ascii="Times New Roman" w:hAnsi="Times New Roman"/>
                <w:bCs/>
                <w:kern w:val="0"/>
              </w:rPr>
              <w:t>C</w:t>
            </w:r>
            <w:r>
              <w:rPr>
                <w:rFonts w:ascii="Times New Roman" w:hAnsi="Times New Roman"/>
                <w:bCs/>
                <w:kern w:val="0"/>
              </w:rPr>
              <w:t>ross-sectional</w:t>
            </w:r>
          </w:p>
        </w:tc>
        <w:tc>
          <w:tcPr>
            <w:tcW w:w="1534"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005"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677"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844"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676"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443"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241" w:type="dxa"/>
            <w:vAlign w:val="center"/>
          </w:tcPr>
          <w:p>
            <w:pPr>
              <w:widowControl/>
              <w:jc w:val="center"/>
              <w:rPr>
                <w:rFonts w:ascii="Times New Roman" w:hAnsi="Times New Roman"/>
                <w:bCs/>
                <w:kern w:val="0"/>
                <w:sz w:val="20"/>
              </w:rPr>
            </w:pPr>
          </w:p>
        </w:tc>
        <w:tc>
          <w:tcPr>
            <w:tcW w:w="1341"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837" w:type="dxa"/>
            <w:vAlign w:val="center"/>
          </w:tcPr>
          <w:p>
            <w:pPr>
              <w:widowControl/>
              <w:rPr>
                <w:rFonts w:ascii="Times New Roman" w:hAnsi="Times New Roman"/>
                <w:bCs/>
                <w:kern w:val="0"/>
                <w:sz w:val="20"/>
              </w:rPr>
            </w:pPr>
            <w:r>
              <w:rPr>
                <w:rFonts w:hint="eastAsia" w:ascii="Times New Roman" w:hAnsi="Times New Roman"/>
                <w:bCs/>
                <w:kern w:val="0"/>
                <w:sz w:val="20"/>
              </w:rPr>
              <w:t>9</w:t>
            </w:r>
            <w:r>
              <w:rPr>
                <w:rFonts w:ascii="Times New Roman" w:hAnsi="Times New Roman"/>
                <w:bCs/>
                <w:kern w:val="0"/>
                <w:sz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Align w:val="center"/>
          </w:tcPr>
          <w:p>
            <w:pPr>
              <w:widowControl/>
              <w:rPr>
                <w:rFonts w:ascii="Times New Roman" w:hAnsi="Times New Roman"/>
                <w:bCs/>
                <w:kern w:val="0"/>
                <w:sz w:val="20"/>
              </w:rPr>
            </w:pPr>
            <w:r>
              <w:rPr>
                <w:rFonts w:hint="eastAsia" w:ascii="Times New Roman" w:hAnsi="Times New Roman"/>
                <w:bCs/>
                <w:kern w:val="0"/>
                <w:sz w:val="20"/>
              </w:rPr>
              <w:t>S</w:t>
            </w:r>
            <w:r>
              <w:rPr>
                <w:rFonts w:ascii="Times New Roman" w:hAnsi="Times New Roman"/>
                <w:bCs/>
                <w:kern w:val="0"/>
                <w:sz w:val="20"/>
              </w:rPr>
              <w:t>chuster et al., 2020</w:t>
            </w:r>
          </w:p>
        </w:tc>
        <w:tc>
          <w:tcPr>
            <w:tcW w:w="1657" w:type="dxa"/>
            <w:vAlign w:val="center"/>
          </w:tcPr>
          <w:p>
            <w:pPr>
              <w:widowControl/>
              <w:rPr>
                <w:rFonts w:ascii="Times New Roman" w:hAnsi="Times New Roman"/>
                <w:bCs/>
                <w:kern w:val="0"/>
                <w:sz w:val="20"/>
              </w:rPr>
            </w:pPr>
            <w:r>
              <w:rPr>
                <w:rFonts w:hint="eastAsia" w:ascii="Times New Roman" w:hAnsi="Times New Roman"/>
                <w:bCs/>
                <w:kern w:val="0"/>
              </w:rPr>
              <w:t>C</w:t>
            </w:r>
            <w:r>
              <w:rPr>
                <w:rFonts w:ascii="Times New Roman" w:hAnsi="Times New Roman"/>
                <w:bCs/>
                <w:kern w:val="0"/>
              </w:rPr>
              <w:t>ross-sectional</w:t>
            </w:r>
          </w:p>
        </w:tc>
        <w:tc>
          <w:tcPr>
            <w:tcW w:w="1534"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005"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677"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844"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676" w:type="dxa"/>
            <w:vAlign w:val="center"/>
          </w:tcPr>
          <w:p>
            <w:pPr>
              <w:widowControl/>
              <w:jc w:val="center"/>
              <w:rPr>
                <w:rFonts w:ascii="Times New Roman" w:hAnsi="Times New Roman" w:eastAsiaTheme="minorEastAsia"/>
                <w:bCs/>
                <w:kern w:val="0"/>
                <w:sz w:val="20"/>
              </w:rPr>
            </w:pPr>
          </w:p>
        </w:tc>
        <w:tc>
          <w:tcPr>
            <w:tcW w:w="1443"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241" w:type="dxa"/>
            <w:vAlign w:val="center"/>
          </w:tcPr>
          <w:p>
            <w:pPr>
              <w:widowControl/>
              <w:jc w:val="center"/>
              <w:rPr>
                <w:rFonts w:ascii="Times New Roman" w:hAnsi="Times New Roman"/>
                <w:bCs/>
                <w:kern w:val="0"/>
                <w:sz w:val="20"/>
              </w:rPr>
            </w:pPr>
          </w:p>
        </w:tc>
        <w:tc>
          <w:tcPr>
            <w:tcW w:w="1341"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837" w:type="dxa"/>
            <w:vAlign w:val="center"/>
          </w:tcPr>
          <w:p>
            <w:pPr>
              <w:widowControl/>
              <w:rPr>
                <w:rFonts w:ascii="Times New Roman" w:hAnsi="Times New Roman"/>
                <w:bCs/>
                <w:kern w:val="0"/>
                <w:sz w:val="20"/>
              </w:rPr>
            </w:pPr>
            <w:r>
              <w:rPr>
                <w:rFonts w:hint="eastAsia" w:ascii="Times New Roman" w:hAnsi="Times New Roman"/>
                <w:bCs/>
                <w:kern w:val="0"/>
                <w:sz w:val="20"/>
              </w:rPr>
              <w:t>6</w:t>
            </w:r>
            <w:r>
              <w:rPr>
                <w:rFonts w:ascii="Times New Roman" w:hAnsi="Times New Roman"/>
                <w:bCs/>
                <w:kern w:val="0"/>
                <w:sz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Align w:val="center"/>
          </w:tcPr>
          <w:p>
            <w:pPr>
              <w:widowControl/>
              <w:rPr>
                <w:rFonts w:ascii="Times New Roman" w:hAnsi="Times New Roman"/>
                <w:bCs/>
                <w:kern w:val="0"/>
                <w:sz w:val="20"/>
              </w:rPr>
            </w:pPr>
            <w:r>
              <w:rPr>
                <w:rFonts w:hint="eastAsia" w:ascii="Times New Roman" w:hAnsi="Times New Roman"/>
                <w:bCs/>
                <w:kern w:val="0"/>
                <w:sz w:val="20"/>
              </w:rPr>
              <w:t>S</w:t>
            </w:r>
            <w:r>
              <w:rPr>
                <w:rFonts w:ascii="Times New Roman" w:hAnsi="Times New Roman"/>
                <w:bCs/>
                <w:kern w:val="0"/>
                <w:sz w:val="20"/>
              </w:rPr>
              <w:t>ingh et al., 2019</w:t>
            </w:r>
          </w:p>
        </w:tc>
        <w:tc>
          <w:tcPr>
            <w:tcW w:w="1657" w:type="dxa"/>
            <w:vAlign w:val="center"/>
          </w:tcPr>
          <w:p>
            <w:pPr>
              <w:widowControl/>
              <w:rPr>
                <w:rFonts w:ascii="Times New Roman" w:hAnsi="Times New Roman"/>
                <w:bCs/>
                <w:kern w:val="0"/>
                <w:sz w:val="20"/>
              </w:rPr>
            </w:pPr>
            <w:r>
              <w:rPr>
                <w:rFonts w:hint="eastAsia" w:ascii="Times New Roman" w:hAnsi="Times New Roman"/>
                <w:bCs/>
                <w:kern w:val="0"/>
              </w:rPr>
              <w:t>C</w:t>
            </w:r>
            <w:r>
              <w:rPr>
                <w:rFonts w:ascii="Times New Roman" w:hAnsi="Times New Roman"/>
                <w:bCs/>
                <w:kern w:val="0"/>
              </w:rPr>
              <w:t>ross-sectional</w:t>
            </w:r>
          </w:p>
        </w:tc>
        <w:tc>
          <w:tcPr>
            <w:tcW w:w="1534"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005"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677"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844"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676"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443"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241" w:type="dxa"/>
            <w:vAlign w:val="center"/>
          </w:tcPr>
          <w:p>
            <w:pPr>
              <w:widowControl/>
              <w:jc w:val="center"/>
              <w:rPr>
                <w:rFonts w:ascii="Times New Roman" w:hAnsi="Times New Roman"/>
                <w:bCs/>
                <w:kern w:val="0"/>
                <w:sz w:val="20"/>
              </w:rPr>
            </w:pPr>
          </w:p>
        </w:tc>
        <w:tc>
          <w:tcPr>
            <w:tcW w:w="1341"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837" w:type="dxa"/>
            <w:vAlign w:val="center"/>
          </w:tcPr>
          <w:p>
            <w:pPr>
              <w:widowControl/>
              <w:rPr>
                <w:rFonts w:ascii="Times New Roman" w:hAnsi="Times New Roman"/>
                <w:bCs/>
                <w:kern w:val="0"/>
                <w:sz w:val="20"/>
              </w:rPr>
            </w:pPr>
            <w:r>
              <w:rPr>
                <w:rFonts w:hint="eastAsia" w:ascii="Times New Roman" w:hAnsi="Times New Roman"/>
                <w:bCs/>
                <w:kern w:val="0"/>
                <w:sz w:val="20"/>
              </w:rPr>
              <w:t>9</w:t>
            </w:r>
            <w:r>
              <w:rPr>
                <w:rFonts w:ascii="Times New Roman" w:hAnsi="Times New Roman"/>
                <w:bCs/>
                <w:kern w:val="0"/>
                <w:sz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Align w:val="center"/>
          </w:tcPr>
          <w:p>
            <w:pPr>
              <w:widowControl/>
              <w:rPr>
                <w:rFonts w:ascii="Times New Roman" w:hAnsi="Times New Roman"/>
                <w:bCs/>
                <w:kern w:val="0"/>
                <w:sz w:val="20"/>
              </w:rPr>
            </w:pPr>
            <w:r>
              <w:rPr>
                <w:rFonts w:hint="eastAsia" w:ascii="Times New Roman" w:hAnsi="Times New Roman"/>
                <w:bCs/>
                <w:kern w:val="0"/>
                <w:sz w:val="20"/>
              </w:rPr>
              <w:t>T</w:t>
            </w:r>
            <w:r>
              <w:rPr>
                <w:rFonts w:ascii="Times New Roman" w:hAnsi="Times New Roman"/>
                <w:bCs/>
                <w:kern w:val="0"/>
                <w:sz w:val="20"/>
              </w:rPr>
              <w:t>oh et al., 2019</w:t>
            </w:r>
          </w:p>
        </w:tc>
        <w:tc>
          <w:tcPr>
            <w:tcW w:w="1657" w:type="dxa"/>
            <w:vAlign w:val="center"/>
          </w:tcPr>
          <w:p>
            <w:pPr>
              <w:widowControl/>
              <w:rPr>
                <w:rFonts w:ascii="Times New Roman" w:hAnsi="Times New Roman"/>
                <w:bCs/>
                <w:kern w:val="0"/>
                <w:sz w:val="20"/>
              </w:rPr>
            </w:pPr>
            <w:r>
              <w:rPr>
                <w:rFonts w:hint="eastAsia" w:ascii="Times New Roman" w:hAnsi="Times New Roman"/>
                <w:bCs/>
                <w:kern w:val="0"/>
              </w:rPr>
              <w:t>C</w:t>
            </w:r>
            <w:r>
              <w:rPr>
                <w:rFonts w:ascii="Times New Roman" w:hAnsi="Times New Roman"/>
                <w:bCs/>
                <w:kern w:val="0"/>
              </w:rPr>
              <w:t>ross-sectional</w:t>
            </w:r>
          </w:p>
        </w:tc>
        <w:tc>
          <w:tcPr>
            <w:tcW w:w="1534"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005"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677"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844"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676"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443"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241" w:type="dxa"/>
            <w:vAlign w:val="center"/>
          </w:tcPr>
          <w:p>
            <w:pPr>
              <w:widowControl/>
              <w:jc w:val="center"/>
              <w:rPr>
                <w:rFonts w:ascii="Times New Roman" w:hAnsi="Times New Roman"/>
                <w:bCs/>
                <w:kern w:val="0"/>
                <w:sz w:val="20"/>
              </w:rPr>
            </w:pPr>
          </w:p>
        </w:tc>
        <w:tc>
          <w:tcPr>
            <w:tcW w:w="1341"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837" w:type="dxa"/>
            <w:vAlign w:val="center"/>
          </w:tcPr>
          <w:p>
            <w:pPr>
              <w:widowControl/>
              <w:rPr>
                <w:rFonts w:ascii="Times New Roman" w:hAnsi="Times New Roman"/>
                <w:bCs/>
                <w:kern w:val="0"/>
                <w:sz w:val="20"/>
              </w:rPr>
            </w:pPr>
            <w:r>
              <w:rPr>
                <w:rFonts w:hint="eastAsia" w:ascii="Times New Roman" w:hAnsi="Times New Roman"/>
                <w:bCs/>
                <w:kern w:val="0"/>
                <w:sz w:val="20"/>
              </w:rPr>
              <w:t>8</w:t>
            </w:r>
            <w:r>
              <w:rPr>
                <w:rFonts w:ascii="Times New Roman" w:hAnsi="Times New Roman"/>
                <w:bCs/>
                <w:kern w:val="0"/>
                <w:sz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Align w:val="center"/>
          </w:tcPr>
          <w:p>
            <w:pPr>
              <w:widowControl/>
              <w:rPr>
                <w:rFonts w:ascii="Times New Roman" w:hAnsi="Times New Roman"/>
                <w:bCs/>
                <w:kern w:val="0"/>
                <w:sz w:val="20"/>
              </w:rPr>
            </w:pPr>
            <w:r>
              <w:rPr>
                <w:rFonts w:hint="eastAsia" w:ascii="Times New Roman" w:hAnsi="Times New Roman"/>
                <w:bCs/>
                <w:kern w:val="0"/>
                <w:sz w:val="20"/>
              </w:rPr>
              <w:t>X</w:t>
            </w:r>
            <w:r>
              <w:rPr>
                <w:rFonts w:ascii="Times New Roman" w:hAnsi="Times New Roman"/>
                <w:bCs/>
                <w:kern w:val="0"/>
                <w:sz w:val="20"/>
              </w:rPr>
              <w:t>ie et al., 2020</w:t>
            </w:r>
          </w:p>
        </w:tc>
        <w:tc>
          <w:tcPr>
            <w:tcW w:w="1657" w:type="dxa"/>
            <w:vAlign w:val="center"/>
          </w:tcPr>
          <w:p>
            <w:pPr>
              <w:widowControl/>
              <w:rPr>
                <w:rFonts w:ascii="Times New Roman" w:hAnsi="Times New Roman"/>
                <w:bCs/>
                <w:kern w:val="0"/>
                <w:sz w:val="20"/>
              </w:rPr>
            </w:pPr>
            <w:r>
              <w:rPr>
                <w:rFonts w:hint="eastAsia" w:ascii="Times New Roman" w:hAnsi="Times New Roman"/>
                <w:bCs/>
                <w:kern w:val="0"/>
              </w:rPr>
              <w:t>C</w:t>
            </w:r>
            <w:r>
              <w:rPr>
                <w:rFonts w:ascii="Times New Roman" w:hAnsi="Times New Roman"/>
                <w:bCs/>
                <w:kern w:val="0"/>
              </w:rPr>
              <w:t>ross-sectional</w:t>
            </w:r>
          </w:p>
        </w:tc>
        <w:tc>
          <w:tcPr>
            <w:tcW w:w="1534"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005" w:type="dxa"/>
            <w:vAlign w:val="center"/>
          </w:tcPr>
          <w:p>
            <w:pPr>
              <w:widowControl/>
              <w:jc w:val="center"/>
              <w:rPr>
                <w:rFonts w:ascii="Times New Roman" w:hAnsi="Times New Roman"/>
                <w:bCs/>
                <w:kern w:val="0"/>
                <w:sz w:val="20"/>
              </w:rPr>
            </w:pPr>
          </w:p>
        </w:tc>
        <w:tc>
          <w:tcPr>
            <w:tcW w:w="1677"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844"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676"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443"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241" w:type="dxa"/>
            <w:vAlign w:val="center"/>
          </w:tcPr>
          <w:p>
            <w:pPr>
              <w:widowControl/>
              <w:jc w:val="center"/>
              <w:rPr>
                <w:rFonts w:ascii="Times New Roman" w:hAnsi="Times New Roman"/>
                <w:bCs/>
                <w:kern w:val="0"/>
                <w:sz w:val="20"/>
              </w:rPr>
            </w:pPr>
          </w:p>
        </w:tc>
        <w:tc>
          <w:tcPr>
            <w:tcW w:w="1341"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837" w:type="dxa"/>
            <w:vAlign w:val="center"/>
          </w:tcPr>
          <w:p>
            <w:pPr>
              <w:widowControl/>
              <w:rPr>
                <w:rFonts w:ascii="Times New Roman" w:hAnsi="Times New Roman"/>
                <w:bCs/>
                <w:kern w:val="0"/>
                <w:sz w:val="20"/>
              </w:rPr>
            </w:pPr>
            <w:r>
              <w:rPr>
                <w:rFonts w:ascii="Times New Roman" w:hAnsi="Times New Roman"/>
                <w:bCs/>
                <w:kern w:val="0"/>
                <w:sz w:val="20"/>
              </w:rPr>
              <w:t>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Merge w:val="restart"/>
            <w:vAlign w:val="center"/>
          </w:tcPr>
          <w:p>
            <w:pPr>
              <w:widowControl/>
              <w:rPr>
                <w:rFonts w:ascii="Times New Roman" w:hAnsi="Times New Roman"/>
                <w:bCs/>
                <w:kern w:val="0"/>
                <w:sz w:val="20"/>
              </w:rPr>
            </w:pPr>
            <w:r>
              <w:rPr>
                <w:rFonts w:hint="eastAsia" w:ascii="Times New Roman" w:hAnsi="Times New Roman"/>
                <w:bCs/>
                <w:kern w:val="0"/>
                <w:sz w:val="20"/>
              </w:rPr>
              <w:t>R</w:t>
            </w:r>
            <w:r>
              <w:rPr>
                <w:rFonts w:ascii="Times New Roman" w:hAnsi="Times New Roman"/>
                <w:bCs/>
                <w:kern w:val="0"/>
                <w:sz w:val="20"/>
              </w:rPr>
              <w:t>eference</w:t>
            </w:r>
          </w:p>
        </w:tc>
        <w:tc>
          <w:tcPr>
            <w:tcW w:w="1657" w:type="dxa"/>
            <w:vMerge w:val="restart"/>
            <w:vAlign w:val="center"/>
          </w:tcPr>
          <w:p>
            <w:pPr>
              <w:widowControl/>
              <w:rPr>
                <w:rFonts w:ascii="Times New Roman" w:hAnsi="Times New Roman"/>
                <w:bCs/>
                <w:kern w:val="0"/>
                <w:sz w:val="20"/>
              </w:rPr>
            </w:pPr>
            <w:r>
              <w:rPr>
                <w:rFonts w:hint="eastAsia" w:ascii="Times New Roman" w:hAnsi="Times New Roman"/>
                <w:bCs/>
                <w:kern w:val="0"/>
                <w:sz w:val="20"/>
              </w:rPr>
              <w:t>S</w:t>
            </w:r>
            <w:r>
              <w:rPr>
                <w:rFonts w:ascii="Times New Roman" w:hAnsi="Times New Roman"/>
                <w:bCs/>
                <w:kern w:val="0"/>
                <w:sz w:val="20"/>
              </w:rPr>
              <w:t>tudy design</w:t>
            </w:r>
          </w:p>
        </w:tc>
        <w:tc>
          <w:tcPr>
            <w:tcW w:w="6060" w:type="dxa"/>
            <w:gridSpan w:val="4"/>
            <w:vAlign w:val="center"/>
          </w:tcPr>
          <w:p>
            <w:pPr>
              <w:widowControl/>
              <w:jc w:val="center"/>
              <w:rPr>
                <w:rFonts w:ascii="Times New Roman" w:hAnsi="Times New Roman"/>
                <w:bCs/>
                <w:kern w:val="0"/>
                <w:sz w:val="20"/>
              </w:rPr>
            </w:pPr>
            <w:r>
              <w:rPr>
                <w:rFonts w:hint="eastAsia" w:ascii="Times New Roman" w:hAnsi="Times New Roman"/>
                <w:bCs/>
                <w:kern w:val="0"/>
                <w:sz w:val="20"/>
              </w:rPr>
              <w:t>S</w:t>
            </w:r>
            <w:r>
              <w:rPr>
                <w:rFonts w:ascii="Times New Roman" w:hAnsi="Times New Roman"/>
                <w:bCs/>
                <w:kern w:val="0"/>
                <w:sz w:val="20"/>
              </w:rPr>
              <w:t>election</w:t>
            </w:r>
          </w:p>
        </w:tc>
        <w:tc>
          <w:tcPr>
            <w:tcW w:w="1676" w:type="dxa"/>
            <w:vAlign w:val="center"/>
          </w:tcPr>
          <w:p>
            <w:pPr>
              <w:widowControl/>
              <w:rPr>
                <w:rFonts w:ascii="Times New Roman" w:hAnsi="Times New Roman"/>
                <w:bCs/>
                <w:kern w:val="0"/>
                <w:sz w:val="20"/>
              </w:rPr>
            </w:pPr>
            <w:r>
              <w:rPr>
                <w:rFonts w:hint="eastAsia" w:ascii="Times New Roman" w:hAnsi="Times New Roman"/>
                <w:bCs/>
                <w:kern w:val="0"/>
                <w:sz w:val="20"/>
              </w:rPr>
              <w:t>C</w:t>
            </w:r>
            <w:r>
              <w:rPr>
                <w:rFonts w:ascii="Times New Roman" w:hAnsi="Times New Roman"/>
                <w:bCs/>
                <w:kern w:val="0"/>
                <w:sz w:val="20"/>
              </w:rPr>
              <w:t>omparability</w:t>
            </w:r>
          </w:p>
        </w:tc>
        <w:tc>
          <w:tcPr>
            <w:tcW w:w="4025" w:type="dxa"/>
            <w:gridSpan w:val="3"/>
            <w:vAlign w:val="center"/>
          </w:tcPr>
          <w:p>
            <w:pPr>
              <w:widowControl/>
              <w:jc w:val="center"/>
              <w:rPr>
                <w:rFonts w:ascii="Times New Roman" w:hAnsi="Times New Roman"/>
                <w:bCs/>
                <w:kern w:val="0"/>
                <w:sz w:val="20"/>
              </w:rPr>
            </w:pPr>
            <w:r>
              <w:rPr>
                <w:rFonts w:hint="eastAsia" w:ascii="Times New Roman" w:hAnsi="Times New Roman"/>
                <w:bCs/>
                <w:kern w:val="0"/>
                <w:sz w:val="20"/>
              </w:rPr>
              <w:t>E</w:t>
            </w:r>
            <w:r>
              <w:rPr>
                <w:rFonts w:ascii="Times New Roman" w:hAnsi="Times New Roman"/>
                <w:bCs/>
                <w:kern w:val="0"/>
                <w:sz w:val="20"/>
              </w:rPr>
              <w:t>xposure</w:t>
            </w:r>
          </w:p>
        </w:tc>
        <w:tc>
          <w:tcPr>
            <w:tcW w:w="837" w:type="dxa"/>
            <w:vMerge w:val="restart"/>
            <w:vAlign w:val="center"/>
          </w:tcPr>
          <w:p>
            <w:pPr>
              <w:rPr>
                <w:rFonts w:ascii="Times New Roman" w:hAnsi="Times New Roman"/>
                <w:bCs/>
                <w:kern w:val="0"/>
                <w:sz w:val="20"/>
              </w:rPr>
            </w:pPr>
            <w:r>
              <w:rPr>
                <w:rFonts w:hint="eastAsia" w:ascii="Times New Roman" w:hAnsi="Times New Roman"/>
                <w:bCs/>
                <w:kern w:val="0"/>
                <w:sz w:val="20"/>
              </w:rPr>
              <w:t>T</w:t>
            </w:r>
            <w:r>
              <w:rPr>
                <w:rFonts w:ascii="Times New Roman" w:hAnsi="Times New Roman"/>
                <w:bCs/>
                <w:kern w:val="0"/>
                <w:sz w:val="20"/>
              </w:rPr>
              <w:t xml:space="preserve">otal </w:t>
            </w:r>
            <w:r>
              <w:rPr>
                <w:rFonts w:hint="eastAsia" w:ascii="Times New Roman" w:hAnsi="Times New Roman"/>
                <w:bCs/>
                <w:kern w:val="0"/>
                <w:sz w:val="20"/>
              </w:rPr>
              <w:t>s</w:t>
            </w:r>
            <w:r>
              <w:rPr>
                <w:rFonts w:ascii="Times New Roman" w:hAnsi="Times New Roman"/>
                <w:bCs/>
                <w:kern w:val="0"/>
                <w:sz w:val="20"/>
              </w:rPr>
              <w:t>core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Merge w:val="continue"/>
            <w:vAlign w:val="center"/>
          </w:tcPr>
          <w:p>
            <w:pPr>
              <w:widowControl/>
              <w:rPr>
                <w:rFonts w:ascii="Times New Roman" w:hAnsi="Times New Roman"/>
                <w:bCs/>
                <w:kern w:val="0"/>
                <w:sz w:val="20"/>
              </w:rPr>
            </w:pPr>
          </w:p>
        </w:tc>
        <w:tc>
          <w:tcPr>
            <w:tcW w:w="1657" w:type="dxa"/>
            <w:vMerge w:val="continue"/>
            <w:vAlign w:val="center"/>
          </w:tcPr>
          <w:p>
            <w:pPr>
              <w:widowControl/>
              <w:rPr>
                <w:rFonts w:ascii="Times New Roman" w:hAnsi="Times New Roman"/>
                <w:bCs/>
                <w:kern w:val="0"/>
                <w:sz w:val="20"/>
              </w:rPr>
            </w:pPr>
          </w:p>
        </w:tc>
        <w:tc>
          <w:tcPr>
            <w:tcW w:w="1534" w:type="dxa"/>
            <w:vAlign w:val="center"/>
          </w:tcPr>
          <w:p>
            <w:pPr>
              <w:widowControl/>
              <w:rPr>
                <w:rFonts w:ascii="Times New Roman" w:hAnsi="Times New Roman"/>
                <w:bCs/>
                <w:kern w:val="0"/>
                <w:sz w:val="20"/>
              </w:rPr>
            </w:pPr>
            <w:r>
              <w:rPr>
                <w:rFonts w:hint="eastAsia" w:ascii="Times New Roman" w:hAnsi="Times New Roman"/>
                <w:bCs/>
                <w:kern w:val="0"/>
                <w:sz w:val="20"/>
              </w:rPr>
              <w:t>R</w:t>
            </w:r>
            <w:r>
              <w:rPr>
                <w:rFonts w:ascii="Times New Roman" w:hAnsi="Times New Roman"/>
                <w:bCs/>
                <w:kern w:val="0"/>
                <w:sz w:val="20"/>
              </w:rPr>
              <w:t>epresentactive</w:t>
            </w:r>
            <w:r>
              <w:rPr>
                <w:rFonts w:hint="eastAsia" w:ascii="Times New Roman" w:hAnsi="Times New Roman"/>
                <w:bCs/>
                <w:kern w:val="0"/>
                <w:sz w:val="20"/>
              </w:rPr>
              <w:t>-</w:t>
            </w:r>
            <w:r>
              <w:rPr>
                <w:rFonts w:ascii="Times New Roman" w:hAnsi="Times New Roman"/>
                <w:bCs/>
                <w:kern w:val="0"/>
                <w:sz w:val="20"/>
              </w:rPr>
              <w:t>ness of the exposed cohort</w:t>
            </w:r>
          </w:p>
        </w:tc>
        <w:tc>
          <w:tcPr>
            <w:tcW w:w="1005" w:type="dxa"/>
            <w:vAlign w:val="center"/>
          </w:tcPr>
          <w:p>
            <w:pPr>
              <w:widowControl/>
              <w:rPr>
                <w:rFonts w:ascii="Times New Roman" w:hAnsi="Times New Roman"/>
                <w:bCs/>
                <w:kern w:val="0"/>
                <w:sz w:val="20"/>
              </w:rPr>
            </w:pPr>
            <w:r>
              <w:rPr>
                <w:rFonts w:hint="eastAsia" w:ascii="Times New Roman" w:hAnsi="Times New Roman"/>
                <w:bCs/>
                <w:kern w:val="0"/>
                <w:sz w:val="20"/>
              </w:rPr>
              <w:t>S</w:t>
            </w:r>
            <w:r>
              <w:rPr>
                <w:rFonts w:ascii="Times New Roman" w:hAnsi="Times New Roman"/>
                <w:bCs/>
                <w:kern w:val="0"/>
                <w:sz w:val="20"/>
              </w:rPr>
              <w:t>election of the non-exposed cohort</w:t>
            </w:r>
          </w:p>
        </w:tc>
        <w:tc>
          <w:tcPr>
            <w:tcW w:w="1677" w:type="dxa"/>
            <w:vAlign w:val="center"/>
          </w:tcPr>
          <w:p>
            <w:pPr>
              <w:widowControl/>
              <w:rPr>
                <w:rFonts w:ascii="Times New Roman" w:hAnsi="Times New Roman"/>
                <w:bCs/>
                <w:kern w:val="0"/>
                <w:sz w:val="20"/>
              </w:rPr>
            </w:pPr>
            <w:r>
              <w:rPr>
                <w:rFonts w:ascii="Times New Roman" w:hAnsi="Times New Roman"/>
                <w:bCs/>
                <w:kern w:val="0"/>
                <w:sz w:val="20"/>
              </w:rPr>
              <w:t xml:space="preserve">Ascertainment </w:t>
            </w:r>
            <w:r>
              <w:rPr>
                <w:rFonts w:hint="eastAsia" w:ascii="Times New Roman" w:hAnsi="Times New Roman"/>
                <w:bCs/>
                <w:kern w:val="0"/>
                <w:sz w:val="20"/>
              </w:rPr>
              <w:t>o</w:t>
            </w:r>
            <w:r>
              <w:rPr>
                <w:rFonts w:ascii="Times New Roman" w:hAnsi="Times New Roman"/>
                <w:bCs/>
                <w:kern w:val="0"/>
                <w:sz w:val="20"/>
              </w:rPr>
              <w:t>f exposure</w:t>
            </w:r>
          </w:p>
        </w:tc>
        <w:tc>
          <w:tcPr>
            <w:tcW w:w="1844" w:type="dxa"/>
            <w:vAlign w:val="center"/>
          </w:tcPr>
          <w:p>
            <w:pPr>
              <w:widowControl/>
              <w:rPr>
                <w:rFonts w:ascii="Times New Roman" w:hAnsi="Times New Roman"/>
                <w:bCs/>
                <w:kern w:val="0"/>
                <w:sz w:val="20"/>
              </w:rPr>
            </w:pPr>
            <w:r>
              <w:rPr>
                <w:rFonts w:hint="eastAsia" w:ascii="Times New Roman" w:hAnsi="Times New Roman"/>
                <w:bCs/>
                <w:kern w:val="0"/>
                <w:sz w:val="20"/>
              </w:rPr>
              <w:t>D</w:t>
            </w:r>
            <w:r>
              <w:rPr>
                <w:rFonts w:ascii="Times New Roman" w:hAnsi="Times New Roman"/>
                <w:bCs/>
                <w:kern w:val="0"/>
                <w:sz w:val="20"/>
              </w:rPr>
              <w:t>emonstration that outcome of interest was not present at start of the study</w:t>
            </w:r>
          </w:p>
        </w:tc>
        <w:tc>
          <w:tcPr>
            <w:tcW w:w="1676" w:type="dxa"/>
            <w:vAlign w:val="center"/>
          </w:tcPr>
          <w:p>
            <w:pPr>
              <w:widowControl/>
              <w:rPr>
                <w:rFonts w:ascii="Times New Roman" w:hAnsi="Times New Roman"/>
                <w:bCs/>
                <w:kern w:val="0"/>
                <w:sz w:val="20"/>
              </w:rPr>
            </w:pPr>
            <w:r>
              <w:rPr>
                <w:rFonts w:hint="eastAsia" w:ascii="Times New Roman" w:hAnsi="Times New Roman"/>
                <w:bCs/>
                <w:kern w:val="0"/>
                <w:sz w:val="20"/>
              </w:rPr>
              <w:t>B</w:t>
            </w:r>
            <w:r>
              <w:rPr>
                <w:rFonts w:ascii="Times New Roman" w:hAnsi="Times New Roman"/>
                <w:bCs/>
                <w:kern w:val="0"/>
                <w:sz w:val="20"/>
              </w:rPr>
              <w:t>ased on design and analysis</w:t>
            </w:r>
          </w:p>
        </w:tc>
        <w:tc>
          <w:tcPr>
            <w:tcW w:w="1443" w:type="dxa"/>
            <w:vAlign w:val="center"/>
          </w:tcPr>
          <w:p>
            <w:pPr>
              <w:widowControl/>
              <w:rPr>
                <w:rFonts w:ascii="Times New Roman" w:hAnsi="Times New Roman"/>
                <w:bCs/>
                <w:kern w:val="0"/>
                <w:sz w:val="20"/>
              </w:rPr>
            </w:pPr>
            <w:r>
              <w:rPr>
                <w:rFonts w:hint="eastAsia" w:ascii="Times New Roman" w:hAnsi="Times New Roman"/>
                <w:bCs/>
                <w:kern w:val="0"/>
                <w:sz w:val="20"/>
              </w:rPr>
              <w:t>A</w:t>
            </w:r>
            <w:r>
              <w:rPr>
                <w:rFonts w:ascii="Times New Roman" w:hAnsi="Times New Roman"/>
                <w:bCs/>
                <w:kern w:val="0"/>
                <w:sz w:val="20"/>
              </w:rPr>
              <w:t xml:space="preserve">ssessment </w:t>
            </w:r>
            <w:r>
              <w:rPr>
                <w:rFonts w:hint="eastAsia" w:ascii="Times New Roman" w:hAnsi="Times New Roman"/>
                <w:bCs/>
                <w:kern w:val="0"/>
                <w:sz w:val="20"/>
              </w:rPr>
              <w:t>o</w:t>
            </w:r>
            <w:r>
              <w:rPr>
                <w:rFonts w:ascii="Times New Roman" w:hAnsi="Times New Roman"/>
                <w:bCs/>
                <w:kern w:val="0"/>
                <w:sz w:val="20"/>
              </w:rPr>
              <w:t>f outcome</w:t>
            </w:r>
          </w:p>
        </w:tc>
        <w:tc>
          <w:tcPr>
            <w:tcW w:w="1241" w:type="dxa"/>
            <w:vAlign w:val="center"/>
          </w:tcPr>
          <w:p>
            <w:pPr>
              <w:widowControl/>
              <w:rPr>
                <w:rFonts w:ascii="Times New Roman" w:hAnsi="Times New Roman"/>
                <w:bCs/>
                <w:kern w:val="0"/>
                <w:sz w:val="20"/>
              </w:rPr>
            </w:pPr>
            <w:r>
              <w:rPr>
                <w:rFonts w:hint="eastAsia" w:ascii="Times New Roman" w:hAnsi="Times New Roman"/>
                <w:bCs/>
                <w:kern w:val="0"/>
                <w:sz w:val="20"/>
              </w:rPr>
              <w:t>W</w:t>
            </w:r>
            <w:r>
              <w:rPr>
                <w:rFonts w:ascii="Times New Roman" w:hAnsi="Times New Roman"/>
                <w:bCs/>
                <w:kern w:val="0"/>
                <w:sz w:val="20"/>
              </w:rPr>
              <w:t>as follow-up long enough for the outcome</w:t>
            </w:r>
          </w:p>
        </w:tc>
        <w:tc>
          <w:tcPr>
            <w:tcW w:w="1341" w:type="dxa"/>
            <w:vAlign w:val="center"/>
          </w:tcPr>
          <w:p>
            <w:pPr>
              <w:widowControl/>
              <w:rPr>
                <w:rFonts w:ascii="Times New Roman" w:hAnsi="Times New Roman"/>
                <w:bCs/>
                <w:kern w:val="0"/>
                <w:sz w:val="20"/>
              </w:rPr>
            </w:pPr>
            <w:r>
              <w:rPr>
                <w:rFonts w:hint="eastAsia" w:ascii="Times New Roman" w:hAnsi="Times New Roman"/>
                <w:bCs/>
                <w:kern w:val="0"/>
                <w:sz w:val="20"/>
              </w:rPr>
              <w:t>A</w:t>
            </w:r>
            <w:r>
              <w:rPr>
                <w:rFonts w:ascii="Times New Roman" w:hAnsi="Times New Roman"/>
                <w:bCs/>
                <w:kern w:val="0"/>
                <w:sz w:val="20"/>
              </w:rPr>
              <w:t>dequacy of follow-up of cohorts</w:t>
            </w:r>
          </w:p>
        </w:tc>
        <w:tc>
          <w:tcPr>
            <w:tcW w:w="837" w:type="dxa"/>
            <w:vMerge w:val="continue"/>
            <w:vAlign w:val="center"/>
          </w:tcPr>
          <w:p>
            <w:pPr>
              <w:widowControl/>
              <w:rPr>
                <w:rFonts w:ascii="Times New Roman" w:hAnsi="Times New Roman"/>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Align w:val="center"/>
          </w:tcPr>
          <w:p>
            <w:pPr>
              <w:widowControl/>
              <w:rPr>
                <w:rFonts w:ascii="Times New Roman" w:hAnsi="Times New Roman"/>
                <w:bCs/>
                <w:kern w:val="0"/>
                <w:sz w:val="20"/>
              </w:rPr>
            </w:pPr>
            <w:r>
              <w:rPr>
                <w:rFonts w:hint="eastAsia" w:ascii="Times New Roman" w:hAnsi="Times New Roman"/>
                <w:bCs/>
                <w:kern w:val="0"/>
                <w:sz w:val="20"/>
              </w:rPr>
              <w:t>C</w:t>
            </w:r>
            <w:r>
              <w:rPr>
                <w:rFonts w:ascii="Times New Roman" w:hAnsi="Times New Roman"/>
                <w:bCs/>
                <w:kern w:val="0"/>
                <w:sz w:val="20"/>
              </w:rPr>
              <w:t>hua et al., 2015</w:t>
            </w:r>
          </w:p>
        </w:tc>
        <w:tc>
          <w:tcPr>
            <w:tcW w:w="1657" w:type="dxa"/>
            <w:vAlign w:val="center"/>
          </w:tcPr>
          <w:p>
            <w:pPr>
              <w:widowControl/>
              <w:rPr>
                <w:rFonts w:ascii="Times New Roman" w:hAnsi="Times New Roman"/>
                <w:bCs/>
                <w:kern w:val="0"/>
                <w:sz w:val="20"/>
              </w:rPr>
            </w:pPr>
            <w:r>
              <w:rPr>
                <w:rFonts w:hint="eastAsia" w:ascii="Times New Roman" w:hAnsi="Times New Roman"/>
                <w:bCs/>
                <w:kern w:val="0"/>
                <w:sz w:val="20"/>
              </w:rPr>
              <w:t>C</w:t>
            </w:r>
            <w:r>
              <w:rPr>
                <w:rFonts w:ascii="Times New Roman" w:hAnsi="Times New Roman"/>
                <w:bCs/>
                <w:kern w:val="0"/>
                <w:sz w:val="20"/>
              </w:rPr>
              <w:t>ohort</w:t>
            </w:r>
          </w:p>
        </w:tc>
        <w:tc>
          <w:tcPr>
            <w:tcW w:w="1534"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005"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677"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844" w:type="dxa"/>
            <w:vAlign w:val="center"/>
          </w:tcPr>
          <w:p>
            <w:pPr>
              <w:widowControl/>
              <w:jc w:val="center"/>
              <w:rPr>
                <w:rFonts w:ascii="Times New Roman" w:hAnsi="Times New Roman"/>
                <w:bCs/>
                <w:kern w:val="0"/>
                <w:sz w:val="20"/>
              </w:rPr>
            </w:pPr>
          </w:p>
        </w:tc>
        <w:tc>
          <w:tcPr>
            <w:tcW w:w="1676"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443"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241"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341"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837" w:type="dxa"/>
            <w:vAlign w:val="center"/>
          </w:tcPr>
          <w:p>
            <w:pPr>
              <w:widowControl/>
              <w:rPr>
                <w:rFonts w:ascii="Times New Roman" w:hAnsi="Times New Roman"/>
                <w:bCs/>
                <w:kern w:val="0"/>
                <w:sz w:val="20"/>
              </w:rPr>
            </w:pPr>
            <w:r>
              <w:rPr>
                <w:rFonts w:hint="eastAsia" w:ascii="Times New Roman" w:hAnsi="Times New Roman"/>
                <w:bCs/>
                <w:kern w:val="0"/>
                <w:sz w:val="20"/>
              </w:rPr>
              <w:t>8</w:t>
            </w:r>
            <w:r>
              <w:rPr>
                <w:rFonts w:ascii="Times New Roman" w:hAnsi="Times New Roman"/>
                <w:bCs/>
                <w:kern w:val="0"/>
                <w:sz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Align w:val="center"/>
          </w:tcPr>
          <w:p>
            <w:pPr>
              <w:widowControl/>
              <w:rPr>
                <w:rFonts w:ascii="Times New Roman" w:hAnsi="Times New Roman"/>
                <w:bCs/>
                <w:kern w:val="0"/>
                <w:sz w:val="20"/>
              </w:rPr>
            </w:pPr>
            <w:r>
              <w:rPr>
                <w:rFonts w:hint="eastAsia" w:ascii="Times New Roman" w:hAnsi="Times New Roman"/>
                <w:bCs/>
                <w:kern w:val="0"/>
                <w:sz w:val="20"/>
              </w:rPr>
              <w:t>D</w:t>
            </w:r>
            <w:r>
              <w:rPr>
                <w:rFonts w:ascii="Times New Roman" w:hAnsi="Times New Roman"/>
                <w:bCs/>
                <w:kern w:val="0"/>
                <w:sz w:val="20"/>
              </w:rPr>
              <w:t>eng et al., 2010</w:t>
            </w:r>
          </w:p>
        </w:tc>
        <w:tc>
          <w:tcPr>
            <w:tcW w:w="1657" w:type="dxa"/>
            <w:vAlign w:val="center"/>
          </w:tcPr>
          <w:p>
            <w:pPr>
              <w:widowControl/>
              <w:rPr>
                <w:rFonts w:ascii="Times New Roman" w:hAnsi="Times New Roman"/>
                <w:bCs/>
                <w:kern w:val="0"/>
                <w:sz w:val="20"/>
              </w:rPr>
            </w:pPr>
            <w:r>
              <w:rPr>
                <w:rFonts w:hint="eastAsia" w:ascii="Times New Roman" w:hAnsi="Times New Roman"/>
                <w:bCs/>
                <w:kern w:val="0"/>
                <w:sz w:val="20"/>
              </w:rPr>
              <w:t>C</w:t>
            </w:r>
            <w:r>
              <w:rPr>
                <w:rFonts w:ascii="Times New Roman" w:hAnsi="Times New Roman"/>
                <w:bCs/>
                <w:kern w:val="0"/>
                <w:sz w:val="20"/>
              </w:rPr>
              <w:t>ohort</w:t>
            </w:r>
          </w:p>
        </w:tc>
        <w:tc>
          <w:tcPr>
            <w:tcW w:w="1534"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005"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677"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844" w:type="dxa"/>
            <w:vAlign w:val="center"/>
          </w:tcPr>
          <w:p>
            <w:pPr>
              <w:widowControl/>
              <w:jc w:val="center"/>
              <w:rPr>
                <w:rFonts w:ascii="Times New Roman" w:hAnsi="Times New Roman"/>
                <w:bCs/>
                <w:kern w:val="0"/>
                <w:sz w:val="20"/>
              </w:rPr>
            </w:pPr>
          </w:p>
        </w:tc>
        <w:tc>
          <w:tcPr>
            <w:tcW w:w="1676" w:type="dxa"/>
            <w:vAlign w:val="center"/>
          </w:tcPr>
          <w:p>
            <w:pPr>
              <w:widowControl/>
              <w:jc w:val="center"/>
              <w:rPr>
                <w:rFonts w:ascii="Times New Roman" w:hAnsi="Times New Roman"/>
                <w:bCs/>
                <w:kern w:val="0"/>
                <w:sz w:val="20"/>
              </w:rPr>
            </w:pPr>
          </w:p>
        </w:tc>
        <w:tc>
          <w:tcPr>
            <w:tcW w:w="1443"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241"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341"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837" w:type="dxa"/>
            <w:vAlign w:val="center"/>
          </w:tcPr>
          <w:p>
            <w:pPr>
              <w:widowControl/>
              <w:rPr>
                <w:rFonts w:ascii="Times New Roman" w:hAnsi="Times New Roman"/>
                <w:bCs/>
                <w:kern w:val="0"/>
                <w:sz w:val="20"/>
              </w:rPr>
            </w:pPr>
            <w:r>
              <w:rPr>
                <w:rFonts w:hint="eastAsia" w:ascii="Times New Roman" w:hAnsi="Times New Roman"/>
                <w:bCs/>
                <w:kern w:val="0"/>
                <w:sz w:val="20"/>
              </w:rPr>
              <w:t>6</w:t>
            </w:r>
            <w:r>
              <w:rPr>
                <w:rFonts w:ascii="Times New Roman" w:hAnsi="Times New Roman"/>
                <w:bCs/>
                <w:kern w:val="0"/>
                <w:sz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Align w:val="center"/>
          </w:tcPr>
          <w:p>
            <w:pPr>
              <w:widowControl/>
              <w:rPr>
                <w:rFonts w:ascii="Times New Roman" w:hAnsi="Times New Roman"/>
                <w:bCs/>
                <w:kern w:val="0"/>
                <w:sz w:val="20"/>
              </w:rPr>
            </w:pPr>
            <w:r>
              <w:rPr>
                <w:rFonts w:hint="eastAsia" w:ascii="Times New Roman" w:hAnsi="Times New Roman"/>
                <w:bCs/>
                <w:kern w:val="0"/>
                <w:sz w:val="20"/>
              </w:rPr>
              <w:t>T</w:t>
            </w:r>
            <w:r>
              <w:rPr>
                <w:rFonts w:ascii="Times New Roman" w:hAnsi="Times New Roman"/>
                <w:bCs/>
                <w:kern w:val="0"/>
                <w:sz w:val="20"/>
              </w:rPr>
              <w:t>sai et al., 2020</w:t>
            </w:r>
          </w:p>
        </w:tc>
        <w:tc>
          <w:tcPr>
            <w:tcW w:w="1657" w:type="dxa"/>
            <w:vAlign w:val="center"/>
          </w:tcPr>
          <w:p>
            <w:pPr>
              <w:widowControl/>
              <w:rPr>
                <w:rFonts w:ascii="Times New Roman" w:hAnsi="Times New Roman"/>
                <w:bCs/>
                <w:kern w:val="0"/>
                <w:sz w:val="20"/>
              </w:rPr>
            </w:pPr>
            <w:r>
              <w:rPr>
                <w:rFonts w:hint="eastAsia" w:ascii="Times New Roman" w:hAnsi="Times New Roman"/>
                <w:bCs/>
                <w:kern w:val="0"/>
                <w:sz w:val="20"/>
              </w:rPr>
              <w:t>C</w:t>
            </w:r>
            <w:r>
              <w:rPr>
                <w:rFonts w:ascii="Times New Roman" w:hAnsi="Times New Roman"/>
                <w:bCs/>
                <w:kern w:val="0"/>
                <w:sz w:val="20"/>
              </w:rPr>
              <w:t>ohort</w:t>
            </w:r>
          </w:p>
        </w:tc>
        <w:tc>
          <w:tcPr>
            <w:tcW w:w="1534"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005"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677"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844" w:type="dxa"/>
            <w:vAlign w:val="center"/>
          </w:tcPr>
          <w:p>
            <w:pPr>
              <w:widowControl/>
              <w:jc w:val="center"/>
              <w:rPr>
                <w:rFonts w:ascii="Times New Roman" w:hAnsi="Times New Roman"/>
                <w:bCs/>
                <w:kern w:val="0"/>
                <w:sz w:val="20"/>
              </w:rPr>
            </w:pPr>
          </w:p>
        </w:tc>
        <w:tc>
          <w:tcPr>
            <w:tcW w:w="1676"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443"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241"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341"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837" w:type="dxa"/>
            <w:vAlign w:val="center"/>
          </w:tcPr>
          <w:p>
            <w:pPr>
              <w:widowControl/>
              <w:rPr>
                <w:rFonts w:ascii="Times New Roman" w:hAnsi="Times New Roman"/>
                <w:bCs/>
                <w:kern w:val="0"/>
                <w:sz w:val="20"/>
              </w:rPr>
            </w:pPr>
            <w:r>
              <w:rPr>
                <w:rFonts w:hint="eastAsia" w:ascii="Times New Roman" w:hAnsi="Times New Roman"/>
                <w:bCs/>
                <w:kern w:val="0"/>
                <w:sz w:val="20"/>
              </w:rPr>
              <w:t>9</w:t>
            </w:r>
            <w:r>
              <w:rPr>
                <w:rFonts w:ascii="Times New Roman" w:hAnsi="Times New Roman"/>
                <w:bCs/>
                <w:kern w:val="0"/>
                <w:sz w:val="2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vAlign w:val="center"/>
          </w:tcPr>
          <w:p>
            <w:pPr>
              <w:widowControl/>
              <w:rPr>
                <w:rFonts w:ascii="Times New Roman" w:hAnsi="Times New Roman"/>
                <w:bCs/>
                <w:kern w:val="0"/>
                <w:sz w:val="20"/>
              </w:rPr>
            </w:pPr>
            <w:r>
              <w:rPr>
                <w:rFonts w:hint="eastAsia" w:ascii="Times New Roman" w:hAnsi="Times New Roman"/>
                <w:bCs/>
                <w:kern w:val="0"/>
                <w:sz w:val="20"/>
              </w:rPr>
              <w:t>H</w:t>
            </w:r>
            <w:r>
              <w:rPr>
                <w:rFonts w:ascii="Times New Roman" w:hAnsi="Times New Roman"/>
                <w:bCs/>
                <w:kern w:val="0"/>
                <w:sz w:val="20"/>
              </w:rPr>
              <w:t>ansen et al., 2019</w:t>
            </w:r>
          </w:p>
        </w:tc>
        <w:tc>
          <w:tcPr>
            <w:tcW w:w="1657" w:type="dxa"/>
            <w:vAlign w:val="center"/>
          </w:tcPr>
          <w:p>
            <w:pPr>
              <w:widowControl/>
              <w:rPr>
                <w:rFonts w:ascii="Times New Roman" w:hAnsi="Times New Roman"/>
                <w:bCs/>
                <w:kern w:val="0"/>
                <w:sz w:val="20"/>
              </w:rPr>
            </w:pPr>
            <w:r>
              <w:rPr>
                <w:rFonts w:hint="eastAsia" w:ascii="Times New Roman" w:hAnsi="Times New Roman"/>
                <w:bCs/>
                <w:kern w:val="0"/>
                <w:sz w:val="20"/>
              </w:rPr>
              <w:t>C</w:t>
            </w:r>
            <w:r>
              <w:rPr>
                <w:rFonts w:ascii="Times New Roman" w:hAnsi="Times New Roman"/>
                <w:bCs/>
                <w:kern w:val="0"/>
                <w:sz w:val="20"/>
              </w:rPr>
              <w:t>ohort</w:t>
            </w:r>
          </w:p>
        </w:tc>
        <w:tc>
          <w:tcPr>
            <w:tcW w:w="1534"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005"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677"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844" w:type="dxa"/>
            <w:vAlign w:val="center"/>
          </w:tcPr>
          <w:p>
            <w:pPr>
              <w:widowControl/>
              <w:jc w:val="center"/>
              <w:rPr>
                <w:rFonts w:ascii="Times New Roman" w:hAnsi="Times New Roman"/>
                <w:bCs/>
                <w:kern w:val="0"/>
                <w:sz w:val="20"/>
              </w:rPr>
            </w:pPr>
          </w:p>
        </w:tc>
        <w:tc>
          <w:tcPr>
            <w:tcW w:w="1676"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443"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241"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1341" w:type="dxa"/>
            <w:vAlign w:val="center"/>
          </w:tcPr>
          <w:p>
            <w:pPr>
              <w:widowControl/>
              <w:jc w:val="center"/>
              <w:rPr>
                <w:rFonts w:ascii="Times New Roman" w:hAnsi="Times New Roman"/>
                <w:bCs/>
                <w:kern w:val="0"/>
                <w:sz w:val="20"/>
              </w:rPr>
            </w:pPr>
            <w:r>
              <w:rPr>
                <w:rFonts w:hint="eastAsia" w:ascii="MS Gothic" w:hAnsi="MS Gothic" w:eastAsia="MS Gothic" w:cs="MS Gothic"/>
                <w:kern w:val="0"/>
                <w:sz w:val="24"/>
                <w:szCs w:val="24"/>
              </w:rPr>
              <w:t>⋆</w:t>
            </w:r>
          </w:p>
        </w:tc>
        <w:tc>
          <w:tcPr>
            <w:tcW w:w="837" w:type="dxa"/>
            <w:vAlign w:val="center"/>
          </w:tcPr>
          <w:p>
            <w:pPr>
              <w:widowControl/>
              <w:rPr>
                <w:rFonts w:ascii="Times New Roman" w:hAnsi="Times New Roman"/>
                <w:bCs/>
                <w:kern w:val="0"/>
                <w:sz w:val="20"/>
              </w:rPr>
            </w:pPr>
            <w:r>
              <w:rPr>
                <w:rFonts w:hint="eastAsia" w:ascii="Times New Roman" w:hAnsi="Times New Roman"/>
                <w:bCs/>
                <w:kern w:val="0"/>
                <w:sz w:val="20"/>
              </w:rPr>
              <w:t>9</w:t>
            </w:r>
            <w:r>
              <w:rPr>
                <w:rFonts w:ascii="Times New Roman" w:hAnsi="Times New Roman"/>
                <w:bCs/>
                <w:kern w:val="0"/>
                <w:sz w:val="20"/>
              </w:rPr>
              <w:t>/10</w:t>
            </w:r>
          </w:p>
        </w:tc>
      </w:tr>
    </w:tbl>
    <w:p>
      <w:pPr>
        <w:widowControl/>
        <w:jc w:val="left"/>
        <w:rPr>
          <w:rFonts w:ascii="Times New Roman" w:hAnsi="Times New Roman"/>
        </w:rPr>
      </w:pPr>
      <w:r>
        <w:rPr>
          <w:rFonts w:ascii="Times New Roman" w:hAnsi="Times New Roman"/>
          <w:bCs/>
          <w:sz w:val="30"/>
          <w:szCs w:val="30"/>
        </w:rPr>
        <w:br w:type="page"/>
      </w:r>
      <w:r>
        <w:rPr>
          <w:rFonts w:ascii="Times New Roman" w:hAnsi="Times New Roman"/>
        </w:rPr>
        <w:drawing>
          <wp:inline distT="0" distB="0" distL="0" distR="0">
            <wp:extent cx="8314690" cy="4232275"/>
            <wp:effectExtent l="0" t="0" r="0" b="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4"/>
                    <a:srcRect l="9543" t="15294" r="29653" b="39352"/>
                    <a:stretch>
                      <a:fillRect/>
                    </a:stretch>
                  </pic:blipFill>
                  <pic:spPr>
                    <a:xfrm>
                      <a:off x="0" y="0"/>
                      <a:ext cx="8314690" cy="4232275"/>
                    </a:xfrm>
                    <a:prstGeom prst="rect">
                      <a:avLst/>
                    </a:prstGeom>
                    <a:noFill/>
                    <a:ln>
                      <a:noFill/>
                    </a:ln>
                  </pic:spPr>
                </pic:pic>
              </a:graphicData>
            </a:graphic>
          </wp:inline>
        </w:drawing>
      </w:r>
    </w:p>
    <w:p>
      <w:pPr>
        <w:widowControl/>
        <w:jc w:val="left"/>
        <w:rPr>
          <w:rFonts w:ascii="Times New Roman" w:hAnsi="Times New Roman"/>
          <w:sz w:val="24"/>
          <w:szCs w:val="24"/>
        </w:rPr>
      </w:pPr>
      <w:r>
        <w:rPr>
          <w:rFonts w:ascii="Times New Roman" w:hAnsi="Times New Roman"/>
          <w:b/>
          <w:bCs/>
          <w:sz w:val="24"/>
          <w:szCs w:val="24"/>
        </w:rPr>
        <w:t>Figure S1.</w:t>
      </w:r>
      <w:r>
        <w:rPr>
          <w:rFonts w:ascii="Times New Roman" w:hAnsi="Times New Roman"/>
          <w:sz w:val="24"/>
          <w:szCs w:val="24"/>
        </w:rPr>
        <w:t xml:space="preserve"> Subgroup analysis stratified by screen device type in cross-sectional studies, forest plots for the association between categorical exposure to screen time (high vs. low) and myopia in children and adolescents.</w:t>
      </w:r>
    </w:p>
    <w:p>
      <w:pPr>
        <w:widowControl/>
        <w:jc w:val="left"/>
        <w:rPr>
          <w:rFonts w:ascii="Times New Roman" w:hAnsi="Times New Roman"/>
        </w:rPr>
      </w:pPr>
      <w:r>
        <w:rPr>
          <w:rFonts w:ascii="Times New Roman" w:hAnsi="Times New Roman"/>
          <w:sz w:val="24"/>
          <w:szCs w:val="24"/>
        </w:rPr>
        <w:br w:type="page"/>
      </w:r>
      <w:r>
        <w:rPr>
          <w:rFonts w:ascii="Times New Roman" w:hAnsi="Times New Roman"/>
        </w:rPr>
        <w:drawing>
          <wp:inline distT="0" distB="0" distL="0" distR="0">
            <wp:extent cx="8382635" cy="3570605"/>
            <wp:effectExtent l="0" t="0" r="0" b="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5"/>
                    <a:srcRect l="9730" t="19214" r="29931" b="43120"/>
                    <a:stretch>
                      <a:fillRect/>
                    </a:stretch>
                  </pic:blipFill>
                  <pic:spPr>
                    <a:xfrm>
                      <a:off x="0" y="0"/>
                      <a:ext cx="8382635" cy="3570605"/>
                    </a:xfrm>
                    <a:prstGeom prst="rect">
                      <a:avLst/>
                    </a:prstGeom>
                    <a:noFill/>
                    <a:ln>
                      <a:noFill/>
                    </a:ln>
                  </pic:spPr>
                </pic:pic>
              </a:graphicData>
            </a:graphic>
          </wp:inline>
        </w:drawing>
      </w:r>
    </w:p>
    <w:p>
      <w:pPr>
        <w:widowControl/>
        <w:jc w:val="left"/>
        <w:rPr>
          <w:rFonts w:ascii="Times New Roman" w:hAnsi="Times New Roman"/>
          <w:sz w:val="24"/>
          <w:szCs w:val="24"/>
        </w:rPr>
      </w:pPr>
      <w:r>
        <w:rPr>
          <w:rFonts w:ascii="Times New Roman" w:hAnsi="Times New Roman"/>
          <w:b/>
          <w:bCs/>
          <w:sz w:val="24"/>
          <w:szCs w:val="24"/>
        </w:rPr>
        <w:t xml:space="preserve">Figure S2. </w:t>
      </w:r>
      <w:r>
        <w:rPr>
          <w:rFonts w:ascii="Times New Roman" w:hAnsi="Times New Roman"/>
          <w:sz w:val="24"/>
          <w:szCs w:val="24"/>
        </w:rPr>
        <w:t>Subgroup analysis stratified by study quality in cross-sectional studies, forest plots for the association between categorical exposure to screen time (high vs. low) and myopia in children and adolescents.</w:t>
      </w:r>
    </w:p>
    <w:p>
      <w:pPr>
        <w:widowControl/>
        <w:jc w:val="left"/>
        <w:rPr>
          <w:rFonts w:ascii="Times New Roman" w:hAnsi="Times New Roman"/>
        </w:rPr>
      </w:pPr>
      <w:r>
        <w:rPr>
          <w:rFonts w:ascii="Times New Roman" w:hAnsi="Times New Roman"/>
        </w:rPr>
        <w:br w:type="page"/>
      </w:r>
      <w:r>
        <w:rPr>
          <w:rFonts w:ascii="Times New Roman" w:hAnsi="Times New Roman"/>
        </w:rPr>
        <w:drawing>
          <wp:inline distT="0" distB="0" distL="0" distR="0">
            <wp:extent cx="8373745" cy="4262120"/>
            <wp:effectExtent l="0" t="0" r="8255" b="508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6"/>
                    <a:srcRect l="9820" t="15456" r="29563" b="39328"/>
                    <a:stretch>
                      <a:fillRect/>
                    </a:stretch>
                  </pic:blipFill>
                  <pic:spPr>
                    <a:xfrm>
                      <a:off x="0" y="0"/>
                      <a:ext cx="8373745" cy="4262120"/>
                    </a:xfrm>
                    <a:prstGeom prst="rect">
                      <a:avLst/>
                    </a:prstGeom>
                    <a:noFill/>
                    <a:ln>
                      <a:noFill/>
                    </a:ln>
                  </pic:spPr>
                </pic:pic>
              </a:graphicData>
            </a:graphic>
          </wp:inline>
        </w:drawing>
      </w:r>
    </w:p>
    <w:p>
      <w:pPr>
        <w:widowControl/>
        <w:jc w:val="left"/>
        <w:rPr>
          <w:rFonts w:ascii="Times New Roman" w:hAnsi="Times New Roman"/>
          <w:sz w:val="24"/>
          <w:szCs w:val="24"/>
        </w:rPr>
      </w:pPr>
      <w:r>
        <w:rPr>
          <w:rFonts w:ascii="Times New Roman" w:hAnsi="Times New Roman"/>
          <w:b/>
          <w:bCs/>
          <w:sz w:val="24"/>
          <w:szCs w:val="24"/>
        </w:rPr>
        <w:t xml:space="preserve">Figure S3. </w:t>
      </w:r>
      <w:r>
        <w:rPr>
          <w:rFonts w:ascii="Times New Roman" w:hAnsi="Times New Roman"/>
          <w:sz w:val="24"/>
          <w:szCs w:val="24"/>
        </w:rPr>
        <w:t>Subgroup analysis stratified by geographic region in cross-sectional studies, forest plots for the association between categorical exposure to screen time (high vs. low) and myopia in children and adolescents.</w:t>
      </w:r>
    </w:p>
    <w:p>
      <w:pPr>
        <w:widowControl/>
        <w:jc w:val="left"/>
        <w:rPr>
          <w:rFonts w:ascii="Times New Roman" w:hAnsi="Times New Roman"/>
        </w:rPr>
      </w:pPr>
      <w:r>
        <w:rPr>
          <w:rFonts w:ascii="Times New Roman" w:hAnsi="Times New Roman"/>
        </w:rPr>
        <w:br w:type="page"/>
      </w:r>
      <w:r>
        <w:rPr>
          <w:rFonts w:ascii="Times New Roman" w:hAnsi="Times New Roman"/>
        </w:rPr>
        <w:drawing>
          <wp:inline distT="0" distB="0" distL="0" distR="0">
            <wp:extent cx="8305165" cy="3495675"/>
            <wp:effectExtent l="0" t="0" r="63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rcRect l="9917" t="8207" r="29792" b="34105"/>
                    <a:stretch>
                      <a:fillRect/>
                    </a:stretch>
                  </pic:blipFill>
                  <pic:spPr>
                    <a:xfrm>
                      <a:off x="0" y="0"/>
                      <a:ext cx="8305165" cy="3495675"/>
                    </a:xfrm>
                    <a:prstGeom prst="rect">
                      <a:avLst/>
                    </a:prstGeom>
                    <a:noFill/>
                    <a:ln>
                      <a:noFill/>
                    </a:ln>
                  </pic:spPr>
                </pic:pic>
              </a:graphicData>
            </a:graphic>
          </wp:inline>
        </w:drawing>
      </w:r>
    </w:p>
    <w:p>
      <w:pPr>
        <w:widowControl/>
        <w:jc w:val="left"/>
        <w:rPr>
          <w:rFonts w:ascii="Times New Roman" w:hAnsi="Times New Roman"/>
          <w:sz w:val="24"/>
          <w:szCs w:val="24"/>
        </w:rPr>
      </w:pPr>
      <w:r>
        <w:rPr>
          <w:rFonts w:ascii="Times New Roman" w:hAnsi="Times New Roman"/>
          <w:b/>
          <w:bCs/>
          <w:sz w:val="24"/>
          <w:szCs w:val="24"/>
        </w:rPr>
        <w:t xml:space="preserve">Figure S4. </w:t>
      </w:r>
      <w:r>
        <w:rPr>
          <w:rFonts w:ascii="Times New Roman" w:hAnsi="Times New Roman"/>
          <w:sz w:val="24"/>
          <w:szCs w:val="24"/>
        </w:rPr>
        <w:t>Subgroup analysis stratified by research period in cross-sectional studies, forest plots for the association between categorical exposure to screen time (high vs. low) and myopia in children and adolescents.</w:t>
      </w:r>
    </w:p>
    <w:p>
      <w:pPr>
        <w:widowControl/>
        <w:jc w:val="left"/>
        <w:rPr>
          <w:rFonts w:ascii="Times New Roman" w:hAnsi="Times New Roman"/>
        </w:rPr>
      </w:pPr>
      <w:r>
        <w:rPr>
          <w:rFonts w:ascii="Times New Roman" w:hAnsi="Times New Roman"/>
        </w:rPr>
        <w:br w:type="page"/>
      </w:r>
      <w:r>
        <w:rPr>
          <w:rFonts w:ascii="Times New Roman" w:hAnsi="Times New Roman"/>
        </w:rPr>
        <w:drawing>
          <wp:inline distT="0" distB="0" distL="0" distR="0">
            <wp:extent cx="8382635" cy="2793365"/>
            <wp:effectExtent l="0" t="0" r="0" b="698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8"/>
                    <a:srcRect l="9730" t="23307" r="29563" b="47050"/>
                    <a:stretch>
                      <a:fillRect/>
                    </a:stretch>
                  </pic:blipFill>
                  <pic:spPr>
                    <a:xfrm>
                      <a:off x="0" y="0"/>
                      <a:ext cx="8382635" cy="2793365"/>
                    </a:xfrm>
                    <a:prstGeom prst="rect">
                      <a:avLst/>
                    </a:prstGeom>
                    <a:noFill/>
                    <a:ln>
                      <a:noFill/>
                    </a:ln>
                  </pic:spPr>
                </pic:pic>
              </a:graphicData>
            </a:graphic>
          </wp:inline>
        </w:drawing>
      </w:r>
    </w:p>
    <w:p>
      <w:pPr>
        <w:widowControl/>
        <w:jc w:val="left"/>
        <w:rPr>
          <w:rFonts w:ascii="Times New Roman" w:hAnsi="Times New Roman"/>
          <w:sz w:val="24"/>
          <w:szCs w:val="24"/>
        </w:rPr>
      </w:pPr>
      <w:r>
        <w:rPr>
          <w:rFonts w:ascii="Times New Roman" w:hAnsi="Times New Roman"/>
          <w:b/>
          <w:bCs/>
          <w:sz w:val="24"/>
          <w:szCs w:val="24"/>
        </w:rPr>
        <w:t>Figure S5.</w:t>
      </w:r>
      <w:r>
        <w:rPr>
          <w:rFonts w:ascii="Times New Roman" w:hAnsi="Times New Roman"/>
          <w:sz w:val="24"/>
          <w:szCs w:val="24"/>
        </w:rPr>
        <w:t xml:space="preserve"> Subgroup analysis stratified by screen device type in cross-sectional studies, forest plots for the association between continuous exposure to screen time (per 1h/d increase) and myopia in children and adolescents.</w:t>
      </w:r>
    </w:p>
    <w:p>
      <w:pPr>
        <w:widowControl/>
        <w:jc w:val="left"/>
        <w:rPr>
          <w:rFonts w:ascii="Times New Roman" w:hAnsi="Times New Roman"/>
        </w:rPr>
      </w:pPr>
      <w:r>
        <w:rPr>
          <w:rFonts w:ascii="Times New Roman" w:hAnsi="Times New Roman"/>
        </w:rPr>
        <w:br w:type="page"/>
      </w:r>
      <w:r>
        <w:rPr>
          <w:rFonts w:ascii="Times New Roman" w:hAnsi="Times New Roman"/>
        </w:rPr>
        <w:drawing>
          <wp:inline distT="0" distB="0" distL="0" distR="0">
            <wp:extent cx="8418195" cy="2994025"/>
            <wp:effectExtent l="0" t="0" r="1905" b="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9"/>
                    <a:srcRect l="9917" t="22332" r="29716" b="46207"/>
                    <a:stretch>
                      <a:fillRect/>
                    </a:stretch>
                  </pic:blipFill>
                  <pic:spPr>
                    <a:xfrm>
                      <a:off x="0" y="0"/>
                      <a:ext cx="8418195" cy="2994025"/>
                    </a:xfrm>
                    <a:prstGeom prst="rect">
                      <a:avLst/>
                    </a:prstGeom>
                    <a:noFill/>
                    <a:ln>
                      <a:noFill/>
                    </a:ln>
                  </pic:spPr>
                </pic:pic>
              </a:graphicData>
            </a:graphic>
          </wp:inline>
        </w:drawing>
      </w:r>
    </w:p>
    <w:p>
      <w:pPr>
        <w:widowControl/>
        <w:jc w:val="left"/>
        <w:rPr>
          <w:rFonts w:ascii="Times New Roman" w:hAnsi="Times New Roman"/>
        </w:rPr>
      </w:pPr>
      <w:r>
        <w:rPr>
          <w:rFonts w:ascii="Times New Roman" w:hAnsi="Times New Roman"/>
          <w:b/>
          <w:bCs/>
          <w:sz w:val="24"/>
          <w:szCs w:val="24"/>
        </w:rPr>
        <w:t>Figure S6.</w:t>
      </w:r>
      <w:r>
        <w:rPr>
          <w:rFonts w:ascii="Times New Roman" w:hAnsi="Times New Roman"/>
          <w:sz w:val="24"/>
          <w:szCs w:val="24"/>
        </w:rPr>
        <w:t xml:space="preserve"> Subgroup analysis stratified by geographic region in cross-sectional studies, forest plots for the association between continuous exposure to screen time (per 1h/d increase) and myopia in children and adolescents.</w:t>
      </w:r>
    </w:p>
    <w:sectPr>
      <w:pgSz w:w="17010" w:h="16840"/>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CC06E5"/>
    <w:multiLevelType w:val="multilevel"/>
    <w:tmpl w:val="02CC06E5"/>
    <w:lvl w:ilvl="0" w:tentative="0">
      <w:start w:val="4"/>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g3ZmI3ZTY4MWI0YjNkNWRlMGZhOTQwYjdmNGU3MWQifQ=="/>
  </w:docVars>
  <w:rsids>
    <w:rsidRoot w:val="00174427"/>
    <w:rsid w:val="000472D9"/>
    <w:rsid w:val="00057375"/>
    <w:rsid w:val="000A4CB3"/>
    <w:rsid w:val="00123760"/>
    <w:rsid w:val="00174427"/>
    <w:rsid w:val="001D7AC0"/>
    <w:rsid w:val="00225B98"/>
    <w:rsid w:val="00255069"/>
    <w:rsid w:val="003C4160"/>
    <w:rsid w:val="003F6FCF"/>
    <w:rsid w:val="004B5EEE"/>
    <w:rsid w:val="00585AF4"/>
    <w:rsid w:val="008F6D19"/>
    <w:rsid w:val="00972A05"/>
    <w:rsid w:val="00A01397"/>
    <w:rsid w:val="00AA323C"/>
    <w:rsid w:val="00B0040A"/>
    <w:rsid w:val="00B500C5"/>
    <w:rsid w:val="00BE2D73"/>
    <w:rsid w:val="00C24EAB"/>
    <w:rsid w:val="00D62DCA"/>
    <w:rsid w:val="00D9609F"/>
    <w:rsid w:val="00E86D12"/>
    <w:rsid w:val="210D0851"/>
    <w:rsid w:val="55E65F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1"/>
      <w:lang w:val="en-US" w:eastAsia="zh-CN" w:bidi="ar-SA"/>
    </w:rPr>
  </w:style>
  <w:style w:type="character" w:default="1" w:styleId="4">
    <w:name w:val="Default Paragraph Font"/>
    <w:semiHidden/>
    <w:unhideWhenUsed/>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 w:type="table" w:styleId="3">
    <w:name w:val="Table Grid"/>
    <w:basedOn w:val="2"/>
    <w:autoRedefine/>
    <w:qFormat/>
    <w:uiPriority w:val="99"/>
    <w:pPr>
      <w:widowControl w:val="0"/>
      <w:jc w:val="both"/>
    </w:pPr>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autoRedefine/>
    <w:unhideWhenUsed/>
    <w:qFormat/>
    <w:uiPriority w:val="99"/>
    <w:rPr>
      <w:color w:val="0563C1" w:themeColor="hyperlink"/>
      <w:u w:val="single"/>
      <w14:textFill>
        <w14:solidFill>
          <w14:schemeClr w14:val="hlink"/>
        </w14:solidFill>
      </w14:textFill>
    </w:rPr>
  </w:style>
  <w:style w:type="paragraph" w:customStyle="1" w:styleId="6">
    <w:name w:val="无间隔1"/>
    <w:basedOn w:val="1"/>
    <w:qFormat/>
    <w:uiPriority w:val="0"/>
    <w:rPr>
      <w:sz w:val="24"/>
      <w:szCs w:val="24"/>
    </w:rPr>
  </w:style>
  <w:style w:type="paragraph" w:customStyle="1" w:styleId="7">
    <w:name w:val="Default"/>
    <w:basedOn w:val="1"/>
    <w:uiPriority w:val="0"/>
    <w:pPr>
      <w:autoSpaceDE w:val="0"/>
      <w:autoSpaceDN w:val="0"/>
      <w:adjustRightInd w:val="0"/>
      <w:jc w:val="left"/>
    </w:pPr>
    <w:rPr>
      <w:rFonts w:eastAsia="等线" w:cs="Calibri"/>
      <w:color w:val="000000"/>
      <w:kern w:val="0"/>
      <w:sz w:val="24"/>
      <w:szCs w:val="24"/>
    </w:rPr>
  </w:style>
  <w:style w:type="character" w:customStyle="1" w:styleId="8">
    <w:name w:val="15"/>
    <w:basedOn w:val="4"/>
    <w:uiPriority w:val="0"/>
    <w:rPr>
      <w:rFonts w:hint="default" w:ascii="Times New Roman" w:hAnsi="Times New Roman" w:cs="Times New Roman"/>
      <w:color w:val="0000FF"/>
      <w:u w:val="single"/>
    </w:rPr>
  </w:style>
  <w:style w:type="character" w:customStyle="1" w:styleId="9">
    <w:name w:val="未处理的提及1"/>
    <w:basedOn w:val="4"/>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emf"/><Relationship Id="rId8" Type="http://schemas.openxmlformats.org/officeDocument/2006/relationships/image" Target="media/image5.emf"/><Relationship Id="rId7" Type="http://schemas.openxmlformats.org/officeDocument/2006/relationships/image" Target="media/image4.emf"/><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E5936-DD58-4D83-A7E6-02BE4286D346}">
  <ds:schemaRefs/>
</ds:datastoreItem>
</file>

<file path=docProps/app.xml><?xml version="1.0" encoding="utf-8"?>
<Properties xmlns="http://schemas.openxmlformats.org/officeDocument/2006/extended-properties" xmlns:vt="http://schemas.openxmlformats.org/officeDocument/2006/docPropsVTypes">
  <Template>Normal.dotm</Template>
  <Pages>19</Pages>
  <Words>3644</Words>
  <Characters>19870</Characters>
  <Lines>807</Lines>
  <Paragraphs>561</Paragraphs>
  <TotalTime>161</TotalTime>
  <ScaleCrop>false</ScaleCrop>
  <LinksUpToDate>false</LinksUpToDate>
  <CharactersWithSpaces>23637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2024-01-06T13:39:00Z</dcterms:created>
  <dc:creator>宗志强</dc:creator>
  <cp:lastModifiedBy>ZZQ</cp:lastModifiedBy>
  <dcterms:modified xsi:type="dcterms:W3CDTF">2024-02-23T16:23:18Z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19e7e9dd14f4bf28a7861cdc94b2a4d04c8a08f1815bbb98d4ee8f77a3313726</vt:lpwstr>
  </property>
  <property fmtid="{D5CDD505-2E9C-101B-9397-08002B2CF9AE}" pid="3" name="KSOProductBuildVer">
    <vt:lpwstr>2052-12.1.0.16250</vt:lpwstr>
  </property>
  <property fmtid="{D5CDD505-2E9C-101B-9397-08002B2CF9AE}" pid="4" name="ICV">
    <vt:lpwstr>188DCA7D07194757AAC748AE89865043_12</vt:lpwstr>
  </property>
</Properties>
</file>