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A6" w:rsidRPr="000D251C" w:rsidRDefault="006D0CA6" w:rsidP="00ED05A3">
      <w:pPr>
        <w:spacing w:line="480" w:lineRule="auto"/>
        <w:rPr>
          <w:sz w:val="24"/>
          <w:szCs w:val="24"/>
        </w:rPr>
      </w:pPr>
      <w:r w:rsidRPr="000D251C">
        <w:rPr>
          <w:sz w:val="24"/>
          <w:szCs w:val="24"/>
        </w:rPr>
        <w:t xml:space="preserve">Burden </w:t>
      </w:r>
      <w:r w:rsidRPr="000D251C">
        <w:rPr>
          <w:rFonts w:hint="eastAsia"/>
          <w:sz w:val="24"/>
          <w:szCs w:val="24"/>
        </w:rPr>
        <w:t>of</w:t>
      </w:r>
      <w:r w:rsidRPr="000D251C">
        <w:rPr>
          <w:sz w:val="24"/>
          <w:szCs w:val="24"/>
        </w:rPr>
        <w:t xml:space="preserve"> drug use disorders in the United States </w:t>
      </w:r>
      <w:r w:rsidRPr="000D251C">
        <w:rPr>
          <w:rFonts w:hint="eastAsia"/>
          <w:sz w:val="24"/>
          <w:szCs w:val="24"/>
        </w:rPr>
        <w:t>from</w:t>
      </w:r>
      <w:r w:rsidRPr="000D251C">
        <w:rPr>
          <w:sz w:val="24"/>
          <w:szCs w:val="24"/>
        </w:rPr>
        <w:t xml:space="preserve"> 1990 </w:t>
      </w:r>
      <w:r w:rsidRPr="000D251C">
        <w:rPr>
          <w:rFonts w:hint="eastAsia"/>
          <w:sz w:val="24"/>
          <w:szCs w:val="24"/>
        </w:rPr>
        <w:t>to</w:t>
      </w:r>
      <w:r w:rsidRPr="000D251C">
        <w:rPr>
          <w:sz w:val="24"/>
          <w:szCs w:val="24"/>
        </w:rPr>
        <w:t xml:space="preserve"> 20</w:t>
      </w:r>
      <w:r w:rsidRPr="000D251C">
        <w:rPr>
          <w:rFonts w:hint="eastAsia"/>
          <w:sz w:val="24"/>
          <w:szCs w:val="24"/>
        </w:rPr>
        <w:t>21</w:t>
      </w:r>
      <w:r w:rsidRPr="000D251C">
        <w:rPr>
          <w:sz w:val="24"/>
          <w:szCs w:val="24"/>
        </w:rPr>
        <w:t xml:space="preserve"> and its projection until 2035: results from the GBD study</w:t>
      </w:r>
    </w:p>
    <w:p w:rsidR="006D0CA6" w:rsidRPr="000D251C" w:rsidRDefault="006D0CA6" w:rsidP="00ED05A3">
      <w:pPr>
        <w:pStyle w:val="AuthorList"/>
        <w:spacing w:before="0" w:after="0" w:line="480" w:lineRule="auto"/>
      </w:pPr>
    </w:p>
    <w:p w:rsidR="006D0CA6" w:rsidRPr="000D251C" w:rsidRDefault="006D0CA6" w:rsidP="00ED05A3">
      <w:pPr>
        <w:spacing w:line="480" w:lineRule="auto"/>
        <w:rPr>
          <w:sz w:val="24"/>
          <w:szCs w:val="24"/>
        </w:rPr>
      </w:pPr>
      <w:r w:rsidRPr="000D251C">
        <w:rPr>
          <w:sz w:val="24"/>
          <w:szCs w:val="24"/>
        </w:rPr>
        <w:t>R</w:t>
      </w:r>
      <w:r w:rsidRPr="000D251C">
        <w:rPr>
          <w:rFonts w:hint="eastAsia"/>
          <w:sz w:val="24"/>
          <w:szCs w:val="24"/>
        </w:rPr>
        <w:t>unning</w:t>
      </w:r>
      <w:r w:rsidRPr="000D251C">
        <w:rPr>
          <w:sz w:val="24"/>
          <w:szCs w:val="24"/>
        </w:rPr>
        <w:t xml:space="preserve"> </w:t>
      </w:r>
      <w:r w:rsidRPr="000D251C">
        <w:rPr>
          <w:rFonts w:hint="eastAsia"/>
          <w:sz w:val="24"/>
          <w:szCs w:val="24"/>
        </w:rPr>
        <w:t>title</w:t>
      </w:r>
      <w:r w:rsidRPr="000D251C">
        <w:rPr>
          <w:sz w:val="24"/>
          <w:szCs w:val="24"/>
        </w:rPr>
        <w:t xml:space="preserve">: Drug use burden in </w:t>
      </w:r>
      <w:r w:rsidRPr="000D251C">
        <w:rPr>
          <w:rFonts w:hint="eastAsia"/>
          <w:sz w:val="24"/>
          <w:szCs w:val="24"/>
        </w:rPr>
        <w:t>the</w:t>
      </w:r>
      <w:r w:rsidRPr="000D251C">
        <w:rPr>
          <w:sz w:val="24"/>
          <w:szCs w:val="24"/>
        </w:rPr>
        <w:t xml:space="preserve"> US</w:t>
      </w:r>
      <w:r w:rsidRPr="000D251C">
        <w:rPr>
          <w:rFonts w:hint="eastAsia"/>
          <w:sz w:val="24"/>
          <w:szCs w:val="24"/>
        </w:rPr>
        <w:t>,</w:t>
      </w:r>
      <w:r w:rsidRPr="000D251C">
        <w:rPr>
          <w:sz w:val="24"/>
          <w:szCs w:val="24"/>
        </w:rPr>
        <w:t xml:space="preserve"> 1990-203</w:t>
      </w:r>
      <w:r w:rsidRPr="000D251C">
        <w:rPr>
          <w:rFonts w:hint="eastAsia"/>
          <w:sz w:val="24"/>
          <w:szCs w:val="24"/>
        </w:rPr>
        <w:t>5</w:t>
      </w:r>
      <w:r w:rsidRPr="000D251C">
        <w:rPr>
          <w:sz w:val="24"/>
          <w:szCs w:val="24"/>
        </w:rPr>
        <w:t>.</w:t>
      </w:r>
    </w:p>
    <w:p w:rsidR="006D0CA6" w:rsidRPr="000D251C" w:rsidRDefault="006D0CA6" w:rsidP="00ED05A3">
      <w:pPr>
        <w:spacing w:line="480" w:lineRule="auto"/>
        <w:rPr>
          <w:sz w:val="24"/>
          <w:szCs w:val="24"/>
        </w:rPr>
      </w:pPr>
    </w:p>
    <w:p w:rsidR="006D0CA6" w:rsidRPr="000D251C" w:rsidRDefault="006D0CA6" w:rsidP="00ED05A3">
      <w:pPr>
        <w:pStyle w:val="AuthorList"/>
        <w:spacing w:before="0" w:after="0" w:line="480" w:lineRule="auto"/>
        <w:rPr>
          <w:b/>
          <w:vertAlign w:val="superscript"/>
        </w:rPr>
      </w:pPr>
      <w:r w:rsidRPr="000D251C">
        <w:t xml:space="preserve">Tongchao Zhang </w:t>
      </w:r>
      <w:r w:rsidRPr="000D251C">
        <w:rPr>
          <w:vertAlign w:val="superscript"/>
        </w:rPr>
        <w:t>1,2,#</w:t>
      </w:r>
      <w:r w:rsidRPr="000D251C">
        <w:t xml:space="preserve">; Lin Sun </w:t>
      </w:r>
      <w:r w:rsidRPr="000D251C">
        <w:rPr>
          <w:vertAlign w:val="superscript"/>
        </w:rPr>
        <w:t>3,#</w:t>
      </w:r>
      <w:r w:rsidRPr="000D251C">
        <w:t>; Xiaolin Yin</w:t>
      </w:r>
      <w:r w:rsidRPr="000D251C">
        <w:rPr>
          <w:vertAlign w:val="superscript"/>
        </w:rPr>
        <w:t xml:space="preserve"> 1,2</w:t>
      </w:r>
      <w:r w:rsidRPr="000D251C">
        <w:t xml:space="preserve">; Hui Chen </w:t>
      </w:r>
      <w:r w:rsidRPr="000D251C">
        <w:rPr>
          <w:vertAlign w:val="superscript"/>
        </w:rPr>
        <w:t>1,2</w:t>
      </w:r>
      <w:r w:rsidRPr="000D251C">
        <w:t xml:space="preserve">; </w:t>
      </w:r>
      <w:r w:rsidRPr="000D251C">
        <w:rPr>
          <w:rFonts w:hint="eastAsia"/>
        </w:rPr>
        <w:t>Lejin</w:t>
      </w:r>
      <w:r w:rsidRPr="000D251C">
        <w:t xml:space="preserve"> </w:t>
      </w:r>
      <w:r w:rsidRPr="000D251C">
        <w:rPr>
          <w:rFonts w:hint="eastAsia"/>
        </w:rPr>
        <w:t>Yang</w:t>
      </w:r>
      <w:r w:rsidRPr="000D251C">
        <w:t xml:space="preserve"> </w:t>
      </w:r>
      <w:r w:rsidRPr="000D251C">
        <w:rPr>
          <w:vertAlign w:val="superscript"/>
        </w:rPr>
        <w:t>4</w:t>
      </w:r>
      <w:r w:rsidRPr="000D251C">
        <w:t xml:space="preserve">; Xiaorong Yang </w:t>
      </w:r>
      <w:r w:rsidRPr="000D251C">
        <w:rPr>
          <w:vertAlign w:val="superscript"/>
        </w:rPr>
        <w:t>1,2,*</w:t>
      </w:r>
    </w:p>
    <w:p w:rsidR="006D0CA6" w:rsidRPr="000D251C" w:rsidRDefault="006D0CA6" w:rsidP="00ED05A3">
      <w:pPr>
        <w:spacing w:line="480" w:lineRule="auto"/>
        <w:rPr>
          <w:sz w:val="24"/>
          <w:szCs w:val="24"/>
        </w:rPr>
      </w:pPr>
    </w:p>
    <w:p w:rsidR="006D0CA6" w:rsidRPr="000D251C" w:rsidRDefault="006D0CA6" w:rsidP="00ED05A3">
      <w:pPr>
        <w:spacing w:line="480" w:lineRule="auto"/>
        <w:rPr>
          <w:b w:val="0"/>
          <w:sz w:val="24"/>
          <w:szCs w:val="24"/>
        </w:rPr>
      </w:pPr>
      <w:r w:rsidRPr="000D251C">
        <w:rPr>
          <w:b w:val="0"/>
          <w:sz w:val="24"/>
          <w:szCs w:val="24"/>
        </w:rPr>
        <w:t>1 Clinical Epidemiology Unit, Qilu Hospital of Shandong University, Jinan, China.</w:t>
      </w:r>
    </w:p>
    <w:p w:rsidR="006D0CA6" w:rsidRPr="000D251C" w:rsidRDefault="006D0CA6" w:rsidP="00ED05A3">
      <w:pPr>
        <w:spacing w:line="480" w:lineRule="auto"/>
        <w:rPr>
          <w:b w:val="0"/>
          <w:sz w:val="24"/>
          <w:szCs w:val="24"/>
        </w:rPr>
      </w:pPr>
      <w:r w:rsidRPr="000D251C">
        <w:rPr>
          <w:b w:val="0"/>
          <w:sz w:val="24"/>
          <w:szCs w:val="24"/>
        </w:rPr>
        <w:t>2 Clinical Research Center of Shandong University, Jinan, China.</w:t>
      </w:r>
    </w:p>
    <w:p w:rsidR="006D0CA6" w:rsidRPr="000D251C" w:rsidRDefault="006D0CA6" w:rsidP="00ED05A3">
      <w:pPr>
        <w:spacing w:line="480" w:lineRule="auto"/>
        <w:rPr>
          <w:b w:val="0"/>
          <w:sz w:val="24"/>
          <w:szCs w:val="24"/>
        </w:rPr>
      </w:pPr>
      <w:r w:rsidRPr="000D251C">
        <w:rPr>
          <w:rFonts w:hint="eastAsia"/>
          <w:b w:val="0"/>
          <w:sz w:val="24"/>
          <w:szCs w:val="24"/>
        </w:rPr>
        <w:t>3 Department of Pharmacy, Qilu Hospital of Shandong University, Jinan, China.</w:t>
      </w:r>
    </w:p>
    <w:p w:rsidR="006D0CA6" w:rsidRPr="000D251C" w:rsidRDefault="006D0CA6" w:rsidP="00ED05A3">
      <w:pPr>
        <w:spacing w:line="480" w:lineRule="auto"/>
        <w:rPr>
          <w:b w:val="0"/>
          <w:sz w:val="24"/>
          <w:szCs w:val="24"/>
        </w:rPr>
      </w:pPr>
      <w:r w:rsidRPr="000D251C">
        <w:rPr>
          <w:rFonts w:hint="eastAsia"/>
          <w:b w:val="0"/>
          <w:sz w:val="24"/>
          <w:szCs w:val="24"/>
        </w:rPr>
        <w:t>4</w:t>
      </w:r>
      <w:r w:rsidRPr="000D251C">
        <w:rPr>
          <w:b w:val="0"/>
          <w:sz w:val="24"/>
          <w:szCs w:val="24"/>
        </w:rPr>
        <w:t xml:space="preserve"> Department of Psychology, Qilu Hospital of Shandong University, Jinan, China.</w:t>
      </w:r>
    </w:p>
    <w:p w:rsidR="006D0CA6" w:rsidRPr="000D251C" w:rsidRDefault="006D0CA6" w:rsidP="00ED05A3">
      <w:pPr>
        <w:spacing w:line="480" w:lineRule="auto"/>
        <w:rPr>
          <w:b w:val="0"/>
          <w:sz w:val="24"/>
          <w:szCs w:val="24"/>
        </w:rPr>
      </w:pPr>
    </w:p>
    <w:p w:rsidR="006D0CA6" w:rsidRPr="000D251C" w:rsidRDefault="006D0CA6" w:rsidP="00ED05A3">
      <w:pPr>
        <w:spacing w:line="480" w:lineRule="auto"/>
        <w:rPr>
          <w:b w:val="0"/>
          <w:sz w:val="24"/>
          <w:szCs w:val="24"/>
        </w:rPr>
      </w:pPr>
      <w:r w:rsidRPr="000D251C">
        <w:rPr>
          <w:b w:val="0"/>
          <w:sz w:val="24"/>
          <w:szCs w:val="24"/>
          <w:vertAlign w:val="superscript"/>
        </w:rPr>
        <w:t>#</w:t>
      </w:r>
      <w:r w:rsidRPr="000D251C">
        <w:rPr>
          <w:b w:val="0"/>
          <w:sz w:val="24"/>
          <w:szCs w:val="24"/>
        </w:rPr>
        <w:t xml:space="preserve"> Tongchao Zhang and Lin Sun contribute</w:t>
      </w:r>
      <w:r w:rsidRPr="000D251C">
        <w:rPr>
          <w:rFonts w:hint="eastAsia"/>
          <w:b w:val="0"/>
          <w:sz w:val="24"/>
          <w:szCs w:val="24"/>
        </w:rPr>
        <w:t>d</w:t>
      </w:r>
      <w:r w:rsidRPr="000D251C">
        <w:rPr>
          <w:b w:val="0"/>
          <w:sz w:val="24"/>
          <w:szCs w:val="24"/>
        </w:rPr>
        <w:t xml:space="preserve"> equally to this work.</w:t>
      </w:r>
    </w:p>
    <w:p w:rsidR="006D0CA6" w:rsidRPr="000D251C" w:rsidRDefault="006D0CA6" w:rsidP="00ED05A3">
      <w:pPr>
        <w:spacing w:line="480" w:lineRule="auto"/>
        <w:rPr>
          <w:b w:val="0"/>
          <w:sz w:val="24"/>
          <w:szCs w:val="24"/>
        </w:rPr>
      </w:pPr>
    </w:p>
    <w:p w:rsidR="007F2DBE" w:rsidRPr="00697F73" w:rsidRDefault="006D0CA6" w:rsidP="00ED05A3">
      <w:pPr>
        <w:spacing w:line="480" w:lineRule="auto"/>
      </w:pPr>
      <w:r w:rsidRPr="000D251C">
        <w:rPr>
          <w:b w:val="0"/>
          <w:sz w:val="24"/>
          <w:szCs w:val="24"/>
        </w:rPr>
        <w:t xml:space="preserve">* Corresponding Author: Xiaorong Yang, Clinical Epidemiology Unit, Qilu Hospital of Shandong University, 107 Wenhuaxi Road, Jinan, Shandong 250012, China. Email: </w:t>
      </w:r>
      <w:r w:rsidR="007F2DBE" w:rsidRPr="000D251C">
        <w:rPr>
          <w:b w:val="0"/>
          <w:sz w:val="24"/>
          <w:szCs w:val="24"/>
        </w:rPr>
        <w:t>yangxiaorong@sdu.edu.cn</w:t>
      </w:r>
    </w:p>
    <w:p w:rsidR="007F2DBE" w:rsidRPr="00697F73" w:rsidRDefault="007F2DBE" w:rsidP="00ED05A3">
      <w:pPr>
        <w:spacing w:line="480" w:lineRule="auto"/>
      </w:pPr>
      <w:r w:rsidRPr="00697F73">
        <w:br w:type="page"/>
      </w:r>
    </w:p>
    <w:p w:rsidR="00A92051" w:rsidRPr="00D10DD8" w:rsidRDefault="00A92051" w:rsidP="00ED05A3">
      <w:pPr>
        <w:spacing w:line="480" w:lineRule="auto"/>
        <w:rPr>
          <w:sz w:val="24"/>
          <w:szCs w:val="24"/>
        </w:rPr>
      </w:pPr>
      <w:r w:rsidRPr="00D10DD8">
        <w:rPr>
          <w:sz w:val="24"/>
          <w:szCs w:val="24"/>
        </w:rPr>
        <w:lastRenderedPageBreak/>
        <w:t>Additional File 2: Supplementary figures S1-S3</w:t>
      </w:r>
    </w:p>
    <w:p w:rsidR="00697F73" w:rsidRPr="00D10DD8" w:rsidRDefault="00697F73" w:rsidP="00ED05A3">
      <w:pPr>
        <w:spacing w:line="480" w:lineRule="auto"/>
        <w:rPr>
          <w:b w:val="0"/>
          <w:sz w:val="24"/>
          <w:szCs w:val="24"/>
        </w:rPr>
      </w:pPr>
    </w:p>
    <w:p w:rsidR="00A92051" w:rsidRPr="00D10DD8" w:rsidRDefault="00A92051" w:rsidP="00ED05A3">
      <w:pPr>
        <w:spacing w:line="480" w:lineRule="auto"/>
        <w:rPr>
          <w:b w:val="0"/>
          <w:sz w:val="24"/>
          <w:szCs w:val="24"/>
        </w:rPr>
      </w:pPr>
      <w:r w:rsidRPr="00D10DD8">
        <w:rPr>
          <w:sz w:val="24"/>
          <w:szCs w:val="24"/>
        </w:rPr>
        <w:t xml:space="preserve">Figure S1. </w:t>
      </w:r>
      <w:r w:rsidRPr="00D10DD8">
        <w:rPr>
          <w:b w:val="0"/>
          <w:sz w:val="24"/>
          <w:szCs w:val="24"/>
        </w:rPr>
        <w:t>Numbers and age-standardized rates of drug use disorders-related burden by sex and subtype from 1990 to 20</w:t>
      </w:r>
      <w:r w:rsidRPr="00D10DD8">
        <w:rPr>
          <w:rFonts w:hint="eastAsia"/>
          <w:b w:val="0"/>
          <w:sz w:val="24"/>
          <w:szCs w:val="24"/>
        </w:rPr>
        <w:t>21</w:t>
      </w:r>
      <w:r w:rsidRPr="00D10DD8">
        <w:rPr>
          <w:b w:val="0"/>
          <w:sz w:val="24"/>
          <w:szCs w:val="24"/>
        </w:rPr>
        <w:t xml:space="preserve"> in the US. (A) numbers and age-standardized rates of incidence; (B) numbers and age-standardized rates of prevalence; (C) numbers and age-standardized rates of deaths; and (D) numbers and age-standardized rates of DALY</w:t>
      </w:r>
      <w:r w:rsidRPr="00D10DD8">
        <w:rPr>
          <w:rFonts w:hint="eastAsia"/>
          <w:b w:val="0"/>
          <w:sz w:val="24"/>
          <w:szCs w:val="24"/>
        </w:rPr>
        <w:t>s</w:t>
      </w:r>
      <w:r w:rsidRPr="00D10DD8">
        <w:rPr>
          <w:b w:val="0"/>
          <w:sz w:val="24"/>
          <w:szCs w:val="24"/>
        </w:rPr>
        <w:t>. The bar plots represented the numbers; the line plots and their shade represented the age-standardized rates and their 95%UI</w:t>
      </w:r>
      <w:r w:rsidRPr="00D10DD8">
        <w:rPr>
          <w:rFonts w:hint="eastAsia"/>
          <w:b w:val="0"/>
          <w:sz w:val="24"/>
          <w:szCs w:val="24"/>
        </w:rPr>
        <w:t>s</w:t>
      </w:r>
      <w:r w:rsidRPr="00D10DD8">
        <w:rPr>
          <w:b w:val="0"/>
          <w:sz w:val="24"/>
          <w:szCs w:val="24"/>
        </w:rPr>
        <w:t>. DALYs: disability-adjusted life years; UI: uncertainty interval.</w:t>
      </w:r>
    </w:p>
    <w:p w:rsidR="00697F73" w:rsidRPr="00D10DD8" w:rsidRDefault="00697F73" w:rsidP="00ED05A3">
      <w:pPr>
        <w:spacing w:line="480" w:lineRule="auto"/>
        <w:rPr>
          <w:b w:val="0"/>
          <w:sz w:val="24"/>
          <w:szCs w:val="24"/>
        </w:rPr>
      </w:pPr>
    </w:p>
    <w:p w:rsidR="00A92051" w:rsidRPr="00D10DD8" w:rsidRDefault="00A92051" w:rsidP="00ED05A3">
      <w:pPr>
        <w:spacing w:line="480" w:lineRule="auto"/>
        <w:rPr>
          <w:b w:val="0"/>
          <w:sz w:val="24"/>
          <w:szCs w:val="24"/>
        </w:rPr>
      </w:pPr>
      <w:r w:rsidRPr="00D10DD8">
        <w:rPr>
          <w:sz w:val="24"/>
          <w:szCs w:val="24"/>
        </w:rPr>
        <w:t>Figure S2.</w:t>
      </w:r>
      <w:r w:rsidRPr="00D10DD8">
        <w:rPr>
          <w:b w:val="0"/>
          <w:sz w:val="24"/>
          <w:szCs w:val="24"/>
        </w:rPr>
        <w:t xml:space="preserve"> Age-specific numbers of drug use disorders-related burden by sex from 1990 to 20</w:t>
      </w:r>
      <w:r w:rsidRPr="00D10DD8">
        <w:rPr>
          <w:rFonts w:hint="eastAsia"/>
          <w:b w:val="0"/>
          <w:sz w:val="24"/>
          <w:szCs w:val="24"/>
        </w:rPr>
        <w:t>21</w:t>
      </w:r>
      <w:r w:rsidRPr="00D10DD8">
        <w:rPr>
          <w:b w:val="0"/>
          <w:sz w:val="24"/>
          <w:szCs w:val="24"/>
        </w:rPr>
        <w:t xml:space="preserve"> in the US and the world. (A) age-specific numbers of incident cases; (B) age-specific numbers of prevalent cases; (C) age-specific numbers of deaths; and (D) age-specific numbers of DALY</w:t>
      </w:r>
      <w:r w:rsidRPr="00D10DD8">
        <w:rPr>
          <w:rFonts w:hint="eastAsia"/>
          <w:b w:val="0"/>
          <w:sz w:val="24"/>
          <w:szCs w:val="24"/>
        </w:rPr>
        <w:t>s</w:t>
      </w:r>
      <w:r w:rsidRPr="00D10DD8">
        <w:rPr>
          <w:b w:val="0"/>
          <w:sz w:val="24"/>
          <w:szCs w:val="24"/>
        </w:rPr>
        <w:t>. DALYs: disability-adjusted life years.</w:t>
      </w:r>
    </w:p>
    <w:p w:rsidR="00697F73" w:rsidRPr="00D10DD8" w:rsidRDefault="00697F73" w:rsidP="00ED05A3">
      <w:pPr>
        <w:spacing w:line="480" w:lineRule="auto"/>
        <w:rPr>
          <w:b w:val="0"/>
          <w:sz w:val="24"/>
          <w:szCs w:val="24"/>
        </w:rPr>
      </w:pPr>
    </w:p>
    <w:p w:rsidR="00697F73" w:rsidRDefault="00A92051" w:rsidP="00ED05A3">
      <w:pPr>
        <w:spacing w:line="480" w:lineRule="auto"/>
      </w:pPr>
      <w:r w:rsidRPr="00D10DD8">
        <w:rPr>
          <w:sz w:val="24"/>
          <w:szCs w:val="24"/>
        </w:rPr>
        <w:t xml:space="preserve">Figure S3. </w:t>
      </w:r>
      <w:r w:rsidRPr="00D10DD8">
        <w:rPr>
          <w:b w:val="0"/>
          <w:sz w:val="24"/>
          <w:szCs w:val="24"/>
        </w:rPr>
        <w:t>Age-specific rates of drug use disorders-related burden by sex from 1990 to 20</w:t>
      </w:r>
      <w:r w:rsidRPr="00D10DD8">
        <w:rPr>
          <w:rFonts w:hint="eastAsia"/>
          <w:b w:val="0"/>
          <w:sz w:val="24"/>
          <w:szCs w:val="24"/>
        </w:rPr>
        <w:t>21</w:t>
      </w:r>
      <w:r w:rsidRPr="00D10DD8">
        <w:rPr>
          <w:b w:val="0"/>
          <w:sz w:val="24"/>
          <w:szCs w:val="24"/>
        </w:rPr>
        <w:t xml:space="preserve"> in the US and the world. (A) age-specific rates of incidence; (B) age-specific rates of prevalence; (C) age-specific rates of deaths; and (D) age-specific rates of DALY</w:t>
      </w:r>
      <w:r w:rsidRPr="00D10DD8">
        <w:rPr>
          <w:rFonts w:hint="eastAsia"/>
          <w:b w:val="0"/>
          <w:sz w:val="24"/>
          <w:szCs w:val="24"/>
        </w:rPr>
        <w:t>s</w:t>
      </w:r>
      <w:r w:rsidRPr="00D10DD8">
        <w:rPr>
          <w:b w:val="0"/>
          <w:sz w:val="24"/>
          <w:szCs w:val="24"/>
        </w:rPr>
        <w:t>. DALYs: disability-adjusted life years.</w:t>
      </w:r>
    </w:p>
    <w:p w:rsidR="00697F73" w:rsidRDefault="00697F73" w:rsidP="000D251C">
      <w:r>
        <w:br w:type="page"/>
      </w:r>
    </w:p>
    <w:p w:rsidR="00AC2D7B" w:rsidRDefault="00697F73" w:rsidP="00713460">
      <w:pPr>
        <w:jc w:val="center"/>
      </w:pPr>
      <w:r w:rsidRPr="00697F73">
        <w:rPr>
          <w:noProof/>
        </w:rPr>
        <w:lastRenderedPageBreak/>
        <w:drawing>
          <wp:inline distT="0" distB="0" distL="0" distR="0">
            <wp:extent cx="5220000" cy="7498551"/>
            <wp:effectExtent l="0" t="0" r="0" b="7620"/>
            <wp:docPr id="1" name="图片 1" descr="C:\Users\fy\Desktop\GBD drug use USA\1-投稿\1-BMC Public Health\R3-sl\Figure S1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\Desktop\GBD drug use USA\1-投稿\1-BMC Public Health\R3-sl\Figure S1 2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749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51C" w:rsidRDefault="00697F73" w:rsidP="000D251C">
      <w:r w:rsidRPr="00697F73">
        <w:t xml:space="preserve">Figure S1. </w:t>
      </w:r>
      <w:r w:rsidRPr="007C625B">
        <w:rPr>
          <w:b w:val="0"/>
        </w:rPr>
        <w:t>Numbers and age-standardized rates of drug use disorders-related burden by sex and subtype from 1990 to 2021 in the US. (A) numbers and age-standardized rates of incidence; (B) numbers and age-standardized rates of prevalence; (C) numbers and age-standardized rates of deaths; and (D) numbers and age-standardized rates of DA</w:t>
      </w:r>
      <w:bookmarkStart w:id="0" w:name="_GoBack"/>
      <w:bookmarkEnd w:id="0"/>
      <w:r w:rsidRPr="007C625B">
        <w:rPr>
          <w:b w:val="0"/>
        </w:rPr>
        <w:t>LYs. The bar plots represented the numbers; the line plots and their shade represented the age-standardized rates and their 95%UIs. DALYs: disability-adjusted life years; UI: uncertainty interval.</w:t>
      </w:r>
      <w:r w:rsidR="000D251C">
        <w:br w:type="page"/>
      </w:r>
    </w:p>
    <w:p w:rsidR="00697F73" w:rsidRDefault="000D251C" w:rsidP="00713460">
      <w:pPr>
        <w:jc w:val="center"/>
      </w:pPr>
      <w:r w:rsidRPr="000D251C">
        <w:rPr>
          <w:noProof/>
        </w:rPr>
        <w:lastRenderedPageBreak/>
        <w:drawing>
          <wp:inline distT="0" distB="0" distL="0" distR="0">
            <wp:extent cx="4694496" cy="7884000"/>
            <wp:effectExtent l="0" t="0" r="0" b="3175"/>
            <wp:docPr id="2" name="图片 2" descr="C:\Users\fy\Desktop\GBD drug use USA\1-投稿\1-BMC Public Health\R3-sl\Figure S2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\Desktop\GBD drug use USA\1-投稿\1-BMC Public Health\R3-sl\Figure S2 2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496" cy="78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51C" w:rsidRDefault="000D251C" w:rsidP="000D251C">
      <w:r w:rsidRPr="000D251C">
        <w:t xml:space="preserve">Figure S2. </w:t>
      </w:r>
      <w:r w:rsidRPr="007C625B">
        <w:rPr>
          <w:b w:val="0"/>
        </w:rPr>
        <w:t>Age-specific numbers of drug use disorders-related burden by sex from 1990 to 20</w:t>
      </w:r>
      <w:r w:rsidRPr="007C625B">
        <w:rPr>
          <w:rFonts w:hint="eastAsia"/>
          <w:b w:val="0"/>
        </w:rPr>
        <w:t>21</w:t>
      </w:r>
      <w:r w:rsidRPr="007C625B">
        <w:rPr>
          <w:b w:val="0"/>
        </w:rPr>
        <w:t xml:space="preserve"> in the US and the world. (A) age-specific numbers of incident cases; (B) age-specific numbers of prevalent cases; (C) age-specific numbers of deaths; and (D) age-specific numbers of DALY</w:t>
      </w:r>
      <w:r w:rsidRPr="007C625B">
        <w:rPr>
          <w:rFonts w:hint="eastAsia"/>
          <w:b w:val="0"/>
        </w:rPr>
        <w:t>s</w:t>
      </w:r>
      <w:r w:rsidRPr="007C625B">
        <w:rPr>
          <w:b w:val="0"/>
        </w:rPr>
        <w:t>. DALYs: disability-adjusted life years.</w:t>
      </w:r>
      <w:r>
        <w:br w:type="page"/>
      </w:r>
    </w:p>
    <w:p w:rsidR="000D251C" w:rsidRDefault="000D251C" w:rsidP="00713460">
      <w:pPr>
        <w:jc w:val="center"/>
      </w:pPr>
      <w:r w:rsidRPr="000D251C">
        <w:rPr>
          <w:noProof/>
        </w:rPr>
        <w:lastRenderedPageBreak/>
        <w:drawing>
          <wp:inline distT="0" distB="0" distL="0" distR="0">
            <wp:extent cx="4848570" cy="8100000"/>
            <wp:effectExtent l="0" t="0" r="9525" b="0"/>
            <wp:docPr id="3" name="图片 3" descr="C:\Users\fy\Desktop\GBD drug use USA\1-投稿\1-BMC Public Health\R3-sl\Figure S3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\Desktop\GBD drug use USA\1-投稿\1-BMC Public Health\R3-sl\Figure S3 2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570" cy="81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51C" w:rsidRPr="000D251C" w:rsidRDefault="000D251C" w:rsidP="000D251C">
      <w:pPr>
        <w:rPr>
          <w:rFonts w:hint="eastAsia"/>
        </w:rPr>
      </w:pPr>
      <w:r w:rsidRPr="00697F73">
        <w:t xml:space="preserve">Figure S3. </w:t>
      </w:r>
      <w:r w:rsidRPr="007C625B">
        <w:rPr>
          <w:b w:val="0"/>
        </w:rPr>
        <w:t>Age-specific rates of drug use disorders-related burden by sex from 1990 to 20</w:t>
      </w:r>
      <w:r w:rsidRPr="007C625B">
        <w:rPr>
          <w:rFonts w:hint="eastAsia"/>
          <w:b w:val="0"/>
        </w:rPr>
        <w:t>21</w:t>
      </w:r>
      <w:r w:rsidRPr="007C625B">
        <w:rPr>
          <w:b w:val="0"/>
        </w:rPr>
        <w:t xml:space="preserve"> in the US and the world. (A) age-specific rates of incidence; (B) age-specific rates of prevalence; (C) age-specific rates of deaths; and (D) age-specific rates of DALY</w:t>
      </w:r>
      <w:r w:rsidRPr="007C625B">
        <w:rPr>
          <w:rFonts w:hint="eastAsia"/>
          <w:b w:val="0"/>
        </w:rPr>
        <w:t>s</w:t>
      </w:r>
      <w:r w:rsidRPr="007C625B">
        <w:rPr>
          <w:b w:val="0"/>
        </w:rPr>
        <w:t>. DALYs: disability-adjusted life years.</w:t>
      </w:r>
    </w:p>
    <w:sectPr w:rsidR="000D251C" w:rsidRPr="000D251C" w:rsidSect="00697F73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93E" w:rsidRDefault="0003193E" w:rsidP="000D251C">
      <w:r>
        <w:separator/>
      </w:r>
    </w:p>
  </w:endnote>
  <w:endnote w:type="continuationSeparator" w:id="0">
    <w:p w:rsidR="0003193E" w:rsidRDefault="0003193E" w:rsidP="000D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93E" w:rsidRDefault="0003193E" w:rsidP="000D251C">
      <w:r>
        <w:separator/>
      </w:r>
    </w:p>
  </w:footnote>
  <w:footnote w:type="continuationSeparator" w:id="0">
    <w:p w:rsidR="0003193E" w:rsidRDefault="0003193E" w:rsidP="000D25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BF1"/>
    <w:rsid w:val="0003193E"/>
    <w:rsid w:val="000D251C"/>
    <w:rsid w:val="004A6584"/>
    <w:rsid w:val="00697F73"/>
    <w:rsid w:val="006D0CA6"/>
    <w:rsid w:val="00713460"/>
    <w:rsid w:val="007C625B"/>
    <w:rsid w:val="007F2DBE"/>
    <w:rsid w:val="00812809"/>
    <w:rsid w:val="00A92051"/>
    <w:rsid w:val="00AC2D7B"/>
    <w:rsid w:val="00B76337"/>
    <w:rsid w:val="00D05BCC"/>
    <w:rsid w:val="00D10DD8"/>
    <w:rsid w:val="00D41BF1"/>
    <w:rsid w:val="00ED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09F912"/>
  <w15:chartTrackingRefBased/>
  <w15:docId w15:val="{CD67B34D-BF58-40DA-83FB-996C4CB2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0D251C"/>
    <w:pPr>
      <w:widowControl w:val="0"/>
      <w:jc w:val="both"/>
    </w:pPr>
    <w:rPr>
      <w:rFonts w:ascii="Times New Roman" w:hAnsi="Times New Roman" w:cs="Times New Roman"/>
      <w:b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C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0C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0C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0CA6"/>
    <w:rPr>
      <w:sz w:val="18"/>
      <w:szCs w:val="18"/>
    </w:rPr>
  </w:style>
  <w:style w:type="paragraph" w:customStyle="1" w:styleId="AuthorList">
    <w:name w:val="Author List"/>
    <w:basedOn w:val="a7"/>
    <w:next w:val="a"/>
    <w:autoRedefine/>
    <w:uiPriority w:val="1"/>
    <w:qFormat/>
    <w:rsid w:val="006D0CA6"/>
    <w:pPr>
      <w:widowControl/>
      <w:spacing w:after="240" w:line="240" w:lineRule="auto"/>
      <w:jc w:val="left"/>
      <w:outlineLvl w:val="9"/>
    </w:pPr>
    <w:rPr>
      <w:bCs w:val="0"/>
      <w:kern w:val="0"/>
      <w:sz w:val="24"/>
      <w:szCs w:val="24"/>
    </w:rPr>
  </w:style>
  <w:style w:type="paragraph" w:styleId="a7">
    <w:name w:val="Subtitle"/>
    <w:basedOn w:val="a"/>
    <w:next w:val="a"/>
    <w:link w:val="a8"/>
    <w:uiPriority w:val="11"/>
    <w:qFormat/>
    <w:rsid w:val="006D0CA6"/>
    <w:pPr>
      <w:spacing w:before="240" w:after="60" w:line="312" w:lineRule="auto"/>
      <w:jc w:val="center"/>
      <w:outlineLvl w:val="1"/>
    </w:pPr>
    <w:rPr>
      <w:b w:val="0"/>
      <w:bCs/>
      <w:kern w:val="28"/>
      <w:sz w:val="32"/>
      <w:szCs w:val="32"/>
    </w:rPr>
  </w:style>
  <w:style w:type="character" w:customStyle="1" w:styleId="a8">
    <w:name w:val="副标题 字符"/>
    <w:basedOn w:val="a0"/>
    <w:link w:val="a7"/>
    <w:uiPriority w:val="11"/>
    <w:rsid w:val="006D0CA6"/>
    <w:rPr>
      <w:b/>
      <w:bCs/>
      <w:kern w:val="28"/>
      <w:sz w:val="32"/>
      <w:szCs w:val="32"/>
    </w:rPr>
  </w:style>
  <w:style w:type="character" w:styleId="a9">
    <w:name w:val="Hyperlink"/>
    <w:basedOn w:val="a0"/>
    <w:uiPriority w:val="99"/>
    <w:unhideWhenUsed/>
    <w:rsid w:val="007F2D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Tongchao Zhang</dc:creator>
  <cp:keywords/>
  <dc:description/>
  <cp:lastModifiedBy>Tongchao Zhang</cp:lastModifiedBy>
  <cp:revision>77</cp:revision>
  <dcterms:created xsi:type="dcterms:W3CDTF">2024-06-12T01:56:00Z</dcterms:created>
  <dcterms:modified xsi:type="dcterms:W3CDTF">2024-06-12T02:06:00Z</dcterms:modified>
</cp:coreProperties>
</file>