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theme/themeOverride1.xml" ContentType="application/vnd.openxmlformats-officedocument.themeOverride+xml"/>
  <Override PartName="/word/theme/themeOverride2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line="480" w:lineRule="auto"/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</w:rPr>
        <w:t xml:space="preserve">TABLES AND FIGURES </w:t>
      </w:r>
    </w:p>
    <w:p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</w:rPr>
        <w:t>1. Characteristics of drug recalls</w:t>
      </w:r>
    </w:p>
    <w:tbl>
      <w:tblPr>
        <w:tblStyle w:val="5"/>
        <w:tblW w:w="50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  <w:gridCol w:w="3134"/>
        <w:gridCol w:w="1549"/>
      </w:tblGrid>
      <w:tr>
        <w:trPr>
          <w:trHeight w:val="153" w:hRule="atLeast"/>
        </w:trPr>
        <w:tc>
          <w:tcPr>
            <w:tcW w:w="34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lang w:val="en-US" w:eastAsia="en-GB"/>
              </w:rPr>
              <w:t xml:space="preserve">Characteristics </w:t>
            </w:r>
          </w:p>
        </w:tc>
        <w:tc>
          <w:tcPr>
            <w:tcW w:w="1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b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lang w:val="en-US" w:eastAsia="en-GB"/>
              </w:rPr>
              <w:t>N (%)</w:t>
            </w:r>
          </w:p>
        </w:tc>
      </w:tr>
      <w:tr>
        <w:trPr>
          <w:trHeight w:val="281" w:hRule="atLeast"/>
        </w:trPr>
        <w:tc>
          <w:tcPr>
            <w:tcW w:w="3458" w:type="dxa"/>
            <w:gridSpan w:val="2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  <w:t>ATC Classification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A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33 (31.1)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B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 (0.9)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C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9 (8.5)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D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 (0.9)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G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2 (1.9)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H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 (0.9)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J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30 (28.3)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>M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 (0.9)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N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4 (3.8)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P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6 (5.7)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V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5 (4.7)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Other (%)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13 (12.3)</w:t>
            </w:r>
          </w:p>
        </w:tc>
      </w:tr>
      <w:tr>
        <w:trPr>
          <w:trHeight w:val="281" w:hRule="atLeast"/>
        </w:trPr>
        <w:tc>
          <w:tcPr>
            <w:tcW w:w="3458" w:type="dxa"/>
            <w:gridSpan w:val="2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  <w:t>Drug category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Antibiotic 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en-GB"/>
              </w:rPr>
              <w:t xml:space="preserve">8 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en-GB"/>
              </w:rPr>
              <w:t>35.8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.)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>Anti-inflammatory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5 (4.7)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Disinfectant 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12 (11.3)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Spasmolytic 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en-GB"/>
              </w:rPr>
              <w:t>8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 xml:space="preserve"> (16.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en-GB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>Antiparasitic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en-GB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 xml:space="preserve"> (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en-GB"/>
              </w:rPr>
              <w:t>3.8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.)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>Antih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ypertensive 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en-GB"/>
              </w:rPr>
              <w:t>8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 xml:space="preserve"> (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en-GB"/>
              </w:rPr>
              <w:t>75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6)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Vitamins 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en-GB"/>
              </w:rPr>
              <w:t>6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 xml:space="preserve"> (5.7)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>Diagnostic agent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5 (4.7)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Others 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en-GB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 xml:space="preserve"> (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en-GB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.4)</w:t>
            </w:r>
          </w:p>
        </w:tc>
      </w:tr>
      <w:tr>
        <w:trPr>
          <w:trHeight w:val="281" w:hRule="atLeast"/>
        </w:trPr>
        <w:tc>
          <w:tcPr>
            <w:tcW w:w="3458" w:type="dxa"/>
            <w:gridSpan w:val="2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  <w:t>Class of recall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I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35 (33.0)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II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62 (58.5)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III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9 (8.5)</w:t>
            </w:r>
          </w:p>
        </w:tc>
      </w:tr>
      <w:tr>
        <w:trPr>
          <w:trHeight w:val="281" w:hRule="atLeast"/>
        </w:trPr>
        <w:tc>
          <w:tcPr>
            <w:tcW w:w="3458" w:type="dxa"/>
            <w:gridSpan w:val="2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  <w:t xml:space="preserve">Supplier 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Non-governmental 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67 (63.2)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Governmental 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14 (13.2)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>Not specified</w:t>
            </w:r>
          </w:p>
        </w:tc>
        <w:tc>
          <w:tcPr>
            <w:tcW w:w="1549" w:type="dxa"/>
            <w:shd w:val="clear" w:color="auto" w:fill="auto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25 (23.6)</w:t>
            </w:r>
          </w:p>
        </w:tc>
      </w:tr>
      <w:tr>
        <w:trPr>
          <w:trHeight w:val="281" w:hRule="atLeast"/>
        </w:trPr>
        <w:tc>
          <w:tcPr>
            <w:tcW w:w="3458" w:type="dxa"/>
            <w:gridSpan w:val="2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  <w:t xml:space="preserve">Reporter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Rwanda FDA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25 (23.6)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Rwanda Medical Supply Ltd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21 (19.8)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>Private pharmacies and firms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39 (36.8)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>Public/Government pharmacies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11 (10.4)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Others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10 (9.4)</w:t>
            </w:r>
          </w:p>
        </w:tc>
      </w:tr>
      <w:tr>
        <w:trPr>
          <w:trHeight w:val="281" w:hRule="atLeast"/>
        </w:trPr>
        <w:tc>
          <w:tcPr>
            <w:tcW w:w="3458" w:type="dxa"/>
            <w:gridSpan w:val="2"/>
            <w:shd w:val="clear" w:color="auto" w:fill="FFFFFF" w:themeFill="background1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  <w:t>Recall level</w:t>
            </w:r>
          </w:p>
        </w:tc>
        <w:tc>
          <w:tcPr>
            <w:tcW w:w="1549" w:type="dxa"/>
            <w:shd w:val="clear" w:color="auto" w:fill="FFFFFF" w:themeFill="background1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101 (95.3)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FFFFF" w:themeFill="background1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FFFFF" w:themeFill="background1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Retail </w:t>
            </w:r>
          </w:p>
        </w:tc>
        <w:tc>
          <w:tcPr>
            <w:tcW w:w="1549" w:type="dxa"/>
            <w:shd w:val="clear" w:color="auto" w:fill="FFFFFF" w:themeFill="background1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5 (4.7)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FFFFF" w:themeFill="background1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FFFFF" w:themeFill="background1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Consumer </w:t>
            </w:r>
          </w:p>
        </w:tc>
        <w:tc>
          <w:tcPr>
            <w:tcW w:w="1549" w:type="dxa"/>
            <w:shd w:val="clear" w:color="auto" w:fill="FFFFFF" w:themeFill="background1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</w:tr>
      <w:tr>
        <w:trPr>
          <w:trHeight w:val="281" w:hRule="atLeast"/>
        </w:trPr>
        <w:tc>
          <w:tcPr>
            <w:tcW w:w="3458" w:type="dxa"/>
            <w:gridSpan w:val="2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  <w:t>Top five manufacturing country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b/>
                <w:bCs/>
                <w:lang w:val="en-US" w:eastAsia="en-GB"/>
              </w:rPr>
            </w:pP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>India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31 (29.2)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>France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19 (17.9)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China 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18 (17.0)</w:t>
            </w:r>
          </w:p>
        </w:tc>
      </w:tr>
      <w:tr>
        <w:trPr>
          <w:trHeight w:val="281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>Kenya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14 (13.2)</w:t>
            </w:r>
          </w:p>
        </w:tc>
      </w:tr>
      <w:tr>
        <w:trPr>
          <w:trHeight w:val="248" w:hRule="atLeast"/>
        </w:trPr>
        <w:tc>
          <w:tcPr>
            <w:tcW w:w="324" w:type="dxa"/>
            <w:shd w:val="clear" w:color="auto" w:fill="F8F8F8"/>
            <w:noWrap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lang w:val="en-US" w:eastAsia="en-GB"/>
              </w:rPr>
              <w:t xml:space="preserve">Russia </w:t>
            </w:r>
          </w:p>
        </w:tc>
        <w:tc>
          <w:tcPr>
            <w:tcW w:w="1549" w:type="dxa"/>
            <w:shd w:val="clear" w:color="auto" w:fill="F8F8F8"/>
            <w:noWrap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7 (6.6)</w:t>
            </w:r>
          </w:p>
        </w:tc>
      </w:tr>
      <w:tr>
        <w:trPr>
          <w:trHeight w:val="86" w:hRule="atLeast"/>
        </w:trPr>
        <w:tc>
          <w:tcPr>
            <w:tcW w:w="32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</w:tc>
        <w:tc>
          <w:tcPr>
            <w:tcW w:w="3134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rPr>
                <w:rFonts w:ascii="Times New Roman" w:hAnsi="Times New Roman" w:eastAsia="Times New Roman" w:cs="Times New Roman"/>
                <w:i/>
                <w:iCs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lang w:val="en-US" w:eastAsia="en-GB"/>
              </w:rPr>
              <w:t>Others</w:t>
            </w:r>
          </w:p>
        </w:tc>
        <w:tc>
          <w:tcPr>
            <w:tcW w:w="1549" w:type="dxa"/>
            <w:shd w:val="clear" w:color="auto" w:fill="F8F8F8"/>
            <w:noWrap/>
            <w:vAlign w:val="bottom"/>
          </w:tcPr>
          <w:p>
            <w:pPr>
              <w:spacing w:after="0" w:line="480" w:lineRule="auto"/>
              <w:jc w:val="right"/>
              <w:rPr>
                <w:rFonts w:ascii="Times New Roman" w:hAnsi="Times New Roman" w:eastAsia="Times New Roman" w:cs="Times New Roman"/>
                <w:i/>
                <w:iCs/>
                <w:color w:val="000000"/>
                <w:lang w:val="en-US" w:eastAsia="en-GB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 w:eastAsia="en-GB"/>
              </w:rPr>
              <w:t>17 (16.0)</w:t>
            </w:r>
          </w:p>
        </w:tc>
      </w:tr>
    </w:tbl>
    <w:p>
      <w:pPr>
        <w:spacing w:line="480" w:lineRule="auto"/>
        <w:rPr>
          <w:rFonts w:ascii="Times New Roman" w:hAnsi="Times New Roman" w:cs="Times New Roman"/>
        </w:rPr>
      </w:pPr>
    </w:p>
    <w:p>
      <w:pPr>
        <w:spacing w:line="480" w:lineRule="auto"/>
        <w:rPr>
          <w:rFonts w:ascii="Times New Roman" w:hAnsi="Times New Roman" w:cs="Times New Roman"/>
        </w:rPr>
      </w:pPr>
    </w:p>
    <w:p>
      <w:pPr>
        <w:spacing w:line="480" w:lineRule="auto"/>
        <w:rPr>
          <w:rFonts w:ascii="Times New Roman" w:hAnsi="Times New Roman" w:cs="Times New Roman"/>
        </w:rPr>
      </w:pPr>
    </w:p>
    <w:p>
      <w:pPr>
        <w:spacing w:line="480" w:lineRule="auto"/>
        <w:rPr>
          <w:rFonts w:ascii="Times New Roman" w:hAnsi="Times New Roman" w:cs="Times New Roman"/>
        </w:rPr>
      </w:pPr>
    </w:p>
    <w:p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hint="default"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</w:rPr>
        <w:t>1: Recalls per year</w:t>
      </w:r>
    </w:p>
    <w:p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lang w:eastAsia="en-GB"/>
        </w:rPr>
        <w:drawing>
          <wp:inline distT="0" distB="0" distL="0" distR="0">
            <wp:extent cx="4972050" cy="2962275"/>
            <wp:effectExtent l="0" t="0" r="19050" b="952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hint="default"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</w:rPr>
        <w:t>2: Safety issues of recalls</w:t>
      </w:r>
    </w:p>
    <w:p>
      <w:pPr>
        <w:pStyle w:val="2"/>
        <w:spacing w:before="100" w:beforeAutospacing="1" w:after="100" w:afterAutospacing="1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  <w:lang w:eastAsia="en-GB"/>
        </w:rPr>
        <w:drawing>
          <wp:inline distT="0" distB="0" distL="0" distR="0">
            <wp:extent cx="4972050" cy="2990850"/>
            <wp:effectExtent l="0" t="0" r="19050" b="1905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>
      <w:footerReference r:id="rId5" w:type="default"/>
      <w:pgSz w:w="11906" w:h="16838"/>
      <w:pgMar w:top="1440" w:right="1440" w:bottom="1440" w:left="1440" w:header="720" w:footer="720" w:gutter="0"/>
      <w:lnNumType w:countBy="1" w:restart="continuous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swiss"/>
    <w:pitch w:val="default"/>
    <w:sig w:usb0="00000000" w:usb1="00000000" w:usb2="00000000" w:usb3="00000000" w:csb0="00000000" w:csb1="00000000"/>
  </w:font>
  <w:font w:name="Hiragino Sans GB">
    <w:panose1 w:val="020B0300000000000000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83914876"/>
      <w:docPartObj>
        <w:docPartGallery w:val="AutoText"/>
      </w:docPartObj>
    </w:sdtPr>
    <w:sdtContent>
      <w:p>
        <w:pPr>
          <w:pStyle w:val="1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E43"/>
    <w:rsid w:val="00013377"/>
    <w:rsid w:val="00017D9C"/>
    <w:rsid w:val="0002726C"/>
    <w:rsid w:val="00042281"/>
    <w:rsid w:val="00043F4D"/>
    <w:rsid w:val="0006308F"/>
    <w:rsid w:val="00063A4E"/>
    <w:rsid w:val="0008130F"/>
    <w:rsid w:val="000908D1"/>
    <w:rsid w:val="000972D5"/>
    <w:rsid w:val="000A08D2"/>
    <w:rsid w:val="000B7F87"/>
    <w:rsid w:val="000C57C7"/>
    <w:rsid w:val="000D0AFC"/>
    <w:rsid w:val="000E03F1"/>
    <w:rsid w:val="000E177F"/>
    <w:rsid w:val="000E6922"/>
    <w:rsid w:val="000E7464"/>
    <w:rsid w:val="000F7873"/>
    <w:rsid w:val="001026B0"/>
    <w:rsid w:val="00106C5E"/>
    <w:rsid w:val="00117ACC"/>
    <w:rsid w:val="00121B06"/>
    <w:rsid w:val="00141E6D"/>
    <w:rsid w:val="001641A0"/>
    <w:rsid w:val="001807C7"/>
    <w:rsid w:val="00184CFD"/>
    <w:rsid w:val="00187142"/>
    <w:rsid w:val="001A4BB3"/>
    <w:rsid w:val="001A757F"/>
    <w:rsid w:val="001B5DF5"/>
    <w:rsid w:val="001B6265"/>
    <w:rsid w:val="001F406E"/>
    <w:rsid w:val="0021123C"/>
    <w:rsid w:val="00226309"/>
    <w:rsid w:val="002345FB"/>
    <w:rsid w:val="002354DE"/>
    <w:rsid w:val="002626B7"/>
    <w:rsid w:val="00274131"/>
    <w:rsid w:val="00275197"/>
    <w:rsid w:val="002874BB"/>
    <w:rsid w:val="0029307C"/>
    <w:rsid w:val="002A625B"/>
    <w:rsid w:val="002B1A54"/>
    <w:rsid w:val="002B65A1"/>
    <w:rsid w:val="002C6E95"/>
    <w:rsid w:val="002E2FAF"/>
    <w:rsid w:val="002F1202"/>
    <w:rsid w:val="002F3366"/>
    <w:rsid w:val="002F4D19"/>
    <w:rsid w:val="002F5CC0"/>
    <w:rsid w:val="00307577"/>
    <w:rsid w:val="003318F9"/>
    <w:rsid w:val="00342AB4"/>
    <w:rsid w:val="003506B6"/>
    <w:rsid w:val="00364594"/>
    <w:rsid w:val="003951C7"/>
    <w:rsid w:val="003A691F"/>
    <w:rsid w:val="003B447C"/>
    <w:rsid w:val="003C1F02"/>
    <w:rsid w:val="003C2E1E"/>
    <w:rsid w:val="003D605A"/>
    <w:rsid w:val="003E0501"/>
    <w:rsid w:val="003E7AF8"/>
    <w:rsid w:val="00422936"/>
    <w:rsid w:val="00425085"/>
    <w:rsid w:val="00434CC9"/>
    <w:rsid w:val="00443224"/>
    <w:rsid w:val="00444AEA"/>
    <w:rsid w:val="00453F22"/>
    <w:rsid w:val="00463856"/>
    <w:rsid w:val="00490641"/>
    <w:rsid w:val="004B0D33"/>
    <w:rsid w:val="004B0D98"/>
    <w:rsid w:val="004B198C"/>
    <w:rsid w:val="004E61BF"/>
    <w:rsid w:val="0050170D"/>
    <w:rsid w:val="00511F3B"/>
    <w:rsid w:val="0051504E"/>
    <w:rsid w:val="00527F2A"/>
    <w:rsid w:val="00530D19"/>
    <w:rsid w:val="0053441D"/>
    <w:rsid w:val="0053560D"/>
    <w:rsid w:val="0054209E"/>
    <w:rsid w:val="00545346"/>
    <w:rsid w:val="00550E70"/>
    <w:rsid w:val="005532FA"/>
    <w:rsid w:val="00553492"/>
    <w:rsid w:val="005563A2"/>
    <w:rsid w:val="005577A5"/>
    <w:rsid w:val="00571231"/>
    <w:rsid w:val="00573737"/>
    <w:rsid w:val="00581CD2"/>
    <w:rsid w:val="00591021"/>
    <w:rsid w:val="005A17BB"/>
    <w:rsid w:val="005B7872"/>
    <w:rsid w:val="005C2E6D"/>
    <w:rsid w:val="005D7BA7"/>
    <w:rsid w:val="005E6C04"/>
    <w:rsid w:val="005E76D8"/>
    <w:rsid w:val="00603725"/>
    <w:rsid w:val="00605900"/>
    <w:rsid w:val="0060788E"/>
    <w:rsid w:val="00612A2D"/>
    <w:rsid w:val="006142F6"/>
    <w:rsid w:val="006312C5"/>
    <w:rsid w:val="0063700A"/>
    <w:rsid w:val="00656DA5"/>
    <w:rsid w:val="00662F72"/>
    <w:rsid w:val="0066427E"/>
    <w:rsid w:val="00674880"/>
    <w:rsid w:val="006761FB"/>
    <w:rsid w:val="00677E24"/>
    <w:rsid w:val="00684A21"/>
    <w:rsid w:val="00686EE7"/>
    <w:rsid w:val="00696E84"/>
    <w:rsid w:val="006C00D7"/>
    <w:rsid w:val="006D6264"/>
    <w:rsid w:val="006F676C"/>
    <w:rsid w:val="0071242F"/>
    <w:rsid w:val="00714D9B"/>
    <w:rsid w:val="007448B1"/>
    <w:rsid w:val="007508E4"/>
    <w:rsid w:val="00783601"/>
    <w:rsid w:val="00786AAF"/>
    <w:rsid w:val="00790BC8"/>
    <w:rsid w:val="00793870"/>
    <w:rsid w:val="00795A5B"/>
    <w:rsid w:val="007A58AB"/>
    <w:rsid w:val="007B294D"/>
    <w:rsid w:val="007B5DE5"/>
    <w:rsid w:val="007C0E43"/>
    <w:rsid w:val="007C2F0A"/>
    <w:rsid w:val="007D6D0D"/>
    <w:rsid w:val="007F097E"/>
    <w:rsid w:val="007F160C"/>
    <w:rsid w:val="007F27EF"/>
    <w:rsid w:val="00812A4F"/>
    <w:rsid w:val="00815892"/>
    <w:rsid w:val="008172CA"/>
    <w:rsid w:val="008226A4"/>
    <w:rsid w:val="00830E5F"/>
    <w:rsid w:val="00833740"/>
    <w:rsid w:val="00833F2B"/>
    <w:rsid w:val="00835881"/>
    <w:rsid w:val="0084114B"/>
    <w:rsid w:val="00854E55"/>
    <w:rsid w:val="00854F20"/>
    <w:rsid w:val="00860FF8"/>
    <w:rsid w:val="00861391"/>
    <w:rsid w:val="0087301D"/>
    <w:rsid w:val="00887FFE"/>
    <w:rsid w:val="008B266B"/>
    <w:rsid w:val="008B7E19"/>
    <w:rsid w:val="008D1C4F"/>
    <w:rsid w:val="008E10F7"/>
    <w:rsid w:val="008F43A3"/>
    <w:rsid w:val="00907805"/>
    <w:rsid w:val="0090781D"/>
    <w:rsid w:val="00921E0D"/>
    <w:rsid w:val="009232FF"/>
    <w:rsid w:val="00931593"/>
    <w:rsid w:val="00934226"/>
    <w:rsid w:val="00942304"/>
    <w:rsid w:val="009428A5"/>
    <w:rsid w:val="0095382D"/>
    <w:rsid w:val="00982F74"/>
    <w:rsid w:val="0099551A"/>
    <w:rsid w:val="009A7ADB"/>
    <w:rsid w:val="009B2DD0"/>
    <w:rsid w:val="009B7A42"/>
    <w:rsid w:val="009C1B35"/>
    <w:rsid w:val="009C2466"/>
    <w:rsid w:val="009C3B45"/>
    <w:rsid w:val="009C4A1A"/>
    <w:rsid w:val="009D369F"/>
    <w:rsid w:val="009F27DA"/>
    <w:rsid w:val="00A1061E"/>
    <w:rsid w:val="00A16917"/>
    <w:rsid w:val="00A2154D"/>
    <w:rsid w:val="00A320D1"/>
    <w:rsid w:val="00A347F2"/>
    <w:rsid w:val="00A54849"/>
    <w:rsid w:val="00A56BF8"/>
    <w:rsid w:val="00A7447A"/>
    <w:rsid w:val="00A755DF"/>
    <w:rsid w:val="00A75F78"/>
    <w:rsid w:val="00A767A3"/>
    <w:rsid w:val="00A76C2C"/>
    <w:rsid w:val="00A8298B"/>
    <w:rsid w:val="00A904F2"/>
    <w:rsid w:val="00A90BA1"/>
    <w:rsid w:val="00AA1EC5"/>
    <w:rsid w:val="00AB5870"/>
    <w:rsid w:val="00AC6A9F"/>
    <w:rsid w:val="00AD1DE7"/>
    <w:rsid w:val="00B03E60"/>
    <w:rsid w:val="00B268AC"/>
    <w:rsid w:val="00B70AA2"/>
    <w:rsid w:val="00B8518C"/>
    <w:rsid w:val="00B851CA"/>
    <w:rsid w:val="00BA34E3"/>
    <w:rsid w:val="00BB7AD0"/>
    <w:rsid w:val="00BB7B23"/>
    <w:rsid w:val="00BC29D0"/>
    <w:rsid w:val="00BD2AD2"/>
    <w:rsid w:val="00BD51BF"/>
    <w:rsid w:val="00BD71D3"/>
    <w:rsid w:val="00BE0A92"/>
    <w:rsid w:val="00BE7DAC"/>
    <w:rsid w:val="00C01058"/>
    <w:rsid w:val="00C14294"/>
    <w:rsid w:val="00C15EAE"/>
    <w:rsid w:val="00C24CF4"/>
    <w:rsid w:val="00C4313E"/>
    <w:rsid w:val="00C60086"/>
    <w:rsid w:val="00C6030E"/>
    <w:rsid w:val="00C609E0"/>
    <w:rsid w:val="00C6190A"/>
    <w:rsid w:val="00C63FF3"/>
    <w:rsid w:val="00C700BC"/>
    <w:rsid w:val="00C765BD"/>
    <w:rsid w:val="00C76B47"/>
    <w:rsid w:val="00C84783"/>
    <w:rsid w:val="00C84F17"/>
    <w:rsid w:val="00C94763"/>
    <w:rsid w:val="00CA3704"/>
    <w:rsid w:val="00CA7109"/>
    <w:rsid w:val="00CB4EF5"/>
    <w:rsid w:val="00CC1150"/>
    <w:rsid w:val="00CD0F6B"/>
    <w:rsid w:val="00CD3D9A"/>
    <w:rsid w:val="00CD45A5"/>
    <w:rsid w:val="00CF6C75"/>
    <w:rsid w:val="00D025A0"/>
    <w:rsid w:val="00D17933"/>
    <w:rsid w:val="00D203D3"/>
    <w:rsid w:val="00D26A5E"/>
    <w:rsid w:val="00D3434A"/>
    <w:rsid w:val="00D47775"/>
    <w:rsid w:val="00D51DC0"/>
    <w:rsid w:val="00D5557C"/>
    <w:rsid w:val="00D55A93"/>
    <w:rsid w:val="00D62700"/>
    <w:rsid w:val="00D6452E"/>
    <w:rsid w:val="00D66FAD"/>
    <w:rsid w:val="00D85F20"/>
    <w:rsid w:val="00D9197D"/>
    <w:rsid w:val="00D92B2C"/>
    <w:rsid w:val="00DB08B9"/>
    <w:rsid w:val="00DB1EC2"/>
    <w:rsid w:val="00DC2F62"/>
    <w:rsid w:val="00DE0235"/>
    <w:rsid w:val="00DE794C"/>
    <w:rsid w:val="00DF1D31"/>
    <w:rsid w:val="00DF6B86"/>
    <w:rsid w:val="00E01979"/>
    <w:rsid w:val="00E36EEC"/>
    <w:rsid w:val="00E42697"/>
    <w:rsid w:val="00E47799"/>
    <w:rsid w:val="00E50BE9"/>
    <w:rsid w:val="00E51FD6"/>
    <w:rsid w:val="00E54FBC"/>
    <w:rsid w:val="00E66111"/>
    <w:rsid w:val="00E74241"/>
    <w:rsid w:val="00E74D79"/>
    <w:rsid w:val="00E75782"/>
    <w:rsid w:val="00E75B3E"/>
    <w:rsid w:val="00E8658B"/>
    <w:rsid w:val="00E92167"/>
    <w:rsid w:val="00E9504A"/>
    <w:rsid w:val="00ED47B6"/>
    <w:rsid w:val="00ED5BC3"/>
    <w:rsid w:val="00EF61B5"/>
    <w:rsid w:val="00F038AE"/>
    <w:rsid w:val="00F05083"/>
    <w:rsid w:val="00F06DEE"/>
    <w:rsid w:val="00F14D5F"/>
    <w:rsid w:val="00F17D36"/>
    <w:rsid w:val="00F209C5"/>
    <w:rsid w:val="00F24B60"/>
    <w:rsid w:val="00F25459"/>
    <w:rsid w:val="00F259D5"/>
    <w:rsid w:val="00F43991"/>
    <w:rsid w:val="00F449D1"/>
    <w:rsid w:val="00F46239"/>
    <w:rsid w:val="00F6440E"/>
    <w:rsid w:val="00F70138"/>
    <w:rsid w:val="00F77203"/>
    <w:rsid w:val="00FB4AE9"/>
    <w:rsid w:val="00FB53E9"/>
    <w:rsid w:val="00FC3649"/>
    <w:rsid w:val="00FD6DF9"/>
    <w:rsid w:val="00FE46D4"/>
    <w:rsid w:val="17F3ECB0"/>
    <w:rsid w:val="7F7EDEC5"/>
    <w:rsid w:val="BEDD894B"/>
    <w:rsid w:val="BF768308"/>
    <w:rsid w:val="D5BFAA54"/>
    <w:rsid w:val="DEC9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0" w:semiHidden="0" w:name="List Paragraph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annotation text"/>
    <w:basedOn w:val="1"/>
    <w:link w:val="21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2"/>
    <w:semiHidden/>
    <w:unhideWhenUsed/>
    <w:qFormat/>
    <w:uiPriority w:val="99"/>
    <w:rPr>
      <w:b/>
      <w:bCs/>
    </w:rPr>
  </w:style>
  <w:style w:type="paragraph" w:styleId="10">
    <w:name w:val="footer"/>
    <w:basedOn w:val="1"/>
    <w:link w:val="18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1">
    <w:name w:val="header"/>
    <w:basedOn w:val="1"/>
    <w:link w:val="1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2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line number"/>
    <w:basedOn w:val="4"/>
    <w:semiHidden/>
    <w:unhideWhenUsed/>
    <w:qFormat/>
    <w:uiPriority w:val="99"/>
  </w:style>
  <w:style w:type="paragraph" w:styleId="14">
    <w:name w:val="List Paragraph"/>
    <w:basedOn w:val="1"/>
    <w:qFormat/>
    <w:uiPriority w:val="0"/>
    <w:pPr>
      <w:ind w:left="720"/>
      <w:contextualSpacing/>
    </w:pPr>
  </w:style>
  <w:style w:type="character" w:customStyle="1" w:styleId="15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16">
    <w:name w:val="Balloon Text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7">
    <w:name w:val="Header Char"/>
    <w:basedOn w:val="4"/>
    <w:link w:val="11"/>
    <w:qFormat/>
    <w:uiPriority w:val="99"/>
  </w:style>
  <w:style w:type="character" w:customStyle="1" w:styleId="18">
    <w:name w:val="Footer Char"/>
    <w:basedOn w:val="4"/>
    <w:link w:val="10"/>
    <w:qFormat/>
    <w:uiPriority w:val="99"/>
  </w:style>
  <w:style w:type="character" w:styleId="19">
    <w:name w:val="Placeholder Text"/>
    <w:basedOn w:val="4"/>
    <w:semiHidden/>
    <w:qFormat/>
    <w:uiPriority w:val="99"/>
    <w:rPr>
      <w:color w:val="808080"/>
    </w:rPr>
  </w:style>
  <w:style w:type="paragraph" w:customStyle="1" w:styleId="20">
    <w:name w:val="Revision1"/>
    <w:hidden/>
    <w:unhideWhenUsed/>
    <w:qFormat/>
    <w:uiPriority w:val="99"/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customStyle="1" w:styleId="21">
    <w:name w:val="Comment Text Char"/>
    <w:basedOn w:val="4"/>
    <w:link w:val="8"/>
    <w:semiHidden/>
    <w:qFormat/>
    <w:uiPriority w:val="99"/>
    <w:rPr>
      <w:lang w:val="en-GB"/>
    </w:rPr>
  </w:style>
  <w:style w:type="character" w:customStyle="1" w:styleId="22">
    <w:name w:val="Comment Subject Char"/>
    <w:basedOn w:val="21"/>
    <w:link w:val="9"/>
    <w:semiHidden/>
    <w:qFormat/>
    <w:uiPriority w:val="99"/>
    <w:rPr>
      <w:b/>
      <w:bCs/>
      <w:lang w:val="en-GB"/>
    </w:rPr>
  </w:style>
  <w:style w:type="character" w:customStyle="1" w:styleId="23">
    <w:name w:val="Heading 2 Char"/>
    <w:basedOn w:val="4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hart" Target="charts/chart2.xml"/><Relationship Id="rId7" Type="http://schemas.openxmlformats.org/officeDocument/2006/relationships/chart" Target="charts/chart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themeOverride" Target="../theme/themeOverride2.xml"/><Relationship Id="rId1" Type="http://schemas.openxmlformats.org/officeDocument/2006/relationships/oleObject" Target="../embeddings/oleObject2.bin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themeOverride" Target="../theme/themeOverride1.xml"/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Recalls</a:t>
            </a:r>
            <a:r>
              <a:rPr lang="en-GB" baseline="0"/>
              <a:t> per year</a:t>
            </a:r>
            <a:endParaRPr lang="en-GB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'YEAR OF RECALL'!$F$3</c:f>
              <c:strCache>
                <c:ptCount val="1"/>
                <c:pt idx="0">
                  <c:v>Number of recalls (%)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 cmpd="sng" algn="ctr">
                <a:solidFill>
                  <a:schemeClr val="accent3"/>
                </a:solidFill>
                <a:prstDash val="sysDot"/>
                <a:round/>
              </a:ln>
              <a:effectLst/>
            </c:spPr>
            <c:trendlineType val="linear"/>
            <c:dispRSqr val="0"/>
            <c:dispEq val="0"/>
          </c:trendline>
          <c:cat>
            <c:numRef>
              <c:f>'YEAR OF RECALL'!$E$4:$E$7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</c:numCache>
            </c:numRef>
          </c:cat>
          <c:val>
            <c:numRef>
              <c:f>'YEAR OF RECALL'!$F$4:$F$7</c:f>
              <c:numCache>
                <c:formatCode>0.0%</c:formatCode>
                <c:ptCount val="4"/>
                <c:pt idx="0">
                  <c:v>0.216981132075472</c:v>
                </c:pt>
                <c:pt idx="1">
                  <c:v>0.518867924528302</c:v>
                </c:pt>
                <c:pt idx="2">
                  <c:v>0.179245283018868</c:v>
                </c:pt>
                <c:pt idx="3">
                  <c:v>0.0849056603773585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10691584"/>
        <c:axId val="210693504"/>
      </c:barChart>
      <c:catAx>
        <c:axId val="2106915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Years of recalls</a:t>
                </a:r>
                <a:endParaRPr lang="en-GB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210693504"/>
        <c:crosses val="autoZero"/>
        <c:auto val="1"/>
        <c:lblAlgn val="ctr"/>
        <c:lblOffset val="100"/>
        <c:noMultiLvlLbl val="0"/>
      </c:catAx>
      <c:valAx>
        <c:axId val="21069350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000" b="0" i="0" u="none" strike="noStrike" baseline="0">
                    <a:effectLst/>
                  </a:rPr>
                  <a:t>Number of recalls (%)</a:t>
                </a:r>
                <a:endParaRPr lang="en-GB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0.0%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210691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en-US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Safety</a:t>
            </a:r>
            <a:r>
              <a:rPr lang="en-GB" baseline="0"/>
              <a:t> issues of recalls</a:t>
            </a:r>
            <a:endParaRPr lang="en-GB"/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'SAFETY ISSUES'!$E$3</c:f>
              <c:strCache>
                <c:ptCount val="1"/>
                <c:pt idx="0">
                  <c:v>Number of recalls (%)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en-US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'SAFETY ISSUES'!$D$4:$D$11</c:f>
              <c:strCache>
                <c:ptCount val="8"/>
                <c:pt idx="0">
                  <c:v>Contamination </c:v>
                </c:pt>
                <c:pt idx="1">
                  <c:v>Suspected poor quality</c:v>
                </c:pt>
                <c:pt idx="2">
                  <c:v>Others </c:v>
                </c:pt>
                <c:pt idx="3">
                  <c:v>Not labelled</c:v>
                </c:pt>
                <c:pt idx="4">
                  <c:v>Self-opening capsules </c:v>
                </c:pt>
                <c:pt idx="5">
                  <c:v>Color change </c:v>
                </c:pt>
                <c:pt idx="6">
                  <c:v>Clumping </c:v>
                </c:pt>
                <c:pt idx="7">
                  <c:v>Precipitation</c:v>
                </c:pt>
              </c:strCache>
            </c:strRef>
          </c:cat>
          <c:val>
            <c:numRef>
              <c:f>'SAFETY ISSUES'!$E$4:$E$11</c:f>
              <c:numCache>
                <c:formatCode>0.0%</c:formatCode>
                <c:ptCount val="8"/>
                <c:pt idx="0">
                  <c:v>0.264150943396226</c:v>
                </c:pt>
                <c:pt idx="1">
                  <c:v>0.188679245283019</c:v>
                </c:pt>
                <c:pt idx="2">
                  <c:v>0.169811320754717</c:v>
                </c:pt>
                <c:pt idx="3">
                  <c:v>0.0849056603773585</c:v>
                </c:pt>
                <c:pt idx="4">
                  <c:v>0.0754716981132075</c:v>
                </c:pt>
                <c:pt idx="5">
                  <c:v>0.0754716981132075</c:v>
                </c:pt>
                <c:pt idx="6">
                  <c:v>0.0754716981132075</c:v>
                </c:pt>
                <c:pt idx="7">
                  <c:v>0.0660377358490566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210952576"/>
        <c:axId val="210955648"/>
      </c:barChart>
      <c:catAx>
        <c:axId val="21095257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Safety</a:t>
                </a:r>
                <a:r>
                  <a:rPr lang="en-GB" baseline="0"/>
                  <a:t> issues</a:t>
                </a:r>
                <a:endParaRPr lang="en-GB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210955648"/>
        <c:crosses val="autoZero"/>
        <c:auto val="1"/>
        <c:lblAlgn val="ctr"/>
        <c:lblOffset val="100"/>
        <c:noMultiLvlLbl val="0"/>
      </c:catAx>
      <c:valAx>
        <c:axId val="2109556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en-US"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Number of recalls (%)</a:t>
                </a:r>
                <a:endParaRPr lang="en-GB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0.0%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210952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en-US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4600</Words>
  <Characters>26220</Characters>
  <Lines>218</Lines>
  <Paragraphs>61</Paragraphs>
  <TotalTime>385</TotalTime>
  <ScaleCrop>false</ScaleCrop>
  <LinksUpToDate>false</LinksUpToDate>
  <CharactersWithSpaces>30759</CharactersWithSpaces>
  <Application>WPS Office_5.3.0.7932_F1E327BC-269C-435d-A152-05C5408002CA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2023-09-10T21:52:00Z</dcterms:created>
  <dc:creator>Dr.BM</dc:creator>
  <cp:lastModifiedBy>Dr. BAHIZIMarcel</cp:lastModifiedBy>
  <dcterms:modified xsi:type="dcterms:W3CDTF">2024-01-02T00:07:13Z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http://www.zotero.org/styles/vancouver</vt:lpwstr>
  </property>
  <property fmtid="{D5CDD505-2E9C-101B-9397-08002B2CF9AE}" pid="24" name="Mendeley Unique User Id_1">
    <vt:lpwstr>89808d74-d234-3207-93de-1bac9fb10ef2</vt:lpwstr>
  </property>
  <property fmtid="{D5CDD505-2E9C-101B-9397-08002B2CF9AE}" pid="25" name="KSOProductBuildVer">
    <vt:lpwstr>1033-5.3.0.7932</vt:lpwstr>
  </property>
</Properties>
</file>