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48A0F" w14:textId="77777777" w:rsidR="00CD1362" w:rsidRPr="00AB408C" w:rsidRDefault="00CD1362" w:rsidP="00CD1362">
      <w:r w:rsidRPr="00AB408C">
        <w:t xml:space="preserve">Additional file 2. The 15 programmes that formed the basis of the preference elicitation survey. The tables provides and overview of the programmes, the social needs and impact pathway it relates to, the selected peer-reviewed article and its impact, as well as quotes from FGD and CBO participants.  </w:t>
      </w:r>
    </w:p>
    <w:tbl>
      <w:tblPr>
        <w:tblStyle w:val="PlainTable2"/>
        <w:tblW w:w="13923" w:type="dxa"/>
        <w:tblLook w:val="04A0" w:firstRow="1" w:lastRow="0" w:firstColumn="1" w:lastColumn="0" w:noHBand="0" w:noVBand="1"/>
      </w:tblPr>
      <w:tblGrid>
        <w:gridCol w:w="1274"/>
        <w:gridCol w:w="1564"/>
        <w:gridCol w:w="1783"/>
        <w:gridCol w:w="1984"/>
        <w:gridCol w:w="2998"/>
        <w:gridCol w:w="1886"/>
        <w:gridCol w:w="2434"/>
      </w:tblGrid>
      <w:tr w:rsidR="00CD1362" w:rsidRPr="00AB408C" w14:paraId="375B7D5D" w14:textId="77777777" w:rsidTr="00971419">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74"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28148B4"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Level</w:t>
            </w:r>
          </w:p>
        </w:tc>
        <w:tc>
          <w:tcPr>
            <w:tcW w:w="1564"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24CEE068"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Programme</w:t>
            </w:r>
          </w:p>
        </w:tc>
        <w:tc>
          <w:tcPr>
            <w:tcW w:w="1783" w:type="dxa"/>
            <w:tcBorders>
              <w:top w:val="single" w:sz="6" w:space="0" w:color="7F7F7F" w:themeColor="text1" w:themeTint="80"/>
              <w:left w:val="nil"/>
              <w:bottom w:val="single" w:sz="6" w:space="0" w:color="7F7F7F" w:themeColor="text1" w:themeTint="80"/>
              <w:right w:val="nil"/>
            </w:tcBorders>
          </w:tcPr>
          <w:p w14:paraId="2F83C668"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Plain language description</w:t>
            </w:r>
          </w:p>
        </w:tc>
        <w:tc>
          <w:tcPr>
            <w:tcW w:w="1984"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6D5F4857"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Perceived impact</w:t>
            </w:r>
          </w:p>
        </w:tc>
        <w:tc>
          <w:tcPr>
            <w:tcW w:w="2998"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7B671329"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Selected references related to suggested programmes</w:t>
            </w:r>
          </w:p>
        </w:tc>
        <w:tc>
          <w:tcPr>
            <w:tcW w:w="1886"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C56F8EA"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Peer reviewed impact</w:t>
            </w:r>
          </w:p>
        </w:tc>
        <w:tc>
          <w:tcPr>
            <w:tcW w:w="2434" w:type="dxa"/>
            <w:tcBorders>
              <w:top w:val="single" w:sz="6" w:space="0" w:color="7F7F7F" w:themeColor="text1" w:themeTint="80"/>
              <w:left w:val="nil"/>
              <w:bottom w:val="single" w:sz="6" w:space="0" w:color="7F7F7F" w:themeColor="text1" w:themeTint="80"/>
              <w:right w:val="nil"/>
            </w:tcBorders>
          </w:tcPr>
          <w:p w14:paraId="6F980DEF" w14:textId="77777777" w:rsidR="00CD1362" w:rsidRPr="00AB408C" w:rsidRDefault="00CD1362" w:rsidP="00971419">
            <w:pP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Quotes</w:t>
            </w:r>
          </w:p>
        </w:tc>
      </w:tr>
      <w:tr w:rsidR="00CD1362" w:rsidRPr="00AB408C" w14:paraId="324836B6" w14:textId="77777777" w:rsidTr="0097141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74" w:type="dxa"/>
            <w:vMerge w:val="restart"/>
            <w:tcBorders>
              <w:top w:val="single" w:sz="6" w:space="0" w:color="7F7F7F" w:themeColor="text1" w:themeTint="80"/>
              <w:left w:val="nil"/>
            </w:tcBorders>
            <w:shd w:val="clear" w:color="auto" w:fill="E7E6E6" w:themeFill="background2"/>
            <w:tcMar>
              <w:left w:w="105" w:type="dxa"/>
              <w:right w:w="105" w:type="dxa"/>
            </w:tcMar>
            <w:vAlign w:val="center"/>
          </w:tcPr>
          <w:p w14:paraId="4BE53638" w14:textId="77777777" w:rsidR="00CD1362" w:rsidRPr="00AB408C" w:rsidRDefault="00CD1362" w:rsidP="00971419">
            <w:pPr>
              <w:rPr>
                <w:rFonts w:ascii="Arial Narrow" w:eastAsia="Arial Narrow" w:hAnsi="Arial Narrow" w:cs="Arial Narrow"/>
                <w:b w:val="0"/>
                <w:bCs w:val="0"/>
                <w:color w:val="000000" w:themeColor="text1"/>
                <w:sz w:val="20"/>
                <w:szCs w:val="20"/>
              </w:rPr>
            </w:pPr>
          </w:p>
          <w:p w14:paraId="335DEF97"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C</w:t>
            </w:r>
          </w:p>
          <w:p w14:paraId="35BD4740"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L</w:t>
            </w:r>
          </w:p>
          <w:p w14:paraId="39634275"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I</w:t>
            </w:r>
          </w:p>
          <w:p w14:paraId="2FF96509"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N</w:t>
            </w:r>
          </w:p>
          <w:p w14:paraId="0DA5DEA4"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I</w:t>
            </w:r>
          </w:p>
          <w:p w14:paraId="2F5B0149"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C</w:t>
            </w:r>
          </w:p>
        </w:tc>
        <w:tc>
          <w:tcPr>
            <w:tcW w:w="1564" w:type="dxa"/>
            <w:tcBorders>
              <w:top w:val="single" w:sz="6" w:space="0" w:color="7F7F7F" w:themeColor="text1" w:themeTint="80"/>
              <w:left w:val="nil"/>
              <w:bottom w:val="single" w:sz="6" w:space="0" w:color="7F7F7F" w:themeColor="text1" w:themeTint="80"/>
            </w:tcBorders>
            <w:shd w:val="clear" w:color="auto" w:fill="E7E6E6" w:themeFill="background2"/>
            <w:tcMar>
              <w:left w:w="105" w:type="dxa"/>
              <w:right w:w="105" w:type="dxa"/>
            </w:tcMar>
          </w:tcPr>
          <w:p w14:paraId="514D20D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Maternal nutrition groups</w:t>
            </w:r>
          </w:p>
        </w:tc>
        <w:tc>
          <w:tcPr>
            <w:tcW w:w="1783" w:type="dxa"/>
            <w:tcBorders>
              <w:top w:val="single" w:sz="6" w:space="0" w:color="7F7F7F" w:themeColor="text1" w:themeTint="80"/>
              <w:left w:val="nil"/>
              <w:bottom w:val="single" w:sz="6" w:space="0" w:color="7F7F7F" w:themeColor="text1" w:themeTint="80"/>
              <w:right w:val="nil"/>
            </w:tcBorders>
          </w:tcPr>
          <w:p w14:paraId="16F1B15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Clinics will host antenatal and postnatal groups. Moms can learn about budget-friendly nutrition, motherhood, bonding, self-esteem. Moms can form a supportive community, share experiences, and feel valued.</w:t>
            </w:r>
          </w:p>
        </w:tc>
        <w:tc>
          <w:tcPr>
            <w:tcW w:w="1984" w:type="dxa"/>
            <w:tcBorders>
              <w:top w:val="single" w:sz="6" w:space="0" w:color="7F7F7F" w:themeColor="text1" w:themeTint="80"/>
              <w:left w:val="nil"/>
              <w:bottom w:val="single" w:sz="6" w:space="0" w:color="7F7F7F" w:themeColor="text1" w:themeTint="80"/>
            </w:tcBorders>
            <w:tcMar>
              <w:left w:w="105" w:type="dxa"/>
              <w:right w:w="105" w:type="dxa"/>
            </w:tcMar>
          </w:tcPr>
          <w:p w14:paraId="512D639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 financial planning for nutrition, psychosocial support.</w:t>
            </w:r>
          </w:p>
          <w:p w14:paraId="55539EC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03FE43B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 enabling environment.</w:t>
            </w:r>
          </w:p>
        </w:tc>
        <w:tc>
          <w:tcPr>
            <w:tcW w:w="2998" w:type="dxa"/>
            <w:tcBorders>
              <w:top w:val="single" w:sz="6" w:space="0" w:color="7F7F7F" w:themeColor="text1" w:themeTint="80"/>
              <w:left w:val="nil"/>
              <w:bottom w:val="single" w:sz="6" w:space="0" w:color="7F7F7F" w:themeColor="text1" w:themeTint="80"/>
            </w:tcBorders>
            <w:tcMar>
              <w:left w:w="105" w:type="dxa"/>
              <w:right w:w="105" w:type="dxa"/>
            </w:tcMar>
          </w:tcPr>
          <w:p w14:paraId="4C783851"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Penny et al (2005)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{"citationID":"NfnsznD0","properties":{"formattedCitation":"(42)","plainCitation":"(42)","noteIndex":0},"citationItems":[{"id":374,"uris":["http://zotero.org/users/11153788/items/WZCRC3SZ"],"itemData":{"id":374,"type":"article-journal","abstract":"Background\nMalnutrition is the underlying cause of half of child mortality. Many programmes attempt to remedy this issue but there is a lack of evidence on effective ways to decrease child malnutrition.\nMethods\nWe did a cluster-randomised trial of an educational intervention in a poor periurban area (ie, shanty town) of Peru. Guided by formative research, the intervention aimed to enhance the quality and coverage of existing nutrition education and to introduce an accreditation system in six government health facilities compared with six control facilities. The primary outcome measure was growth that was measured by weight, length, and Z scores for weight-for-age and length-for-age at age 18 months. Main secondary outcomes were the percentage of children receiving recommended feeding practices and the 24-h dietary intake of energy, iron, and zinc from complementary food at ages 6, 9, 12, and 18 months. Analysis was by intention to treat.\nFindings\nWe enrolled a birth cohort of 187 infants from the catchment areas of intervention centres and 190 from control areas. Caregivers in intervention areas were more likely to report receiving nutrition advice from the health service than were caregivers in control health facilities (16 [52%] of 31 vs 9 [24%] of 37, p=0·02). At 6 months more babies in intervention areas were fed nutrient-dense thick foods at lunch (a recommended complementary feeding practice) than were controls (48 [31%] of 157 vs 29 [20%] of 147; difference between groups 19 [11%], p=0·03). Fewer children in intervention areas failed to meet dietary requirements for energy (8 months: 30 [18%] of 170 vs 45 [27%] of 167, p=0·04; 12 months: 64 [38%] of 168 vs 82 [49%] of 167, p=0·043), iron (8 months: 155 [91%] of 170 vs 161 [96%] of 167, 9 months: 152 [93%] of 163 vs 165 [99%] of 166, p=0·047), and zinc (9 months: 125 [77%] of 163 vs 145 [87%] of 166, p=0·012) than did controls. Children in control areas were more likely to have stunted growth (ie, length for age less than 2 SD below the reference population median) at 18 months than children in intervention groups (26 [16%] of 165 vs 8 [5%] of 171; adjusted odds ratio 3·04 [95% CI 1·21–7·64]). Adjusted mean changes in weight gain, length gain, and Z scores were all significantly better in the intervention area than in the control area.\nInterpretation\nImprovement of nutrition education delivered through health services can decrease the prevalence of stunted growth in childhood in areas where access to food is not a limiting factor.","container-title":"The Lancet","DOI":"10.1016/S0140-6736(05)66426-4","ISSN":"0140-6736","issue":"9474","journalAbbreviation":"The Lancet","language":"en","page":"1863-1872","source":"ScienceDirect","title":"Effectiveness of an educational intervention delivered through the health services to improve nutrition in young children: a cluster-randomised controlled trial","title-short":"Effectiveness of an educational intervention delivered through the health services to improve nutrition in young children","volume":"365","author":[{"family":"Penny","given":"Mary E"},{"family":"Creed-Kanashiro","given":"Hilary M"},{"family":"Robert","given":"Rebecca C"},{"family":"Narro","given":"M Rocio"},{"family":"Caulfield","given":"Laura E"},{"family":"Black","given":"Robert E"}],"issued":{"date-parts":[["2005",5,28]]}}}],"schema":"https://github.com/citation-style-language/schema/raw/master/csl-citation.json"}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(42)</w:t>
            </w:r>
            <w:r w:rsidRPr="00AB408C">
              <w:rPr>
                <w:rFonts w:ascii="Arial Narrow" w:eastAsia="Arial Narrow" w:hAnsi="Arial Narrow" w:cs="Arial Narrow"/>
                <w:color w:val="000000" w:themeColor="text1"/>
                <w:sz w:val="20"/>
                <w:szCs w:val="20"/>
              </w:rPr>
              <w:fldChar w:fldCharType="end"/>
            </w:r>
          </w:p>
          <w:p w14:paraId="3B1552CB"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Poor, peri urban Peru. </w:t>
            </w:r>
          </w:p>
          <w:p w14:paraId="3C1607A5"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Facility-based peer group nutrition discussion, demonstrations of complementary foods preparation.</w:t>
            </w:r>
          </w:p>
          <w:p w14:paraId="34300CE0" w14:textId="77777777" w:rsidR="00CD1362" w:rsidRPr="00AB408C" w:rsidRDefault="00CD1362" w:rsidP="00971419">
            <w:pPr>
              <w:tabs>
                <w:tab w:val="left" w:pos="217"/>
                <w:tab w:val="left" w:pos="642"/>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ab/>
            </w:r>
          </w:p>
          <w:p w14:paraId="326AAF3D" w14:textId="77777777" w:rsidR="00CD1362" w:rsidRPr="00AB408C" w:rsidRDefault="00CD1362" w:rsidP="00971419">
            <w:pPr>
              <w:tabs>
                <w:tab w:val="left" w:pos="217"/>
                <w:tab w:val="left" w:pos="642"/>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Heberlein et al (2016)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{"citationID":"DSVD0sHR","properties":{"formattedCitation":"(43)","plainCitation":"(43)","noteIndex":0},"citationItems":[{"id":367,"uris":["http://zotero.org/users/11153788/items/SJSMSF5V"],"itemData":{"id":367,"type":"article-journal","abstract":"Objective This study compared the effects of group to individual prenatal care in late pregnancy and early postpartum on (1) women’s food security and (2) psychosocial outcomes among food-insecure women.  Methods and Results We recruited 248 racially diverse, low-income, pregnant women receiving CenteringPregnancy™ group prenatal care (N = 124) or individual prenatal care (N = 124) to complete surveys in early pregnancy, late pregnancy, and early postpartum, with 84 % completing three surveys. Twenty-six percent of group and 31 % of individual care participants reported food insecurity in early pregnancy (p = 0.493). In multiple logistic regression models, women choosing group versus individual care were more likely to report food security in late pregnancy (0.85 vs. 0.66 average predicted probability, p &lt; 0.001) and postpartum (0.89 vs. 0.78 average predicted probability, p = 0.049). Among initially food-insecure women, group participants were more likely to become food-secure in late pregnancy (0.67 vs. 0.35 individual care average predicted probability, p &lt; 0.001) and postpartum (0.76 vs. 0.57 individual care average predicted probability, p = 0.052) in intention-to-treat models. Group participants were more likely to change perceptions on affording healthy foods and stretching food resources. Group compared to individual care participants with early pregnancy food insecurity demonstrated higher maternal-infant attachment scale scores (89.8 vs. 86.2 points for individual care, p = 0.032). Conclusions Group prenatal care provides health education and the opportunity for women to share experiences and knowledge, which may improve food security through increasing confidence and skills in managing household food resources. Health sector interventions can complement food assistance programs in addressing food insecurity during pregnancy.","container-title":"Maternal and Child Health Journal","DOI":"10.1007/s10995-015-1886-8","ISSN":"1573-6628","issue":"5","journalAbbreviation":"Matern Child Health J","language":"en","page":"1014-1024","source":"Springer Link","title":"Effects of Group Prenatal Care on Food Insecurity during Late Pregnancy and Early Postpartum","volume":"20","author":[{"family":"Heberlein","given":"Emily C."},{"family":"Frongillo","given":"Edward A."},{"family":"Picklesimer","given":"Amy H."},{"family":"Covington-Kolb","given":"Sarah"}],"issued":{"date-parts":[["2016",5,1]]}}}],"schema":"https://github.com/citation-style-language/schema/raw/master/csl-citation.json"}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(43)</w:t>
            </w:r>
            <w:r w:rsidRPr="00AB408C">
              <w:rPr>
                <w:rFonts w:ascii="Arial Narrow" w:eastAsia="Arial Narrow" w:hAnsi="Arial Narrow" w:cs="Arial Narrow"/>
                <w:color w:val="000000" w:themeColor="text1"/>
                <w:sz w:val="20"/>
                <w:szCs w:val="20"/>
              </w:rPr>
              <w:fldChar w:fldCharType="end"/>
            </w:r>
          </w:p>
          <w:p w14:paraId="41D18409" w14:textId="77777777" w:rsidR="00CD1362" w:rsidRPr="00AB408C" w:rsidRDefault="00CD1362" w:rsidP="00971419">
            <w:pPr>
              <w:tabs>
                <w:tab w:val="left" w:pos="217"/>
                <w:tab w:val="left" w:pos="642"/>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United States.</w:t>
            </w:r>
          </w:p>
          <w:p w14:paraId="1DC3350C" w14:textId="77777777" w:rsidR="00CD1362" w:rsidRPr="00AB408C" w:rsidRDefault="00CD1362" w:rsidP="00971419">
            <w:pPr>
              <w:tabs>
                <w:tab w:val="left" w:pos="217"/>
                <w:tab w:val="left" w:pos="642"/>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Facility-based group prenatal care for racially diverse, low-income mothers. Discussions focused on nutrition, budgeting, self-esteem, parenting skills, relaxation techniques, infant care and breastfeeding.</w:t>
            </w:r>
          </w:p>
        </w:tc>
        <w:tc>
          <w:tcPr>
            <w:tcW w:w="1886" w:type="dxa"/>
            <w:tcBorders>
              <w:top w:val="single" w:sz="6" w:space="0" w:color="7F7F7F" w:themeColor="text1" w:themeTint="80"/>
              <w:left w:val="nil"/>
              <w:bottom w:val="single" w:sz="6" w:space="0" w:color="7F7F7F" w:themeColor="text1" w:themeTint="80"/>
            </w:tcBorders>
            <w:tcMar>
              <w:left w:w="105" w:type="dxa"/>
              <w:right w:w="105" w:type="dxa"/>
            </w:tcMar>
          </w:tcPr>
          <w:p w14:paraId="64D6D6C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Reduced stunting; improved dietary intake of, ponderal and linear growth of children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{"citationID":"UzBiPRrC","properties":{"formattedCitation":"(42)","plainCitation":"(42)","noteIndex":0},"citationItems":[{"id":374,"uris":["http://zotero.org/users/11153788/items/WZCRC3SZ"],"itemData":{"id":374,"type":"article-journal","abstract":"Background\nMalnutrition is the underlying cause of half of child mortality. Many programmes attempt to remedy this issue but there is a lack of evidence on effective ways to decrease child malnutrition.\nMethods\nWe did a cluster-randomised trial of an educational intervention in a poor periurban area (ie, shanty town) of Peru. Guided by formative research, the intervention aimed to enhance the quality and coverage of existing nutrition education and to introduce an accreditation system in six government health facilities compared with six control facilities. The primary outcome measure was growth that was measured by weight, length, and Z scores for weight-for-age and length-for-age at age 18 months. Main secondary outcomes were the percentage of children receiving recommended feeding practices and the 24-h dietary intake of energy, iron, and zinc from complementary food at ages 6, 9, 12, and 18 months. Analysis was by intention to treat.\nFindings\nWe enrolled a birth cohort of 187 infants from the catchment areas of intervention centres and 190 from control areas. Caregivers in intervention areas were more likely to report receiving nutrition advice from the health service than were caregivers in control health facilities (16 [52%] of 31 vs 9 [24%] of 37, p=0·02). At 6 months more babies in intervention areas were fed nutrient-dense thick foods at lunch (a recommended complementary feeding practice) than were controls (48 [31%] of 157 vs 29 [20%] of 147; difference between groups 19 [11%], p=0·03). Fewer children in intervention areas failed to meet dietary requirements for energy (8 months: 30 [18%] of 170 vs 45 [27%] of 167, p=0·04; 12 months: 64 [38%] of 168 vs 82 [49%] of 167, p=0·043), iron (8 months: 155 [91%] of 170 vs 161 [96%] of 167, 9 months: 152 [93%] of 163 vs 165 [99%] of 166, p=0·047), and zinc (9 months: 125 [77%] of 163 vs 145 [87%] of 166, p=0·012) than did controls. Children in control areas were more likely to have stunted growth (ie, length for age less than 2 SD below the reference population median) at 18 months than children in intervention groups (26 [16%] of 165 vs 8 [5%] of 171; adjusted odds ratio 3·04 [95% CI 1·21–7·64]). Adjusted mean changes in weight gain, length gain, and Z scores were all significantly better in the intervention area than in the control area.\nInterpretation\nImprovement of nutrition education delivered through health services can decrease the prevalence of stunted growth in childhood in areas where access to food is not a limiting factor.","container-title":"The Lancet","DOI":"10.1016/S0140-6736(05)66426-4","ISSN":"0140-6736","issue":"9474","journalAbbreviation":"The Lancet","language":"en","page":"1863-1872","source":"ScienceDirect","title":"Effectiveness of an educational intervention delivered through the health services to improve nutrition in young children: a cluster-randomised controlled trial","title-short":"Effectiveness of an educational intervention delivered through the health services to improve nutrition in young children","volume":"365","author":[{"family":"Penny","given":"Mary E"},{"family":"Creed-Kanashiro","given":"Hilary M"},{"family":"Robert","given":"Rebecca C"},{"family":"Narro","given":"M Rocio"},{"family":"Caulfield","given":"Laura E"},{"family":"Black","given":"Robert E"}],"issued":{"date-parts":[["2005",5,28]]}}}],"schema":"https://github.com/citation-style-language/schema/raw/master/csl-citation.json"}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improved food security in pregnant women, maternal infant attachment, and positive change in perceptions on affording healthy foods and stretching food resources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{"citationID":"deQZn08T","properties":{"formattedCitation":"(43)","plainCitation":"(43)","noteIndex":0},"citationItems":[{"id":367,"uris":["http://zotero.org/users/11153788/items/SJSMSF5V"],"itemData":{"id":367,"type":"article-journal","abstract":"Objective This study compared the effects of group to individual prenatal care in late pregnancy and early postpartum on (1) women’s food security and (2) psychosocial outcomes among food-insecure women.  Methods and Results We recruited 248 racially diverse, low-income, pregnant women receiving CenteringPregnancy™ group prenatal care (N = 124) or individual prenatal care (N = 124) to complete surveys in early pregnancy, late pregnancy, and early postpartum, with 84 % completing three surveys. Twenty-six percent of group and 31 % of individual care participants reported food insecurity in early pregnancy (p = 0.493). In multiple logistic regression models, women choosing group versus individual care were more likely to report food security in late pregnancy (0.85 vs. 0.66 average predicted probability, p &lt; 0.001) and postpartum (0.89 vs. 0.78 average predicted probability, p = 0.049). Among initially food-insecure women, group participants were more likely to become food-secure in late pregnancy (0.67 vs. 0.35 individual care average predicted probability, p &lt; 0.001) and postpartum (0.76 vs. 0.57 individual care average predicted probability, p = 0.052) in intention-to-treat models. Group participants were more likely to change perceptions on affording healthy foods and stretching food resources. Group compared to individual care participants with early pregnancy food insecurity demonstrated higher maternal-infant attachment scale scores (89.8 vs. 86.2 points for individual care, p = 0.032). Conclusions Group prenatal care provides health education and the opportunity for women to share experiences and knowledge, which may improve food security through increasing confidence and skills in managing household food resources. Health sector interventions can complement food assistance programs in addressing food insecurity during pregnancy.","container-title":"Maternal and Child Health Journal","DOI":"10.1007/s10995-015-1886-8","ISSN":"1573-6628","issue":"5","journalAbbreviation":"Matern Child Health J","language":"en","page":"1014-1024","source":"Springer Link","title":"Effects of Group Prenatal Care on Food Insecurity during Late Pregnancy and Early Postpartum","volume":"20","author":[{"family":"Heberlein","given":"Emily C."},{"family":"Frongillo","given":"Edward A."},{"family":"Picklesimer","given":"Amy H."},{"family":"Covington-Kolb","given":"Sarah"}],"issued":{"date-parts":[["2016",5,1]]}}}],"schema":"https://github.com/citation-style-language/schema/raw/master/csl-citation.json"}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(43)</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bottom w:val="single" w:sz="6" w:space="0" w:color="7F7F7F" w:themeColor="text1" w:themeTint="80"/>
            </w:tcBorders>
          </w:tcPr>
          <w:p w14:paraId="20FADD8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 think schools where we are taught about things like budgets. Then when we get money, we won’t rush to send children and say ‘Go buy 3 kotas’. And also, when you get the ZAR 450 [USD 24], you will maybe think of using ZAR 250 [USD 13] and save the rest. (FGD 2)</w:t>
            </w:r>
          </w:p>
          <w:p w14:paraId="531124D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53BFFB3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Participant 4: No, they [nurses] don’t give them [moms] the platform [to talk about problems].</w:t>
            </w:r>
          </w:p>
          <w:p w14:paraId="0714568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Participant 5: I would love for it to be made part of the ANC package. The class must be given. (FGD 2)</w:t>
            </w:r>
          </w:p>
        </w:tc>
      </w:tr>
      <w:tr w:rsidR="00CD1362" w:rsidRPr="00AB408C" w14:paraId="6F1BB3A6" w14:textId="77777777" w:rsidTr="00971419">
        <w:trPr>
          <w:trHeight w:val="600"/>
        </w:trPr>
        <w:tc>
          <w:tcPr>
            <w:cnfStyle w:val="001000000000" w:firstRow="0" w:lastRow="0" w:firstColumn="1" w:lastColumn="0" w:oddVBand="0" w:evenVBand="0" w:oddHBand="0" w:evenHBand="0" w:firstRowFirstColumn="0" w:firstRowLastColumn="0" w:lastRowFirstColumn="0" w:lastRowLastColumn="0"/>
            <w:tcW w:w="1274" w:type="dxa"/>
            <w:vMerge/>
            <w:tcBorders>
              <w:top w:val="single" w:sz="6" w:space="0" w:color="7F7F7F" w:themeColor="text1" w:themeTint="80"/>
              <w:left w:val="nil"/>
            </w:tcBorders>
            <w:shd w:val="clear" w:color="auto" w:fill="E7E6E6" w:themeFill="background2"/>
            <w:tcMar>
              <w:left w:w="105" w:type="dxa"/>
              <w:right w:w="105" w:type="dxa"/>
            </w:tcMar>
            <w:vAlign w:val="center"/>
          </w:tcPr>
          <w:p w14:paraId="1767AA67"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bottom w:val="single" w:sz="6" w:space="0" w:color="7F7F7F" w:themeColor="text1" w:themeTint="80"/>
            </w:tcBorders>
            <w:shd w:val="clear" w:color="auto" w:fill="E7E6E6" w:themeFill="background2"/>
            <w:tcMar>
              <w:left w:w="105" w:type="dxa"/>
              <w:right w:w="105" w:type="dxa"/>
            </w:tcMar>
          </w:tcPr>
          <w:p w14:paraId="7F00F36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Couples’ antenatal education</w:t>
            </w:r>
          </w:p>
        </w:tc>
        <w:tc>
          <w:tcPr>
            <w:tcW w:w="1783" w:type="dxa"/>
            <w:tcBorders>
              <w:top w:val="single" w:sz="6" w:space="0" w:color="7F7F7F" w:themeColor="text1" w:themeTint="80"/>
              <w:left w:val="nil"/>
              <w:bottom w:val="single" w:sz="6" w:space="0" w:color="7F7F7F" w:themeColor="text1" w:themeTint="80"/>
              <w:right w:val="nil"/>
            </w:tcBorders>
          </w:tcPr>
          <w:p w14:paraId="62879DC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Moms and partners can participate in antenatal education that focus on how men can support their partners during pregnancy and childbirth, promoting their active involvement in baby care.</w:t>
            </w:r>
          </w:p>
        </w:tc>
        <w:tc>
          <w:tcPr>
            <w:tcW w:w="1984" w:type="dxa"/>
            <w:tcBorders>
              <w:top w:val="single" w:sz="6" w:space="0" w:color="7F7F7F" w:themeColor="text1" w:themeTint="80"/>
              <w:left w:val="nil"/>
              <w:bottom w:val="single" w:sz="6" w:space="0" w:color="7F7F7F" w:themeColor="text1" w:themeTint="80"/>
            </w:tcBorders>
            <w:tcMar>
              <w:left w:w="105" w:type="dxa"/>
              <w:right w:w="105" w:type="dxa"/>
            </w:tcMar>
          </w:tcPr>
          <w:p w14:paraId="07BC947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 psychosocial support.</w:t>
            </w:r>
          </w:p>
          <w:p w14:paraId="6898636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392A863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 Creating a supportive environment</w:t>
            </w:r>
          </w:p>
          <w:p w14:paraId="2F6CBCD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998" w:type="dxa"/>
            <w:tcBorders>
              <w:top w:val="single" w:sz="6" w:space="0" w:color="7F7F7F" w:themeColor="text1" w:themeTint="80"/>
              <w:left w:val="nil"/>
              <w:bottom w:val="single" w:sz="6" w:space="0" w:color="7F7F7F" w:themeColor="text1" w:themeTint="80"/>
            </w:tcBorders>
            <w:tcMar>
              <w:left w:w="105" w:type="dxa"/>
              <w:right w:w="105" w:type="dxa"/>
            </w:tcMar>
          </w:tcPr>
          <w:p w14:paraId="7996109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Daniele et al. (2018)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{"citationID":"jnNCF2XN","properties":{"formattedCitation":"(44)","plainCitation":"(44)","noteIndex":0},"citationItems":[{"id":378,"uris":["http://zotero.org/users/11153788/items/LP4MTZAZ"],"itemData":{"id":378,"type":"article-journal","abstract":"Objective\nTo determine whether an intervention to involve the male partners of pregnant women in maternity care influenced care-seeking, healthy breastfeeding and contraceptive practices after childbirth in urban Burkina Faso.\n\nMethods\nIn a non-blinded, multicentre, parallel-group, superiority trial, 1144 women were assigned by simple randomization to two study arms: 583 entered the intervention arm and 561 entered the control arm. All women were cohabiting with a male partner and had a low-risk pregnancy. Recruitment took place at 20 to 36 weeks’ gestation at five primary health centres in Bobo-Dioulasso. The intervention comprised three educational sessions: (i) an interactive group session during pregnancy with male partners only, to discuss their role; (ii) a counselling session during pregnancy for individual couples; and (iii) a postnatal couple counselling session. The control group received routine care only. We followed up participants at 3 and 8 months postpartum.\n\nFindings\nThe follow-up rate was over 96% at both times. In the intervention arm, 74% (432/583) of couples or men attended at least two study sessions. Attendance at two or more outpatient postnatal care consultations was more frequent in the intervention than the control group (risk difference, RD: 11.7%; 95% confidence interval, CI: 6.0 to 17.5), as was exclusive breastfeeding 3 months postpartum (RD: 11.4%; 95% CI: 5.8 to 17.2) and effective modern contraception use 8 months postpartum (RD: 6.4%; 95% CI: 0.5 to 12.3).\n\nConclusion\nInvolving men as supportive partners in maternity care was associated with better adherence to recommended healthy practices after childbirth.","container-title":"Bulletin of the World Health Organization","DOI":"10.2471/BLT.17.206466","ISSN":"0042-9686","issue":"7","journalAbbreviation":"Bull World Health Organ","note":"PMID: 29962548\nPMCID: PMC6022615","page":"450-461","source":"PubMed Central","title":"Involving male partners in maternity care in Burkina Faso: a randomized controlled trial","title-short":"Involving male partners in maternity care in Burkina Faso","volume":"96","author":[{"family":"Daniele","given":"Marina AS"},{"family":"Ganaba","given":"Rasmané"},{"family":"Sarrassat","given":"Sophie"},{"family":"Cousens","given":"Simon"},{"family":"Rossier","given":"Clémentine"},{"family":"Drabo","given":"Seydou"},{"family":"Ouedraogo","given":"Djeneba"},{"family":"Filippi","given":"Veronique"}],"issued":{"date-parts":[["2018",7,1]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(44)</w:t>
            </w:r>
            <w:r w:rsidRPr="00AB408C">
              <w:rPr>
                <w:rFonts w:ascii="Arial Narrow" w:eastAsia="Arial Narrow" w:hAnsi="Arial Narrow" w:cs="Arial Narrow"/>
                <w:color w:val="000000" w:themeColor="text1"/>
                <w:sz w:val="20"/>
                <w:szCs w:val="20"/>
              </w:rPr>
              <w:fldChar w:fldCharType="end"/>
            </w:r>
          </w:p>
          <w:p w14:paraId="0D06AA4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Burkina Faso</w:t>
            </w:r>
          </w:p>
          <w:p w14:paraId="53BF155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Engaging male partners in maternity care through couple counselling and group discussions.</w:t>
            </w:r>
          </w:p>
          <w:p w14:paraId="64A3C47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79B4D2BB"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Su and Ouyang 2016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{"citationID":"A16FCK92","properties":{"formattedCitation":"(45)","plainCitation":"(45)","noteIndex":0},"citationItems":[{"id":379,"uris":["http://zotero.org/users/11153788/items/5ZZQ8VJ7"],"itemData":{"id":379,"type":"article-journal","abstract":"Aims: The aims of this study were to evaluate the effectiveness of an educational intervention involving fathers on breastfeeding initiation and exclusive breastfeeding rate, and to explore mothers' perceptions of their partners' support of breastfeeding.\n\nMaterials and Methods: This study was a quasi-experimental pretest–posttest design with two groups. A convenience sample consisting of 72 expectant mothers was recruited. Thirty-six women with their partners were assigned to the intervention group, and 36 women alone were in the control group. Both groups were offered similar education contents, and the intervention group was given additional information on how fathers could support their partners, both emotionally and physically, during the breastfeeding process. Student's t test, chi-square test, and Mann–Whitney U test were used to detect group differences.\n\nResults: The prevalence rates of exclusive breastfeeding at 4 months and 6 months of the intervention group were significantly higher than there were in the control group (51.4% and 26.4%,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0.034; 40.0% and 17.6%,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0.041). Women in the intervention group were less likely to use infant formula at 1 and 6 months postpartum (5.6% and 23.5%,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0.032; 20.0% and 44.1%,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0.032). Related to the process of breastfeeding, partners in the intervention group supported their partners by taking care of the infant, doing housework, and providing emotional support.\n\nConclusions: Involving the fathers in breastfeeding education could improve the exclusive breastfeeding rate and prolong the duration of exclusive breastfeeding. The mothers appreciated support from the fathers.","container-title":"Breastfeeding Medicine","DOI":"10.1089/bfm.2015.0144","ISSN":"1556-8253","issue":"3","note":"publisher: Mary Ann Liebert, Inc., publishers","page":"144-149","source":"liebertpub.com (Atypon)","title":"Father's Role in Breastfeeding Promotion: Lessons from a Quasi-Experimental Trial in China","title-short":"Father's Role in Breastfeeding Promotion","volume":"11","author":[{"family":"Su","given":"Min"},{"family":"Ouyang","given":"Yan-Qiong"}],"issued":{"date-parts":[["2016",4]]}}}],"schema":"https://github.com/citation-style-language/schema/raw/master/csl-citation.json"}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(45)</w:t>
            </w:r>
            <w:r w:rsidRPr="00AB408C">
              <w:rPr>
                <w:rFonts w:ascii="Arial Narrow" w:eastAsia="Arial Narrow" w:hAnsi="Arial Narrow" w:cs="Arial Narrow"/>
                <w:color w:val="000000" w:themeColor="text1"/>
                <w:sz w:val="20"/>
                <w:szCs w:val="20"/>
              </w:rPr>
              <w:fldChar w:fldCharType="end"/>
            </w:r>
          </w:p>
          <w:p w14:paraId="2905576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China.</w:t>
            </w:r>
          </w:p>
          <w:p w14:paraId="4CF6F3D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Couples antenatal breastfeeding program promoting father involvement.</w:t>
            </w:r>
          </w:p>
          <w:p w14:paraId="38F56EC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3AA687F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Özlüses and Çelebioglu (2014)</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{"citationID":"UkejFfPl","properties":{"formattedCitation":"(46)","plainCitation":"(46)","noteIndex":0},"citationItems":[{"id":376,"uris":["http://zotero.org/users/11153788/items/CDSVVE7C"],"itemData":{"id":376,"type":"article-journal","abstract":"Objectives: To determine the effect of breastfeeding education provided to fathers on breastfeeding rates and paternal-infant attachment. Methods: 117 couples with their infants with the inclusion criteria: knowledge of reading, writing and speaking Turkish; living in the Turkish Republic of North Cyprus until their infants were six months old; and infants having no health problems preventing the early initiation of breastfeeding. Participants were divided into 3 groups (2 experimental and 1 control). Breastfeeding education was provided to the mothers (20 min/d) in the first group (n=38) and to the mothers and fathers in the second group (n=39) (20 min/d/parent) until they were discharged from the hospital. This education was supplemented by a training booklet. The parents and their infants were followed until the infants were six months old. Exclusive breastfeeding rates and Paternal-Infant Attachment Scale scores at six months were main outcome measures. Results: Exclusive breastfeeding rates (56.4%, 33.3% and 12.8%; P&lt;0.001) and mean (SD) Paternal-Infant Attachment Scale scores [89.51(7.05), 82.37 (12.80) and 73.38 (18.67); P&lt;0.001] were highest in the group where education was provided to both mother and father. Conclusions: Providing breastfeeding education to fathers increases exclusive breastfeeding rates and strengthens paternal attachment. © 2014 Indian Academy of Pediatrics.","archive":"Scopus","container-title":"Indian Pediatrics","DOI":"10.1007/s13312-014-0471-3","ISSN":"0019-6061","issue":"8","language":"English","page":"654-657","source":"Scopus","title":"Educating fathers to improve breastfeeding rates and paternal-infant attachment","volume":"51","author":[{"family":"Özlüses","given":"E."},{"family":"Çelebioglu","given":"A."}],"issued":{"date-parts":[["2014"]]}}}],"schema":"https://github.com/citation-style-language/schema/raw/master/csl-citation.json"}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(46)</w:t>
            </w:r>
            <w:r w:rsidRPr="00AB408C">
              <w:rPr>
                <w:rFonts w:ascii="Arial Narrow" w:eastAsia="Arial Narrow" w:hAnsi="Arial Narrow" w:cs="Arial Narrow"/>
                <w:color w:val="000000" w:themeColor="text1"/>
                <w:sz w:val="20"/>
                <w:szCs w:val="20"/>
              </w:rPr>
              <w:fldChar w:fldCharType="end"/>
            </w:r>
          </w:p>
          <w:p w14:paraId="21BA6B1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Turkey</w:t>
            </w:r>
          </w:p>
          <w:p w14:paraId="07AA335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What? Hospital-based couples program promoting breastfeeding and paternal-infant attachment.</w:t>
            </w:r>
          </w:p>
          <w:p w14:paraId="27801AA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788B12D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Susin and Giugliani (2008)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{"citationID":"g75YhvLj","properties":{"formattedCitation":"(47)","plainCitation":"(47)","noteIndex":0},"citationItems":[{"id":375,"uris":["http://zotero.org/users/11153788/items/K6279XAC"],"itemData":{"id":375,"type":"article-journal","abstract":"This controlled clinical trial, conducted in southern Brazil, assessed the impact of paternal inclusion in a breastfeeding education program carried out in a maternity hospital. Rates of breastfeeding in the first 6 months of babies' lives were measured in 586 families: 201 in the control group, 192 in the group with only mothers exposed to the intervention, and 193 in the group with mothers and fathers exposed to the intervention. Paternal inclusion significantly increased the rates of exclusive breastfeeding but not the rates of any breastfeeding. Intervention with fathers with less than 8 years of schooling resulted in a decrease in the rate of breastfeeding when compared with the intervention with mothers only. The likelihood of success might have been greater if the cultural and behavioral complexities associated with this practice had received more attention. © Copyright 2008 International Lactation Consultant Association.","archive":"Scopus","container-title":"Journal of Human Lactation","DOI":"10.1177/0890334408323545","ISSN":"1552-5732","issue":"4","language":"English","page":"386-392","source":"Scopus","title":"Inclusion of fathers in an intervention to promote breastfeeding: Impact on breastfeeding rates","title-short":"Inclusion of fathers in an intervention to promote breastfeeding","volume":"24","author":[{"family":"Susin","given":"L.R.O."},{"family":"Giugliani","given":"E.R.J."}],"issued":{"date-parts":[["2008"]]}}}],"schema":"https://github.com/citation-style-language/schema/raw/master/csl-citation.json"}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(47)</w:t>
            </w:r>
            <w:r w:rsidRPr="00AB408C">
              <w:rPr>
                <w:rFonts w:ascii="Arial Narrow" w:eastAsia="Arial Narrow" w:hAnsi="Arial Narrow" w:cs="Arial Narrow"/>
                <w:color w:val="000000" w:themeColor="text1"/>
                <w:sz w:val="20"/>
                <w:szCs w:val="20"/>
              </w:rPr>
              <w:fldChar w:fldCharType="end"/>
            </w:r>
          </w:p>
          <w:p w14:paraId="0A5DC4D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Brail</w:t>
            </w:r>
          </w:p>
          <w:p w14:paraId="4A54B7E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Hospital-based couples programme to improve breastfeeding practices.</w:t>
            </w:r>
          </w:p>
        </w:tc>
        <w:tc>
          <w:tcPr>
            <w:tcW w:w="1886" w:type="dxa"/>
            <w:tcBorders>
              <w:top w:val="single" w:sz="6" w:space="0" w:color="7F7F7F" w:themeColor="text1" w:themeTint="80"/>
              <w:left w:val="nil"/>
              <w:bottom w:val="single" w:sz="6" w:space="0" w:color="7F7F7F" w:themeColor="text1" w:themeTint="80"/>
            </w:tcBorders>
            <w:tcMar>
              <w:left w:w="105" w:type="dxa"/>
              <w:right w:w="105" w:type="dxa"/>
            </w:tcMar>
          </w:tcPr>
          <w:p w14:paraId="2F1F1BC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Positive impact on mothers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RYiSBTBc","properties":{"formattedCitation":"(44\\uc0\\u8211{}46)","plainCitation":"(44–46)","noteIndex":0},"citationItems":[{"id":378,"uris":["http://zotero.org/users/11153788/items/LP4MTZAZ"],"itemData":{"id":378,"type":"article-journal","abstract":"Objective\nTo determine whether an intervention to involve the male partners of pregnant women in maternity care influenced care-seeking, healthy breastfeeding and contraceptive practices after childbirth in urban Burkina Faso.\n\nMethods\nIn a non-blinded, multicentre, parallel-group, superiority trial, 1144 women were assigned by simple randomization to two study arms: 583 entered the intervention arm and 561 entered the control arm. All women were cohabiting with a male partner and had a low-risk pregnancy. Recruitment took place at 20 to 36 weeks’ gestation at five primary health centres in Bobo-Dioulasso. The intervention comprised three educational sessions: (i) an interactive group session during pregnancy with male partners only, to discuss their role; (ii) a counselling session during pregnancy for individual couples; and (iii) a postnatal couple counselling session. The control group received routine care only. We followed up participants at 3 and 8 months postpartum.\n\nFindings\nThe follow-up rate was over 96% at both times. In the intervention arm, 74% (432/583) of couples or men attended at least two study sessions. Attendance at two or more outpatient postnatal care consultations was more frequent in the intervention than the control group (risk difference, RD: 11.7%; 95% confidence interval, CI: 6.0 to 17.5), as was exclusive breastfeeding 3 months postpartum (RD: 11.4%; 95% CI: 5.8 to 17.2) and effective modern contraception use 8 months postpartum (RD: 6.4%; 95% CI: 0.5 to 12.3).\n\nConclusion\nInvolving men as supportive partners in maternity care was associated with better adherence to recommended healthy practices after childbirth.","container-title":"Bulletin of the World Health Organization","DOI":"10.2471/BLT.17.206466","ISSN":"0042-9686","issue":"7","journalAbbreviation":"Bull World Health Organ","note":"PMID: 29962548\nPMCID: PMC6022615","page":"450-461","source":"PubMed Central","title":"Involving male partners in maternity care in Burkina Faso: a randomized controlled trial","title-short":"Involving male partners in maternity care in Burkina Faso","volume":"96","author":[{"family":"Daniele","given":"Marina AS"},{"family":"Ganaba","given":"Rasmané"},{"family":"Sarrassat","given":"Sophie"},{"family":"Cousens","given":"Simon"},{"family":"Rossier","given":"Clémentine"},{"family":"Drabo","given":"Seydou"},{"family":"Ouedraogo","given":"Djeneba"},{"family":"Filippi","given":"Veronique"}],"issued":{"date-parts":[["2018",7,1]]}}},{"id":379,"uris":["http://zotero.org/users/11153788/items/5ZZQ8VJ7"],"itemData":{"id":379,"type":"article-journal","abstract":"Aims: The aims of this study were to evaluate the effectiveness of an educational intervention involving fathers on breastfeeding initiation and exclusive breastfeeding rate, and to explore mothers' perceptions of their partners' support of breastfeeding.\n\nMaterials and Methods: This study was a quasi-experimental pretest–posttest design with two groups. A convenience sample consisting of 72 expectant mothers was recruited. Thirty-six women with their partners were assigned to the intervention group, and 36 women alone were in the control group. Both groups were offered similar education contents, and the intervention group was given additional information on how fathers could support their partners, both emotionally and physically, during the breastfeeding process. Student's t test, chi-square test, and Mann–Whitney U test were used to detect group differences.\n\nResults: The prevalence rates of exclusive breastfeeding at 4 months and 6 months of the intervention group were significantly higher than there were in the control group (51.4% and 26.4%,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0.034; 40.0% and 17.6%,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0.041). Women in the intervention group were less likely to use infant formula at 1 and 6 months postpartum (5.6% and 23.5%,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0.032; 20.0% and 44.1%,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0.032). Related to the process of breastfeeding, partners in the intervention group supported their partners by taking care of the infant, doing housework, and providing emotional support.\n\nConclusions: Involving the fathers in breastfeeding education could improve the exclusive breastfeeding rate and prolong the duration of exclusive breastfeeding. The mothers appreciated support from the fathers.","container-title":"Breastfeeding Medicine","DOI":"10.1089/bfm.2015.0144","ISSN":"1556-8253","issue":"3","note":"publisher: Mary Ann Liebert, Inc., publishers","page":"144-149","source":"liebertpub.com (Atypon)","title":"Father's Role in Breastfeeding Promotion: Lessons from a Quasi-Experimental Trial in China","title-short":"Father's Role in Breastfeeding Promotion","volume":"11","author":[{"family":"Su","given":"Min"},{"family":"Ouyang","given":"Yan-Qiong"}],"issued":{"date-parts":[["2016",4]]}}},{"id":376,"uris":["http://zotero.org/users/11153788/items/CDSVVE7C"],"itemData":{"id":376,"type":"article-journal","abstract":"Objectives: To determine the effect of breastfeeding education provided to fathers on breastfeeding rates and paternal-infant attachment. Methods: 117 couples with their infants with the inclusion criteria: knowledge of reading, writing and speaking Turkish; living in the Turkish Republic of North Cyprus until their infants were six months old; and infants having no health problems preventing the early initiation of breastfeeding. Participants were divided into 3 groups (2 experimental and 1 control). Breastfeeding education was provided to the mothers (20 min/d) in the first group (n=38) and to the mothers and fathers in the second group (n=39) (20 min/d/parent) until they were discharged from the hospital. This education was supplemented by a training booklet. The parents and their infants were followed until the infants were six months old. Exclusive breastfeeding rates and Paternal-Infant Attachment Scale scores at six months were main outcome measures. Results: Exclusive breastfeeding rates (56.4%, 33.3% and 12.8%; P&lt;0.001) and mean (SD) Paternal-Infant Attachment Scale scores [89.51(7.05), 82.37 (12.80) and 73.38 (18.67); P&lt;0.001] were highest in the group where education was provided to both mother and father. Conclusions: Providing breastfeeding education to fathers increases exclusive breastfeeding rates and strengthens paternal attachment. © 2014 Indian Academy of Pediatrics.","archive":"Scopus","container-title":"Indian Pediatrics","DOI":"10.1007/s13312-014-0471-3","ISSN":"0019-6061","issue":"8","language":"English","page":"654-657","source":"Scopus","title":"Educating fathers to improve breastfeeding rates and paternal-infant attachment","volume":"51","author":[{"family":"Özlüses","given":"E."},{"family":"Çelebioglu","given":"A."}],"issued":{"date-parts":[["2014"]]}}}],"schema":"https://github.com/citation-style-language/schema/raw/master/csl-citation.json"}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cs="Times New Roman"/>
                <w:sz w:val="20"/>
                <w:szCs w:val="24"/>
              </w:rPr>
              <w:t>(44–46)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and fathers’</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{"citationID":"aH0FQ5mQ","properties":{"formattedCitation":"(47)","plainCitation":"(47)","noteIndex":0},"citationItems":[{"id":375,"uris":["http://zotero.org/users/11153788/items/K6279XAC"],"itemData":{"id":375,"type":"article-journal","abstract":"This controlled clinical trial, conducted in southern Brazil, assessed the impact of paternal inclusion in a breastfeeding education program carried out in a maternity hospital. Rates of breastfeeding in the first 6 months of babies' lives were measured in 586 families: 201 in the control group, 192 in the group with only mothers exposed to the intervention, and 193 in the group with mothers and fathers exposed to the intervention. Paternal inclusion significantly increased the rates of exclusive breastfeeding but not the rates of any breastfeeding. Intervention with fathers with less than 8 years of schooling resulted in a decrease in the rate of breastfeeding when compared with the intervention with mothers only. The likelihood of success might have been greater if the cultural and behavioral complexities associated with this practice had received more attention. © Copyright 2008 International Lactation Consultant Association.","archive":"Scopus","container-title":"Journal of Human Lactation","DOI":"10.1177/0890334408323545","ISSN":"1552-5732","issue":"4","language":"English","page":"386-392","source":"Scopus","title":"Inclusion of fathers in an intervention to promote breastfeeding: Impact on breastfeeding rates","title-short":"Inclusion of fathers in an intervention to promote breastfeeding","volume":"24","author":[{"family":"Susin","given":"L.R.O."},{"family":"Giugliani","given":"E.R.J."}],"issued":{"date-parts":[["2008"]]}}}],"schema":"https://github.com/citation-style-language/schema/raw/master/csl-citation.json"}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(47)</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caregiving for nutrition, on relationship quality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{"citationID":"3igcU0GN","properties":{"formattedCitation":"(44)","plainCitation":"(44)","noteIndex":0},"citationItems":[{"id":378,"uris":["http://zotero.org/users/11153788/items/LP4MTZAZ"],"itemData":{"id":378,"type":"article-journal","abstract":"Objective\nTo determine whether an intervention to involve the male partners of pregnant women in maternity care influenced care-seeking, healthy breastfeeding and contraceptive practices after childbirth in urban Burkina Faso.\n\nMethods\nIn a non-blinded, multicentre, parallel-group, superiority trial, 1144 women were assigned by simple randomization to two study arms: 583 entered the intervention arm and 561 entered the control arm. All women were cohabiting with a male partner and had a low-risk pregnancy. Recruitment took place at 20 to 36 weeks’ gestation at five primary health centres in Bobo-Dioulasso. The intervention comprised three educational sessions: (i) an interactive group session during pregnancy with male partners only, to discuss their role; (ii) a counselling session during pregnancy for individual couples; and (iii) a postnatal couple counselling session. The control group received routine care only. We followed up participants at 3 and 8 months postpartum.\n\nFindings\nThe follow-up rate was over 96% at both times. In the intervention arm, 74% (432/583) of couples or men attended at least two study sessions. Attendance at two or more outpatient postnatal care consultations was more frequent in the intervention than the control group (risk difference, RD: 11.7%; 95% confidence interval, CI: 6.0 to 17.5), as was exclusive breastfeeding 3 months postpartum (RD: 11.4%; 95% CI: 5.8 to 17.2) and effective modern contraception use 8 months postpartum (RD: 6.4%; 95% CI: 0.5 to 12.3).\n\nConclusion\nInvolving men as supportive partners in maternity care was associated with better adherence to recommended healthy practices after childbirth.","container-title":"Bulletin of the World Health Organization","DOI":"10.2471/BLT.17.206466","ISSN":"0042-9686","issue":"7","journalAbbreviation":"Bull World Health Organ","note":"PMID: 29962548\nPMCID: PMC6022615","page":"450-461","source":"PubMed Central","title":"Involving male partners in maternity care in Burkina Faso: a randomized controlled trial","title-short":"Involving male partners in maternity care in Burkina Faso","volume":"96","author":[{"family":"Daniele","given":"Marina AS"},{"family":"Ganaba","given":"Rasmané"},{"family":"Sarrassat","given":"Sophie"},{"family":"Cousens","given":"Simon"},{"family":"Rossier","given":"Clémentine"},{"family":"Drabo","given":"Seydou"},{"family":"Ouedraogo","given":"Djeneba"},{"family":"Filippi","given":"Veronique"}],"issued":{"date-parts":[["2018",7,1]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and paternal parenting skills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{"citationID":"PMXSQFB2","properties":{"formattedCitation":"(46)","plainCitation":"(46)","noteIndex":0},"citationItems":[{"id":376,"uris":["http://zotero.org/users/11153788/items/CDSVVE7C"],"itemData":{"id":376,"type":"article-journal","abstract":"Objectives: To determine the effect of breastfeeding education provided to fathers on breastfeeding rates and paternal-infant attachment. Methods: 117 couples with their infants with the inclusion criteria: knowledge of reading, writing and speaking Turkish; living in the Turkish Republic of North Cyprus until their infants were six months old; and infants having no health problems preventing the early initiation of breastfeeding. Participants were divided into 3 groups (2 experimental and 1 control). Breastfeeding education was provided to the mothers (20 min/d) in the first group (n=38) and to the mothers and fathers in the second group (n=39) (20 min/d/parent) until they were discharged from the hospital. This education was supplemented by a training booklet. The parents and their infants were followed until the infants were six months old. Exclusive breastfeeding rates and Paternal-Infant Attachment Scale scores at six months were main outcome measures. Results: Exclusive breastfeeding rates (56.4%, 33.3% and 12.8%; P&lt;0.001) and mean (SD) Paternal-Infant Attachment Scale scores [89.51(7.05), 82.37 (12.80) and 73.38 (18.67); P&lt;0.001] were highest in the group where education was provided to both mother and father. Conclusions: Providing breastfeeding education to fathers increases exclusive breastfeeding rates and strengthens paternal attachment. © 2014 Indian Academy of Pediatrics.","archive":"Scopus","container-title":"Indian Pediatrics","DOI":"10.1007/s13312-014-0471-3","ISSN":"0019-6061","issue":"8","language":"English","page":"654-657","source":"Scopus","title":"Educating fathers to improve breastfeeding rates and paternal-infant attachment","volume":"51","author":[{"family":"Özlüses","given":"E."},{"family":"Çelebioglu","given":"A."}],"issued":{"date-parts":[["2014"]]}}}],"schema":"https://github.com/citation-style-language/schema/raw/master/csl-citation.json"}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5779E12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434" w:type="dxa"/>
            <w:tcBorders>
              <w:top w:val="single" w:sz="6" w:space="0" w:color="7F7F7F" w:themeColor="text1" w:themeTint="80"/>
              <w:left w:val="nil"/>
              <w:bottom w:val="single" w:sz="6" w:space="0" w:color="7F7F7F" w:themeColor="text1" w:themeTint="80"/>
            </w:tcBorders>
          </w:tcPr>
          <w:p w14:paraId="79C0A8E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r>
      <w:tr w:rsidR="00CD1362" w:rsidRPr="00AB408C" w14:paraId="60BB9660" w14:textId="77777777" w:rsidTr="00971419">
        <w:trPr>
          <w:cnfStyle w:val="000000100000" w:firstRow="0" w:lastRow="0" w:firstColumn="0" w:lastColumn="0" w:oddVBand="0" w:evenVBand="0" w:oddHBand="1"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1274" w:type="dxa"/>
            <w:vMerge/>
            <w:tcMar>
              <w:left w:w="105" w:type="dxa"/>
              <w:right w:w="105" w:type="dxa"/>
            </w:tcMar>
            <w:vAlign w:val="center"/>
          </w:tcPr>
          <w:p w14:paraId="14C7E783"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tcBorders>
            <w:shd w:val="clear" w:color="auto" w:fill="E7E6E6" w:themeFill="background2"/>
            <w:tcMar>
              <w:left w:w="105" w:type="dxa"/>
              <w:right w:w="105" w:type="dxa"/>
            </w:tcMar>
          </w:tcPr>
          <w:p w14:paraId="540937F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 assessment and referral</w:t>
            </w:r>
          </w:p>
          <w:p w14:paraId="00B52BD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15EBB0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783" w:type="dxa"/>
            <w:tcBorders>
              <w:top w:val="single" w:sz="6" w:space="0" w:color="7F7F7F" w:themeColor="text1" w:themeTint="80"/>
              <w:left w:val="nil"/>
              <w:right w:val="nil"/>
            </w:tcBorders>
          </w:tcPr>
          <w:p w14:paraId="6A39EE0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Mothers will be asked questions during antenatal and postnatal visit about their non-medical needs and challenges (i.e., housing, finances, food, employment, mental health) that they may need help with. They will receive information and referral to community and government resources.</w:t>
            </w:r>
          </w:p>
        </w:tc>
        <w:tc>
          <w:tcPr>
            <w:tcW w:w="1984" w:type="dxa"/>
            <w:tcBorders>
              <w:top w:val="single" w:sz="6" w:space="0" w:color="7F7F7F" w:themeColor="text1" w:themeTint="80"/>
              <w:left w:val="nil"/>
            </w:tcBorders>
            <w:tcMar>
              <w:left w:w="105" w:type="dxa"/>
              <w:right w:w="105" w:type="dxa"/>
            </w:tcMar>
          </w:tcPr>
          <w:p w14:paraId="4B6DA33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Access to civic services, welfare, and labour market</w:t>
            </w:r>
          </w:p>
          <w:p w14:paraId="481A530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34F1527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 Promoting resourcefulness.</w:t>
            </w:r>
          </w:p>
        </w:tc>
        <w:tc>
          <w:tcPr>
            <w:tcW w:w="2998" w:type="dxa"/>
            <w:tcBorders>
              <w:top w:val="single" w:sz="6" w:space="0" w:color="7F7F7F" w:themeColor="text1" w:themeTint="80"/>
              <w:left w:val="nil"/>
            </w:tcBorders>
            <w:tcMar>
              <w:left w:w="105" w:type="dxa"/>
              <w:right w:w="105" w:type="dxa"/>
            </w:tcMar>
          </w:tcPr>
          <w:p w14:paraId="28F6A92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Garg et al (2015).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{"citationID":"OcWrehIo","properties":{"formattedCitation":"(35)","plainCitation":"(35)","noteIndex":0},"citationItems":[{"id":394,"uris":["http://zotero.org/users/11153788/items/PGF4E82V"],"itemData":{"id":394,"type":"article-journal","abstract":"OBJECTIVE:\nTo evaluate the effect of a clinic-based screening and referral system (Well Child Care, Evaluation, Community Resources, Advocacy, Referral, Education [WE CARE]) on families’ receipt of community-based resources for unmet basic needs.\n\nMETHODS:\nWe conducted a cluster randomized controlled trial at 8 urban community health centers, recruiting mothers of healthy infants. In the 4 WE CARE clinics, mothers completed a self-report screening instrument that assessed needs for child care, education, employment, food security, household heat, and housing. Providers made referrals for families; staff provided requisite applications and telephoned referred mothers within 1 month. Families at the 4 control community health centers received the usual care. We analyzed the results with generalized mixed-effect models.\n\nRESULTS:\nThree hundred thirty-six mothers were enrolled in the study (168 per arm). The majority of families had household incomes &lt;$20</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000 (57%), and 68% had ≥2 unmet basic needs. More WE CARE mothers received ≥1 referral at the index visit (70% vs 8%; adjusted odds ratio [aOR] = 29.6; 95% confidence interval [CI], 14.7–59.6). At the 12-month visit, more WE CARE mothers had enrolled in a new community resource (39% vs 24%; aOR = 2.1; 95% CI, 1.2–3.7). WE CARE mothers had greater odds of being employed (aOR = 44.4; 95% CI, 9.8–201.4). WE CARE children had greater odds of being in child care (aOR = 6.3; 95% CI, 1.5–26.0). WE CARE families had greater odds of receiving fuel assistance (aOR = 11.9; 95% CI, 1.7–82.9) and lower odds of being in a homeless shelter (aOR = 0.2; 95% CI, 0.1–0.9).\n\nCONCLUSIONS:\nSystematically screening and referring for social determinants during well child care can lead to the receipt of more community resources for families.","container-title":"Pediatrics","DOI":"10.1542/peds.2014-2888","ISSN":"0031-4005","issue":"2","journalAbbreviation":"Pediatrics","note":"PMID: 25560448\nPMCID: PMC4306802","page":"e296-e304","source":"PubMed Central","title":"Addressing Social Determinants of Health at Well Child Care Visits: A Cluster RCT","title-short":"Addressing Social Determinants of Health at Well Child Care Visits","volume":"135","author":[{"family":"Garg","given":"Arvin"},{"family":"Toy","given":"Sarah"},{"family":"Tripodis","given":"Yorghos"},{"family":"Silverstein","given":"Michael"},{"family":"Freeman","given":"Elmer"}],"issued":{"date-parts":[["2015",2]]}}}],"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(35)</w:t>
            </w:r>
            <w:r w:rsidRPr="00AB408C">
              <w:rPr>
                <w:rFonts w:ascii="Arial Narrow" w:eastAsia="Arial Narrow" w:hAnsi="Arial Narrow" w:cs="Arial Narrow"/>
                <w:color w:val="000000" w:themeColor="text1"/>
                <w:sz w:val="20"/>
                <w:szCs w:val="20"/>
              </w:rPr>
              <w:fldChar w:fldCharType="end"/>
            </w:r>
          </w:p>
          <w:p w14:paraId="19C32C6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United States. </w:t>
            </w:r>
          </w:p>
          <w:p w14:paraId="6F8B6E5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Social needs screening and patient navigation at urban community health centers for mothers of infants.</w:t>
            </w:r>
          </w:p>
          <w:p w14:paraId="5313FFC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14853E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Gottlieb et al (2016).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{"citationID":"9UL0Fufs","properties":{"formattedCitation":"(34)","plainCitation":"(34)","noteIndex":0},"citationItems":[{"id":91,"uris":["http://zotero.org/users/11153788/items/L9FEFGAR"],"itemData":{"id":91,"type":"article-journal","abstract":"IMPORTANCE: Social determinants of health shape both children's immediate health and their lifetime risk for disease. Increasingly, pediatric health care organizations are intervening to address family social adversity. However, little evidence is available on the effectiveness of related interventions.\nOBJECTIVE: To evaluate the effects of social needs screening and in-person resource navigation services on social needs and child health.\nDESIGN, SETTING, AND PARTICIPANTS: Patients were randomized to intervention or active control conditions by the day of the week. Primary outcomes observed at 4 months after enrollment included caregivers' reports of social needs and child health status. Recruitment occurred between October 13, 2013, and August 27, 2015, in pediatric primary and urgent care clinics in 2 safety-net hospitals. Participants were English-speaking or Spanish-speaking caregivers accompanying minor children to nonacute medical visits.\nINTERVENTIONS: After standardized screening, caregivers either received written information on relevant community services (active control) or received in-person help to access services with follow-up telephone calls for further assistance if needed (navigation intervention).\nMAIN OUTCOMES AND MEASURES: Change in reported social needs and in caregiver assessment of child's overall health reported 4 months later.\nRESULTS: Among 1809 patients enrolled in the study, evenly split between the 2 sites, 31.6%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572) were enrolled in a primary care clinic and 68.4%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1237) were enrolled in an urgent care setting. The children were primarily Hispanic white individuals (50.9%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921]) and non-Hispanic black individuals (26.2%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473]) and had a mean (SD) age of 5.1 (4.8) years; 50.5%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913) were female. The reported number of social needs at baseline ranged from 0 to 11 of 14 total possible items, with a mean (SD) of 2.7 (2.2). At 4 months after enrollment, the number of social needs reported by the intervention arm decreased more than that reported by the control arm, with a mean (SE) change of -0.39 (0.13) vs 0.22 (0.13)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.001). In addition, caregivers in the intervention arm reported significantly greater improvement in their child's health, with a mean (SE) change of -0.36 (0.05) vs -0.12 (0.05)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.001).\nCONCLUSIONS AND RELEVANCE: To our knowledge, this investigation is the first randomized clinical trial to evaluate health outcomes of a pediatric social needs navigation program. Compared with an active control at 4 months after enrollment, the intervention significantly decreased families' reports of social needs and significantly improved children's overall health status as reported by caregivers. These findings support the feasibility and potential effect of addressing social needs in pediatric health care settings.\nTRIAL REGISTRATION: clinicaltrials.gov Identifier: NCT01939704.","container-title":"JAMA pediatrics","DOI":"10.1001/jamapediatrics.2016.2521","ISSN":"2168-6211","issue":"11","journalAbbreviation":"JAMA Pediatr","language":"eng","note":"PMID: 27599265","page":"e162521","source":"PubMed","title":"Effects of Social Needs Screening and In-Person Service Navigation on Child Health: A Randomized Clinical Trial","title-short":"Effects of Social Needs Screening and In-Person Service Navigation on Child Health","volume":"170","author":[{"family":"Gottlieb","given":"Laura M."},{"family":"Hessler","given":"Danielle"},{"family":"Long","given":"Dayna"},{"family":"Laves","given":"Ellen"},{"family":"Burns","given":"Abigail R."},{"family":"Amaya","given":"Anais"},{"family":"Sweeney","given":"Patricia"},{"family":"Schudel","given":"Christine"},{"family":"Adler","given":"Nancy E."}],"issued":{"date-parts":[["2016"]]}}}],"schema":"https://github.com/citation-style-language/schema/raw/master/csl-citation.json"}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p w14:paraId="0EC894C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United States.</w:t>
            </w:r>
          </w:p>
          <w:p w14:paraId="3FFF419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w:t>
            </w:r>
            <w:r w:rsidRPr="00AB408C">
              <w:rPr>
                <w:rFonts w:ascii="Arial Narrow" w:hAnsi="Arial Narrow"/>
                <w:color w:val="000000" w:themeColor="text1"/>
                <w:sz w:val="20"/>
                <w:szCs w:val="20"/>
              </w:rPr>
              <w:t xml:space="preserve"> S</w:t>
            </w:r>
            <w:r w:rsidRPr="00AB408C">
              <w:rPr>
                <w:rFonts w:ascii="Arial Narrow" w:eastAsia="Arial Narrow" w:hAnsi="Arial Narrow" w:cs="Arial Narrow"/>
                <w:color w:val="000000" w:themeColor="text1"/>
                <w:sz w:val="20"/>
                <w:szCs w:val="20"/>
              </w:rPr>
              <w:t>ocial needs screening and in-person resource navigation services on social needs and child health.</w:t>
            </w:r>
          </w:p>
          <w:p w14:paraId="3E83643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51A96F1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Calibri" w:hAnsi="Arial Narrow" w:cs="Calibri"/>
                <w:color w:val="000000" w:themeColor="text1"/>
                <w:sz w:val="20"/>
                <w:szCs w:val="20"/>
              </w:rPr>
            </w:pPr>
            <w:r w:rsidRPr="00AB408C">
              <w:rPr>
                <w:rFonts w:ascii="Arial Narrow" w:eastAsia="Arial Narrow" w:hAnsi="Arial Narrow" w:cs="Arial Narrow"/>
                <w:color w:val="000000" w:themeColor="text1"/>
                <w:sz w:val="20"/>
                <w:szCs w:val="20"/>
              </w:rPr>
              <w:t>Reyes et al (2021).</w:t>
            </w:r>
            <w:r w:rsidRPr="00AB408C">
              <w:rPr>
                <w:rFonts w:ascii="Arial Narrow" w:eastAsia="Calibri" w:hAnsi="Arial Narrow" w:cs="Calibri"/>
                <w:color w:val="000000" w:themeColor="text1"/>
                <w:sz w:val="20"/>
                <w:szCs w:val="20"/>
              </w:rPr>
              <w:t xml:space="preserve"> </w:t>
            </w:r>
            <w:r w:rsidRPr="00AB408C">
              <w:rPr>
                <w:rFonts w:ascii="Arial Narrow" w:eastAsia="Calibri" w:hAnsi="Arial Narrow" w:cs="Calibri"/>
                <w:color w:val="000000" w:themeColor="text1"/>
                <w:sz w:val="20"/>
                <w:szCs w:val="20"/>
              </w:rPr>
              <w:fldChar w:fldCharType="begin"/>
            </w:r>
            <w:r w:rsidRPr="00AB408C">
              <w:rPr>
                <w:rFonts w:ascii="Arial Narrow" w:eastAsia="Calibri" w:hAnsi="Arial Narrow" w:cs="Calibri"/>
                <w:color w:val="000000" w:themeColor="text1"/>
                <w:sz w:val="20"/>
                <w:szCs w:val="20"/>
              </w:rPr>
              <w:instrText xml:space="preserve"> ADDIN ZOTERO_ITEM CSL_CITATION {"citationID":"bg1TswZQ","properties":{"formattedCitation":"(33)","plainCitation":"(33)","noteIndex":0},"citationItems":[{"id":395,"uris":["http://zotero.org/users/11153788/items/FGR56FTH"],"itemData":{"id":395,"type":"article-journal","abstract":"Introduction: Health is impacted by a wide range of nonmedical factors, collectively termed the social determinants of health (SDoH). As the mechanisms by which these factors influence wellness and disease continue to be uncovered, health systems are beginning to assess their roles in addressing patient's social needs. This study seeks to identify and analyze clinic-based interventions aimed at addressing patients' social needs in perinatal care, including prenatal, antepartum, and postpartum care., Methods: We conducted a search of six databases through May 2020 for articles describing screening or intervention activities addressing social needs in at least one SDoH domain as defined by Healthy People 2020. We required that studies include pregnant or postpartum women and be based in a clinical setting., Results: Thirty-one publications describing 26 unique studies were identified. Most studies were either randomized-controlled trials (n=10) or observational studies (n=7) and study settings were both public and private. The mean age of women ranged from 17.4 to 34.1 years. Most studies addressed intimate partner violence (n=19). The next most common need addressed was social support (n=5), followed by food insecurity (n=3), and housing (n=2). Types of interventions varied from simple screening to ongoing counseling and case management. There was wide heterogeneity in outcomes investigated. Most IPV interventions that included counseling or ongoing support resulted in reduced IPV recurrence and severity. No intervention with only screening showed a reduction in rate of IPV., Conclusion: This systematic review shines light on several avenues to support pregnant and postpartum women through interventions that embed acknowledgment of social needs and actions addressing these needs into the clinical environment. The results of this review suggest that interventions with counseling or ongoing support may show promise in alleviating social risk factors and improving some clinical outcomes. However, the strength of this evidence is limited by the paucity of studies. More rigorous research is imperative to augment the knowledge of social needs interventions, especially in domains outside of IPV.","container-title":"Health Equity","DOI":"10.1089/heq.2020.0051","ISSN":"2473-1242","issue":"1","journalAbbreviation":"Health Equity","note":"PMID: 33778313\nPMCID: PMC7990569","page":"100-118","source":"PubMed Central","title":"Interventions Addressing Social Needs in Perinatal Care: A Systematic Review","title-short":"Interventions Addressing Social Needs in Perinatal Care","volume":"5","author":[{"family":"Reyes","given":"Ana M."},{"family":"Akanyirige","given":"Precious W."},{"family":"Wishart","given":"Danielle"},{"family":"Dahdouh","given":"Rabih"},{"family":"Young","given":"Maria R."},{"family":"Estrada","given":"Araceli"},{"family":"Ward","given":"Carmenisha"},{"family":"Cruz Alvarez","given":"Cindy"},{"family":"Beestrum","given":"Molly"},{"family":"Simon","given":"Melissa A."}],"issued":{"date-parts":[["2021",3,4]]}}}],"schema":"https://github.com/citation-style-language/schema/raw/master/csl-citation.json"} </w:instrText>
            </w:r>
            <w:r w:rsidRPr="00AB408C">
              <w:rPr>
                <w:rFonts w:ascii="Arial Narrow" w:eastAsia="Calibri" w:hAnsi="Arial Narrow" w:cs="Calibri"/>
                <w:color w:val="000000" w:themeColor="text1"/>
                <w:sz w:val="20"/>
                <w:szCs w:val="20"/>
              </w:rPr>
              <w:fldChar w:fldCharType="separate"/>
            </w:r>
            <w:r w:rsidRPr="00AB408C">
              <w:rPr>
                <w:rFonts w:ascii="Arial Narrow" w:hAnsi="Arial Narrow"/>
                <w:sz w:val="20"/>
              </w:rPr>
              <w:t>(33)</w:t>
            </w:r>
            <w:r w:rsidRPr="00AB408C">
              <w:rPr>
                <w:rFonts w:ascii="Arial Narrow" w:eastAsia="Calibri" w:hAnsi="Arial Narrow" w:cs="Calibri"/>
                <w:color w:val="000000" w:themeColor="text1"/>
                <w:sz w:val="20"/>
                <w:szCs w:val="20"/>
              </w:rPr>
              <w:fldChar w:fldCharType="end"/>
            </w:r>
          </w:p>
          <w:p w14:paraId="6C16E97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Multiple high-income countries (Australia, US, UK, Belgium, Hong Kong, Canada).</w:t>
            </w:r>
          </w:p>
          <w:p w14:paraId="46086C7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Systematic review of interventions that address social needs in perinatal care settings, including prenatal, antenatal, and postpartum care.</w:t>
            </w:r>
          </w:p>
        </w:tc>
        <w:tc>
          <w:tcPr>
            <w:tcW w:w="1886" w:type="dxa"/>
            <w:tcBorders>
              <w:top w:val="single" w:sz="6" w:space="0" w:color="7F7F7F" w:themeColor="text1" w:themeTint="80"/>
              <w:left w:val="nil"/>
            </w:tcBorders>
            <w:tcMar>
              <w:left w:w="105" w:type="dxa"/>
              <w:right w:w="105" w:type="dxa"/>
            </w:tcMar>
          </w:tcPr>
          <w:p w14:paraId="4C35645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Increased social referrals, enrolment in community resources, higher employment rates, children in childcare, access to fuel assistance, lower odds of homelessness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{"citationID":"qCwg8Bvl","properties":{"formattedCitation":"(35)","plainCitation":"(35)","noteIndex":0},"citationItems":[{"id":394,"uris":["http://zotero.org/users/11153788/items/PGF4E82V"],"itemData":{"id":394,"type":"article-journal","abstract":"OBJECTIVE:\nTo evaluate the effect of a clinic-based screening and referral system (Well Child Care, Evaluation, Community Resources, Advocacy, Referral, Education [WE CARE]) on families’ receipt of community-based resources for unmet basic needs.\n\nMETHODS:\nWe conducted a cluster randomized controlled trial at 8 urban community health centers, recruiting mothers of healthy infants. In the 4 WE CARE clinics, mothers completed a self-report screening instrument that assessed needs for child care, education, employment, food security, household heat, and housing. Providers made referrals for families; staff provided requisite applications and telephoned referred mothers within 1 month. Families at the 4 control community health centers received the usual care. We analyzed the results with generalized mixed-effect models.\n\nRESULTS:\nThree hundred thirty-six mothers were enrolled in the study (168 per arm). The majority of families had household incomes &lt;$20</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000 (57%), and 68% had ≥2 unmet basic needs. More WE CARE mothers received ≥1 referral at the index visit (70% vs 8%; adjusted odds ratio [aOR] = 29.6; 95% confidence interval [CI], 14.7–59.6). At the 12-month visit, more WE CARE mothers had enrolled in a new community resource (39% vs 24%; aOR = 2.1; 95% CI, 1.2–3.7). WE CARE mothers had greater odds of being employed (aOR = 44.4; 95% CI, 9.8–201.4). WE CARE children had greater odds of being in child care (aOR = 6.3; 95% CI, 1.5–26.0). WE CARE families had greater odds of receiving fuel assistance (aOR = 11.9; 95% CI, 1.7–82.9) and lower odds of being in a homeless shelter (aOR = 0.2; 95% CI, 0.1–0.9).\n\nCONCLUSIONS:\nSystematically screening and referring for social determinants during well child care can lead to the receipt of more community resources for families.","container-title":"Pediatrics","DOI":"10.1542/peds.2014-2888","ISSN":"0031-4005","issue":"2","journalAbbreviation":"Pediatrics","note":"PMID: 25560448\nPMCID: PMC4306802","page":"e296-e304","source":"PubMed Central","title":"Addressing Social Determinants of Health at Well Child Care Visits: A Cluster RCT","title-short":"Addressing Social Determinants of Health at Well Child Care Visits","volume":"135","author":[{"family":"Garg","given":"Arvin"},{"family":"Toy","given":"Sarah"},{"family":"Tripodis","given":"Yorghos"},{"family":"Silverstein","given":"Michael"},{"family":"Freeman","given":"Elmer"}],"issued":{"date-parts":[["2015",2]]}}}],"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(35)</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r w:rsidRPr="00AB408C">
              <w:rPr>
                <w:rFonts w:ascii="Arial Narrow" w:hAnsi="Arial Narrow"/>
                <w:color w:val="000000" w:themeColor="text1"/>
                <w:sz w:val="20"/>
                <w:szCs w:val="20"/>
                <w:shd w:val="clear" w:color="auto" w:fill="FFFFFF"/>
              </w:rPr>
              <w:t xml:space="preserve">Decrease in families' reported social needs, improvement in children's overall health status (caregivers’ report)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{"citationID":"LD5OZzBD","properties":{"formattedCitation":"(34)","plainCitation":"(34)","noteIndex":0},"citationItems":[{"id":91,"uris":["http://zotero.org/users/11153788/items/L9FEFGAR"],"itemData":{"id":91,"type":"article-journal","abstract":"IMPORTANCE: Social determinants of health shape both children's immediate health and their lifetime risk for disease. Increasingly, pediatric health care organizations are intervening to address family social adversity. However, little evidence is available on the effectiveness of related interventions.\nOBJECTIVE: To evaluate the effects of social needs screening and in-person resource navigation services on social needs and child health.\nDESIGN, SETTING, AND PARTICIPANTS: Patients were randomized to intervention or active control conditions by the day of the week. Primary outcomes observed at 4 months after enrollment included caregivers' reports of social needs and child health status. Recruitment occurred between October 13, 2013, and August 27, 2015, in pediatric primary and urgent care clinics in 2 safety-net hospitals. Participants were English-speaking or Spanish-speaking caregivers accompanying minor children to nonacute medical visits.\nINTERVENTIONS: After standardized screening, caregivers either received written information on relevant community services (active control) or received in-person help to access services with follow-up telephone calls for further assistance if needed (navigation intervention).\nMAIN OUTCOMES AND MEASURES: Change in reported social needs and in caregiver assessment of child's overall health reported 4 months later.\nRESULTS: Among 1809 patients enrolled in the study, evenly split between the 2 sites, 31.6%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572) were enrolled in a primary care clinic and 68.4%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1237) were enrolled in an urgent care setting. The children were primarily Hispanic white individuals (50.9%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921]) and non-Hispanic black individuals (26.2%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473]) and had a mean (SD) age of 5.1 (4.8) years; 50.5% (n</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913) were female. The reported number of social needs at baseline ranged from 0 to 11 of 14 total possible items, with a mean (SD) of 2.7 (2.2). At 4 months after enrollment, the number of social needs reported by the intervention arm decreased more than that reported by the control arm, with a mean (SE) change of -0.39 (0.13) vs 0.22 (0.13)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.001). In addition, caregivers in the intervention arm reported significantly greater improvement in their child's health, with a mean (SE) change of -0.36 (0.05) vs -0.12 (0.05)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.001).\nCONCLUSIONS AND RELEVANCE: To our knowledge, this investigation is the first randomized clinical trial to evaluate health outcomes of a pediatric social needs navigation program. Compared with an active control at 4 months after enrollment, the intervention significantly decreased families' reports of social needs and significantly improved children's overall health status as reported by caregivers. These findings support the feasibility and potential effect of addressing social needs in pediatric health care settings.\nTRIAL REGISTRATION: clinicaltrials.gov Identifier: NCT01939704.","container-title":"JAMA pediatrics","DOI":"10.1001/jamapediatrics.2016.2521","ISSN":"2168-6211","issue":"11","journalAbbreviation":"JAMA Pediatr","language":"eng","note":"PMID: 27599265","page":"e162521","source":"PubMed","title":"Effects of Social Needs Screening and In-Person Service Navigation on Child Health: A Randomized Clinical Trial","title-short":"Effects of Social Needs Screening and In-Person Service Navigation on Child Health","volume":"170","author":[{"family":"Gottlieb","given":"Laura M."},{"family":"Hessler","given":"Danielle"},{"family":"Long","given":"Dayna"},{"family":"Laves","given":"Ellen"},{"family":"Burns","given":"Abigail R."},{"family":"Amaya","given":"Anais"},{"family":"Sweeney","given":"Patricia"},{"family":"Schudel","given":"Christine"},{"family":"Adler","given":"Nancy E."}],"issued":{"date-parts":[["2016"]]}}}],"schema":"https://github.com/citation-style-language/schema/raw/master/csl-citation.json"}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Positive impact on women's dietary habits, physical activity, mental well-being, breastfeeding practices and infant development </w:t>
            </w:r>
            <w:r w:rsidRPr="00AB408C">
              <w:rPr>
                <w:rFonts w:ascii="Arial Narrow" w:eastAsia="Calibri" w:hAnsi="Arial Narrow" w:cs="Calibri"/>
                <w:color w:val="000000" w:themeColor="text1"/>
                <w:sz w:val="20"/>
                <w:szCs w:val="20"/>
              </w:rPr>
              <w:fldChar w:fldCharType="begin"/>
            </w:r>
            <w:r w:rsidRPr="00AB408C">
              <w:rPr>
                <w:rFonts w:ascii="Arial Narrow" w:eastAsia="Calibri" w:hAnsi="Arial Narrow" w:cs="Calibri"/>
                <w:color w:val="000000" w:themeColor="text1"/>
                <w:sz w:val="20"/>
                <w:szCs w:val="20"/>
              </w:rPr>
              <w:instrText xml:space="preserve"> ADDIN ZOTERO_ITEM CSL_CITATION {"citationID":"rpAivtm8","properties":{"formattedCitation":"(33)","plainCitation":"(33)","noteIndex":0},"citationItems":[{"id":395,"uris":["http://zotero.org/users/11153788/items/FGR56FTH"],"itemData":{"id":395,"type":"article-journal","abstract":"Introduction: Health is impacted by a wide range of nonmedical factors, collectively termed the social determinants of health (SDoH). As the mechanisms by which these factors influence wellness and disease continue to be uncovered, health systems are beginning to assess their roles in addressing patient's social needs. This study seeks to identify and analyze clinic-based interventions aimed at addressing patients' social needs in perinatal care, including prenatal, antepartum, and postpartum care., Methods: We conducted a search of six databases through May 2020 for articles describing screening or intervention activities addressing social needs in at least one SDoH domain as defined by Healthy People 2020. We required that studies include pregnant or postpartum women and be based in a clinical setting., Results: Thirty-one publications describing 26 unique studies were identified. Most studies were either randomized-controlled trials (n=10) or observational studies (n=7) and study settings were both public and private. The mean age of women ranged from 17.4 to 34.1 years. Most studies addressed intimate partner violence (n=19). The next most common need addressed was social support (n=5), followed by food insecurity (n=3), and housing (n=2). Types of interventions varied from simple screening to ongoing counseling and case management. There was wide heterogeneity in outcomes investigated. Most IPV interventions that included counseling or ongoing support resulted in reduced IPV recurrence and severity. No intervention with only screening showed a reduction in rate of IPV., Conclusion: This systematic review shines light on several avenues to support pregnant and postpartum women through interventions that embed acknowledgment of social needs and actions addressing these needs into the clinical environment. The results of this review suggest that interventions with counseling or ongoing support may show promise in alleviating social risk factors and improving some clinical outcomes. However, the strength of this evidence is limited by the paucity of studies. More rigorous research is imperative to augment the knowledge of social needs interventions, especially in domains outside of IPV.","container-title":"Health Equity","DOI":"10.1089/heq.2020.0051","ISSN":"2473-1242","issue":"1","journalAbbreviation":"Health Equity","note":"PMID: 33778313\nPMCID: PMC7990569","page":"100-118","source":"PubMed Central","title":"Interventions Addressing Social Needs in Perinatal Care: A Systematic Review","title-short":"Interventions Addressing Social Needs in Perinatal Care","volume":"5","author":[{"family":"Reyes","given":"Ana M."},{"family":"Akanyirige","given":"Precious W."},{"family":"Wishart","given":"Danielle"},{"family":"Dahdouh","given":"Rabih"},{"family":"Young","given":"Maria R."},{"family":"Estrada","given":"Araceli"},{"family":"Ward","given":"Carmenisha"},{"family":"Cruz Alvarez","given":"Cindy"},{"family":"Beestrum","given":"Molly"},{"family":"Simon","given":"Melissa A."}],"issued":{"date-parts":[["2021",3,4]]}}}],"schema":"https://github.com/citation-style-language/schema/raw/master/csl-citation.json"} </w:instrText>
            </w:r>
            <w:r w:rsidRPr="00AB408C">
              <w:rPr>
                <w:rFonts w:ascii="Arial Narrow" w:eastAsia="Calibri" w:hAnsi="Arial Narrow" w:cs="Calibri"/>
                <w:color w:val="000000" w:themeColor="text1"/>
                <w:sz w:val="20"/>
                <w:szCs w:val="20"/>
              </w:rPr>
              <w:fldChar w:fldCharType="separate"/>
            </w:r>
            <w:r w:rsidRPr="00AB408C">
              <w:rPr>
                <w:rFonts w:ascii="Arial Narrow" w:hAnsi="Arial Narrow"/>
                <w:sz w:val="20"/>
              </w:rPr>
              <w:t>(33)</w:t>
            </w:r>
            <w:r w:rsidRPr="00AB408C">
              <w:rPr>
                <w:rFonts w:ascii="Arial Narrow" w:eastAsia="Calibri" w:hAnsi="Arial Narrow" w:cs="Calibri"/>
                <w:color w:val="000000" w:themeColor="text1"/>
                <w:sz w:val="20"/>
                <w:szCs w:val="20"/>
              </w:rPr>
              <w:fldChar w:fldCharType="end"/>
            </w:r>
            <w:r w:rsidRPr="00AB408C">
              <w:rPr>
                <w:rFonts w:ascii="Arial Narrow" w:eastAsia="Calibri" w:hAnsi="Arial Narrow" w:cs="Calibri"/>
                <w:color w:val="000000" w:themeColor="text1"/>
                <w:sz w:val="20"/>
                <w:szCs w:val="20"/>
              </w:rPr>
              <w:t>.</w:t>
            </w:r>
          </w:p>
          <w:p w14:paraId="37578BB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434" w:type="dxa"/>
            <w:tcBorders>
              <w:top w:val="single" w:sz="6" w:space="0" w:color="7F7F7F" w:themeColor="text1" w:themeTint="80"/>
              <w:left w:val="nil"/>
            </w:tcBorders>
          </w:tcPr>
          <w:p w14:paraId="3498B09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There are NGOs who do provide that [social support]. But mostly we are not aware that someone is out there needing these services, until they come to us and say ‘I need 1,2,3’. And we are able to provide. (Participant 8, CBO5)</w:t>
            </w:r>
          </w:p>
        </w:tc>
      </w:tr>
      <w:tr w:rsidR="00CD1362" w:rsidRPr="00AB408C" w14:paraId="23073E5E" w14:textId="77777777" w:rsidTr="00971419">
        <w:trPr>
          <w:trHeight w:val="546"/>
        </w:trPr>
        <w:tc>
          <w:tcPr>
            <w:cnfStyle w:val="001000000000" w:firstRow="0" w:lastRow="0" w:firstColumn="1" w:lastColumn="0" w:oddVBand="0" w:evenVBand="0" w:oddHBand="0" w:evenHBand="0" w:firstRowFirstColumn="0" w:firstRowLastColumn="0" w:lastRowFirstColumn="0" w:lastRowLastColumn="0"/>
            <w:tcW w:w="1274" w:type="dxa"/>
            <w:vMerge/>
          </w:tcPr>
          <w:p w14:paraId="1784D4F1" w14:textId="77777777" w:rsidR="00CD1362" w:rsidRPr="00AB408C" w:rsidRDefault="00CD1362" w:rsidP="00971419">
            <w:pPr>
              <w:rPr>
                <w:rFonts w:ascii="Arial Narrow" w:hAnsi="Arial Narrow"/>
                <w:b w:val="0"/>
                <w:bCs w:val="0"/>
                <w:color w:val="000000" w:themeColor="text1"/>
                <w:sz w:val="20"/>
                <w:szCs w:val="20"/>
              </w:rPr>
            </w:pPr>
          </w:p>
        </w:tc>
        <w:tc>
          <w:tcPr>
            <w:tcW w:w="1564" w:type="dxa"/>
            <w:tcBorders>
              <w:top w:val="single" w:sz="6" w:space="0" w:color="7F7F7F" w:themeColor="text1" w:themeTint="80"/>
              <w:left w:val="nil"/>
              <w:right w:val="nil"/>
            </w:tcBorders>
            <w:shd w:val="clear" w:color="auto" w:fill="E7E6E6" w:themeFill="background2"/>
            <w:tcMar>
              <w:left w:w="105" w:type="dxa"/>
              <w:right w:w="105" w:type="dxa"/>
            </w:tcMar>
          </w:tcPr>
          <w:p w14:paraId="5DE9E2E3"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Onsite maternal meal provisioning</w:t>
            </w:r>
          </w:p>
        </w:tc>
        <w:tc>
          <w:tcPr>
            <w:tcW w:w="1783" w:type="dxa"/>
            <w:tcBorders>
              <w:top w:val="single" w:sz="6" w:space="0" w:color="7F7F7F" w:themeColor="text1" w:themeTint="80"/>
              <w:left w:val="nil"/>
              <w:right w:val="nil"/>
            </w:tcBorders>
          </w:tcPr>
          <w:p w14:paraId="70B2074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Pregnant and breastfeeding moms can receive a free nutritious meal as part of their antenatal and clinic appointment.</w:t>
            </w:r>
          </w:p>
        </w:tc>
        <w:tc>
          <w:tcPr>
            <w:tcW w:w="1984" w:type="dxa"/>
            <w:tcBorders>
              <w:top w:val="single" w:sz="6" w:space="0" w:color="7F7F7F" w:themeColor="text1" w:themeTint="80"/>
              <w:left w:val="nil"/>
              <w:right w:val="nil"/>
            </w:tcBorders>
            <w:tcMar>
              <w:left w:w="105" w:type="dxa"/>
              <w:right w:w="105" w:type="dxa"/>
            </w:tcMar>
          </w:tcPr>
          <w:p w14:paraId="78CE802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w:t>
            </w:r>
          </w:p>
          <w:p w14:paraId="2516D26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77926D7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Freeing up personal income.</w:t>
            </w:r>
          </w:p>
        </w:tc>
        <w:tc>
          <w:tcPr>
            <w:tcW w:w="2998" w:type="dxa"/>
            <w:tcBorders>
              <w:top w:val="single" w:sz="6" w:space="0" w:color="7F7F7F" w:themeColor="text1" w:themeTint="80"/>
              <w:left w:val="nil"/>
              <w:right w:val="nil"/>
            </w:tcBorders>
            <w:tcMar>
              <w:left w:w="105" w:type="dxa"/>
              <w:right w:w="105" w:type="dxa"/>
            </w:tcMar>
          </w:tcPr>
          <w:p w14:paraId="477F5DD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Rifayanto (2021)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{"citationID":"7bvXbram","properties":{"formattedCitation":"(48)","plainCitation":"(48)","noteIndex":0},"citationItems":[{"id":391,"uris":["http://zotero.org/users/11153788/items/R6EB9Z9T"],"itemData":{"id":391,"type":"article-journal","abstract":"Background: Chronic energy malnutrition and anemia are nutritional problems in pregnant women that often occur in developing countries. Nutritional intervention in pregnant women is needed to prevent any nutritional problems in both the mother and the fetus. This study aims to determine the effectiveness of nutrition education along with egg and milk supplementation on the knowledge and nutritional attitudes and nutritional status of a pregnant women. Methods: The study design was pre-experimental with one group pretest posttest. Subjects were 45 pregnant women in the 2nd and 3rd trimesters. Nutritional interventions were given in the form of nutrition education along with egg and milk supplementation for pregnant women (90 days). The data collected consisted of pregnancy history, food consumption, household food security, nutritional knowledge and attitudes, mid upper arm circumference, and hemoglobin levels. Data were analyzed using the paired t-test and Wilcoxon tests.Conclusions: Nutrition education intervention had an effect on increasing nutritional knowledge of pregnant women, and supplementation of egg and milk for three months increased the mid-uppper arm circumference. Nutritional intervention is needed as an effort to prevent chronic energy malnutrition in pregnant women.","container-title":"Indian Journal of Public Health Research &amp; Development","DOI":"10.37506/ijphrd.v12i3.16112","ISSN":"0976-5506","issue":"3","language":"en","page":"471-477","source":"medicopublication.com","title":"The Effectiveness of Nutrition Education and Egg and Milk Supplementation during Pregnancy in Cirebon Regency Indonesia","volume":"12","author":[{"family":"Rifayanto","given":"Rania Permata"},{"family":"Khomsan","given":"Ali"},{"family":"Sinaga","given":"Tiurma"},{"family":"Dewi","given":"Mira"},{"family":"Ekawidyani","given":"Karina Rahmadia"}],"issued":{"date-parts":[["2021",6,3]]}}}],"schema":"https://github.com/citation-style-language/schema/raw/master/csl-citation.json"}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(48)</w:t>
            </w:r>
            <w:r w:rsidRPr="00AB408C">
              <w:rPr>
                <w:rFonts w:ascii="Arial Narrow" w:eastAsia="Arial Narrow" w:hAnsi="Arial Narrow" w:cs="Arial Narrow"/>
                <w:color w:val="000000" w:themeColor="text1"/>
                <w:sz w:val="20"/>
                <w:szCs w:val="20"/>
              </w:rPr>
              <w:fldChar w:fldCharType="end"/>
            </w:r>
          </w:p>
          <w:p w14:paraId="7C3F6CF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Indonesia. </w:t>
            </w:r>
          </w:p>
          <w:p w14:paraId="2843857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Antenatal nutrition education along with egg and milk supplementation for pregnant women (90 days).</w:t>
            </w:r>
          </w:p>
        </w:tc>
        <w:tc>
          <w:tcPr>
            <w:tcW w:w="1886" w:type="dxa"/>
            <w:tcBorders>
              <w:top w:val="single" w:sz="6" w:space="0" w:color="7F7F7F" w:themeColor="text1" w:themeTint="80"/>
              <w:left w:val="nil"/>
              <w:right w:val="nil"/>
            </w:tcBorders>
            <w:tcMar>
              <w:left w:w="105" w:type="dxa"/>
              <w:right w:w="105" w:type="dxa"/>
            </w:tcMar>
          </w:tcPr>
          <w:p w14:paraId="4162E78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Positive effect on nutrition awareness, consumption of protein, vegetables, fruits, and increased mid-upper arm circumference of women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{"citationID":"vsG3ZtoW","properties":{"formattedCitation":"(48)","plainCitation":"(48)","noteIndex":0},"citationItems":[{"id":391,"uris":["http://zotero.org/users/11153788/items/R6EB9Z9T"],"itemData":{"id":391,"type":"article-journal","abstract":"Background: Chronic energy malnutrition and anemia are nutritional problems in pregnant women that often occur in developing countries. Nutritional intervention in pregnant women is needed to prevent any nutritional problems in both the mother and the fetus. This study aims to determine the effectiveness of nutrition education along with egg and milk supplementation on the knowledge and nutritional attitudes and nutritional status of a pregnant women. Methods: The study design was pre-experimental with one group pretest posttest. Subjects were 45 pregnant women in the 2nd and 3rd trimesters. Nutritional interventions were given in the form of nutrition education along with egg and milk supplementation for pregnant women (90 days). The data collected consisted of pregnancy history, food consumption, household food security, nutritional knowledge and attitudes, mid upper arm circumference, and hemoglobin levels. Data were analyzed using the paired t-test and Wilcoxon tests.Conclusions: Nutrition education intervention had an effect on increasing nutritional knowledge of pregnant women, and supplementation of egg and milk for three months increased the mid-uppper arm circumference. Nutritional intervention is needed as an effort to prevent chronic energy malnutrition in pregnant women.","container-title":"Indian Journal of Public Health Research &amp; Development","DOI":"10.37506/ijphrd.v12i3.16112","ISSN":"0976-5506","issue":"3","language":"en","page":"471-477","source":"medicopublication.com","title":"The Effectiveness of Nutrition Education and Egg and Milk Supplementation during Pregnancy in Cirebon Regency Indonesia","volume":"12","author":[{"family":"Rifayanto","given":"Rania Permata"},{"family":"Khomsan","given":"Ali"},{"family":"Sinaga","given":"Tiurma"},{"family":"Dewi","given":"Mira"},{"family":"Ekawidyani","given":"Karina Rahmadia"}],"issued":{"date-parts":[["2021",6,3]]}}}],"schema":"https://github.com/citation-style-language/schema/raw/master/csl-citation.json"}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(48)</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right w:val="nil"/>
            </w:tcBorders>
          </w:tcPr>
          <w:p w14:paraId="0A59686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Maybe antenatal clinics would give meals. Because if you've got one nutritious meal per week, at least it's better than not having it at all. [...] If we can be able to supply them maybe two or three times a week with fully nutritious </w:t>
            </w:r>
            <w:r w:rsidRPr="00AB408C">
              <w:rPr>
                <w:rFonts w:ascii="Arial Narrow" w:eastAsia="Arial Narrow" w:hAnsi="Arial Narrow" w:cs="Arial Narrow"/>
                <w:color w:val="000000" w:themeColor="text1"/>
                <w:sz w:val="20"/>
                <w:szCs w:val="20"/>
              </w:rPr>
              <w:lastRenderedPageBreak/>
              <w:t>meals, beetroot spinach, that will assist the children to be grown properly before birth and also after birth. (Participant 16, CBO8)</w:t>
            </w:r>
          </w:p>
        </w:tc>
      </w:tr>
      <w:tr w:rsidR="00CD1362" w:rsidRPr="00AB408C" w14:paraId="58443386" w14:textId="77777777" w:rsidTr="00971419">
        <w:trPr>
          <w:cnfStyle w:val="000000100000" w:firstRow="0" w:lastRow="0" w:firstColumn="0" w:lastColumn="0" w:oddVBand="0" w:evenVBand="0" w:oddHBand="1" w:evenHBand="0" w:firstRowFirstColumn="0" w:firstRowLastColumn="0" w:lastRowFirstColumn="0" w:lastRowLastColumn="0"/>
          <w:trHeight w:val="46"/>
        </w:trPr>
        <w:tc>
          <w:tcPr>
            <w:cnfStyle w:val="001000000000" w:firstRow="0" w:lastRow="0" w:firstColumn="1" w:lastColumn="0" w:oddVBand="0" w:evenVBand="0" w:oddHBand="0" w:evenHBand="0" w:firstRowFirstColumn="0" w:firstRowLastColumn="0" w:lastRowFirstColumn="0" w:lastRowLastColumn="0"/>
            <w:tcW w:w="1274" w:type="dxa"/>
            <w:vMerge/>
          </w:tcPr>
          <w:p w14:paraId="67F054CB" w14:textId="77777777" w:rsidR="00CD1362" w:rsidRPr="00AB408C" w:rsidRDefault="00CD1362" w:rsidP="00971419">
            <w:pPr>
              <w:rPr>
                <w:rFonts w:ascii="Arial Narrow" w:hAnsi="Arial Narrow"/>
                <w:b w:val="0"/>
                <w:bCs w:val="0"/>
                <w:color w:val="000000" w:themeColor="text1"/>
                <w:sz w:val="20"/>
                <w:szCs w:val="20"/>
              </w:rPr>
            </w:pPr>
          </w:p>
        </w:tc>
        <w:tc>
          <w:tcPr>
            <w:tcW w:w="1564" w:type="dxa"/>
            <w:tcBorders>
              <w:top w:val="single" w:sz="6" w:space="0" w:color="7F7F7F" w:themeColor="text1" w:themeTint="80"/>
              <w:left w:val="nil"/>
              <w:right w:val="nil"/>
            </w:tcBorders>
            <w:shd w:val="clear" w:color="auto" w:fill="E7E6E6" w:themeFill="background2"/>
            <w:tcMar>
              <w:left w:w="105" w:type="dxa"/>
              <w:right w:w="105" w:type="dxa"/>
            </w:tcMar>
          </w:tcPr>
          <w:p w14:paraId="09F1D5E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Prescription based food</w:t>
            </w:r>
          </w:p>
        </w:tc>
        <w:tc>
          <w:tcPr>
            <w:tcW w:w="1783" w:type="dxa"/>
            <w:tcBorders>
              <w:top w:val="single" w:sz="6" w:space="0" w:color="7F7F7F" w:themeColor="text1" w:themeTint="80"/>
              <w:left w:val="nil"/>
              <w:right w:val="nil"/>
            </w:tcBorders>
          </w:tcPr>
          <w:p w14:paraId="1DA6BBF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Moms receive “healthy food prescription” voucher during their 1st ANC visit, lasting until the child’s 2nd birthday, with budgeting and shopping tips provided, allowing moms to buy advised food at the clinic.</w:t>
            </w:r>
          </w:p>
        </w:tc>
        <w:tc>
          <w:tcPr>
            <w:tcW w:w="1984" w:type="dxa"/>
            <w:tcBorders>
              <w:top w:val="single" w:sz="6" w:space="0" w:color="7F7F7F" w:themeColor="text1" w:themeTint="80"/>
              <w:left w:val="nil"/>
              <w:right w:val="nil"/>
            </w:tcBorders>
            <w:tcMar>
              <w:left w:w="105" w:type="dxa"/>
              <w:right w:w="105" w:type="dxa"/>
            </w:tcMar>
          </w:tcPr>
          <w:p w14:paraId="208567B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 Financial planning for nutrition.</w:t>
            </w:r>
          </w:p>
          <w:p w14:paraId="38E8BCC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539F34A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Freeing up personal income.</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Promoting resourcefulness</w:t>
            </w:r>
          </w:p>
        </w:tc>
        <w:tc>
          <w:tcPr>
            <w:tcW w:w="2998" w:type="dxa"/>
            <w:tcBorders>
              <w:top w:val="single" w:sz="6" w:space="0" w:color="7F7F7F" w:themeColor="text1" w:themeTint="80"/>
              <w:left w:val="nil"/>
              <w:right w:val="nil"/>
            </w:tcBorders>
            <w:tcMar>
              <w:left w:w="105" w:type="dxa"/>
              <w:right w:w="105" w:type="dxa"/>
            </w:tcMar>
          </w:tcPr>
          <w:p w14:paraId="1DB4998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Swaziland National Nutrition Council (2017)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{"citationID":"ezIq7fFF","properties":{"formattedCitation":"(49)","plainCitation":"(49)","noteIndex":0},"citationItems":[{"id":388,"uris":["http://zotero.org/users/11153788/items/FMX9LJQQ"],"itemData":{"id":388,"type":"report","event-place":"Swaziland, Kingdom of (SZ)","genre":"Standard Project Report 2017","publisher":"World Food Programme","publisher-place":"Swaziland, Kingdom of (SZ)","title":"Food by Prescription","URL":"https://docs.wfp.org/api/documents/WFP-0000069888/download/","author":[{"family":"World Food Programme","given":""}],"accessed":{"date-parts":[["2023",9,27]]},"issued":{"date-parts":[["2017"]]}}}],"schema":"https://github.com/citation-style-language/schema/raw/master/csl-citation.json"}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(49)</w:t>
            </w:r>
            <w:r w:rsidRPr="00AB408C">
              <w:rPr>
                <w:rFonts w:ascii="Arial Narrow" w:eastAsia="Arial Narrow" w:hAnsi="Arial Narrow" w:cs="Arial Narrow"/>
                <w:color w:val="000000" w:themeColor="text1"/>
                <w:sz w:val="20"/>
                <w:szCs w:val="20"/>
              </w:rPr>
              <w:fldChar w:fldCharType="end"/>
            </w:r>
          </w:p>
          <w:p w14:paraId="3472B13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Eswatini. </w:t>
            </w:r>
          </w:p>
          <w:p w14:paraId="2F05C81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Food by Prescription Program to malnourished pregnant women (among others). This included monthly take-home rations of specialized nutritious food, super cereal dispensed at the</w:t>
            </w:r>
          </w:p>
          <w:p w14:paraId="0BDA529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country's 12 main health facilities.</w:t>
            </w:r>
          </w:p>
          <w:p w14:paraId="519FD0E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7B1D605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Matlwa et al. (2022)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{"citationID":"jN8P53md","properties":{"formattedCitation":"(30)","plainCitation":"(30)","noteIndex":0},"citationItems":[{"id":387,"uris":["http://zotero.org/users/11153788/items/QQBC75MW"],"itemData":{"id":387,"type":"report","event-place":"Johannesburg","publisher":"Grow Great Campaign","publisher-place":"Johannesburg","title":"CoCare Maternal Support Study: Investigating hunger and mental health among pregnant women in the Cape Metro area during the 2020/21 COVID-19 pandemic: Follow-up study report","URL":"https://www.growgreat.co.za/wp-content/uploads/2022/05/Grow-Great-CoCare-Maternal-Support-Study-Follow-up-Report-2022.pdf","author":[{"family":"Matlwa Mabaso","given":"K"},{"family":"Laurenzi","given":"C"},{"family":"Manda","given":"S"},{"family":"Müller","given":"A"},{"family":"Gemmell","given":"K"},{"family":"Menyatsoe","given":"M"},{"family":"Tomlinson","given":"M"}],"accessed":{"date-parts":[["2023",9,27]]},"issued":{"date-parts":[["2022"]]}}}],"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(30)</w:t>
            </w:r>
            <w:r w:rsidRPr="00AB408C">
              <w:rPr>
                <w:rFonts w:ascii="Arial Narrow" w:eastAsia="Arial Narrow" w:hAnsi="Arial Narrow" w:cs="Arial Narrow"/>
                <w:color w:val="000000" w:themeColor="text1"/>
                <w:sz w:val="20"/>
                <w:szCs w:val="20"/>
              </w:rPr>
              <w:fldChar w:fldCharType="end"/>
            </w:r>
          </w:p>
          <w:p w14:paraId="3106D01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South Africa. </w:t>
            </w:r>
          </w:p>
          <w:p w14:paraId="6D68CE7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Biweekly digital food vouchers (ZAR 300, [USD 16]) to pregnant women (18 years and older).</w:t>
            </w:r>
          </w:p>
          <w:p w14:paraId="68C50D6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6AA043E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Hidrobo et al. 2014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{"citationID":"OuMUsGPo","properties":{"formattedCitation":"(31)","plainCitation":"(31)","noteIndex":0},"citationItems":[{"id":64,"uris":["http://zotero.org/users/11153788/items/EK7ITCWQ"],"itemData":{"id":64,"type":"article-journal","abstract":"The debate over whether to provide food-assistance and the form that this assistance should take has a long history in economics. Despite the ongoing debate, little rigorous evidence exists that compares food-assistance in the form of cash versus in-kind. This paper uses a randomized evaluation to assess the impacts and cost-effectiveness of cash, food vouchers, and food transfers. We find that all three modalities significantly improve the quantity and quality of food consumed. However, differences emerge in the types of food consumed with food transfers leading to significantly larger increases in calories consumed and vouchers leading to significantly larger increases in dietary-diversity.","container-title":"Journal of Development Economics","DOI":"10.1016/j.jdeveco.2013.11.009","ISSN":"0304-3878","journalAbbreviation":"Journal of Development Economics","language":"en","page":"144-156","source":"ScienceDirect","title":"Cash, food, or vouchers? Evidence from a randomized experiment in northern Ecuador","title-short":"Cash, food, or vouchers?","volume":"107","author":[{"family":"Hidrobo","given":"Melissa"},{"family":"Hoddinott","given":"John"},{"family":"Peterman","given":"Amber"},{"family":"Margolies","given":"Amy"},{"family":"Moreira","given":"Vanessa"}],"issued":{"date-parts":[["2014",3,1]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(31)</w:t>
            </w:r>
            <w:r w:rsidRPr="00AB408C">
              <w:rPr>
                <w:rFonts w:ascii="Arial Narrow" w:eastAsia="Arial Narrow" w:hAnsi="Arial Narrow" w:cs="Arial Narrow"/>
                <w:color w:val="000000" w:themeColor="text1"/>
                <w:sz w:val="20"/>
                <w:szCs w:val="20"/>
              </w:rPr>
              <w:fldChar w:fldCharType="end"/>
            </w:r>
          </w:p>
          <w:p w14:paraId="21597E5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Ecuador. </w:t>
            </w:r>
          </w:p>
          <w:p w14:paraId="015164EB"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Poor households and Colombian refugees received a monthly USD 40 food voucher for six months, primarily women. Vouchers could be used at specific urban supermarkets for nutritionally approved foods within 30 days.</w:t>
            </w:r>
          </w:p>
          <w:p w14:paraId="2A99488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557FABD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Fenn et al. 2015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{"citationID":"kaVQD4g7","properties":{"formattedCitation":"(32)","plainCitation":"(32)","noteIndex":0},"citationItems":[{"id":386,"uris":["http://zotero.org/users/11153788/items/SY89TI87"],"itemData":{"id":386,"type":"article-journal","abstract":"Background Cash-based interventions (CBIs), offer an interesting opportunity to prevent increases in wasting in humanitarian aid settings. However, questions remain as to the impact of CBIs on nutritional status and, therefore, how to incorporate them into emergency programmes to maximise their success in terms of improved nutritional outcomes. This study evaluated the effects of three different CBI modalities on nutritional outcomes in children under 5 y of age at 6 mo and at 1 y. Methods and findings We conducted a four-arm parallel longitudinal cluster randomised controlled trial in 114 villages in Dadu District, Pakistan. The study included poor and very poor households (n = 2,496) with one or more children aged 6–48 mo (n = 3,584) at baseline. All four arms had equal access to an Action Against Hunger–supported programme. The three intervention arms were as follows: standard cash (SC), a cash transfer of 1,500 Pakistani rupees (PKR) (approximately US$14; 1 PKR = US$0.009543); double cash (DC), a cash transfer of 3,000 PKR; or a fresh food voucher (FFV) of 1,500 PKR; the cash or voucher amount was given every month over six consecutive months. The control group (CG) received no specific cash-related interventions. The median total household income for the study sample was 8,075 PKR (approximately US$77) at baseline. We hypothesized that, compared to the CG in each case, FFVs would be more effective than SC, and that DC would be more effective than SC—both at 6 mo and at 1 y—for reducing the risk of child wasting. Primary outcomes of interest were prevalence of being wasted (weight-for-height z-score [WHZ] &lt; −2) and mean WHZ at 6 mo and at 1 y. The odds of a child being wasted were significantly lower in the DC arm after 6 mo (odds ratio [OR] = 0.52; 95% CI 0.29, 0.92; p = 0.02) compared to the CG. Mean WHZ significantly improved in both the FFV and DC arms at 6 mo (FFV: z-score = 0.16; 95% CI 0.05, 0.26; p = 0.004; DC: z-score = 0.11; 95% CI 0.00, 0.21; p = 0.05) compared to the CG. Significant differences on the primary outcome were seen only at 6 mo. All three intervention groups showed similar significantly lower odds of being stunted (height-for-age z-score [HAZ] &lt; −2) at 6 mo (DC: OR = 0.39; 95% CI 0.24, 0.64; p &lt; 0.001; FFV: OR = 0.41; 95% CI 0.25, 0.67; p &lt; 0.001; SC: OR = 0.36; 95% CI 0.22, 0.59; p &lt; 0.001) and at 1 y (DC: OR = 0.53; 95% CI 0.35, 0.82; p = 0.004; FFV: OR = 0.48; 95% CI 0.31, 0.73; p = 0.001; SC: OR = 0.54; 95% CI 0.36, 0.81; p = 0.003) compared to the CG. Significant improvements in height-for-age outcomes were also seen for severe stunting (HAZ &lt; −3) and mean HAZ. An unintended outcome was observed in the FFV arm: a negative intervention effect on mean haemoglobin (Hb) status (−2.6 g/l; 95% CI −4.5, −0.8; p = 0.005). Limitations of this study included the inability to mask participants or data collectors to the different interventions, the potentially restrictive nature of the FFVs, not being able to measure a threshold effect for the two different cash amounts or compare the different quantities of food consumed, and data collection challenges given the difficult environment in which this study was set. Conclusions In this setting, the amount of cash given was important. The larger cash transfer had the greatest effect on wasting, but only at 6 mo. Impacts at both 6 mo and at 1 y were seen for height-based growth variables regardless of the intervention modality, indicating a trend toward nutrition resilience. Purchasing restrictions applied to food-based voucher transfers could have unintended effects, and their use needs to be carefully planned to avoid this. Trial registration ISRCTN registry ISRCTN10761532","container-title":"PLOS Medicine","DOI":"10.1371/journal.pmed.1002305","ISSN":"1549-1676","issue":"5","journalAbbreviation":"PLOS Medicine","language":"en","note":"publisher: Public Library of Science","page":"e1002305","source":"PLoS Journals","title":"Impact evaluation of different cash-based intervention modalities on child and maternal nutritional status in Sindh Province, Pakistan, at 6 mo and at 1 y: A cluster randomised controlled trial","title-short":"Impact evaluation of different cash-based intervention modalities on child and maternal nutritional status in Sindh Province, Pakistan, at 6 mo and at 1 y","volume":"14","author":[{"family":"Fenn","given":"Bridget"},{"family":"Colbourn","given":"Tim"},{"family":"Dolan","given":"Carmel"},{"family":"Pietzsch","given":"Silke"},{"family":"Sangrasi","given":"Murtaza"},{"family":"Shoham","given":"Jeremy"}],"issued":{"date-parts":[["2017"]],"season":"máj"}}}],"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(32)</w:t>
            </w:r>
            <w:r w:rsidRPr="00AB408C">
              <w:rPr>
                <w:rFonts w:ascii="Arial Narrow" w:eastAsia="Arial Narrow" w:hAnsi="Arial Narrow" w:cs="Arial Narrow"/>
                <w:color w:val="000000" w:themeColor="text1"/>
                <w:sz w:val="20"/>
                <w:szCs w:val="20"/>
              </w:rPr>
              <w:fldChar w:fldCharType="end"/>
            </w:r>
          </w:p>
          <w:p w14:paraId="1DEF81A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Pakistan. </w:t>
            </w:r>
          </w:p>
          <w:p w14:paraId="084DA41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Poor household with at least 1 child received a monthly 1,500 PKR (USD 5) fresh food voucher of over 6 months.</w:t>
            </w:r>
          </w:p>
          <w:p w14:paraId="259D81B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6871903"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Von Fintel (2019)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{"citationID":"OJHGWR0i","properties":{"formattedCitation":"(50)","plainCitation":"(50)","noteIndex":0},"citationItems":[{"id":381,"uris":["http://zotero.org/users/11153788/items/DWWD8WJ4"],"itemData":{"id":381,"type":"report","event-place":"Cape Town","number":"SALDRU Working Paper Number 241 Version 1/ NIDS Discussion Paper 2019/8","publisher":"SALDRU, UCT","publisher-place":"Cape Town","title":"The complementarity between cash transfers and financial literacy for child growth.","URL":"http://www.nids.uct.ac.za/images/papers/2019_08_NIDSW5.pdf","author":[{"family":"Von Fintel","given":"D"},{"family":"Von Fintel","given":"M"},{"family":"Butheleze","given":"T"}],"accessed":{"date-parts":[["2023",10,2]]},"issued":{"date-parts":[["2019"]]}}}],"schema":"https://github.com/citation-style-language/schema/raw/master/csl-citation.json"}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(50)</w:t>
            </w:r>
            <w:r w:rsidRPr="00AB408C">
              <w:rPr>
                <w:rFonts w:ascii="Arial Narrow" w:eastAsia="Arial Narrow" w:hAnsi="Arial Narrow" w:cs="Arial Narrow"/>
                <w:color w:val="000000" w:themeColor="text1"/>
                <w:sz w:val="20"/>
                <w:szCs w:val="20"/>
              </w:rPr>
              <w:fldChar w:fldCharType="end"/>
            </w:r>
          </w:p>
          <w:p w14:paraId="27D74A67"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Where? South Africa. </w:t>
            </w:r>
          </w:p>
          <w:p w14:paraId="094E21BF" w14:textId="77777777" w:rsidR="00CD1362" w:rsidRPr="00AB408C" w:rsidRDefault="00CD1362" w:rsidP="00971419">
            <w:pPr>
              <w:tabs>
                <w:tab w:val="left" w:pos="217"/>
              </w:tabs>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Shows children with financially literate caregivers receiving the cash transfer on their behalf have higher growth trajectories over time.</w:t>
            </w:r>
          </w:p>
        </w:tc>
        <w:tc>
          <w:tcPr>
            <w:tcW w:w="1886" w:type="dxa"/>
            <w:tcBorders>
              <w:top w:val="single" w:sz="6" w:space="0" w:color="7F7F7F" w:themeColor="text1" w:themeTint="80"/>
              <w:left w:val="nil"/>
              <w:right w:val="nil"/>
            </w:tcBorders>
            <w:tcMar>
              <w:left w:w="105" w:type="dxa"/>
              <w:right w:w="105" w:type="dxa"/>
            </w:tcMar>
          </w:tcPr>
          <w:p w14:paraId="1571451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Reduced undernutrition (incl. micronutrient deficiencies) in children (6-59 mo), school-aged children and pregnant and lactating women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{"citationID":"NJNS1d6g","properties":{"formattedCitation":"(49)","plainCitation":"(49)","noteIndex":0},"citationItems":[{"id":388,"uris":["http://zotero.org/users/11153788/items/FMX9LJQQ"],"itemData":{"id":388,"type":"report","event-place":"Swaziland, Kingdom of (SZ)","genre":"Standard Project Report 2017","publisher":"World Food Programme","publisher-place":"Swaziland, Kingdom of (SZ)","title":"Food by Prescription","URL":"https://docs.wfp.org/api/documents/WFP-0000069888/download/","author":[{"family":"World Food Programme","given":""}],"accessed":{"date-parts":[["2023",9,27]]},"issued":{"date-parts":[["2017"]]}}}],"schema":"https://github.com/citation-style-language/schema/raw/master/csl-citation.json"}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(49)</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p w14:paraId="3573B59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reduced maternal and child hunger, improved maternal mental health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{"citationID":"CasxJTFP","properties":{"formattedCitation":"(30)","plainCitation":"(30)","noteIndex":0},"citationItems":[{"id":387,"uris":["http://zotero.org/users/11153788/items/QQBC75MW"],"itemData":{"id":387,"type":"report","event-place":"Johannesburg","publisher":"Grow Great Campaign","publisher-place":"Johannesburg","title":"CoCare Maternal Support Study: Investigating hunger and mental health among pregnant women in the Cape Metro area during the 2020/21 COVID-19 pandemic: Follow-up study report","URL":"https://www.growgreat.co.za/wp-content/uploads/2022/05/Grow-Great-CoCare-Maternal-Support-Study-Follow-up-Report-2022.pdf","author":[{"family":"Matlwa Mabaso","given":"K"},{"family":"Laurenzi","given":"C"},{"family":"Manda","given":"S"},{"family":"Müller","given":"A"},{"family":"Gemmell","given":"K"},{"family":"Menyatsoe","given":"M"},{"family":"Tomlinson","given":"M"}],"accessed":{"date-parts":[["2023",9,27]]},"issued":{"date-parts":[["2022"]]}}}],"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Positive effects on dietary diversity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{"citationID":"zyIrLI5i","properties":{"formattedCitation":"(31)","plainCitation":"(31)","noteIndex":0},"citationItems":[{"id":64,"uris":["http://zotero.org/users/11153788/items/EK7ITCWQ"],"itemData":{"id":64,"type":"article-journal","abstract":"The debate over whether to provide food-assistance and the form that this assistance should take has a long history in economics. Despite the ongoing debate, little rigorous evidence exists that compares food-assistance in the form of cash versus in-kind. This paper uses a randomized evaluation to assess the impacts and cost-effectiveness of cash, food vouchers, and food transfers. We find that all three modalities significantly improve the quantity and quality of food consumed. However, differences emerge in the types of food consumed with food transfers leading to significantly larger increases in calories consumed and vouchers leading to significantly larger increases in dietary-diversity.","container-title":"Journal of Development Economics","DOI":"10.1016/j.jdeveco.2013.11.009","ISSN":"0304-3878","journalAbbreviation":"Journal of Development Economics","language":"en","page":"144-156","source":"ScienceDirect","title":"Cash, food, or vouchers? Evidence from a randomized experiment in northern Ecuador","title-short":"Cash, food, or vouchers?","volume":"107","author":[{"family":"Hidrobo","given":"Melissa"},{"family":"Hoddinott","given":"John"},{"family":"Peterman","given":"Amber"},{"family":"Margolies","given":"Amy"},{"family":"Moreira","given":"Vanessa"}],"issued":{"date-parts":[["2014",3,1]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(31)</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childhood wasting, maternal BMI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{"citationID":"RG7N94Nl","properties":{"formattedCitation":"(32)","plainCitation":"(32)","noteIndex":0},"citationItems":[{"id":386,"uris":["http://zotero.org/users/11153788/items/SY89TI87"],"itemData":{"id":386,"type":"article-journal","abstract":"Background Cash-based interventions (CBIs), offer an interesting opportunity to prevent increases in wasting in humanitarian aid settings. However, questions remain as to the impact of CBIs on nutritional status and, therefore, how to incorporate them into emergency programmes to maximise their success in terms of improved nutritional outcomes. This study evaluated the effects of three different CBI modalities on nutritional outcomes in children under 5 y of age at 6 mo and at 1 y. Methods and findings We conducted a four-arm parallel longitudinal cluster randomised controlled trial in 114 villages in Dadu District, Pakistan. The study included poor and very poor households (n = 2,496) with one or more children aged 6–48 mo (n = 3,584) at baseline. All four arms had equal access to an Action Against Hunger–supported programme. The three intervention arms were as follows: standard cash (SC), a cash transfer of 1,500 Pakistani rupees (PKR) (approximately US$14; 1 PKR = US$0.009543); double cash (DC), a cash transfer of 3,000 PKR; or a fresh food voucher (FFV) of 1,500 PKR; the cash or voucher amount was given every month over six consecutive months. The control group (CG) received no specific cash-related interventions. The median total household income for the study sample was 8,075 PKR (approximately US$77) at baseline. We hypothesized that, compared to the CG in each case, FFVs would be more effective than SC, and that DC would be more effective than SC—both at 6 mo and at 1 y—for reducing the risk of child wasting. Primary outcomes of interest were prevalence of being wasted (weight-for-height z-score [WHZ] &lt; −2) and mean WHZ at 6 mo and at 1 y. The odds of a child being wasted were significantly lower in the DC arm after 6 mo (odds ratio [OR] = 0.52; 95% CI 0.29, 0.92; p = 0.02) compared to the CG. Mean WHZ significantly improved in both the FFV and DC arms at 6 mo (FFV: z-score = 0.16; 95% CI 0.05, 0.26; p = 0.004; DC: z-score = 0.11; 95% CI 0.00, 0.21; p = 0.05) compared to the CG. Significant differences on the primary outcome were seen only at 6 mo. All three intervention groups showed similar significantly lower odds of being stunted (height-for-age z-score [HAZ] &lt; −2) at 6 mo (DC: OR = 0.39; 95% CI 0.24, 0.64; p &lt; 0.001; FFV: OR = 0.41; 95% CI 0.25, 0.67; p &lt; 0.001; SC: OR = 0.36; 95% CI 0.22, 0.59; p &lt; 0.001) and at 1 y (DC: OR = 0.53; 95% CI 0.35, 0.82; p = 0.004; FFV: OR = 0.48; 95% CI 0.31, 0.73; p = 0.001; SC: OR = 0.54; 95% CI 0.36, 0.81; p = 0.003) compared to the CG. Significant improvements in height-for-age outcomes were also seen for severe stunting (HAZ &lt; −3) and mean HAZ. An unintended outcome was observed in the FFV arm: a negative intervention effect on mean haemoglobin (Hb) status (−2.6 g/l; 95% CI −4.5, −0.8; p = 0.005). Limitations of this study included the inability to mask participants or data collectors to the different interventions, the potentially restrictive nature of the FFVs, not being able to measure a threshold effect for the two different cash amounts or compare the different quantities of food consumed, and data collection challenges given the difficult environment in which this study was set. Conclusions In this setting, the amount of cash given was important. The larger cash transfer had the greatest effect on wasting, but only at 6 mo. Impacts at both 6 mo and at 1 y were seen for height-based growth variables regardless of the intervention modality, indicating a trend toward nutrition resilience. Purchasing restrictions applied to food-based voucher transfers could have unintended effects, and their use needs to be carefully planned to avoid this. Trial registration ISRCTN registry ISRCTN10761532","container-title":"PLOS Medicine","DOI":"10.1371/journal.pmed.1002305","ISSN":"1549-1676","issue":"5","journalAbbreviation":"PLOS Medicine","language":"en","note":"publisher: Public Library of Science","page":"e1002305","source":"PLoS Journals","title":"Impact evaluation of different cash-based intervention modalities on child and maternal nutritional status in Sindh Province, Pakistan, at 6 mo and at 1 y: A cluster randomised controlled trial","title-short":"Impact evaluation of different cash-based intervention modalities on child and maternal nutritional status in Sindh Province, Pakistan, at 6 mo and at 1 y","volume":"14","author":[{"family":"Fenn","given":"Bridget"},{"family":"Colbourn","given":"Tim"},{"family":"Dolan","given":"Carmel"},{"family":"Pietzsch","given":"Silke"},{"family":"Sangrasi","given":"Murtaza"},{"family":"Shoham","given":"Jeremy"}],"issued":{"date-parts":[["2017"]],"season":"máj"}}}],"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and childhood stunting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{"citationID":"iojAu0p0","properties":{"formattedCitation":"(32,50)","plainCitation":"(32,50)","noteIndex":0},"citationItems":[{"id":386,"uris":["http://zotero.org/users/11153788/items/SY89TI87"],"itemData":{"id":386,"type":"article-journal","abstract":"Background Cash-based interventions (CBIs), offer an interesting opportunity to prevent increases in wasting in humanitarian aid settings. However, questions remain as to the impact of CBIs on nutritional status and, therefore, how to incorporate them into emergency programmes to maximise their success in terms of improved nutritional outcomes. This study evaluated the effects of three different CBI modalities on nutritional outcomes in children under 5 y of age at 6 mo and at 1 y. Methods and findings We conducted a four-arm parallel longitudinal cluster randomised controlled trial in 114 villages in Dadu District, Pakistan. The study included poor and very poor households (n = 2,496) with one or more children aged 6–48 mo (n = 3,584) at baseline. All four arms had equal access to an Action Against Hunger–supported programme. The three intervention arms were as follows: standard cash (SC), a cash transfer of 1,500 Pakistani rupees (PKR) (approximately US$14; 1 PKR = US$0.009543); double cash (DC), a cash transfer of 3,000 PKR; or a fresh food voucher (FFV) of 1,500 PKR; the cash or voucher amount was given every month over six consecutive months. The control group (CG) received no specific cash-related interventions. The median total household income for the study sample was 8,075 PKR (approximately US$77) at baseline. We hypothesized that, compared to the CG in each case, FFVs would be more effective than SC, and that DC would be more effective than SC—both at 6 mo and at 1 y—for reducing the risk of child wasting. Primary outcomes of interest were prevalence of being wasted (weight-for-height z-score [WHZ] &lt; −2) and mean WHZ at 6 mo and at 1 y. The odds of a child being wasted were significantly lower in the DC arm after 6 mo (odds ratio [OR] = 0.52; 95% CI 0.29, 0.92; p = 0.02) compared to the CG. Mean WHZ significantly improved in both the FFV and DC arms at 6 mo (FFV: z-score = 0.16; 95% CI 0.05, 0.26; p = 0.004; DC: z-score = 0.11; 95% CI 0.00, 0.21; p = 0.05) compared to the CG. Significant differences on the primary outcome were seen only at 6 mo. All three intervention groups showed similar significantly lower odds of being stunted (height-for-age z-score [HAZ] &lt; −2) at 6 mo (DC: OR = 0.39; 95% CI 0.24, 0.64; p &lt; 0.001; FFV: OR = 0.41; 95% CI 0.25, 0.67; p &lt; 0.001; SC: OR = 0.36; 95% CI 0.22, 0.59; p &lt; 0.001) and at 1 y (DC: OR = 0.53; 95% CI 0.35, 0.82; p = 0.004; FFV: OR = 0.48; 95% CI 0.31, 0.73; p = 0.001; SC: OR = 0.54; 95% CI 0.36, 0.81; p = 0.003) compared to the CG. Significant improvements in height-for-age outcomes were also seen for severe stunting (HAZ &lt; −3) and mean HAZ. An unintended outcome was observed in the FFV arm: a negative intervention effect on mean haemoglobin (Hb) status (−2.6 g/l; 95% CI −4.5, −0.8; p = 0.005). Limitations of this study included the inability to mask participants or data collectors to the different interventions, the potentially restrictive nature of the FFVs, not being able to measure a threshold effect for the two different cash amounts or compare the different quantities of food consumed, and data collection challenges given the difficult environment in which this study was set. Conclusions In this setting, the amount of cash given was important. The larger cash transfer had the greatest effect on wasting, but only at 6 mo. Impacts at both 6 mo and at 1 y were seen for height-based growth variables regardless of the intervention modality, indicating a trend toward nutrition resilience. Purchasing restrictions applied to food-based voucher transfers could have unintended effects, and their use needs to be carefully planned to avoid this. Trial registration ISRCTN registry ISRCTN10761532","container-title":"PLOS Medicine","DOI":"10.1371/journal.pmed.1002305","ISSN":"1549-1676","issue":"5","journalAbbreviation":"PLOS Medicine","language":"en","note":"publisher: Public Library of Science","page":"e1002305","source":"PLoS Journals","title":"Impact evaluation of different cash-based intervention modalities on child and maternal nutritional status in Sindh Province, Pakistan, at 6 mo and at 1 y: A cluster randomised controlled trial","title-short":"Impact evaluation of different cash-based intervention modalities on child and maternal nutritional status in Sindh Province, Pakistan, at 6 mo and at 1 y","volume":"14","author":[{"family":"Fenn","given":"Bridget"},{"family":"Colbourn","given":"Tim"},{"family":"Dolan","given":"Carmel"},{"family":"Pietzsch","given":"Silke"},{"family":"Sangrasi","given":"Murtaza"},{"family":"Shoham","given":"Jeremy"}],"issued":{"date-parts":[["2017"]],"season":"máj"}}},{"id":381,"uris":["http://zotero.org/users/11153788/items/DWWD8WJ4"],"itemData":{"id":381,"type":"report","event-place":"Cape Town","number":"SALDRU Working Paper Number 241 Version 1/ NIDS Discussion Paper 2019/8","publisher":"SALDRU, UCT","publisher-place":"Cape Town","title":"The complementarity between cash transfers and financial literacy for child growth.","URL":"http://www.nids.uct.ac.za/images/papers/2019_08_NIDSW5.pdf","author":[{"family":"Von Fintel","given":"D"},{"family":"Von Fintel","given":"M"},{"family":"Butheleze","given":"T"}],"accessed":{"date-parts":[["2023",10,2]]},"issued":{"date-parts":[["2019"]]}}}],"schema":"https://github.com/citation-style-language/schema/raw/master/csl-citation.json"}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(32,50)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3309DA2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434" w:type="dxa"/>
            <w:tcBorders>
              <w:top w:val="single" w:sz="6" w:space="0" w:color="7F7F7F" w:themeColor="text1" w:themeTint="80"/>
              <w:left w:val="nil"/>
              <w:right w:val="nil"/>
            </w:tcBorders>
          </w:tcPr>
          <w:p w14:paraId="1C0255B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 think they [clinics] could also partner up with supermarkets like Shoprite and issue out food-vouchers, even if it’s just for R100 to the women. And for the women to be able to afford, maybe price reductions can help of certain food items. (FGD 3)</w:t>
            </w:r>
          </w:p>
          <w:p w14:paraId="209F47F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19998E1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 think we must make sure that they're able to stretch their food. That is why budgeting is important. Okay. That is why even the voucher itself, you must teach them to budget around it. (Participant 10, CBO5)</w:t>
            </w:r>
          </w:p>
          <w:p w14:paraId="32EC4E9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E8FA89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If there was a medical process the children undergo, that would advise on what would work for each child, considering each child’s individual needs. That may help, because as Black communities we all complain about financial problems. (FGD 3)</w:t>
            </w:r>
          </w:p>
        </w:tc>
      </w:tr>
      <w:tr w:rsidR="00CD1362" w:rsidRPr="00AB408C" w14:paraId="051876AA" w14:textId="77777777" w:rsidTr="00971419">
        <w:trPr>
          <w:trHeight w:val="2775"/>
        </w:trPr>
        <w:tc>
          <w:tcPr>
            <w:cnfStyle w:val="001000000000" w:firstRow="0" w:lastRow="0" w:firstColumn="1" w:lastColumn="0" w:oddVBand="0" w:evenVBand="0" w:oddHBand="0" w:evenHBand="0" w:firstRowFirstColumn="0" w:firstRowLastColumn="0" w:lastRowFirstColumn="0" w:lastRowLastColumn="0"/>
            <w:tcW w:w="1274" w:type="dxa"/>
            <w:vMerge w:val="restart"/>
            <w:tcBorders>
              <w:top w:val="single" w:sz="6" w:space="0" w:color="7F7F7F" w:themeColor="text1" w:themeTint="80"/>
              <w:left w:val="nil"/>
            </w:tcBorders>
            <w:shd w:val="clear" w:color="auto" w:fill="FFFFFF" w:themeFill="background1"/>
            <w:tcMar>
              <w:left w:w="105" w:type="dxa"/>
              <w:right w:w="105" w:type="dxa"/>
            </w:tcMar>
            <w:vAlign w:val="center"/>
          </w:tcPr>
          <w:p w14:paraId="4B798720" w14:textId="77777777" w:rsidR="00CD1362" w:rsidRPr="00AB408C" w:rsidRDefault="00CD1362" w:rsidP="00971419">
            <w:pPr>
              <w:rPr>
                <w:rFonts w:ascii="Arial Narrow" w:eastAsia="Arial Narrow" w:hAnsi="Arial Narrow" w:cs="Arial Narrow"/>
                <w:b w:val="0"/>
                <w:bCs w:val="0"/>
                <w:color w:val="000000" w:themeColor="text1"/>
                <w:sz w:val="20"/>
                <w:szCs w:val="20"/>
              </w:rPr>
            </w:pPr>
          </w:p>
          <w:p w14:paraId="1041C29A"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G</w:t>
            </w:r>
          </w:p>
          <w:p w14:paraId="45D3379B"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O</w:t>
            </w:r>
          </w:p>
          <w:p w14:paraId="53090ED9"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V</w:t>
            </w:r>
          </w:p>
          <w:p w14:paraId="1D8B76FF"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E</w:t>
            </w:r>
          </w:p>
          <w:p w14:paraId="0A60D827"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R</w:t>
            </w:r>
          </w:p>
          <w:p w14:paraId="4050F688"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N</w:t>
            </w:r>
          </w:p>
          <w:p w14:paraId="7D0E993E"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M</w:t>
            </w:r>
          </w:p>
          <w:p w14:paraId="3419D78F"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E</w:t>
            </w:r>
          </w:p>
          <w:p w14:paraId="5E6F627D"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N</w:t>
            </w:r>
          </w:p>
          <w:p w14:paraId="72223192"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color w:val="000000" w:themeColor="text1"/>
                <w:sz w:val="20"/>
                <w:szCs w:val="20"/>
              </w:rPr>
              <w:t xml:space="preserve">T </w:t>
            </w:r>
          </w:p>
        </w:tc>
        <w:tc>
          <w:tcPr>
            <w:tcW w:w="1564" w:type="dxa"/>
            <w:tcBorders>
              <w:top w:val="single" w:sz="6" w:space="0" w:color="7F7F7F" w:themeColor="text1" w:themeTint="80"/>
              <w:left w:val="nil"/>
            </w:tcBorders>
            <w:shd w:val="clear" w:color="auto" w:fill="FFFFFF" w:themeFill="background1"/>
            <w:tcMar>
              <w:left w:w="105" w:type="dxa"/>
              <w:right w:w="105" w:type="dxa"/>
            </w:tcMar>
          </w:tcPr>
          <w:p w14:paraId="24D497E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Cash + Baby necessities </w:t>
            </w:r>
          </w:p>
          <w:p w14:paraId="0AD4B8D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783" w:type="dxa"/>
            <w:tcBorders>
              <w:top w:val="single" w:sz="6" w:space="0" w:color="7F7F7F" w:themeColor="text1" w:themeTint="80"/>
              <w:left w:val="nil"/>
              <w:right w:val="nil"/>
            </w:tcBorders>
          </w:tcPr>
          <w:p w14:paraId="1DC2BE0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Moms with CSG will receive monthly supply of diapers and toiletries for 18 months from delivery. Moms don’t have to use the CSG money.</w:t>
            </w:r>
          </w:p>
        </w:tc>
        <w:tc>
          <w:tcPr>
            <w:tcW w:w="1984" w:type="dxa"/>
            <w:tcBorders>
              <w:top w:val="single" w:sz="6" w:space="0" w:color="7F7F7F" w:themeColor="text1" w:themeTint="80"/>
              <w:left w:val="nil"/>
            </w:tcBorders>
            <w:tcMar>
              <w:left w:w="105" w:type="dxa"/>
              <w:right w:w="105" w:type="dxa"/>
            </w:tcMar>
          </w:tcPr>
          <w:p w14:paraId="5300204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w:t>
            </w:r>
          </w:p>
          <w:p w14:paraId="46E31D8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11F1C1A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Freeing up personal income.</w:t>
            </w:r>
          </w:p>
        </w:tc>
        <w:tc>
          <w:tcPr>
            <w:tcW w:w="2998" w:type="dxa"/>
            <w:tcBorders>
              <w:top w:val="single" w:sz="6" w:space="0" w:color="7F7F7F" w:themeColor="text1" w:themeTint="80"/>
              <w:left w:val="nil"/>
            </w:tcBorders>
            <w:tcMar>
              <w:left w:w="105" w:type="dxa"/>
              <w:right w:w="105" w:type="dxa"/>
            </w:tcMar>
          </w:tcPr>
          <w:p w14:paraId="029F012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Rossouw et al. (2021)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{"citationID":"8JHMmU5t","properties":{"formattedCitation":"(51)","plainCitation":"(51)","noteIndex":0},"citationItems":[{"id":97,"uris":["http://zotero.org/users/11153788/items/H3GQ6P6Y"],"itemData":{"id":97,"type":"article-journal","abstract":"In order to address South Africa’s maternal and infant mortality and morbidity rates, patient and community-level preventable factors need to be identified and addressed. However, there are few rigorously implemented and tested studies in low- and middle-income countries that evaluate the impact of community-level interventions on maternal and infant health outcomes. This study examined the impact of a package intervention, consisting of an incentive called the Thula Baba Box (TBB) and a community health worker (CHW) programme, on maternal depressive symptoms, maternal nutrition and intention to exclusively breastfeed.","container-title":"Maternal and Child Health Journal","DOI":"10.1007/s10995-021-03229-w","ISSN":"1573-6628","issue":"12","journalAbbreviation":"Matern Child Health J","language":"en","page":"1913-1922","source":"Springer Link","title":"Testing an Incentive-Based and Community Health Worker Package Intervention to Improve Maternal Health and Nutrition Outcomes: A Pilot Randomized Controlled Trial","title-short":"Testing an Incentive-Based and Community Health Worker Package Intervention to Improve Maternal Health and Nutrition Outcomes","volume":"25","author":[{"family":"Rossouw","given":"Laura"},{"family":"Burger","given":"Rulof Petrus"},{"family":"Burger","given":"Ronelle"}],"issued":{"date-parts":[["2021",12,1]]}}}],"schema":"https://github.com/citation-style-language/schema/raw/master/csl-citation.json"}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(51)</w:t>
            </w:r>
            <w:r w:rsidRPr="00AB408C">
              <w:rPr>
                <w:rFonts w:ascii="Arial Narrow" w:eastAsia="Arial Narrow" w:hAnsi="Arial Narrow" w:cs="Arial Narrow"/>
                <w:color w:val="000000" w:themeColor="text1"/>
                <w:sz w:val="20"/>
                <w:szCs w:val="20"/>
              </w:rPr>
              <w:fldChar w:fldCharType="end"/>
            </w:r>
          </w:p>
          <w:p w14:paraId="28FD0F9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South Africa. </w:t>
            </w:r>
          </w:p>
          <w:p w14:paraId="0F4AD69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A package of maternal starter-kit, monthly community health worker visits, conditional on antenatal care-seeking behaviour. The kit was valued at ZAR 440 (USD 23), included baby clothes, blankets, wash products, maternity pads, toys, health promotion brochures, a kangaroo mother-care wrap, and condoms.</w:t>
            </w:r>
          </w:p>
        </w:tc>
        <w:tc>
          <w:tcPr>
            <w:tcW w:w="1886" w:type="dxa"/>
            <w:tcBorders>
              <w:top w:val="single" w:sz="6" w:space="0" w:color="7F7F7F" w:themeColor="text1" w:themeTint="80"/>
              <w:left w:val="nil"/>
            </w:tcBorders>
            <w:tcMar>
              <w:left w:w="105" w:type="dxa"/>
              <w:right w:w="105" w:type="dxa"/>
            </w:tcMar>
          </w:tcPr>
          <w:p w14:paraId="4517301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Probable positive effect on maternal depression, exclusive breastfeeding intention. No impact on maternal nutrition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{"citationID":"mWaTPcsO","properties":{"formattedCitation":"(51)","plainCitation":"(51)","noteIndex":0},"citationItems":[{"id":97,"uris":["http://zotero.org/users/11153788/items/H3GQ6P6Y"],"itemData":{"id":97,"type":"article-journal","abstract":"In order to address South Africa’s maternal and infant mortality and morbidity rates, patient and community-level preventable factors need to be identified and addressed. However, there are few rigorously implemented and tested studies in low- and middle-income countries that evaluate the impact of community-level interventions on maternal and infant health outcomes. This study examined the impact of a package intervention, consisting of an incentive called the Thula Baba Box (TBB) and a community health worker (CHW) programme, on maternal depressive symptoms, maternal nutrition and intention to exclusively breastfeed.","container-title":"Maternal and Child Health Journal","DOI":"10.1007/s10995-021-03229-w","ISSN":"1573-6628","issue":"12","journalAbbreviation":"Matern Child Health J","language":"en","page":"1913-1922","source":"Springer Link","title":"Testing an Incentive-Based and Community Health Worker Package Intervention to Improve Maternal Health and Nutrition Outcomes: A Pilot Randomized Controlled Trial","title-short":"Testing an Incentive-Based and Community Health Worker Package Intervention to Improve Maternal Health and Nutrition Outcomes","volume":"25","author":[{"family":"Rossouw","given":"Laura"},{"family":"Burger","given":"Rulof Petrus"},{"family":"Burger","given":"Ronelle"}],"issued":{"date-parts":[["2021",12,1]]}}}],"schema":"https://github.com/citation-style-language/schema/raw/master/csl-citation.json"}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(51)</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tcBorders>
          </w:tcPr>
          <w:p w14:paraId="259C453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 social grant is quite little […] if you look at the nappies, it's ZAR 280 [USD 15] something. So, if you have to buy nappies and milk, you have to choose which one you should get. (Participant 14, CBO6)</w:t>
            </w:r>
          </w:p>
          <w:p w14:paraId="7717E93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highlight w:val="yellow"/>
              </w:rPr>
            </w:pPr>
          </w:p>
          <w:p w14:paraId="6B5A5FC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You need supplies once you give birth […] Things that you need, basic stuff that you need for a newborn, you need clothing, you need nappies. (Participant 9, CBO4)</w:t>
            </w:r>
          </w:p>
        </w:tc>
      </w:tr>
      <w:tr w:rsidR="00CD1362" w:rsidRPr="00AB408C" w14:paraId="29F58A2F" w14:textId="77777777" w:rsidTr="00971419">
        <w:trPr>
          <w:cnfStyle w:val="000000100000" w:firstRow="0" w:lastRow="0" w:firstColumn="0" w:lastColumn="0" w:oddVBand="0" w:evenVBand="0" w:oddHBand="1" w:evenHBand="0" w:firstRowFirstColumn="0" w:firstRowLastColumn="0" w:lastRowFirstColumn="0" w:lastRowLastColumn="0"/>
          <w:trHeight w:val="2775"/>
        </w:trPr>
        <w:tc>
          <w:tcPr>
            <w:cnfStyle w:val="001000000000" w:firstRow="0" w:lastRow="0" w:firstColumn="1" w:lastColumn="0" w:oddVBand="0" w:evenVBand="0" w:oddHBand="0" w:evenHBand="0" w:firstRowFirstColumn="0" w:firstRowLastColumn="0" w:lastRowFirstColumn="0" w:lastRowLastColumn="0"/>
            <w:tcW w:w="1274" w:type="dxa"/>
            <w:vMerge/>
            <w:tcBorders>
              <w:left w:val="nil"/>
            </w:tcBorders>
            <w:shd w:val="clear" w:color="auto" w:fill="FFFFFF" w:themeFill="background1"/>
            <w:tcMar>
              <w:left w:w="105" w:type="dxa"/>
              <w:right w:w="105" w:type="dxa"/>
            </w:tcMar>
            <w:vAlign w:val="center"/>
          </w:tcPr>
          <w:p w14:paraId="168CFB80"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tcBorders>
            <w:shd w:val="clear" w:color="auto" w:fill="FFFFFF" w:themeFill="background1"/>
            <w:tcMar>
              <w:left w:w="105" w:type="dxa"/>
              <w:right w:w="105" w:type="dxa"/>
            </w:tcMar>
          </w:tcPr>
          <w:p w14:paraId="399929A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Cash + Vocational and skills training grant</w:t>
            </w:r>
          </w:p>
          <w:p w14:paraId="43DECDF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558F893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783" w:type="dxa"/>
            <w:tcBorders>
              <w:top w:val="single" w:sz="6" w:space="0" w:color="7F7F7F" w:themeColor="text1" w:themeTint="80"/>
              <w:left w:val="nil"/>
              <w:right w:val="nil"/>
            </w:tcBorders>
          </w:tcPr>
          <w:p w14:paraId="7E8EF33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Moms with CSGs can enrol in a vocational skill training after 6 months from birth, </w:t>
            </w:r>
            <w:bookmarkStart w:id="0" w:name="_Hlk146394850"/>
            <w:r w:rsidRPr="00AB408C">
              <w:rPr>
                <w:rFonts w:ascii="Arial Narrow" w:eastAsia="Arial Narrow" w:hAnsi="Arial Narrow" w:cs="Arial Narrow"/>
                <w:color w:val="000000" w:themeColor="text1"/>
                <w:sz w:val="20"/>
                <w:szCs w:val="20"/>
              </w:rPr>
              <w:t>enhancing their employability, and computer and financial literacy</w:t>
            </w:r>
            <w:bookmarkEnd w:id="0"/>
            <w:r w:rsidRPr="00AB408C">
              <w:rPr>
                <w:rFonts w:ascii="Arial Narrow" w:eastAsia="Arial Narrow" w:hAnsi="Arial Narrow" w:cs="Arial Narrow"/>
                <w:color w:val="000000" w:themeColor="text1"/>
                <w:sz w:val="20"/>
                <w:szCs w:val="20"/>
              </w:rPr>
              <w:t>.</w:t>
            </w:r>
          </w:p>
        </w:tc>
        <w:tc>
          <w:tcPr>
            <w:tcW w:w="1984" w:type="dxa"/>
            <w:tcBorders>
              <w:top w:val="single" w:sz="6" w:space="0" w:color="7F7F7F" w:themeColor="text1" w:themeTint="80"/>
              <w:left w:val="nil"/>
            </w:tcBorders>
            <w:tcMar>
              <w:left w:w="105" w:type="dxa"/>
              <w:right w:w="105" w:type="dxa"/>
            </w:tcMar>
          </w:tcPr>
          <w:p w14:paraId="4D14893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Access to civic services, welfare, and labour market.</w:t>
            </w:r>
          </w:p>
          <w:p w14:paraId="27E040A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611DC37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 Improving mothers’ asset base.</w:t>
            </w:r>
          </w:p>
        </w:tc>
        <w:tc>
          <w:tcPr>
            <w:tcW w:w="2998" w:type="dxa"/>
            <w:tcBorders>
              <w:top w:val="single" w:sz="6" w:space="0" w:color="7F7F7F" w:themeColor="text1" w:themeTint="80"/>
              <w:left w:val="nil"/>
            </w:tcBorders>
            <w:tcMar>
              <w:left w:w="105" w:type="dxa"/>
              <w:right w:w="105" w:type="dxa"/>
            </w:tcMar>
          </w:tcPr>
          <w:p w14:paraId="4DE0F39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Macours and Vakis (2014).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Pw4H4k5g","properties":{"formattedCitation":"(52)","plainCitation":"(52)","noteIndex":0},"citationItems":[{"id":92,"uris":["http://zotero.org/users/11153788/items/B2FBFU7A","http://zotero.org/users/11153788/items/6AMZ9N8D"],"itemData":{"id":92,"type":"article-journal","abstract":"This article analyses the role of interactions with local leaders in amplifying poor households' investment response to a social programme. The causal effect of social interactions is identified through the randomised assignment of leaders and other beneficiaries to three different interventions aimed at increasing human capital and productive investments. Social interactions are found to augment programme impacts on households' investments in education, nutrition and income-generating activities and to affect households' attitudes towards the future.","container-title":"The Economic Journal","DOI":"10.1111/ecoj.12145","ISSN":"1468-0297","issue":"576","language":"en","note":"_eprint: https://onlinelibrary.wiley.com/doi/pdf/10.1111/ecoj.12145","page":"607-633","source":"Wiley Online Library","title":"Changing Households' Investment Behaviour through Social Interactions with Local Leaders: Evidence from a Randomised Transfer Programme","title-short":"Changing Households' Investment Behaviour through Social Interactions with Local Leaders","volume":"124","author":[{"family":"Macours","given":"Karen"},{"family":"Vakis","given":"Renos"}],"issued":{"date-parts":[["2014"]]}}}],"schema":"https://github.com/citation-style-language/schema/raw/master/csl-citation.json"}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(52)</w:t>
            </w:r>
            <w:r w:rsidRPr="00AB408C">
              <w:rPr>
                <w:rFonts w:ascii="Arial Narrow" w:eastAsia="Arial Narrow" w:hAnsi="Arial Narrow" w:cs="Arial Narrow"/>
                <w:color w:val="000000" w:themeColor="text1"/>
                <w:sz w:val="20"/>
                <w:szCs w:val="20"/>
              </w:rPr>
              <w:fldChar w:fldCharType="end"/>
            </w:r>
          </w:p>
          <w:p w14:paraId="49EEB52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Nicaragua. </w:t>
            </w:r>
          </w:p>
          <w:p w14:paraId="65A7D72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Scholarship for a vocational training for one adult in a cash support recipient household. Support is conditional and complemented with example setting from social interaction with local leaders. Focus is on education, health and nutrition and changing households’ perspectives about investment in long-term human capital.</w:t>
            </w:r>
          </w:p>
          <w:p w14:paraId="72F5F26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6060F6D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886" w:type="dxa"/>
            <w:tcBorders>
              <w:top w:val="single" w:sz="6" w:space="0" w:color="7F7F7F" w:themeColor="text1" w:themeTint="80"/>
              <w:left w:val="nil"/>
            </w:tcBorders>
            <w:tcMar>
              <w:left w:w="105" w:type="dxa"/>
              <w:right w:w="105" w:type="dxa"/>
            </w:tcMar>
          </w:tcPr>
          <w:p w14:paraId="02EB64F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Reduced number of days children are absent from schools, increased expenditure on school, and healthy food such as fruit and vegetables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ZRn5tPM9","properties":{"formattedCitation":"(52)","plainCitation":"(52)","noteIndex":0},"citationItems":[{"id":92,"uris":["http://zotero.org/users/11153788/items/B2FBFU7A","http://zotero.org/users/11153788/items/6AMZ9N8D"],"itemData":{"id":92,"type":"article-journal","abstract":"This article analyses the role of interactions with local leaders in amplifying poor households' investment response to a social programme. The causal effect of social interactions is identified through the randomised assignment of leaders and other beneficiaries to three different interventions aimed at increasing human capital and productive investments. Social interactions are found to augment programme impacts on households' investments in education, nutrition and income-generating activities and to affect households' attitudes towards the future.","container-title":"The Economic Journal","DOI":"10.1111/ecoj.12145","ISSN":"1468-0297","issue":"576","language":"en","note":"_eprint: https://onlinelibrary.wiley.com/doi/pdf/10.1111/ecoj.12145","page":"607-633","source":"Wiley Online Library","title":"Changing Households' Investment Behaviour through Social Interactions with Local Leaders: Evidence from a Randomised Transfer Programme","title-short":"Changing Households' Investment Behaviour through Social Interactions with Local Leaders","volume":"124","author":[{"family":"Macours","given":"Karen"},{"family":"Vakis","given":"Renos"}],"issued":{"date-parts":[["2014"]]}}}],"schema":"https://github.com/citation-style-language/schema/raw/master/csl-citation.json"}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tcBorders>
          </w:tcPr>
          <w:p w14:paraId="1B8D01B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 government needs to open up opportunities where we can volunteer. It’s not like we want money from it, we just want it to help, with opportunities to learn skills and have experience. So that we don’t just sit and do nothing. (FGD 2)</w:t>
            </w:r>
          </w:p>
          <w:p w14:paraId="0B86B25B"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975096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We've got few organizations that offer skills development, but it goes back to lack of knowledge, our community don't research. (Participant 16, CBO8)</w:t>
            </w:r>
          </w:p>
        </w:tc>
      </w:tr>
      <w:tr w:rsidR="00CD1362" w:rsidRPr="00AB408C" w14:paraId="333DABFF" w14:textId="77777777" w:rsidTr="00971419">
        <w:trPr>
          <w:trHeight w:val="600"/>
        </w:trPr>
        <w:tc>
          <w:tcPr>
            <w:cnfStyle w:val="001000000000" w:firstRow="0" w:lastRow="0" w:firstColumn="1" w:lastColumn="0" w:oddVBand="0" w:evenVBand="0" w:oddHBand="0" w:evenHBand="0" w:firstRowFirstColumn="0" w:firstRowLastColumn="0" w:lastRowFirstColumn="0" w:lastRowLastColumn="0"/>
            <w:tcW w:w="1274" w:type="dxa"/>
            <w:vMerge/>
            <w:tcMar>
              <w:left w:w="105" w:type="dxa"/>
              <w:right w:w="105" w:type="dxa"/>
            </w:tcMar>
            <w:vAlign w:val="center"/>
          </w:tcPr>
          <w:p w14:paraId="4BC2EC8A"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tcBorders>
            <w:shd w:val="clear" w:color="auto" w:fill="FFFFFF" w:themeFill="background1"/>
            <w:tcMar>
              <w:left w:w="105" w:type="dxa"/>
              <w:right w:w="105" w:type="dxa"/>
            </w:tcMar>
          </w:tcPr>
          <w:p w14:paraId="0FF93E35"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Maternity protection entitlements </w:t>
            </w:r>
          </w:p>
          <w:p w14:paraId="67D4231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5052E6C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176CF7D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783" w:type="dxa"/>
            <w:tcBorders>
              <w:top w:val="single" w:sz="6" w:space="0" w:color="7F7F7F" w:themeColor="text1" w:themeTint="80"/>
              <w:left w:val="nil"/>
              <w:right w:val="nil"/>
            </w:tcBorders>
          </w:tcPr>
          <w:p w14:paraId="4A6D349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The CSG will be extended to pregnancy, reducing worry about money. </w:t>
            </w:r>
            <w:r w:rsidRPr="00AB408C">
              <w:rPr>
                <w:rFonts w:ascii="Arial Narrow" w:eastAsia="Arial Narrow" w:hAnsi="Arial Narrow" w:cs="Arial Narrow"/>
                <w:color w:val="000000" w:themeColor="text1"/>
                <w:sz w:val="20"/>
                <w:szCs w:val="20"/>
              </w:rPr>
              <w:lastRenderedPageBreak/>
              <w:t>Moms in formal and informal employment will receive income for up to 6 months of maternity leave.*</w:t>
            </w:r>
          </w:p>
        </w:tc>
        <w:tc>
          <w:tcPr>
            <w:tcW w:w="1984" w:type="dxa"/>
            <w:tcBorders>
              <w:top w:val="single" w:sz="6" w:space="0" w:color="7F7F7F" w:themeColor="text1" w:themeTint="80"/>
              <w:left w:val="nil"/>
            </w:tcBorders>
            <w:tcMar>
              <w:left w:w="105" w:type="dxa"/>
              <w:right w:w="105" w:type="dxa"/>
            </w:tcMar>
          </w:tcPr>
          <w:p w14:paraId="5A869EB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 xml:space="preserve">Affordable healthier foods. Access to civic </w:t>
            </w:r>
            <w:r w:rsidRPr="00AB408C">
              <w:rPr>
                <w:rFonts w:ascii="Arial Narrow" w:eastAsia="Arial Narrow" w:hAnsi="Arial Narrow" w:cs="Arial Narrow"/>
                <w:color w:val="000000" w:themeColor="text1"/>
                <w:sz w:val="20"/>
                <w:szCs w:val="20"/>
              </w:rPr>
              <w:lastRenderedPageBreak/>
              <w:t>services, welfare, and labour market.</w:t>
            </w:r>
          </w:p>
          <w:p w14:paraId="79842FA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5F2594C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 xml:space="preserve">Freeing up personal income. </w:t>
            </w:r>
          </w:p>
          <w:p w14:paraId="3FC87DA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Improving mothers’ asset base.</w:t>
            </w:r>
          </w:p>
        </w:tc>
        <w:tc>
          <w:tcPr>
            <w:tcW w:w="2998" w:type="dxa"/>
            <w:tcBorders>
              <w:top w:val="single" w:sz="6" w:space="0" w:color="7F7F7F" w:themeColor="text1" w:themeTint="80"/>
              <w:left w:val="nil"/>
            </w:tcBorders>
            <w:tcMar>
              <w:left w:w="105" w:type="dxa"/>
              <w:right w:w="105" w:type="dxa"/>
            </w:tcMar>
          </w:tcPr>
          <w:p w14:paraId="0989BC8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Le and Nguyen (2022)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{"citationID":"0r6br5IW","properties":{"formattedCitation":"(53)","plainCitation":"(53)","noteIndex":0},"citationItems":[{"id":404,"uris":["http://zotero.org/users/11153788/items/NQ2X6F5E"],"itemData":{"id":404,"type":"article-journal","abstract":"This study investigates the extent to which paid maternity leave affects educational attainment and adult height in 29 developing countries between 1990 and 2019. The identification hinges upon the variation in the educational achievement and health outcomes of individuals residing in the same place but exposed to different lengths of paid maternity leave at birth due to policy reforms. The analysis uncovers the long-lasting favorable effects of paid maternity leave as an additional week of leave duration could result in an increase of around 0.007 years in educational attainment and 0.056</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cm in adult height. The study calls for the enforcement and extension of paid maternity leave.","container-title":"Humanities and Social Sciences Communications","DOI":"10.1057/s41599-022-01340-z","ISSN":"2662-9992","issue":"1","journalAbbreviation":"Humanit Soc Sci Commun","language":"en","license":"2022 The Author(s)","note":"number: 1\npublisher: Palgrave","page":"1-8","source":"www.nature.com","title":"The long-run impacts of paid maternity leave on height and educational attainment","volume":"9","author":[{"family":"Le","given":"Kien"},{"family":"Nguyen","given":"My"}],"issued":{"date-parts":[["2022",9,16]]}}}],"schema":"https://github.com/citation-style-language/schema/raw/master/csl-citation.json"}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(53)</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p w14:paraId="04122B63"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29 LMICs.</w:t>
            </w:r>
            <w:r w:rsidRPr="00AB408C">
              <w:rPr>
                <w:rFonts w:ascii="Arial Narrow" w:hAnsi="Arial Narrow"/>
                <w:color w:val="000000" w:themeColor="text1"/>
                <w:sz w:val="20"/>
                <w:szCs w:val="20"/>
              </w:rPr>
              <w:br/>
            </w:r>
            <w:r w:rsidRPr="00AB408C">
              <w:rPr>
                <w:rFonts w:ascii="Arial Narrow" w:eastAsia="Arial Narrow" w:hAnsi="Arial Narrow" w:cs="Arial Narrow"/>
                <w:color w:val="000000" w:themeColor="text1"/>
                <w:sz w:val="20"/>
                <w:szCs w:val="20"/>
              </w:rPr>
              <w:t xml:space="preserve">Chai et al (2018)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{"citationID":"GQ4KXiO0","properties":{"formattedCitation":"(54)","plainCitation":"(54)","noteIndex":0},"citationItems":[{"id":402,"uris":["http://zotero.org/users/11153788/items/QMVURRGH"],"itemData":{"id":402,"type":"article-journal","abstract":"Introduction\nAmong all barriers to breastfeeding, the need to work has been cited as one of the top reasons for not breastfeeding overall and for early weaning among mothers who seek to breastfeed. We aimed to examine whether extending the duration of paid maternity leave available to new mothers affected early initiation of breastfeeding, exclusive breastfeeding under 6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months and breastfeeding duration in low-income and middle-income countries (LMICs).\n\nMethods\nWe merged longitudinal data measuring national maternity leave policies with information on breastfeeding related to 992</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419 live births occurring between 1996 and 2014 in 38 LMICs that participated in the Demographic and Health Surveys. We used a difference-in-differences approach to compare changes in the prevalence of early initiation and exclusive breastfeeding, as well as the duration of breastfeeding, among treated countries that lengthened their paid maternity leave policy between 1995 and 2013 versus control countries that did not. Regression models included country and year fixed effects, as well as measured individual-level, household-level and country-level covariates. All models incorporated robust SEs and respondent-level sampling weights.\n\nResults\nA 1-month increase in the legislated duration of paid maternity leave was associated with a 7.4 percentage point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3.2 to 11.7) in the prevalence of early initiation of breastfeeding, a 5.9 percentage point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2.0 to 9.8) in the prevalence of exclusive breastfeeding and a 2.2-</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month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1.1 to 3.4) in breastfeeding duration.\n\nConclusion\nExtending the duration of legislated paid maternity leave appears to promote breastfeeding practices in LMICs. Our findings suggest a potential mechanism to reduce barriers to breastfeeding for working mothers.","container-title":"BMJ Global Health","DOI":"10.1136/bmjgh-2018-001032","ISSN":"2059-7908","issue":"5","journalAbbreviation":"BMJ Glob Health","note":"PMID: 30364395\nPMCID: PMC6195155","page":"e001032","source":"PubMed Central","title":"Does extending the duration of legislated paid maternity leave improve breastfeeding practices? Evidence from 38 low-income and middle-income countries","title-short":"Does extending the duration of legislated paid maternity leave improve breastfeeding practices?","volume":"3","author":[{"family":"Chai","given":"Yan"},{"family":"Nandi","given":"Arijit"},{"family":"Heymann","given":"Jody"}],"issued":{"date-parts":[["2018",10,11]]}}}],"schema":"https://github.com/citation-style-language/schema/raw/master/csl-citation.json"}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p w14:paraId="48172C1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38 LMICs.</w:t>
            </w:r>
          </w:p>
          <w:p w14:paraId="3C042263"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Chai et al (2022)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{"citationID":"nLdk5m37","properties":{"formattedCitation":"(55)","plainCitation":"(55)","noteIndex":0},"citationItems":[{"id":401,"uris":["http://zotero.org/users/11153788/items/FKSCLJI3"],"itemData":{"id":401,"type":"article-journal","abstract":"Globally, women continue to have less economic decision-making power and face gender-unequal norms at work. Little is known about the impact of national public policies on norms surrounding equality. We examined the impact of extending paid maternity leave policy on decision making in the household and gender norms in the workplace, specifically whether women have sole or joint decision-making power with respect to large household purchases and whether women are perceived as having an equal right to jobs when jobs are scarce. We used difference-in-differences models to analyze the impact of increasing paid maternity leave on outcomes measured in the Demographic Health Surveys and World Values Surveys collected in 31 low- and middle-income countries. A one-month increase in the legislated duration of paid maternity leave increased the odds that women and their partners/spouses reported that women had more decision-making power by 40% (95% CI 1.14, 1.70) and 66% (95% CI 1.36, 2.03), respectively. A one-month increase in the legislated duration of paid maternity leave was associated with 41.5 percentage-point increase in the prevalence of individuals disagreeing with the statement that “when jobs are scarce, men should have more right to a job than women.” More generous maternity leave increases gender equality in economic decision making in the household and improves gender norms related to work. Future studies should examine the impact of paternity leave and non-discrimination policy, as well as other large-scale policies aiming to improve gender equality at work and at home.","container-title":"Gender Issues","DOI":"10.1007/s12147-021-09293-4","ISSN":"1936-4717","issue":"3","journalAbbreviation":"Gend. Issues","language":"en","page":"335-367","source":"Springer Link","title":"Does Enhancing Paid Maternity Leave Policy Help Promote Gender Equality? Evidence from 31 Low- and Middle-Income Countries","title-short":"Does Enhancing Paid Maternity Leave Policy Help Promote Gender Equality?","volume":"39","author":[{"family":"Chai","given":"Yan"},{"family":"Ríos-Salas","given":"Vanessa"},{"family":"Stek","given":"Pam"},{"family":"Heymann","given":"Jody"}],"issued":{"date-parts":[["2022",9,1]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(55)</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p w14:paraId="05A7FF3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19 LMICs. </w:t>
            </w:r>
          </w:p>
          <w:p w14:paraId="18F7A7B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Extension of paid maternity leave policy.</w:t>
            </w:r>
          </w:p>
          <w:p w14:paraId="6FEB030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25E0300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Briaux et al. (2020)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{"citationID":"go0pFrny","properties":{"formattedCitation":"(56)","plainCitation":"(56)","noteIndex":0},"citationItems":[{"id":405,"uris":["http://zotero.org/users/11153788/items/Y6C9LXGH"],"itemData":{"id":405,"type":"article-journal","abstract":"Background In 2014, the government of Togo implemented a pilot unconditional cash transfer (UCT) program in rural villages that aimed at improving children’s nutrition, health, and protection. It combined monthly UCTs (approximately US$8.40 /month) with a package of community activities (including behavior change communication [BCC] sessions, home visits, and integrated community case management of childhood illnesses and acute malnutrition [ICCM-Nut]) delivered to mother–child pairs during the first “1,000 days” of life. We primarily investigated program impact at population level on children’s height-for-age z-scores (HAZs) and secondarily on stunting (HAZ &lt; −2) and intermediary outcomes including household’s food insecurity, mother–child pairs’ diet and health, delivery in a health facility and low birth weight (LBW), women’s knowledge, and physical intimate partner violence (IPV). Methods and findings We implemented a parallel-cluster–randomized controlled trial, in which 162 villages were randomized into either an intervention arm (UCTs + package of community activities, n = 82) or a control arm (package of community activities only, n = 80). Two different representative samples of children aged 6–29 months and their mothers were surveyed in each arm, one before the intervention in 2014 (control: n = 1,301, intervention: n = 1,357), the other 2 years afterwards in 2016 (control: n = 996, intervention: n = 1,035). Difference-in-differences (DD) estimates of impact were calculated, adjusting for clustering. Children’s average age was 17.4 (± 0.24 SE) months in the control arm and 17.6 (± 0.19 SE) months in the intervention arm at baseline. UCTs had a protective effect on HAZ (DD = +0.25 z-scores, 95% confidence interval [CI]: 0.01–0.50, p = 0.039), which deteriorated in the control arm while remaining stable in the intervention arm, but had no impact on stunting (DD = −6.2 percentage points [pp], relative odds ratio [ROR]: 0.74, 95% CI: 0.51–1.06, p = 0.097). UCTs positively impacted both mothers’ and children’s (18–23 months) consumption of animal source foods (ASFs) (respectively, DD = +4.5 pp, ROR: 2.24, 95% CI: 1.09–4.61, p = 0.029 and DD = +9.1 pp, ROR: 2.65, 95% CI: 1.01–6.98, p = 0.048) and household food insecurity (DD = −10.7 pp, ROR: 0.63, 95% CI: 0.43–0.91, p = 0.016). UCTs did not impact on reported child morbidity 2 week’s prior to report (DD = −3.5 pp, ROR: 0.80, 95% CI: 0.56–1.14, p = 0.214) but reduced the financial barrier to seeking healthcare for sick children (DD = −26.4 pp, ROR: 0.23, 95% CI: 0.08–0.66, p = 0.006). Women who received cash had higher odds of delivering in a health facility (DD = +10.6 pp, ROR: 1.53, 95% CI: 1.10–2.13, p = 0.012) and lower odds of giving birth to babies with birth weights (BWs) &lt;2,500 g (DD = −11.8, ROR: 0.29, 95% CI: 0.10–0.82, p = 0.020). Positive effects were also found on women’s knowledge (DD = +14.8, ROR: 1.86, 95% CI: 1.32–2.62, p &lt; 0.001) and physical IPV (DD = −7.9 pp, ROR: 0.60, 95% CI: 0.36–0.99, p = 0.048). Study limitations included the short evaluation period (24 months) and the low coverage of UCTs, which might have reduced the program’s impact. Conclusions UCTs targeting the first “1,000 days” had a protective effect on child’s linear growth in rural areas of Togo. Their simultaneous positive effects on various immediate, underlying, and basic causes of malnutrition certainly contributed to this ultimate impact. The positive impacts observed on pregnancy- and birth-related outcomes call for further attention to the conception period in nutrition-sensitive programs. Trial registration ISRCTN Registry ISRCTN83330970.","container-title":"PLOS Medicine","DOI":"10.1371/journal.pmed.1003388","ISSN":"1549-1676","issue":"11","journalAbbreviation":"PLOS Medicine","language":"en","note":"publisher: Public Library of Science","page":"e1003388","source":"PLoS Journals","title":"Evaluation of an unconditional cash transfer program targeting children’s first-1,000–days linear growth in rural Togo: A cluster-randomized controlled trial","title-short":"Evaluation of an unconditional cash transfer program targeting children’s first-1,000–days linear growth in rural Togo","volume":"17","author":[{"family":"Briaux","given":"Justine"},{"family":"Martin-Prevel","given":"Yves"},{"family":"Carles","given":"Sophie"},{"family":"Fortin","given":"Sonia"},{"family":"Kameli","given":"Yves"},{"family":"Adubra","given":"Laura"},{"family":"Renk","given":"Andréa"},{"family":"Agboka","given":"Yawavi"},{"family":"Romedenne","given":"Magali"},{"family":"Mukantambara","given":"Félicité"},{"family":"Dyck","given":"John Van"},{"family":"Boko","given":"Joachim"},{"family":"Becquet","given":"Renaud"},{"family":"Savy","given":"Mathilde"}],"issued":{"date-parts":[["2020",11,17]]}}}],"schema":"https://github.com/citation-style-language/schema/raw/master/csl-citation.json"}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(56)</w:t>
            </w:r>
            <w:r w:rsidRPr="00AB408C">
              <w:rPr>
                <w:rFonts w:ascii="Arial Narrow" w:eastAsia="Arial Narrow" w:hAnsi="Arial Narrow" w:cs="Arial Narrow"/>
                <w:color w:val="000000" w:themeColor="text1"/>
                <w:sz w:val="20"/>
                <w:szCs w:val="20"/>
              </w:rPr>
              <w:fldChar w:fldCharType="end"/>
            </w:r>
          </w:p>
          <w:p w14:paraId="249F92E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Togo. </w:t>
            </w:r>
          </w:p>
          <w:p w14:paraId="18D456C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Unconditional cash transfer (USD 8.40/month)</w:t>
            </w:r>
            <w:r w:rsidRPr="00AB408C">
              <w:rPr>
                <w:rFonts w:ascii="Arial Narrow" w:hAnsi="Arial Narrow"/>
                <w:color w:val="000000" w:themeColor="text1"/>
                <w:sz w:val="20"/>
                <w:szCs w:val="20"/>
                <w:shd w:val="clear" w:color="auto" w:fill="FFFFFF"/>
              </w:rPr>
              <w:t xml:space="preserve"> </w:t>
            </w:r>
            <w:r w:rsidRPr="00AB408C">
              <w:rPr>
                <w:rFonts w:ascii="Arial Narrow" w:eastAsia="Arial Narrow" w:hAnsi="Arial Narrow" w:cs="Arial Narrow"/>
                <w:color w:val="000000" w:themeColor="text1"/>
                <w:sz w:val="20"/>
                <w:szCs w:val="20"/>
              </w:rPr>
              <w:t>from pregnancy to a child’s second birthday.</w:t>
            </w:r>
          </w:p>
          <w:p w14:paraId="2511F17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886" w:type="dxa"/>
            <w:tcBorders>
              <w:top w:val="single" w:sz="6" w:space="0" w:color="7F7F7F" w:themeColor="text1" w:themeTint="80"/>
              <w:left w:val="nil"/>
            </w:tcBorders>
            <w:tcMar>
              <w:left w:w="105" w:type="dxa"/>
              <w:right w:w="105" w:type="dxa"/>
            </w:tcMar>
          </w:tcPr>
          <w:p w14:paraId="3C699F5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Higher educational attainment and adult height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{"citationID":"iBJncevm","properties":{"formattedCitation":"(53)","plainCitation":"(53)","noteIndex":0},"citationItems":[{"id":404,"uris":["http://zotero.org/users/11153788/items/NQ2X6F5E"],"itemData":{"id":404,"type":"article-journal","abstract":"This study investigates the extent to which paid maternity leave affects educational attainment and adult height in 29 developing countries between 1990 and 2019. The identification hinges upon the variation in the educational achievement and health outcomes of individuals residing in the same place but exposed to different lengths of paid maternity leave at birth due to policy reforms. The analysis uncovers the long-lasting favorable effects of paid maternity leave as an additional week of leave duration could result in an increase of around 0.007 years in educational attainment and 0.056</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cm in adult height. The study calls for the enforcement and extension of paid maternity leave.","container-title":"Humanities and Social Sciences Communications","DOI":"10.1057/s41599-022-01340-z","ISSN":"2662-9992","issue":"1","journalAbbreviation":"Humanit Soc Sci Commun","language":"en","license":"2022 The Author(s)","note":"number: 1\npublisher: Palgrave","page":"1-8","source":"www.nature.com","title":"The long-run impacts of paid maternity leave on height and educational attainment","volume":"9","author":[{"family":"Le","given":"Kien"},{"family":"Nguyen","given":"My"}],"issued":{"date-parts":[["2022",9,16]]}}}],"schema":"https://github.com/citation-style-language/schema/raw/master/csl-citation.json"}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(53)</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positive effect on early </w:t>
            </w:r>
            <w:r w:rsidRPr="00AB408C">
              <w:rPr>
                <w:rFonts w:ascii="Arial Narrow" w:eastAsia="Arial Narrow" w:hAnsi="Arial Narrow" w:cs="Arial Narrow"/>
                <w:color w:val="000000" w:themeColor="text1"/>
                <w:sz w:val="20"/>
                <w:szCs w:val="20"/>
              </w:rPr>
              <w:lastRenderedPageBreak/>
              <w:t xml:space="preserve">initiation and duration of breastfeeding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{"citationID":"YzFqT5Sj","properties":{"formattedCitation":"(54)","plainCitation":"(54)","noteIndex":0},"citationItems":[{"id":402,"uris":["http://zotero.org/users/11153788/items/QMVURRGH"],"itemData":{"id":402,"type":"article-journal","abstract":"Introduction\nAmong all barriers to breastfeeding, the need to work has been cited as one of the top reasons for not breastfeeding overall and for early weaning among mothers who seek to breastfeed. We aimed to examine whether extending the duration of paid maternity leave available to new mothers affected early initiation of breastfeeding, exclusive breastfeeding under 6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months and breastfeeding duration in low-income and middle-income countries (LMICs).\n\nMethods\nWe merged longitudinal data measuring national maternity leave policies with information on breastfeeding related to 992</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419 live births occurring between 1996 and 2014 in 38 LMICs that participated in the Demographic and Health Surveys. We used a difference-in-differences approach to compare changes in the prevalence of early initiation and exclusive breastfeeding, as well as the duration of breastfeeding, among treated countries that lengthened their paid maternity leave policy between 1995 and 2013 versus control countries that did not. Regression models included country and year fixed effects, as well as measured individual-level, household-level and country-level covariates. All models incorporated robust SEs and respondent-level sampling weights.\n\nResults\nA 1-month increase in the legislated duration of paid maternity leave was associated with a 7.4 percentage point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3.2 to 11.7) in the prevalence of early initiation of breastfeeding, a 5.9 percentage point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2.0 to 9.8) in the prevalence of exclusive breastfeeding and a 2.2-</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month increase (95% </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1.1 to 3.4) in breastfeeding duration.\n\nConclusion\nExtending the duration of legislated paid maternity leave appears to promote breastfeeding practices in LMICs. Our findings suggest a potential mechanism to reduce barriers to breastfeeding for working mothers.","container-title":"BMJ Global Health","DOI":"10.1136/bmjgh-2018-001032","ISSN":"2059-7908","issue":"5","journalAbbreviation":"BMJ Glob Health","note":"PMID: 30364395\nPMCID: PMC6195155","page":"e001032","source":"PubMed Central","title":"Does extending the duration of legislated paid maternity leave improve breastfeeding practices? Evidence from 38 low-income and middle-income countries","title-short":"Does extending the duration of legislated paid maternity leave improve breastfeeding practices?","volume":"3","author":[{"family":"Chai","given":"Yan"},{"family":"Nandi","given":"Arijit"},{"family":"Heymann","given":"Jody"}],"issued":{"date-parts":[["2018",10,11]]}}}],"schema":"https://github.com/citation-style-language/schema/raw/master/csl-citation.json"}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and on gender equality (women’s economic decision making power within household, attitude towards women's right to work)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{"citationID":"8GCr2X1z","properties":{"formattedCitation":"(55)","plainCitation":"(55)","noteIndex":0},"citationItems":[{"id":401,"uris":["http://zotero.org/users/11153788/items/FKSCLJI3"],"itemData":{"id":401,"type":"article-journal","abstract":"Globally, women continue to have less economic decision-making power and face gender-unequal norms at work. Little is known about the impact of national public policies on norms surrounding equality. We examined the impact of extending paid maternity leave policy on decision making in the household and gender norms in the workplace, specifically whether women have sole or joint decision-making power with respect to large household purchases and whether women are perceived as having an equal right to jobs when jobs are scarce. We used difference-in-differences models to analyze the impact of increasing paid maternity leave on outcomes measured in the Demographic Health Surveys and World Values Surveys collected in 31 low- and middle-income countries. A one-month increase in the legislated duration of paid maternity leave increased the odds that women and their partners/spouses reported that women had more decision-making power by 40% (95% CI 1.14, 1.70) and 66% (95% CI 1.36, 2.03), respectively. A one-month increase in the legislated duration of paid maternity leave was associated with 41.5 percentage-point increase in the prevalence of individuals disagreeing with the statement that “when jobs are scarce, men should have more right to a job than women.” More generous maternity leave increases gender equality in economic decision making in the household and improves gender norms related to work. Future studies should examine the impact of paternity leave and non-discrimination policy, as well as other large-scale policies aiming to improve gender equality at work and at home.","container-title":"Gender Issues","DOI":"10.1007/s12147-021-09293-4","ISSN":"1936-4717","issue":"3","journalAbbreviation":"Gend. Issues","language":"en","page":"335-367","source":"Springer Link","title":"Does Enhancing Paid Maternity Leave Policy Help Promote Gender Equality? Evidence from 31 Low- and Middle-Income Countries","title-short":"Does Enhancing Paid Maternity Leave Policy Help Promote Gender Equality?","volume":"39","author":[{"family":"Chai","given":"Yan"},{"family":"Ríos-Salas","given":"Vanessa"},{"family":"Stek","given":"Pam"},{"family":"Heymann","given":"Jody"}],"issued":{"date-parts":[["2022",9,1]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(55)</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3B1304DB"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Positive effect on growth, food security, women’s and children’s intake of animal source foods by, prenatal and postnatal iron supplementation, low birthweight, and intimate partner violence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{"citationID":"pctybjlg","properties":{"formattedCitation":"(56)","plainCitation":"(56)","noteIndex":0},"citationItems":[{"id":405,"uris":["http://zotero.org/users/11153788/items/Y6C9LXGH"],"itemData":{"id":405,"type":"article-journal","abstract":"Background In 2014, the government of Togo implemented a pilot unconditional cash transfer (UCT) program in rural villages that aimed at improving children’s nutrition, health, and protection. It combined monthly UCTs (approximately US$8.40 /month) with a package of community activities (including behavior change communication [BCC] sessions, home visits, and integrated community case management of childhood illnesses and acute malnutrition [ICCM-Nut]) delivered to mother–child pairs during the first “1,000 days” of life. We primarily investigated program impact at population level on children’s height-for-age z-scores (HAZs) and secondarily on stunting (HAZ &lt; −2) and intermediary outcomes including household’s food insecurity, mother–child pairs’ diet and health, delivery in a health facility and low birth weight (LBW), women’s knowledge, and physical intimate partner violence (IPV). Methods and findings We implemented a parallel-cluster–randomized controlled trial, in which 162 villages were randomized into either an intervention arm (UCTs + package of community activities, n = 82) or a control arm (package of community activities only, n = 80). Two different representative samples of children aged 6–29 months and their mothers were surveyed in each arm, one before the intervention in 2014 (control: n = 1,301, intervention: n = 1,357), the other 2 years afterwards in 2016 (control: n = 996, intervention: n = 1,035). Difference-in-differences (DD) estimates of impact were calculated, adjusting for clustering. Children’s average age was 17.4 (± 0.24 SE) months in the control arm and 17.6 (± 0.19 SE) months in the intervention arm at baseline. UCTs had a protective effect on HAZ (DD = +0.25 z-scores, 95% confidence interval [CI]: 0.01–0.50, p = 0.039), which deteriorated in the control arm while remaining stable in the intervention arm, but had no impact on stunting (DD = −6.2 percentage points [pp], relative odds ratio [ROR]: 0.74, 95% CI: 0.51–1.06, p = 0.097). UCTs positively impacted both mothers’ and children’s (18–23 months) consumption of animal source foods (ASFs) (respectively, DD = +4.5 pp, ROR: 2.24, 95% CI: 1.09–4.61, p = 0.029 and DD = +9.1 pp, ROR: 2.65, 95% CI: 1.01–6.98, p = 0.048) and household food insecurity (DD = −10.7 pp, ROR: 0.63, 95% CI: 0.43–0.91, p = 0.016). UCTs did not impact on reported child morbidity 2 week’s prior to report (DD = −3.5 pp, ROR: 0.80, 95% CI: 0.56–1.14, p = 0.214) but reduced the financial barrier to seeking healthcare for sick children (DD = −26.4 pp, ROR: 0.23, 95% CI: 0.08–0.66, p = 0.006). Women who received cash had higher odds of delivering in a health facility (DD = +10.6 pp, ROR: 1.53, 95% CI: 1.10–2.13, p = 0.012) and lower odds of giving birth to babies with birth weights (BWs) &lt;2,500 g (DD = −11.8, ROR: 0.29, 95% CI: 0.10–0.82, p = 0.020). Positive effects were also found on women’s knowledge (DD = +14.8, ROR: 1.86, 95% CI: 1.32–2.62, p &lt; 0.001) and physical IPV (DD = −7.9 pp, ROR: 0.60, 95% CI: 0.36–0.99, p = 0.048). Study limitations included the short evaluation period (24 months) and the low coverage of UCTs, which might have reduced the program’s impact. Conclusions UCTs targeting the first “1,000 days” had a protective effect on child’s linear growth in rural areas of Togo. Their simultaneous positive effects on various immediate, underlying, and basic causes of malnutrition certainly contributed to this ultimate impact. The positive impacts observed on pregnancy- and birth-related outcomes call for further attention to the conception period in nutrition-sensitive programs. Trial registration ISRCTN Registry ISRCTN83330970.","container-title":"PLOS Medicine","DOI":"10.1371/journal.pmed.1003388","ISSN":"1549-1676","issue":"11","journalAbbreviation":"PLOS Medicine","language":"en","note":"publisher: Public Library of Science","page":"e1003388","source":"PLoS Journals","title":"Evaluation of an unconditional cash transfer program targeting children’s first-1,000–days linear growth in rural Togo: A cluster-randomized controlled trial","title-short":"Evaluation of an unconditional cash transfer program targeting children’s first-1,000–days linear growth in rural Togo","volume":"17","author":[{"family":"Briaux","given":"Justine"},{"family":"Martin-Prevel","given":"Yves"},{"family":"Carles","given":"Sophie"},{"family":"Fortin","given":"Sonia"},{"family":"Kameli","given":"Yves"},{"family":"Adubra","given":"Laura"},{"family":"Renk","given":"Andréa"},{"family":"Agboka","given":"Yawavi"},{"family":"Romedenne","given":"Magali"},{"family":"Mukantambara","given":"Félicité"},{"family":"Dyck","given":"John Van"},{"family":"Boko","given":"Joachim"},{"family":"Becquet","given":"Renaud"},{"family":"Savy","given":"Mathilde"}],"issued":{"date-parts":[["2020",11,17]]}}}],"schema":"https://github.com/citation-style-language/schema/raw/master/csl-citation.json"}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w:t>
            </w:r>
          </w:p>
        </w:tc>
        <w:tc>
          <w:tcPr>
            <w:tcW w:w="2434" w:type="dxa"/>
            <w:tcBorders>
              <w:top w:val="single" w:sz="6" w:space="0" w:color="7F7F7F" w:themeColor="text1" w:themeTint="80"/>
              <w:left w:val="nil"/>
            </w:tcBorders>
          </w:tcPr>
          <w:p w14:paraId="63AE122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Let’s say you are still pregnant, and you plan on how you are going to do your budget until month-end. After </w:t>
            </w:r>
            <w:r w:rsidRPr="00AB408C">
              <w:rPr>
                <w:rFonts w:ascii="Arial Narrow" w:eastAsia="Arial Narrow" w:hAnsi="Arial Narrow" w:cs="Arial Narrow"/>
                <w:color w:val="000000" w:themeColor="text1"/>
                <w:sz w:val="20"/>
                <w:szCs w:val="20"/>
              </w:rPr>
              <w:lastRenderedPageBreak/>
              <w:t>having the child, you find that the budget has to be more. It’s not like what or how you planned. (FGD 2)</w:t>
            </w:r>
          </w:p>
          <w:p w14:paraId="27FA949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53244B5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You don't necessarily get the child support grant as soon as you give birth. It is a process for you to register to get that ZAR 250 for that particular baby. (Participant 9, CBO4)</w:t>
            </w:r>
          </w:p>
          <w:p w14:paraId="326A14B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2AA912A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That's another challenge. If you saying to a mother that she just given birth to them, they must go get fruits, vegetables, they don't have income for that. As a matter of fact, they are waiting for the first grant money to come in for them to be able to start buying milk and nappies for the child. Now who takes care of the mother and probably the father of the child is nowhere to be found. In most cases, you find that you know that the mother is there, but there's no financial stability within that set up. (Participant 14, CBO6)</w:t>
            </w:r>
          </w:p>
        </w:tc>
      </w:tr>
      <w:tr w:rsidR="00CD1362" w:rsidRPr="00AB408C" w14:paraId="33B839EB" w14:textId="77777777" w:rsidTr="009714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4" w:type="dxa"/>
            <w:vMerge/>
            <w:tcMar>
              <w:left w:w="105" w:type="dxa"/>
              <w:right w:w="105" w:type="dxa"/>
            </w:tcMar>
            <w:vAlign w:val="center"/>
          </w:tcPr>
          <w:p w14:paraId="5FFC1DDE"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4" w:space="0" w:color="auto"/>
              <w:left w:val="nil"/>
              <w:bottom w:val="nil"/>
              <w:right w:val="nil"/>
            </w:tcBorders>
            <w:shd w:val="clear" w:color="auto" w:fill="FFFFFF" w:themeFill="background1"/>
            <w:tcMar>
              <w:left w:w="105" w:type="dxa"/>
              <w:right w:w="105" w:type="dxa"/>
            </w:tcMar>
          </w:tcPr>
          <w:p w14:paraId="6612AB6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Free quality childcare</w:t>
            </w:r>
          </w:p>
        </w:tc>
        <w:tc>
          <w:tcPr>
            <w:tcW w:w="1783" w:type="dxa"/>
            <w:tcBorders>
              <w:top w:val="single" w:sz="4" w:space="0" w:color="auto"/>
              <w:left w:val="nil"/>
              <w:bottom w:val="nil"/>
              <w:right w:val="nil"/>
            </w:tcBorders>
          </w:tcPr>
          <w:p w14:paraId="7545B15B"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Low-cost or free day-care will be provided for children, while moms are at work or looking for employment.</w:t>
            </w:r>
          </w:p>
        </w:tc>
        <w:tc>
          <w:tcPr>
            <w:tcW w:w="1984" w:type="dxa"/>
            <w:tcBorders>
              <w:top w:val="single" w:sz="4" w:space="0" w:color="auto"/>
              <w:left w:val="nil"/>
              <w:bottom w:val="nil"/>
              <w:right w:val="nil"/>
            </w:tcBorders>
            <w:tcMar>
              <w:left w:w="105" w:type="dxa"/>
              <w:right w:w="105" w:type="dxa"/>
            </w:tcMar>
          </w:tcPr>
          <w:p w14:paraId="0DB1D95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 Access to civic services, welfare, and labour market. Social support.</w:t>
            </w:r>
          </w:p>
          <w:p w14:paraId="7AEB73A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35C0F5C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 xml:space="preserve">Freeing up personal income. </w:t>
            </w:r>
            <w:r w:rsidRPr="00AB408C">
              <w:rPr>
                <w:rFonts w:ascii="Arial Narrow" w:eastAsia="Arial Narrow" w:hAnsi="Arial Narrow" w:cs="Arial Narrow"/>
                <w:color w:val="000000" w:themeColor="text1"/>
                <w:sz w:val="20"/>
                <w:szCs w:val="20"/>
              </w:rPr>
              <w:lastRenderedPageBreak/>
              <w:t>Creating a supportive environment.</w:t>
            </w:r>
          </w:p>
        </w:tc>
        <w:tc>
          <w:tcPr>
            <w:tcW w:w="2998" w:type="dxa"/>
            <w:tcBorders>
              <w:top w:val="single" w:sz="4" w:space="0" w:color="auto"/>
              <w:left w:val="nil"/>
              <w:bottom w:val="nil"/>
              <w:right w:val="nil"/>
            </w:tcBorders>
            <w:tcMar>
              <w:left w:w="105" w:type="dxa"/>
              <w:right w:w="105" w:type="dxa"/>
            </w:tcMar>
          </w:tcPr>
          <w:p w14:paraId="46A2D0C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Hojman and Boo (2022)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{"citationID":"EOzwRXTO","properties":{"formattedCitation":"(27)","plainCitation":"(27)","noteIndex":0},"citationItems":[{"id":416,"uris":["http://zotero.org/users/11153788/items/IA5ARVG2"],"itemData":{"id":416,"type":"article-journal","abstract":"This paper evaluates a public childcare program for children ages 0–4 in poor urban areas in Nicaragua. Our identification strategy exploits the program’s neighborhood-level randomization as exogenous variation to tackle imperfect compliance with the original treatment assignments. We find a positive impact of 0.38 standard deviations on socio-emotional skills and a 12-percentage-point increase on mothers’ work, which makes the program highly cost-effective. We do not find evidence of substantial heterogeneity of impacts across observed or unobserved household characteristics, and we present suggestive evidence of the importance of center quality for generating positive impacts.","container-title":"Journal of Public Economics","DOI":"10.1016/j.jpubeco.2022.104686","ISSN":"0047-2727","journalAbbreviation":"Journal of Public Economics","page":"104686","source":"ScienceDirect","title":"Public childcare benefits children and mothers: Evidence from a nationwide experiment in a developing country","title-short":"Public childcare benefits children and mothers","volume":"212","author":[{"family":"Hojman","given":"Andrés"},{"family":"Lopez Boo","given":"Florencia"}],"issued":{"date-parts":[["2022",8,1]]}}}],"schema":"https://github.com/citation-style-language/schema/raw/master/csl-citation.json"}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(27)</w:t>
            </w:r>
            <w:r w:rsidRPr="00AB408C">
              <w:rPr>
                <w:rFonts w:ascii="Arial Narrow" w:eastAsia="Arial Narrow" w:hAnsi="Arial Narrow" w:cs="Arial Narrow"/>
                <w:color w:val="000000" w:themeColor="text1"/>
                <w:sz w:val="20"/>
                <w:szCs w:val="20"/>
              </w:rPr>
              <w:fldChar w:fldCharType="end"/>
            </w:r>
          </w:p>
          <w:p w14:paraId="6F2F4BA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Urban Nicaragua. </w:t>
            </w:r>
          </w:p>
          <w:p w14:paraId="0477750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Government led increase in availability and quality of childcare centers, targeting urban families living in extreme poverty.</w:t>
            </w:r>
          </w:p>
        </w:tc>
        <w:tc>
          <w:tcPr>
            <w:tcW w:w="1886" w:type="dxa"/>
            <w:tcBorders>
              <w:top w:val="single" w:sz="4" w:space="0" w:color="auto"/>
              <w:left w:val="nil"/>
              <w:bottom w:val="nil"/>
              <w:right w:val="nil"/>
            </w:tcBorders>
            <w:tcMar>
              <w:left w:w="105" w:type="dxa"/>
              <w:right w:w="105" w:type="dxa"/>
            </w:tcMar>
          </w:tcPr>
          <w:p w14:paraId="75D1828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Improved children's socioemotional skills, increased mothers' work outside the home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{"citationID":"zJj8r2Pl","properties":{"formattedCitation":"(27)","plainCitation":"(27)","noteIndex":0},"citationItems":[{"id":416,"uris":["http://zotero.org/users/11153788/items/IA5ARVG2"],"itemData":{"id":416,"type":"article-journal","abstract":"This paper evaluates a public childcare program for children ages 0–4 in poor urban areas in Nicaragua. Our identification strategy exploits the program’s neighborhood-level randomization as exogenous variation to tackle imperfect compliance with the original treatment assignments. We find a positive impact of 0.38 standard deviations on socio-emotional skills and a 12-percentage-point increase on mothers’ work, which makes the program highly cost-effective. We do not find evidence of substantial heterogeneity of impacts across observed or unobserved household characteristics, and we present suggestive evidence of the importance of center quality for generating positive impacts.","container-title":"Journal of Public Economics","DOI":"10.1016/j.jpubeco.2022.104686","ISSN":"0047-2727","journalAbbreviation":"Journal of Public Economics","page":"104686","source":"ScienceDirect","title":"Public childcare benefits children and mothers: Evidence from a nationwide experiment in a developing country","title-short":"Public childcare benefits children and mothers","volume":"212","author":[{"family":"Hojman","given":"Andrés"},{"family":"Lopez Boo","given":"Florencia"}],"issued":{"date-parts":[["2022",8,1]]}}}],"schema":"https://github.com/citation-style-language/schema/raw/master/csl-citation.json"}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(27)</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4" w:space="0" w:color="auto"/>
              <w:left w:val="nil"/>
              <w:bottom w:val="nil"/>
              <w:right w:val="nil"/>
            </w:tcBorders>
          </w:tcPr>
          <w:p w14:paraId="01887D7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 creches in the community don’t accept him. So, that is the reason I cannot take casual jobs. (FGD 4)</w:t>
            </w:r>
          </w:p>
          <w:p w14:paraId="6C41CF3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r>
      <w:tr w:rsidR="00CD1362" w:rsidRPr="00AB408C" w14:paraId="46D219ED" w14:textId="77777777" w:rsidTr="00971419">
        <w:trPr>
          <w:trHeight w:val="300"/>
        </w:trPr>
        <w:tc>
          <w:tcPr>
            <w:cnfStyle w:val="001000000000" w:firstRow="0" w:lastRow="0" w:firstColumn="1" w:lastColumn="0" w:oddVBand="0" w:evenVBand="0" w:oddHBand="0" w:evenHBand="0" w:firstRowFirstColumn="0" w:firstRowLastColumn="0" w:lastRowFirstColumn="0" w:lastRowLastColumn="0"/>
            <w:tcW w:w="1274" w:type="dxa"/>
            <w:tcMar>
              <w:left w:w="105" w:type="dxa"/>
              <w:right w:w="105" w:type="dxa"/>
            </w:tcMar>
            <w:vAlign w:val="center"/>
          </w:tcPr>
          <w:p w14:paraId="3D92BAD2"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4" w:space="0" w:color="auto"/>
              <w:left w:val="nil"/>
              <w:bottom w:val="nil"/>
              <w:right w:val="nil"/>
            </w:tcBorders>
            <w:shd w:val="clear" w:color="auto" w:fill="FFFFFF" w:themeFill="background1"/>
            <w:tcMar>
              <w:left w:w="105" w:type="dxa"/>
              <w:right w:w="105" w:type="dxa"/>
            </w:tcMar>
          </w:tcPr>
          <w:p w14:paraId="4115EAF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Mobile government service trucks</w:t>
            </w:r>
          </w:p>
        </w:tc>
        <w:tc>
          <w:tcPr>
            <w:tcW w:w="1783" w:type="dxa"/>
            <w:tcBorders>
              <w:top w:val="single" w:sz="4" w:space="0" w:color="auto"/>
              <w:left w:val="nil"/>
              <w:bottom w:val="nil"/>
              <w:right w:val="nil"/>
            </w:tcBorders>
          </w:tcPr>
          <w:p w14:paraId="00E32BE5"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Mobile government offices (vehicles) will drive to the community, providing easy access to ID and CSG services. Moms don’t have to travel.  </w:t>
            </w:r>
          </w:p>
        </w:tc>
        <w:tc>
          <w:tcPr>
            <w:tcW w:w="1984" w:type="dxa"/>
            <w:tcBorders>
              <w:top w:val="single" w:sz="4" w:space="0" w:color="auto"/>
              <w:left w:val="nil"/>
              <w:bottom w:val="nil"/>
              <w:right w:val="nil"/>
            </w:tcBorders>
            <w:tcMar>
              <w:left w:w="105" w:type="dxa"/>
              <w:right w:w="105" w:type="dxa"/>
            </w:tcMar>
          </w:tcPr>
          <w:p w14:paraId="2617ABD6"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Access to civic services, welfare, and labour market.</w:t>
            </w:r>
          </w:p>
          <w:p w14:paraId="7527FAB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19C96EB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Freeing up personal income.</w:t>
            </w:r>
          </w:p>
        </w:tc>
        <w:tc>
          <w:tcPr>
            <w:tcW w:w="2998" w:type="dxa"/>
            <w:tcBorders>
              <w:top w:val="single" w:sz="4" w:space="0" w:color="auto"/>
              <w:left w:val="nil"/>
              <w:bottom w:val="nil"/>
              <w:right w:val="nil"/>
            </w:tcBorders>
            <w:tcMar>
              <w:left w:w="105" w:type="dxa"/>
              <w:right w:w="105" w:type="dxa"/>
            </w:tcMar>
          </w:tcPr>
          <w:p w14:paraId="5FA9683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van Panhuys et al. (2015)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{"citationID":"FL0j88mr","properties":{"formattedCitation":"(57)","plainCitation":"(57)","noteIndex":0},"citationItems":[{"id":406,"uris":["http://zotero.org/users/11153788/items/F5SFRS6J"],"itemData":{"id":406,"type":"document","publisher":"Social Protection Department, Internaltional Labour Organization","title":"South Africa: ICROP: Reaching out to rural poor through mobile service units","URL":"https://www.social-protection.org/gimi/RessourcePDF.action?id=51861#:~:text=The%20impact%20of%20ICROP%20on%20people's%20lives&amp;text=A%20recent%20study%20indicates%20that,population%20(UNICEF%2C%202011).","author":[{"family":"Panhuys","given":"Clara","non-dropping-particle":"van"},{"family":"Barbero","given":"Tomás"},{"family":"Earl","given":"Frank"},{"family":"Naickerd","given":"Pathamavathy"}],"accessed":{"date-parts":[["2023",5,14]]},"issued":{"date-parts":[["2015"]]}}}],"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(57)</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(policy brief)</w:t>
            </w:r>
          </w:p>
          <w:p w14:paraId="01105BA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Rural and semi-urban South Africa. </w:t>
            </w:r>
          </w:p>
          <w:p w14:paraId="6B99D72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Integrated Community Registration Outreach Programme focuses on socially marginalized populations, delivering social services through well-equipped mobile one-stop service units or vehicles equipped with modern technology, facilities, and trained personnel.</w:t>
            </w:r>
          </w:p>
        </w:tc>
        <w:tc>
          <w:tcPr>
            <w:tcW w:w="1886" w:type="dxa"/>
            <w:tcBorders>
              <w:top w:val="single" w:sz="4" w:space="0" w:color="auto"/>
              <w:left w:val="nil"/>
              <w:bottom w:val="nil"/>
              <w:right w:val="nil"/>
            </w:tcBorders>
            <w:tcMar>
              <w:left w:w="105" w:type="dxa"/>
              <w:right w:w="105" w:type="dxa"/>
            </w:tcMar>
          </w:tcPr>
          <w:p w14:paraId="07E1100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Enhanced access to grants for rural populations and individuals with disabilities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{"citationID":"P8qfM5Sr","properties":{"formattedCitation":"(57)","plainCitation":"(57)","noteIndex":0},"citationItems":[{"id":406,"uris":["http://zotero.org/users/11153788/items/F5SFRS6J"],"itemData":{"id":406,"type":"document","publisher":"Social Protection Department, Internaltional Labour Organization","title":"South Africa: ICROP: Reaching out to rural poor through mobile service units","URL":"https://www.social-protection.org/gimi/RessourcePDF.action?id=51861#:~:text=The%20impact%20of%20ICROP%20on%20people's%20lives&amp;text=A%20recent%20study%20indicates%20that,population%20(UNICEF%2C%202011).","author":[{"family":"Panhuys","given":"Clara","non-dropping-particle":"van"},{"family":"Barbero","given":"Tomás"},{"family":"Earl","given":"Frank"},{"family":"Naickerd","given":"Pathamavathy"}],"accessed":{"date-parts":[["2023",5,14]]},"issued":{"date-parts":[["2015"]]}}}],"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(57)</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4" w:space="0" w:color="auto"/>
              <w:left w:val="nil"/>
              <w:bottom w:val="nil"/>
              <w:right w:val="nil"/>
            </w:tcBorders>
          </w:tcPr>
          <w:p w14:paraId="6030956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Home Affairs and SASSA [South African Social Security Agency] are not around. So, most of them [beneficiaries], we assist with transport money. They will come here and ask for transport money. We make an appointment, I tell my manager, and she will do it.</w:t>
            </w:r>
          </w:p>
          <w:p w14:paraId="42E0D82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highlight w:val="yellow"/>
              </w:rPr>
            </w:pPr>
            <w:r w:rsidRPr="00AB408C">
              <w:rPr>
                <w:rFonts w:ascii="Arial Narrow" w:eastAsia="Arial Narrow" w:hAnsi="Arial Narrow" w:cs="Arial Narrow"/>
                <w:color w:val="000000" w:themeColor="text1"/>
                <w:sz w:val="20"/>
                <w:szCs w:val="20"/>
              </w:rPr>
              <w:t>[…] Because there's nothing. There's no SASSA office. (Participant 10, CBO5)</w:t>
            </w:r>
          </w:p>
        </w:tc>
      </w:tr>
      <w:tr w:rsidR="00CD1362" w:rsidRPr="00AB408C" w14:paraId="384A75B7" w14:textId="77777777" w:rsidTr="00971419">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1274" w:type="dxa"/>
            <w:vMerge w:val="restart"/>
            <w:tcBorders>
              <w:top w:val="nil"/>
              <w:left w:val="nil"/>
            </w:tcBorders>
            <w:shd w:val="clear" w:color="auto" w:fill="EDEDED" w:themeFill="accent3" w:themeFillTint="33"/>
            <w:tcMar>
              <w:left w:w="105" w:type="dxa"/>
              <w:right w:w="105" w:type="dxa"/>
            </w:tcMar>
          </w:tcPr>
          <w:p w14:paraId="0539824D"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C</w:t>
            </w:r>
          </w:p>
          <w:p w14:paraId="0A48785A"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O</w:t>
            </w:r>
          </w:p>
          <w:p w14:paraId="193DC6E6" w14:textId="77777777" w:rsidR="00CD1362" w:rsidRPr="00AB408C" w:rsidRDefault="00CD1362" w:rsidP="00971419">
            <w:pPr>
              <w:rPr>
                <w:rFonts w:ascii="Arial Narrow" w:eastAsia="Arial Narrow" w:hAnsi="Arial Narrow" w:cs="Arial Narrow"/>
                <w:b w:val="0"/>
                <w:bCs w:val="0"/>
                <w:color w:val="000000" w:themeColor="text1"/>
                <w:sz w:val="20"/>
                <w:szCs w:val="20"/>
              </w:rPr>
            </w:pPr>
            <w:r w:rsidRPr="00AB408C">
              <w:rPr>
                <w:rFonts w:ascii="Arial Narrow" w:eastAsia="Arial Narrow" w:hAnsi="Arial Narrow" w:cs="Arial Narrow"/>
                <w:b w:val="0"/>
                <w:bCs w:val="0"/>
                <w:color w:val="000000" w:themeColor="text1"/>
                <w:sz w:val="20"/>
                <w:szCs w:val="20"/>
              </w:rPr>
              <w:t>M</w:t>
            </w:r>
            <w:r w:rsidRPr="00AB408C">
              <w:rPr>
                <w:rFonts w:ascii="Arial Narrow" w:eastAsia="Arial Narrow" w:hAnsi="Arial Narrow" w:cs="Arial Narrow"/>
                <w:b w:val="0"/>
                <w:bCs w:val="0"/>
                <w:color w:val="000000" w:themeColor="text1"/>
                <w:sz w:val="20"/>
                <w:szCs w:val="20"/>
              </w:rPr>
              <w:br/>
              <w:t>M</w:t>
            </w:r>
            <w:r w:rsidRPr="00AB408C">
              <w:rPr>
                <w:rFonts w:ascii="Arial Narrow" w:eastAsia="Arial Narrow" w:hAnsi="Arial Narrow" w:cs="Arial Narrow"/>
                <w:b w:val="0"/>
                <w:bCs w:val="0"/>
                <w:color w:val="000000" w:themeColor="text1"/>
                <w:sz w:val="20"/>
                <w:szCs w:val="20"/>
              </w:rPr>
              <w:br/>
              <w:t>U</w:t>
            </w:r>
            <w:r w:rsidRPr="00AB408C">
              <w:rPr>
                <w:rFonts w:ascii="Arial Narrow" w:eastAsia="Arial Narrow" w:hAnsi="Arial Narrow" w:cs="Arial Narrow"/>
                <w:b w:val="0"/>
                <w:bCs w:val="0"/>
                <w:color w:val="000000" w:themeColor="text1"/>
                <w:sz w:val="20"/>
                <w:szCs w:val="20"/>
              </w:rPr>
              <w:br/>
              <w:t>N</w:t>
            </w:r>
            <w:r w:rsidRPr="00AB408C">
              <w:rPr>
                <w:rFonts w:ascii="Arial Narrow" w:eastAsia="Arial Narrow" w:hAnsi="Arial Narrow" w:cs="Arial Narrow"/>
                <w:b w:val="0"/>
                <w:bCs w:val="0"/>
                <w:color w:val="000000" w:themeColor="text1"/>
                <w:sz w:val="20"/>
                <w:szCs w:val="20"/>
              </w:rPr>
              <w:br/>
              <w:t>I</w:t>
            </w:r>
            <w:r w:rsidRPr="00AB408C">
              <w:rPr>
                <w:rFonts w:ascii="Arial Narrow" w:eastAsia="Arial Narrow" w:hAnsi="Arial Narrow" w:cs="Arial Narrow"/>
                <w:b w:val="0"/>
                <w:bCs w:val="0"/>
                <w:color w:val="000000" w:themeColor="text1"/>
                <w:sz w:val="20"/>
                <w:szCs w:val="20"/>
              </w:rPr>
              <w:br/>
              <w:t>T</w:t>
            </w:r>
            <w:r w:rsidRPr="00AB408C">
              <w:rPr>
                <w:rFonts w:ascii="Arial Narrow" w:eastAsia="Arial Narrow" w:hAnsi="Arial Narrow" w:cs="Arial Narrow"/>
                <w:b w:val="0"/>
                <w:bCs w:val="0"/>
                <w:color w:val="000000" w:themeColor="text1"/>
                <w:sz w:val="20"/>
                <w:szCs w:val="20"/>
              </w:rPr>
              <w:br/>
              <w:t>Y</w:t>
            </w:r>
          </w:p>
        </w:tc>
        <w:tc>
          <w:tcPr>
            <w:tcW w:w="1564" w:type="dxa"/>
            <w:tcBorders>
              <w:top w:val="single" w:sz="6" w:space="0" w:color="7F7F7F" w:themeColor="text1" w:themeTint="80"/>
              <w:left w:val="nil"/>
            </w:tcBorders>
            <w:shd w:val="clear" w:color="auto" w:fill="EDEDED" w:themeFill="accent3" w:themeFillTint="33"/>
            <w:tcMar>
              <w:left w:w="105" w:type="dxa"/>
              <w:right w:w="105" w:type="dxa"/>
            </w:tcMar>
          </w:tcPr>
          <w:p w14:paraId="720433D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Job search assistance</w:t>
            </w:r>
          </w:p>
        </w:tc>
        <w:tc>
          <w:tcPr>
            <w:tcW w:w="1783" w:type="dxa"/>
            <w:tcBorders>
              <w:top w:val="single" w:sz="6" w:space="0" w:color="7F7F7F" w:themeColor="text1" w:themeTint="80"/>
              <w:left w:val="nil"/>
              <w:right w:val="nil"/>
            </w:tcBorders>
          </w:tcPr>
          <w:p w14:paraId="26462B4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AB408C">
              <w:rPr>
                <w:rFonts w:ascii="Arial Narrow" w:hAnsi="Arial Narrow"/>
                <w:color w:val="000000" w:themeColor="text1"/>
                <w:sz w:val="20"/>
                <w:szCs w:val="20"/>
              </w:rPr>
              <w:t xml:space="preserve">Moms will gain job search skills, including CV writing and interview preparation. They will receive a certificate after a skills assessment to strengthen job applications.  </w:t>
            </w:r>
          </w:p>
        </w:tc>
        <w:tc>
          <w:tcPr>
            <w:tcW w:w="1984" w:type="dxa"/>
            <w:tcBorders>
              <w:top w:val="single" w:sz="6" w:space="0" w:color="7F7F7F" w:themeColor="text1" w:themeTint="80"/>
              <w:left w:val="nil"/>
            </w:tcBorders>
            <w:tcMar>
              <w:left w:w="105" w:type="dxa"/>
              <w:right w:w="105" w:type="dxa"/>
            </w:tcMar>
          </w:tcPr>
          <w:p w14:paraId="6CF7310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Access to civic services, welfare, and labour market.</w:t>
            </w:r>
          </w:p>
          <w:p w14:paraId="6220215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05AC247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 Improving mothers’ asset base.</w:t>
            </w:r>
          </w:p>
        </w:tc>
        <w:tc>
          <w:tcPr>
            <w:tcW w:w="2998" w:type="dxa"/>
            <w:tcBorders>
              <w:top w:val="single" w:sz="6" w:space="0" w:color="7F7F7F" w:themeColor="text1" w:themeTint="80"/>
              <w:left w:val="nil"/>
            </w:tcBorders>
            <w:tcMar>
              <w:left w:w="105" w:type="dxa"/>
              <w:right w:w="105" w:type="dxa"/>
            </w:tcMar>
          </w:tcPr>
          <w:p w14:paraId="380051A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Carranza (2022)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{"citationID":"Hrk136Er","properties":{"formattedCitation":"(26)","plainCitation":"(26)","noteIndex":0},"citationItems":[{"id":417,"uris":["http://zotero.org/users/11153788/items/X5Y4J5TC"],"itemData":{"id":417,"type":"article-journal","abstract":"We assess South African workseekers' skills and disseminate the assessment results to explore how limited information affects firm and workseeker behavior. Giving workseekers assessment results that they can credibly share with firms increases workseekers' employment and earnings and better aligns their skills, beliefs and search strategies. Giving workseekers assessment results that they cannot easily share with firms has similar effects on beliefs and search, but smaller effects on employment and earnings. Giving assessment results only to firms shifts interview decisions. These findings show that getting credible skill information to the right agents can improve outcomes in the labor market.","container-title":"American Economic Review","DOI":"10.1257/aer.20200961","ISSN":"0002-8282","issue":"11","language":"en","page":"3547-3583","source":"www.aeaweb.org","title":"Job Search and Hiring with Limited Information about Workseekers' Skills","volume":"112","author":[{"family":"Carranza","given":"Eliana"},{"family":"Garlick","given":"Robert"},{"family":"Orkin","given":"Kate"},{"family":"Rankin","given":"Neil"}],"issued":{"date-parts":[["2022",11]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(26)</w:t>
            </w:r>
            <w:r w:rsidRPr="00AB408C">
              <w:rPr>
                <w:rFonts w:ascii="Arial Narrow" w:eastAsia="Arial Narrow" w:hAnsi="Arial Narrow" w:cs="Arial Narrow"/>
                <w:color w:val="000000" w:themeColor="text1"/>
                <w:sz w:val="20"/>
                <w:szCs w:val="20"/>
              </w:rPr>
              <w:fldChar w:fldCharType="end"/>
            </w:r>
          </w:p>
          <w:p w14:paraId="7F49851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South Africa. </w:t>
            </w:r>
          </w:p>
          <w:p w14:paraId="428425F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Skills assessment and certification intervention delivered during recruitment for active labor market programs (job search assistance programs).</w:t>
            </w:r>
          </w:p>
          <w:p w14:paraId="62B04CD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07FC59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Shaw and Wheeler (2021)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{"citationID":"DnXs6eaE","properties":{"formattedCitation":"(25)","plainCitation":"(25)","noteIndex":0},"citationItems":[{"id":418,"uris":["http://zotero.org/users/11153788/items/Q7TCVZD4"],"itemData":{"id":418,"type":"chapter","abstract":"South Africa has one of the highest rates of youth unemployment and under-employment around the world, despite having a relatively large formal sector. This is driven, in part, by frictions in labor markets, including lack of information about job applicants’ skills, limited access to job training, and employers’ reliance on referrals through professional networks for hiring. This case study explores whether the online platform LinkedIn can be used to improve the employment outcomes of disadvantaged youth in South Africa. Researchers worked with an NGO, the Harambee Youth Employment Accelerator, to develop a training for young workseekers in the use of LinkedIn for job search, applications, and networking for referrals. This intervention was randomized across 30 cohorts of youth, with more than 1600 students enrolled in the study. The research team worked with LinkedIn engineers to access data generated by the platform. The evaluation finds that participants exposed to the LinkedIn training (the “treated” participants) were 10% more likely than the control group to find immediate employment, an effect that persisted for at least a year after job readiness training.","container-title":"Introduction to Development Engineering: A Framework with Applications from the Field","event-place":"Cham","ISBN":"978-3-030-86065-3","language":"en","note":"DOI: 10.1007/978-3-030-86065-3_12","page":"293-321","publisher":"Springer International Publishing","publisher-place":"Cham","source":"Springer Link","title":"Digital Networking and the Case of Youth Unemployment in South Africa","URL":"https://doi.org/10.1007/978-3-030-86065-3_12","author":[{"family":"Shaw","given":"Patrick"},{"family":"Wheeler","given":"Laurel"}],"editor":[{"family":"Madon","given":"Temina"},{"family":"Gadgil","given":"Ashok J."},{"family":"Anderson","given":"Richard"},{"family":"Casaburi","given":"Lorenzo"},{"family":"Lee","given":"Kenneth"},{"family":"Rezaee","given":"Arman"}],"accessed":{"date-parts":[["2023",9,23]]},"issued":{"date-parts":[["2023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(25)</w:t>
            </w:r>
            <w:r w:rsidRPr="00AB408C">
              <w:rPr>
                <w:rFonts w:ascii="Arial Narrow" w:eastAsia="Arial Narrow" w:hAnsi="Arial Narrow" w:cs="Arial Narrow"/>
                <w:color w:val="000000" w:themeColor="text1"/>
                <w:sz w:val="20"/>
                <w:szCs w:val="20"/>
              </w:rPr>
              <w:fldChar w:fldCharType="end"/>
            </w:r>
          </w:p>
          <w:p w14:paraId="60CC1FA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South Africa. </w:t>
            </w:r>
          </w:p>
          <w:p w14:paraId="11E61AF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Digital job search training (LinkedIn) delivered as part of a job search assistance program for young, disadvantaged work seekers.</w:t>
            </w:r>
          </w:p>
        </w:tc>
        <w:tc>
          <w:tcPr>
            <w:tcW w:w="1886" w:type="dxa"/>
            <w:tcBorders>
              <w:top w:val="single" w:sz="6" w:space="0" w:color="7F7F7F" w:themeColor="text1" w:themeTint="80"/>
              <w:left w:val="nil"/>
            </w:tcBorders>
            <w:tcMar>
              <w:left w:w="105" w:type="dxa"/>
              <w:right w:w="105" w:type="dxa"/>
            </w:tcMar>
          </w:tcPr>
          <w:p w14:paraId="43A42C8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Improved job seekers employment and earnings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{"citationID":"ygozxnf0","properties":{"formattedCitation":"(25,26)","plainCitation":"(25,26)","noteIndex":0},"citationItems":[{"id":417,"uris":["http://zotero.org/users/11153788/items/X5Y4J5TC"],"itemData":{"id":417,"type":"article-journal","abstract":"We assess South African workseekers' skills and disseminate the assessment results to explore how limited information affects firm and workseeker behavior. Giving workseekers assessment results that they can credibly share with firms increases workseekers' employment and earnings and better aligns their skills, beliefs and search strategies. Giving workseekers assessment results that they cannot easily share with firms has similar effects on beliefs and search, but smaller effects on employment and earnings. Giving assessment results only to firms shifts interview decisions. These findings show that getting credible skill information to the right agents can improve outcomes in the labor market.","container-title":"American Economic Review","DOI":"10.1257/aer.20200961","ISSN":"0002-8282","issue":"11","language":"en","page":"3547-3583","source":"www.aeaweb.org","title":"Job Search and Hiring with Limited Information about Workseekers' Skills","volume":"112","author":[{"family":"Carranza","given":"Eliana"},{"family":"Garlick","given":"Robert"},{"family":"Orkin","given":"Kate"},{"family":"Rankin","given":"Neil"}],"issued":{"date-parts":[["2022",11]]}}},{"id":418,"uris":["http://zotero.org/users/11153788/items/Q7TCVZD4"],"itemData":{"id":418,"type":"chapter","abstract":"South Africa has one of the highest rates of youth unemployment and under-employment around the world, despite having a relatively large formal sector. This is driven, in part, by frictions in labor markets, including lack of information about job applicants’ skills, limited access to job training, and employers’ reliance on referrals through professional networks for hiring. This case study explores whether the online platform LinkedIn can be used to improve the employment outcomes of disadvantaged youth in South Africa. Researchers worked with an NGO, the Harambee Youth Employment Accelerator, to develop a training for young workseekers in the use of LinkedIn for job search, applications, and networking for referrals. This intervention was randomized across 30 cohorts of youth, with more than 1600 students enrolled in the study. The research team worked with LinkedIn engineers to access data generated by the platform. The evaluation finds that participants exposed to the LinkedIn training (the “treated” participants) were 10% more likely than the control group to find immediate employment, an effect that persisted for at least a year after job readiness training.","container-title":"Introduction to Development Engineering: A Framework with Applications from the Field","event-place":"Cham","ISBN":"978-3-030-86065-3","language":"en","note":"DOI: 10.1007/978-3-030-86065-3_12","page":"293-321","publisher":"Springer International Publishing","publisher-place":"Cham","source":"Springer Link","title":"Digital Networking and the Case of Youth Unemployment in South Africa","URL":"https://doi.org/10.1007/978-3-030-86065-3_12","author":[{"family":"Shaw","given":"Patrick"},{"family":"Wheeler","given":"Laurel"}],"editor":[{"family":"Madon","given":"Temina"},{"family":"Gadgil","given":"Ashok J."},{"family":"Anderson","given":"Richard"},{"family":"Casaburi","given":"Lorenzo"},{"family":"Lee","given":"Kenneth"},{"family":"Rezaee","given":"Arman"}],"accessed":{"date-parts":[["2023",9,23]]},"issued":{"date-parts":[["2023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(25,26)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0C4DDC0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1FE412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434" w:type="dxa"/>
            <w:tcBorders>
              <w:top w:val="single" w:sz="6" w:space="0" w:color="7F7F7F" w:themeColor="text1" w:themeTint="80"/>
              <w:left w:val="nil"/>
            </w:tcBorders>
          </w:tcPr>
          <w:p w14:paraId="321705E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They don't have a CV, they don't know how to put that together […] there's a state of mind that needs to be changed before we can even address employment. […] And the platforms where to search for that employment. Some moms don't know where to start. (Participant 2, CBO1)</w:t>
            </w:r>
          </w:p>
        </w:tc>
      </w:tr>
      <w:tr w:rsidR="00CD1362" w:rsidRPr="00AB408C" w14:paraId="40B25E6C" w14:textId="77777777" w:rsidTr="00971419">
        <w:trPr>
          <w:trHeight w:val="300"/>
        </w:trPr>
        <w:tc>
          <w:tcPr>
            <w:cnfStyle w:val="001000000000" w:firstRow="0" w:lastRow="0" w:firstColumn="1" w:lastColumn="0" w:oddVBand="0" w:evenVBand="0" w:oddHBand="0" w:evenHBand="0" w:firstRowFirstColumn="0" w:firstRowLastColumn="0" w:lastRowFirstColumn="0" w:lastRowLastColumn="0"/>
            <w:tcW w:w="1274" w:type="dxa"/>
            <w:vMerge/>
            <w:tcMar>
              <w:left w:w="105" w:type="dxa"/>
              <w:right w:w="105" w:type="dxa"/>
            </w:tcMar>
          </w:tcPr>
          <w:p w14:paraId="1B92BE8E" w14:textId="77777777" w:rsidR="00CD1362" w:rsidRPr="00AB408C" w:rsidRDefault="00CD1362" w:rsidP="00971419">
            <w:pPr>
              <w:rPr>
                <w:rFonts w:ascii="Arial Narrow" w:hAnsi="Arial Narrow"/>
                <w:b w:val="0"/>
                <w:bCs w:val="0"/>
                <w:color w:val="000000" w:themeColor="text1"/>
                <w:sz w:val="20"/>
                <w:szCs w:val="20"/>
              </w:rPr>
            </w:pPr>
          </w:p>
        </w:tc>
        <w:tc>
          <w:tcPr>
            <w:tcW w:w="1564" w:type="dxa"/>
            <w:tcBorders>
              <w:top w:val="single" w:sz="6" w:space="0" w:color="7F7F7F" w:themeColor="text1" w:themeTint="80"/>
              <w:left w:val="nil"/>
              <w:bottom w:val="nil"/>
              <w:right w:val="nil"/>
            </w:tcBorders>
            <w:shd w:val="clear" w:color="auto" w:fill="EDEDED" w:themeFill="accent3" w:themeFillTint="33"/>
            <w:tcMar>
              <w:left w:w="105" w:type="dxa"/>
              <w:right w:w="105" w:type="dxa"/>
            </w:tcMar>
          </w:tcPr>
          <w:p w14:paraId="67A5159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Community gardens</w:t>
            </w:r>
          </w:p>
          <w:p w14:paraId="433A310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783" w:type="dxa"/>
            <w:tcBorders>
              <w:top w:val="single" w:sz="6" w:space="0" w:color="7F7F7F" w:themeColor="text1" w:themeTint="80"/>
              <w:left w:val="nil"/>
              <w:right w:val="nil"/>
            </w:tcBorders>
          </w:tcPr>
          <w:p w14:paraId="2A78887B"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A community vegetable garden, with tools, seeds, and training to cultivate. Moms can save money on vegetables and earn income by selling produce. </w:t>
            </w:r>
          </w:p>
        </w:tc>
        <w:tc>
          <w:tcPr>
            <w:tcW w:w="1984" w:type="dxa"/>
            <w:tcBorders>
              <w:top w:val="single" w:sz="6" w:space="0" w:color="7F7F7F" w:themeColor="text1" w:themeTint="80"/>
              <w:left w:val="nil"/>
              <w:right w:val="nil"/>
            </w:tcBorders>
            <w:tcMar>
              <w:left w:w="105" w:type="dxa"/>
              <w:right w:w="105" w:type="dxa"/>
            </w:tcMar>
          </w:tcPr>
          <w:p w14:paraId="6D18987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needs:</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 Social support (community cohesion).</w:t>
            </w:r>
          </w:p>
          <w:p w14:paraId="639E1FD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44394D42"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Pathway:</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Freeing up personal income. Improving mothers’ asset base.</w:t>
            </w:r>
          </w:p>
          <w:p w14:paraId="6555ACF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0"/>
                <w:szCs w:val="20"/>
              </w:rPr>
            </w:pPr>
          </w:p>
        </w:tc>
        <w:tc>
          <w:tcPr>
            <w:tcW w:w="2998" w:type="dxa"/>
            <w:tcBorders>
              <w:top w:val="single" w:sz="6" w:space="0" w:color="7F7F7F" w:themeColor="text1" w:themeTint="80"/>
              <w:left w:val="nil"/>
              <w:right w:val="nil"/>
            </w:tcBorders>
            <w:tcMar>
              <w:left w:w="105" w:type="dxa"/>
              <w:right w:w="105" w:type="dxa"/>
            </w:tcMar>
          </w:tcPr>
          <w:p w14:paraId="22DAB28B"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González-Fernández (2020)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{"citationID":"ACjoiIHu","properties":{"formattedCitation":"(58)","plainCitation":"(58)","noteIndex":0},"citationItems":[{"id":366,"uris":["http://zotero.org/users/11153788/items/X2V8Q8TY"],"itemData":{"id":366,"type":"article-journal","abstract":"Background: Multi-dimensional monitoring evaluation and learning strategies are needed to address the complex set of factors that affect early child development in marginalized populations, but few studies have explored their effectiveness.Objective: To compare improvement of health and development of children 0–3 years between intervention communities (IC) and control communities (CC) from peripheral settlements of Lima. Sequential interventions included: (1) home and community gardens, (2) conscious nutrition, and (3) parenting workshops following the International Child Development Program (ICDP).Methods: Interventions were delivered by community health promoters (CHPs) using a “step-by-step” learning system. Both IC and CC were monitored before the interventions began, at 8 and 12 months (n = 113 IC and 127 CC children). Data were collected on household characteristics, diet, food security, health indicators (history of diarrhea and respiratory infections, hemoglobin, intestinal parasites, anthropometry), caregiver-child interactions and stress, and achievement of Pan-American Health Organization age-specific developmental milestones. Stepwise multiple logistic regressions were used to determine if the interventions affected food insecurity, as well as motor, social/cognitive and language delays.Results: At baseline, 2.6% were categorized as “suspected developmental delay” and 14.2% were on “alert for development delay.” Food insecurity, diarrhea and respiratory infections were lowered following the interventions. Through the “step-by-step” approach, caregivers in IC gained skills in gardening, conscious nutrition and parenting that reduced the risk of food insecurity [Adjusted Risk Ratio = 0.20 (95% CI: 0.08–0.51)] and language delay [0.39 (0.19–0.82)] but not motor or social/cognitive delay. Use of a multiple micronutrient supplement decreased the risk of motor delay [0.12 (0.03–0.56)], but more pets were associated with higher risk of motor [3.24 (1.47–7.14)] and social/cognitive delay [2.72 (1.33–5.55)], and of food insecurity [1.73 (1.13–2.66)].Conclusion: The combined interventions delivered by CHPs helped to mitigate the impact of adversity on food insecurity and language delay. Additional improvements may have been detected if the interventions had continued for a longer time. Our results indicate that control of infections and pets may be needed to achieve measurable results for motor and social/cognitive development. Continuous monitoring facilitated adjusting implementation strategies and achieving positive developmental outcomes.","container-title":"Frontiers in Public Health","ISSN":"2296-2565","source":"Frontiers","title":"A Multi-Sectoral Approach Improves Early Child Development in a Disadvantaged Community in Peru: Role of Community Gardens, Nutrition Workshops and Enhanced Caregiver-Child Interaction: Project “Wawa Illari”","title-short":"A Multi-Sectoral Approach Improves Early Child Development in a Disadvantaged Community in Peru","URL":"https://www.frontiersin.org/articles/10.3389/fpubh.2020.567900","volume":"8","author":[{"family":"González-Fernández","given":"Doris"},{"family":"Mazzini Salom","given":"Ana Sofía"},{"family":"Herrera Bendezu","given":"Fermina"},{"family":"Huamán","given":"Sonia"},{"family":"Rojas Hernández","given":"Bertha"},{"family":"Pevec","given":"Illène"},{"family":"Galarza Izquierdo","given":"Eliana Mariana"},{"family":"Armstrong","given":"Nicoletta"},{"family":"Thomas","given":"Virginia"},{"family":"Vela Gonzáles","given":"Sonia"},{"family":"Gonzáles Saravia","given":"Carlos"},{"family":"Scott","given":"Marilyn E."},{"family":"Koski","given":"Kristine G."}],"accessed":{"date-parts":[["2023",10,15]]},"issued":{"date-parts":[["2020"]]}}}],"schema":"https://github.com/citation-style-language/schema/raw/master/csl-citation.json"}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(58)</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br/>
              <w:t xml:space="preserve">Where? Urban Peru. </w:t>
            </w:r>
            <w:r w:rsidRPr="00AB408C">
              <w:rPr>
                <w:rFonts w:ascii="Arial Narrow" w:eastAsia="Arial Narrow" w:hAnsi="Arial Narrow" w:cs="Arial Narrow"/>
                <w:color w:val="000000" w:themeColor="text1"/>
                <w:sz w:val="20"/>
                <w:szCs w:val="20"/>
              </w:rPr>
              <w:br/>
              <w:t>What? Creation of community and home gardens with tools and seeds provisioned to beneficiaries (caregivers of children aged 0–3 years). Further, nutrition and parenting workshops delivered by community health promoter.</w:t>
            </w:r>
          </w:p>
          <w:p w14:paraId="3B00344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1886" w:type="dxa"/>
            <w:tcBorders>
              <w:top w:val="single" w:sz="6" w:space="0" w:color="7F7F7F" w:themeColor="text1" w:themeTint="80"/>
              <w:left w:val="nil"/>
              <w:bottom w:val="single" w:sz="6" w:space="0" w:color="7F7F7F" w:themeColor="text1" w:themeTint="80"/>
            </w:tcBorders>
            <w:tcMar>
              <w:left w:w="105" w:type="dxa"/>
              <w:right w:w="105" w:type="dxa"/>
            </w:tcMar>
          </w:tcPr>
          <w:p w14:paraId="11E30B1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Improved child health (lowered diarrhoea and respiratory infections), child development (reduced language delay), food security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{"citationID":"LzWLnq51","properties":{"formattedCitation":"(58)","plainCitation":"(58)","noteIndex":0},"citationItems":[{"id":366,"uris":["http://zotero.org/users/11153788/items/X2V8Q8TY"],"itemData":{"id":366,"type":"article-journal","abstract":"Background: Multi-dimensional monitoring evaluation and learning strategies are needed to address the complex set of factors that affect early child development in marginalized populations, but few studies have explored their effectiveness.Objective: To compare improvement of health and development of children 0–3 years between intervention communities (IC) and control communities (CC) from peripheral settlements of Lima. Sequential interventions included: (1) home and community gardens, (2) conscious nutrition, and (3) parenting workshops following the International Child Development Program (ICDP).Methods: Interventions were delivered by community health promoters (CHPs) using a “step-by-step” learning system. Both IC and CC were monitored before the interventions began, at 8 and 12 months (n = 113 IC and 127 CC children). Data were collected on household characteristics, diet, food security, health indicators (history of diarrhea and respiratory infections, hemoglobin, intestinal parasites, anthropometry), caregiver-child interactions and stress, and achievement of Pan-American Health Organization age-specific developmental milestones. Stepwise multiple logistic regressions were used to determine if the interventions affected food insecurity, as well as motor, social/cognitive and language delays.Results: At baseline, 2.6% were categorized as “suspected developmental delay” and 14.2% were on “alert for development delay.” Food insecurity, diarrhea and respiratory infections were lowered following the interventions. Through the “step-by-step” approach, caregivers in IC gained skills in gardening, conscious nutrition and parenting that reduced the risk of food insecurity [Adjusted Risk Ratio = 0.20 (95% CI: 0.08–0.51)] and language delay [0.39 (0.19–0.82)] but not motor or social/cognitive delay. Use of a multiple micronutrient supplement decreased the risk of motor delay [0.12 (0.03–0.56)], but more pets were associated with higher risk of motor [3.24 (1.47–7.14)] and social/cognitive delay [2.72 (1.33–5.55)], and of food insecurity [1.73 (1.13–2.66)].Conclusion: The combined interventions delivered by CHPs helped to mitigate the impact of adversity on food insecurity and language delay. Additional improvements may have been detected if the interventions had continued for a longer time. Our results indicate that control of infections and pets may be needed to achieve measurable results for motor and social/cognitive development. Continuous monitoring facilitated adjusting implementation strategies and achieving positive developmental outcomes.","container-title":"Frontiers in Public Health","ISSN":"2296-2565","source":"Frontiers","title":"A Multi-Sectoral Approach Improves Early Child Development in a Disadvantaged Community in Peru: Role of Community Gardens, Nutrition Workshops and Enhanced Caregiver-Child Interaction: Project “Wawa Illari”","title-short":"A Multi-Sectoral Approach Improves Early Child Development in a Disadvantaged Community in Peru","URL":"https://www.frontiersin.org/articles/10.3389/fpubh.2020.567900","volume":"8","author":[{"family":"González-Fernández","given":"Doris"},{"family":"Mazzini Salom","given":"Ana Sofía"},{"family":"Herrera Bendezu","given":"Fermina"},{"family":"Huamán","given":"Sonia"},{"family":"Rojas Hernández","given":"Bertha"},{"family":"Pevec","given":"Illène"},{"family":"Galarza Izquierdo","given":"Eliana Mariana"},{"family":"Armstrong","given":"Nicoletta"},{"family":"Thomas","given":"Virginia"},{"family":"Vela Gonzáles","given":"Sonia"},{"family":"Gonzáles Saravia","given":"Carlos"},{"family":"Scott","given":"Marilyn E."},{"family":"Koski","given":"Kristine G."}],"accessed":{"date-parts":[["2023",10,15]]},"issued":{"date-parts":[["2020"]]}}}],"schema":"https://github.com/citation-style-language/schema/raw/master/csl-citation.json"}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(58)</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bottom w:val="single" w:sz="6" w:space="0" w:color="7F7F7F" w:themeColor="text1" w:themeTint="80"/>
            </w:tcBorders>
          </w:tcPr>
          <w:p w14:paraId="4E2E70F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I think that we can go back and plant; that could be a solution. These empty spaces should be given to us to plant for ourselves, vegetables again. There is no money, and it is difficult to survive without eating healthy food. (FGD 6)</w:t>
            </w:r>
          </w:p>
          <w:p w14:paraId="66B173BF"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r>
      <w:tr w:rsidR="00CD1362" w:rsidRPr="00AB408C" w14:paraId="3F1C5CB3" w14:textId="77777777" w:rsidTr="00971419">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74" w:type="dxa"/>
            <w:vMerge/>
          </w:tcPr>
          <w:p w14:paraId="15DD2EA0" w14:textId="77777777" w:rsidR="00CD1362" w:rsidRPr="00AB408C" w:rsidRDefault="00CD1362" w:rsidP="00971419">
            <w:pPr>
              <w:rPr>
                <w:rFonts w:ascii="Arial Narrow" w:hAnsi="Arial Narrow"/>
                <w:b w:val="0"/>
                <w:bCs w:val="0"/>
                <w:color w:val="000000" w:themeColor="text1"/>
                <w:sz w:val="20"/>
                <w:szCs w:val="20"/>
              </w:rPr>
            </w:pPr>
          </w:p>
        </w:tc>
        <w:tc>
          <w:tcPr>
            <w:tcW w:w="1564" w:type="dxa"/>
            <w:tcBorders>
              <w:top w:val="single" w:sz="6" w:space="0" w:color="7F7F7F" w:themeColor="text1" w:themeTint="80"/>
              <w:left w:val="nil"/>
            </w:tcBorders>
            <w:shd w:val="clear" w:color="auto" w:fill="EDEDED" w:themeFill="accent3" w:themeFillTint="33"/>
            <w:tcMar>
              <w:left w:w="105" w:type="dxa"/>
              <w:right w:w="105" w:type="dxa"/>
            </w:tcMar>
          </w:tcPr>
          <w:p w14:paraId="61527E5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34C60E7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Women’s economic empowerment groups</w:t>
            </w:r>
          </w:p>
        </w:tc>
        <w:tc>
          <w:tcPr>
            <w:tcW w:w="1783" w:type="dxa"/>
            <w:tcBorders>
              <w:top w:val="single" w:sz="6" w:space="0" w:color="7F7F7F" w:themeColor="text1" w:themeTint="80"/>
              <w:left w:val="nil"/>
              <w:right w:val="nil"/>
            </w:tcBorders>
          </w:tcPr>
          <w:p w14:paraId="2D251DC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Monthly learning groups to teach moms how to start a small business, budget, and do marketing. Moms can save up together and access loans to start their business.</w:t>
            </w:r>
          </w:p>
        </w:tc>
        <w:tc>
          <w:tcPr>
            <w:tcW w:w="1984" w:type="dxa"/>
            <w:tcBorders>
              <w:top w:val="single" w:sz="6" w:space="0" w:color="7F7F7F" w:themeColor="text1" w:themeTint="80"/>
              <w:left w:val="nil"/>
            </w:tcBorders>
            <w:tcMar>
              <w:left w:w="105" w:type="dxa"/>
              <w:right w:w="105" w:type="dxa"/>
            </w:tcMar>
          </w:tcPr>
          <w:p w14:paraId="03F3560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Social need: </w:t>
            </w:r>
          </w:p>
          <w:p w14:paraId="2936EC2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Financial planning for nutrition. </w:t>
            </w:r>
          </w:p>
          <w:p w14:paraId="3B0E902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Personal income stability. </w:t>
            </w:r>
          </w:p>
          <w:p w14:paraId="38BDD96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Affordable healthier foods.</w:t>
            </w:r>
          </w:p>
          <w:p w14:paraId="664B049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support (psychosocial).</w:t>
            </w:r>
          </w:p>
          <w:p w14:paraId="66FBCE1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651E8C9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 Promoting resourcefulness. Improving mothers’ asset base.</w:t>
            </w:r>
            <w:r w:rsidRPr="00AB408C">
              <w:rPr>
                <w:rFonts w:ascii="Arial Narrow" w:hAnsi="Arial Narrow"/>
                <w:color w:val="000000" w:themeColor="text1"/>
                <w:sz w:val="20"/>
                <w:szCs w:val="20"/>
              </w:rPr>
              <w:br/>
            </w:r>
            <w:r w:rsidRPr="00AB408C">
              <w:rPr>
                <w:rFonts w:ascii="Arial Narrow" w:eastAsia="Arial Narrow" w:hAnsi="Arial Narrow" w:cs="Arial Narrow"/>
                <w:color w:val="000000" w:themeColor="text1"/>
                <w:sz w:val="20"/>
                <w:szCs w:val="20"/>
              </w:rPr>
              <w:t xml:space="preserve"> </w:t>
            </w:r>
            <w:r w:rsidRPr="00AB408C">
              <w:rPr>
                <w:rFonts w:ascii="Arial Narrow" w:hAnsi="Arial Narrow"/>
                <w:color w:val="000000" w:themeColor="text1"/>
                <w:sz w:val="20"/>
                <w:szCs w:val="20"/>
              </w:rPr>
              <w:br/>
            </w:r>
          </w:p>
        </w:tc>
        <w:tc>
          <w:tcPr>
            <w:tcW w:w="2998" w:type="dxa"/>
            <w:tcBorders>
              <w:top w:val="single" w:sz="6" w:space="0" w:color="7F7F7F" w:themeColor="text1" w:themeTint="80"/>
              <w:left w:val="nil"/>
            </w:tcBorders>
            <w:tcMar>
              <w:left w:w="105" w:type="dxa"/>
              <w:right w:w="105" w:type="dxa"/>
            </w:tcMar>
          </w:tcPr>
          <w:p w14:paraId="6004723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Kim et al. (2007)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{"citationID":"ddPw0tDo","properties":{"formattedCitation":"(20)","plainCitation":"(20)","noteIndex":0},"citationItems":[{"id":88,"uris":["http://zotero.org/users/11153788/items/FNVD9WRI"],"itemData":{"id":88,"type":"article-journal","abstract":"Objectives. We sought to obtain evidence about the scope of women’s empowerment and the mechanisms underlying the significant reduction in intimate partner violence documented by the Intervention With Microfinance for AIDS and Gender Equity (IMAGE) cluster-randomized trial in rural South Africa.\n\nMethods. The IMAGE intervention combined a microfinance program with participatory training on understanding HIV infection, gender norms, domestic violence, and sexuality. Outcome measures included past year’s experience of intimate partner violence and 9 indicators of women’s empowerment. Qualitative data about changes occurring within intimate relationships, loan groups, and the community were also collected.\n\nResults. After 2 years, the risk of past-year physical or sexual violence by an intimate partner was reduced by more than half (adjusted risk ratio=0.45; 95% confidence interval=0.23, 0.91). Improvements in all 9 indicators of empowerment were observed. Reductions in violence resulted from a range of responses enabling women to challenge the acceptability of violence, expect and receive better treatment from partners, leave abusive relationships, and raise public awareness about intimate partner violence.\n\nConclusions. Our findings, both qualitative and quantitative, indicate that economic and social empowerment of women can contribute to reductions in intimate partner violence.","container-title":"American Journal of Public Health","DOI":"10.2105/AJPH.2006.095521","ISSN":"0090-0036","issue":"10","journalAbbreviation":"Am J Public Health","note":"publisher: American Public Health Association","page":"1794-1802","source":"ajph.aphapublications.org (Atypon)","title":"Understanding the Impact of a Microfinance-Based Intervention on Women’s Empowerment and the Reduction of Intimate Partner Violence in South Africa","volume":"97","author":[{"family":"Kim","given":"Julia C."},{"family":"Watts","given":"Charlotte H."},{"family":"Hargreaves","given":"James R."},{"family":"Ndhlovu","given":"Luceth X."},{"family":"Phetla","given":"Godfrey"},{"family":"Morison","given":"Linda A."},{"family":"Busza","given":"Joanna"},{"family":"Porter","given":"John D.H."},{"family":"Pronyk","given":"Paul"}],"issued":{"date-parts":[["2007",10]]}}}],"schema":"https://github.com/citation-style-language/schema/raw/master/csl-citation.json"}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(20)</w:t>
            </w:r>
            <w:r w:rsidRPr="00AB408C">
              <w:rPr>
                <w:rFonts w:ascii="Arial Narrow" w:eastAsia="Arial Narrow" w:hAnsi="Arial Narrow" w:cs="Arial Narrow"/>
                <w:color w:val="000000" w:themeColor="text1"/>
                <w:sz w:val="20"/>
                <w:szCs w:val="20"/>
              </w:rPr>
              <w:fldChar w:fldCharType="end"/>
            </w:r>
          </w:p>
          <w:p w14:paraId="259DACE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South Africa. </w:t>
            </w:r>
          </w:p>
          <w:p w14:paraId="2CFDD68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Credit and savings services provided to poor, particularly rural women, for income-generating projects.</w:t>
            </w:r>
          </w:p>
          <w:p w14:paraId="211AF77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295747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Brunie et al. (2014)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{"citationID":"Apbr8LcP","properties":{"formattedCitation":"(59)","plainCitation":"(59)","noteIndex":0},"citationItems":[{"id":412,"uris":["http://zotero.org/users/11153788/items/IQZ7BLTZ"],"itemData":{"id":412,"type":"article-journal","abstract":"Child malnutrition is a pervasive problem in sub-Saharan Africa that affects individual and national development. This article examines the impact of participation in village savings and loan (VSL) groups, alone and in combination with a rotating labor scheme called Ajuda Mútua (AM), on household and child nutritional outcomes in Nampula Province in Mozambique. It combines findings from an impact evaluation and a qualitative exploration of the dynamics underlying nutritional outcomes. Three pairs of districts were randomly allocated to two interventions (VSL or VSL+AM) or control. The impact evaluation utilized a prospective, longitudinal design. In total, 1276 households were surveyed at baseline in 2009 and three years later. Difference-in-difference propensity score matching models estimated program impacts on months of food sufficiency and household dietary diversity scores (HDDS) at the household level, and on individual dietary diversity scores (IDDS) and weight-for-age at the child level. In the qualitative study, in-depth interviews (IDIs) were completed with a subset of 36 VSL and 36 VSL+AM participants from two districts who had taken part in the two surveys. Transcripts were analyzed using thematic analysis. Survey data indicate that both interventions had a statistically significant, positive effect on months of food sufficiency. The HDDS increased for VSL+AM households and their matched controls; however, the increase was smaller for the VSL+AM group. The difference in increase between the two groups was statistically significant. At the child level, participation in VSL only was found to increase the IDDS. There was no significant effect for weight-for-age. Mean values for both the HDDS and the IDDS remained low. IDIs confirmed that there were improvements in seasonal and transitory food insecurity, which occur when recurring periods of extreme scarcity or sporadic crises are experienced. Due to the timing of the cycle, VSLs provided participants with an infusion of cash to purchase food during the hunger season. VSLs and AMs also offered mechanisms to cope with unexpected events through loans and social support. However, IDIs highlighted lack of money as a persistent challenge in accessing foods to supplement home-grown staples for a diversified nutritional intake. Though parents tended to be aware of the nutritional needs of children, they faced financial constraints in meeting them. There were also indications of a sex gap between control over resources by men and the role played by women in child nutrition. Findings underscore the potential of economic-strengthening activities such as VSLs for improving seasonal and transitory food security, but highlight the need for additional supporting interventions in order to overcome chronic nutritional challenges.","collection-title":"Economic Dimensions of Child Protection and Well-being","container-title":"Children and Youth Services Review","DOI":"10.1016/j.childyouth.2014.07.010","ISSN":"0190-7409","journalAbbreviation":"Children and Youth Services Review","page":"113-120","source":"ScienceDirect","title":"Can village savings and loan groups be a potential tool in the malnutrition fight? Mixed method findings from Mozambique","title-short":"Can village savings and loan groups be a potential tool in the malnutrition fight?","volume":"47","author":[{"family":"Brunie","given":"Aurélie"},{"family":"Fumagalli","given":"Laura"},{"family":"Martin","given":"Thomas"},{"family":"Field","given":"Samuel"},{"family":"Rutherford","given":"Diana"}],"issued":{"date-parts":[["2014",12,1]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(59)</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br/>
              <w:t xml:space="preserve">Where? Mozambique. </w:t>
            </w:r>
            <w:r w:rsidRPr="00AB408C">
              <w:rPr>
                <w:rFonts w:ascii="Arial Narrow" w:eastAsia="Arial Narrow" w:hAnsi="Arial Narrow" w:cs="Arial Narrow"/>
                <w:color w:val="000000" w:themeColor="text1"/>
                <w:sz w:val="20"/>
                <w:szCs w:val="20"/>
              </w:rPr>
              <w:br/>
              <w:t>What? Village savings groups self-managed and capitalised microfinance programme, where members pool savings and can borrow from the pool and repay with interest.</w:t>
            </w:r>
          </w:p>
          <w:p w14:paraId="5AA0DA7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67E9985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Ojha et al. (2020)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{"citationID":"YeSaSkym","properties":{"formattedCitation":"(22)","plainCitation":"(22)","noteIndex":0},"citationItems":[{"id":410,"uris":["http://zotero.org/users/11153788/items/C6RDBAD8"],"itemData":{"id":410,"type":"article-journal","abstract":"Objective\nTo determine whether Rojiroti microfinance, for poor Indian women, improves child nutrition.\n\nDesign\nCluster randomised trial.\n\nSetting\nTolas (village communities) in Bihar State.\n\nParticipants\nWomen and children under 5 years.\n\nInterventions\nWith Rojiroti microfinance, women form self-help groups and save their money to provide loans to group members. After 6 months, they receive larger external loans. Tolas were randomised to receive Rojiroti immediately or after 18 months.\n\nOutcome measures\nThe primary analysis compared the mean weight for height Z score (WHZ) of children under 5 years in the intervention versus control tolas who attended for weight and height measurement 18 months after randomisation. Secondary outcomes were weight for age Z score (WAZ), height for age Z score, mid-upper arm circumference (MUAC), wasting, underweight and stunting.\n\nResults\nWe randomised 28 tolas to each arm and collected data from 2469 children (1560 mothers) at baseline and 2064 children (1326 mothers) at follow-up. WHZ was calculated for 1718 children at baseline and 1377 (674 intervention and 703 control) at follow-up. At 18 months, mean WHZ was significantly higher for intervention (−1.02) versus controls (−1.37; regression coefficient adjusted for clustering β=0.38,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0.16 to 0.61, p=0.001). Significantly fewer children were wasted in the intervention group (122, 18%) versus control (200, 29%; OR=0.46,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0.28 to 0.74, p=0.002). Mean WAZ was better in the intervention group (−2.13 vs −2.37; β=0.27,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0.11 to 0.43, p=0.001) as was MUAC (13.6</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vs 13.4</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β=0.22,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0.03 to 0.40, p=0.02). In an analysis adjusting for baseline nutritional measures (259 intervention children and 300 control), only WAZ and % underweight showed significant differences in favour of the intervention.\n\nConclusion\nIn marginalised communities in rural India, child nutrition was better in those who received Rojiroti microfinance, compared with controls.\n\nTrial registration number\n\nNCT01845545.","container-title":"Archives of Disease in Childhood","DOI":"10.1136/archdischild-2018-316471","ISSN":"0003-9888","issue":"3","journalAbbreviation":"Arch Dis Child","note":"PMID: 31601571\nPMCID: PMC7041497","page":"229-235","source":"PubMed Central","title":"Rojiroti microfinance and child nutrition: a cluster randomised trial","title-short":"Rojiroti microfinance and child nutrition","volume":"105","author":[{"family":"Ojha","given":"Shalini"},{"family":"Szatkowski","given":"Lisa"},{"family":"Sinha","given":"Ranjeet"},{"family":"Yaron","given":"Gil"},{"family":"Fogarty","given":"Andrew"},{"family":"Allen","given":"Stephen John"},{"family":"Choudhary","given":"Sunil"},{"family":"Smyth","given":"Alan Robert"}],"issued":{"date-parts":[["2020",3]]}}}],"schema":"https://github.com/citation-style-language/schema/raw/master/csl-citation.json"}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br/>
              <w:t xml:space="preserve">Where? India. </w:t>
            </w:r>
            <w:r w:rsidRPr="00AB408C">
              <w:rPr>
                <w:rFonts w:ascii="Arial Narrow" w:eastAsia="Arial Narrow" w:hAnsi="Arial Narrow" w:cs="Arial Narrow"/>
                <w:color w:val="000000" w:themeColor="text1"/>
                <w:sz w:val="20"/>
                <w:szCs w:val="20"/>
              </w:rPr>
              <w:br/>
              <w:t xml:space="preserve">What? Micro-finance services for women, with self-help groups and larger external loans. </w:t>
            </w:r>
          </w:p>
          <w:p w14:paraId="07851EC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18FAEA2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Asadullah and Ara (2015)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{"citationID":"Z3zVERDc","properties":{"formattedCitation":"(21)","plainCitation":"(21)","noteIndex":0},"citationItems":[{"id":65,"uris":["http://zotero.org/users/11153788/items/ZUGHURPI"],"itemData":{"id":65,"type":"article-journal","abstract":"Using a four-round panel data set from the first phase of the Challenging the Frontiers of Poverty Reduction – Targeting the Ultra Poor (CFPR – TUP) programme of BRAC, we investigate whether a one-off transfer of livestock assets improves well-being of the very poor women in Bangladesh. Programme impact is assessed on a wide range of monetary and nonmonetary measures of well-being using difference-in-difference (DD) as well as matching methods. We find significant positive long-term impact on food security, household savings, assets and participation in microfinance. Participant women are less likely to be in distress occupation and more into self-employment. However, the long-term effect is much smaller for most outcomes when compared to short- and medium-run impacts. We conclude by discussing the significance of the institutional and regional context for the observed time path of estimated programme effect.","container-title":"Applied Economics","DOI":"10.1080/00036846.2015.1073846","ISSN":"0003-6846","issue":"2","note":"publisher: Routledge\n_eprint: https://doi.org/10.1080/00036846.2015.1073846","page":"107-120","source":"Taylor and Francis+NEJM","title":"Evaluating the long-run impact of an innovative anti-poverty programme: evidence using household panel data","title-short":"Evaluating the long-run impact of an innovative anti-poverty programme","volume":"48","author":[{"family":"Asadullah","given":"M Niaz"},{"family":"Ara","given":"Jinnat"}],"issued":{"date-parts":[["2016",1,8]]}}}],"schema":"https://github.com/citation-style-language/schema/raw/master/csl-citation.json"}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(21)</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br/>
              <w:t xml:space="preserve">Where? Bangladesh. </w:t>
            </w:r>
            <w:r w:rsidRPr="00AB408C">
              <w:rPr>
                <w:rFonts w:ascii="Arial Narrow" w:eastAsia="Arial Narrow" w:hAnsi="Arial Narrow" w:cs="Arial Narrow"/>
                <w:color w:val="000000" w:themeColor="text1"/>
                <w:sz w:val="20"/>
                <w:szCs w:val="20"/>
              </w:rPr>
              <w:br/>
              <w:t>What? One-off transfer of productive assets for chosen microenterprise by women, weekly follow-ups for technical advice, monthly HW visit.</w:t>
            </w:r>
          </w:p>
          <w:p w14:paraId="6CF67C1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702691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Sedlmayr et al. (2020)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{"citationID":"q20ntMPR","properties":{"formattedCitation":"(60)","plainCitation":"(60)","noteIndex":0},"citationItems":[{"id":408,"uris":["http://zotero.org/users/11153788/items/H4QTW3CR"],"itemData":{"id":408,"type":"article-journal","abstract":"Can training and mentorship expand the economic impact of cash transfer programs, or would such extensions waste resources that recipients could allocate more impactfully by themselves? Over the course of two years, a Ugandan nonprofit organization implemented alternative poverty alleviation approaches in a randomized manner. These included an integrated graduation-style program involving cash transfers as well as extensive training and mentorship; a slightly simplified variant excluding training on savings group formation; and a radically simplified approach that monetized all intangibles and delivered cash only. Light-touch behavioral extensions involving goal-setting and plan-making were also implemented with some cash transfer recipients. We find that simplifying the integrated program tended to erode its impact.","container-title":"Journal of Development Economics","DOI":"10.1016/j.jdeveco.2019.102418","ISSN":"0304-3878","journalAbbreviation":"Journal of Development Economics","page":"102418","source":"ScienceDirect","title":"Cash-plus: Poverty impacts of alternative transfer-based approaches","title-short":"Cash-plus","volume":"144","author":[{"family":"Sedlmayr","given":"Richard"},{"family":"Shah","given":"Anuj"},{"family":"Sulaiman","given":"Munshi"}],"issued":{"date-parts":[["2020",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(60)</w:t>
            </w:r>
            <w:r w:rsidRPr="00AB408C">
              <w:rPr>
                <w:rFonts w:ascii="Arial Narrow" w:eastAsia="Arial Narrow" w:hAnsi="Arial Narrow" w:cs="Arial Narrow"/>
                <w:color w:val="000000" w:themeColor="text1"/>
                <w:sz w:val="20"/>
                <w:szCs w:val="20"/>
              </w:rPr>
              <w:fldChar w:fldCharType="end"/>
            </w:r>
          </w:p>
          <w:p w14:paraId="4286C48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Uganda. </w:t>
            </w:r>
          </w:p>
          <w:p w14:paraId="472DCD0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Village Enterprise, comprising training, transfers, and mentorship.</w:t>
            </w:r>
          </w:p>
        </w:tc>
        <w:tc>
          <w:tcPr>
            <w:tcW w:w="1886" w:type="dxa"/>
            <w:tcBorders>
              <w:top w:val="single" w:sz="6" w:space="0" w:color="7F7F7F" w:themeColor="text1" w:themeTint="80"/>
              <w:left w:val="nil"/>
              <w:bottom w:val="single" w:sz="6" w:space="0" w:color="7F7F7F" w:themeColor="text1" w:themeTint="80"/>
            </w:tcBorders>
            <w:tcMar>
              <w:left w:w="105" w:type="dxa"/>
              <w:right w:w="105" w:type="dxa"/>
            </w:tcMar>
          </w:tcPr>
          <w:p w14:paraId="431F4D8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Food security and dietary diversity: improved household food security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{"citationID":"COa9bBwi","properties":{"formattedCitation":"(21,22,60)","plainCitation":"(21,22,60)","noteIndex":0},"citationItems":[{"id":410,"uris":["http://zotero.org/users/11153788/items/C6RDBAD8"],"itemData":{"id":410,"type":"article-journal","abstract":"Objective\nTo determine whether Rojiroti microfinance, for poor Indian women, improves child nutrition.\n\nDesign\nCluster randomised trial.\n\nSetting\nTolas (village communities) in Bihar State.\n\nParticipants\nWomen and children under 5 years.\n\nInterventions\nWith Rojiroti microfinance, women form self-help groups and save their money to provide loans to group members. After 6 months, they receive larger external loans. Tolas were randomised to receive Rojiroti immediately or after 18 months.\n\nOutcome measures\nThe primary analysis compared the mean weight for height Z score (WHZ) of children under 5 years in the intervention versus control tolas who attended for weight and height measurement 18 months after randomisation. Secondary outcomes were weight for age Z score (WAZ), height for age Z score, mid-upper arm circumference (MUAC), wasting, underweight and stunting.\n\nResults\nWe randomised 28 tolas to each arm and collected data from 2469 children (1560 mothers) at baseline and 2064 children (1326 mothers) at follow-up. WHZ was calculated for 1718 children at baseline and 1377 (674 intervention and 703 control) at follow-up. At 18 months, mean WHZ was significantly higher for intervention (−1.02) versus controls (−1.37; regression coefficient adjusted for clustering β=0.38,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0.16 to 0.61, p=0.001). Significantly fewer children were wasted in the intervention group (122, 18%) versus control (200, 29%; OR=0.46,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0.28 to 0.74, p=0.002). Mean WAZ was better in the intervention group (−2.13 vs −2.37; β=0.27,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0.11 to 0.43, p=0.001) as was MUAC (13.6</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vs 13.4</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β=0.22,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0.03 to 0.40, p=0.02). In an analysis adjusting for baseline nutritional measures (259 intervention children and 300 control), only WAZ and % underweight showed significant differences in favour of the intervention.\n\nConclusion\nIn marginalised communities in rural India, child nutrition was better in those who received Rojiroti microfinance, compared with controls.\n\nTrial registration number\n\nNCT01845545.","container-title":"Archives of Disease in Childhood","DOI":"10.1136/archdischild-2018-316471","ISSN":"0003-9888","issue":"3","journalAbbreviation":"Arch Dis Child","note":"PMID: 31601571\nPMCID: PMC7041497","page":"229-235","source":"PubMed Central","title":"Rojiroti microfinance and child nutrition: a cluster randomised trial","title-short":"Rojiroti microfinance and child nutrition","volume":"105","author":[{"family":"Ojha","given":"Shalini"},{"family":"Szatkowski","given":"Lisa"},{"family":"Sinha","given":"Ranjeet"},{"family":"Yaron","given":"Gil"},{"family":"Fogarty","given":"Andrew"},{"family":"Allen","given":"Stephen John"},{"family":"Choudhary","given":"Sunil"},{"family":"Smyth","given":"Alan Robert"}],"issued":{"date-parts":[["2020",3]]}}},{"id":65,"uris":["http://zotero.org/users/11153788/items/ZUGHURPI"],"itemData":{"id":65,"type":"article-journal","abstract":"Using a four-round panel data set from the first phase of the Challenging the Frontiers of Poverty Reduction – Targeting the Ultra Poor (CFPR – TUP) programme of BRAC, we investigate whether a one-off transfer of livestock assets improves well-being of the very poor women in Bangladesh. Programme impact is assessed on a wide range of monetary and nonmonetary measures of well-being using difference-in-difference (DD) as well as matching methods. We find significant positive long-term impact on food security, household savings, assets and participation in microfinance. Participant women are less likely to be in distress occupation and more into self-employment. However, the long-term effect is much smaller for most outcomes when compared to short- and medium-run impacts. We conclude by discussing the significance of the institutional and regional context for the observed time path of estimated programme effect.","container-title":"Applied Economics","DOI":"10.1080/00036846.2015.1073846","ISSN":"0003-6846","issue":"2","note":"publisher: Routledge\n_eprint: https://doi.org/10.1080/00036846.2015.1073846","page":"107-120","source":"Taylor and Francis+NEJM","title":"Evaluating the long-run impact of an innovative anti-poverty programme: evidence using household panel data","title-short":"Evaluating the long-run impact of an innovative anti-poverty programme","volume":"48","author":[{"family":"Asadullah","given":"M Niaz"},{"family":"Ara","given":"Jinnat"}],"issued":{"date-parts":[["2016",1,8]]}}},{"id":408,"uris":["http://zotero.org/users/11153788/items/H4QTW3CR"],"itemData":{"id":408,"type":"article-journal","abstract":"Can training and mentorship expand the economic impact of cash transfer programs, or would such extensions waste resources that recipients could allocate more impactfully by themselves? Over the course of two years, a Ugandan nonprofit organization implemented alternative poverty alleviation approaches in a randomized manner. These included an integrated graduation-style program involving cash transfers as well as extensive training and mentorship; a slightly simplified variant excluding training on savings group formation; and a radically simplified approach that monetized all intangibles and delivered cash only. Light-touch behavioral extensions involving goal-setting and plan-making were also implemented with some cash transfer recipients. We find that simplifying the integrated program tended to erode its impact.","container-title":"Journal of Development Economics","DOI":"10.1016/j.jdeveco.2019.102418","ISSN":"0304-3878","journalAbbreviation":"Journal of Development Economics","page":"102418","source":"ScienceDirect","title":"Cash-plus: Poverty impacts of alternative transfer-based approaches","title-short":"Cash-plus","volume":"144","author":[{"family":"Sedlmayr","given":"Richard"},{"family":"Shah","given":"Anuj"},{"family":"Sulaiman","given":"Munshi"}],"issued":{"date-parts":[["2020",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(21,22,60)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and household dietary diversity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{"citationID":"kqbasBrS","properties":{"formattedCitation":"(60)","plainCitation":"(60)","noteIndex":0},"citationItems":[{"id":408,"uris":["http://zotero.org/users/11153788/items/H4QTW3CR"],"itemData":{"id":408,"type":"article-journal","abstract":"Can training and mentorship expand the economic impact of cash transfer programs, or would such extensions waste resources that recipients could allocate more impactfully by themselves? Over the course of two years, a Ugandan nonprofit organization implemented alternative poverty alleviation approaches in a randomized manner. These included an integrated graduation-style program involving cash transfers as well as extensive training and mentorship; a slightly simplified variant excluding training on savings group formation; and a radically simplified approach that monetized all intangibles and delivered cash only. Light-touch behavioral extensions involving goal-setting and plan-making were also implemented with some cash transfer recipients. We find that simplifying the integrated program tended to erode its impact.","container-title":"Journal of Development Economics","DOI":"10.1016/j.jdeveco.2019.102418","ISSN":"0304-3878","journalAbbreviation":"Journal of Development Economics","page":"102418","source":"ScienceDirect","title":"Cash-plus: Poverty impacts of alternative transfer-based approaches","title-short":"Cash-plus","volume":"144","author":[{"family":"Sedlmayr","given":"Richard"},{"family":"Shah","given":"Anuj"},{"family":"Sulaiman","given":"Munshi"}],"issued":{"date-parts":[["2020",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22EEE30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18958D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Health and nutrition:</w:t>
            </w:r>
          </w:p>
          <w:p w14:paraId="4D221841"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Reduced stunting and wasting in children under 5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{"citationID":"Egs1J2sq","properties":{"formattedCitation":"(22)","plainCitation":"(22)","noteIndex":0},"citationItems":[{"id":410,"uris":["http://zotero.org/users/11153788/items/C6RDBAD8"],"itemData":{"id":410,"type":"article-journal","abstract":"Objective\nTo determine whether Rojiroti microfinance, for poor Indian women, improves child nutrition.\n\nDesign\nCluster randomised trial.\n\nSetting\nTolas (village communities) in Bihar State.\n\nParticipants\nWomen and children under 5 years.\n\nInterventions\nWith Rojiroti microfinance, women form self-help groups and save their money to provide loans to group members. After 6 months, they receive larger external loans. Tolas were randomised to receive Rojiroti immediately or after 18 months.\n\nOutcome measures\nThe primary analysis compared the mean weight for height Z score (WHZ) of children under 5 years in the intervention versus control tolas who attended for weight and height measurement 18 months after randomisation. Secondary outcomes were weight for age Z score (WAZ), height for age Z score, mid-upper arm circumference (MUAC), wasting, underweight and stunting.\n\nResults\nWe randomised 28 tolas to each arm and collected data from 2469 children (1560 mothers) at baseline and 2064 children (1326 mothers) at follow-up. WHZ was calculated for 1718 children at baseline and 1377 (674 intervention and 703 control) at follow-up. At 18 months, mean WHZ was significantly higher for intervention (−1.02) versus controls (−1.37; regression coefficient adjusted for clustering β=0.38,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0.16 to 0.61, p=0.001). Significantly fewer children were wasted in the intervention group (122, 18%) versus control (200, 29%; OR=0.46,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0.28 to 0.74, p=0.002). Mean WAZ was better in the intervention group (−2.13 vs −2.37; β=0.27,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CI 0.11 to 0.43, p=0.001) as was MUAC (13.6</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vs 13.4</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cm; β=0.22, 95%</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CI 0.03 to 0.40, p=0.02). In an analysis adjusting for baseline nutritional measures (259 intervention children and 300 control), only WAZ and % underweight showed significant differences in favour of the intervention.\n\nConclusion\nIn marginalised communities in rural India, child nutrition was better in those who received Rojiroti microfinance, compared with controls.\n\nTrial registration number\n\nNCT01845545.","container-title":"Archives of Disease in Childhood","DOI":"10.1136/archdischild-2018-316471","ISSN":"0003-9888","issue":"3","journalAbbreviation":"Arch Dis Child","note":"PMID: 31601571\nPMCID: PMC7041497","page":"229-235","source":"PubMed Central","title":"Rojiroti microfinance and child nutrition: a cluster randomised trial","title-short":"Rojiroti microfinance and child nutrition","volume":"105","author":[{"family":"Ojha","given":"Shalini"},{"family":"Szatkowski","given":"Lisa"},{"family":"Sinha","given":"Ranjeet"},{"family":"Yaron","given":"Gil"},{"family":"Fogarty","given":"Andrew"},{"family":"Allen","given":"Stephen John"},{"family":"Choudhary","given":"Sunil"},{"family":"Smyth","given":"Alan Robert"}],"issued":{"date-parts":[["2020",3]]}}}],"schema":"https://github.com/citation-style-language/schema/raw/master/csl-citation.json"}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improved women’s BMI, reduced likelihood of illness in household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{"citationID":"rBS8GdNL","properties":{"formattedCitation":"(21)","plainCitation":"(21)","noteIndex":0},"citationItems":[{"id":65,"uris":["http://zotero.org/users/11153788/items/ZUGHURPI"],"itemData":{"id":65,"type":"article-journal","abstract":"Using a four-round panel data set from the first phase of the Challenging the Frontiers of Poverty Reduction – Targeting the Ultra Poor (CFPR – TUP) programme of BRAC, we investigate whether a one-off transfer of livestock assets improves well-being of the very poor women in Bangladesh. Programme impact is assessed on a wide range of monetary and nonmonetary measures of well-being using difference-in-difference (DD) as well as matching methods. We find significant positive long-term impact on food security, household savings, assets and participation in microfinance. Participant women are less likely to be in distress occupation and more into self-employment. However, the long-term effect is much smaller for most outcomes when compared to short- and medium-run impacts. We conclude by discussing the significance of the institutional and regional context for the observed time path of estimated programme effect.","container-title":"Applied Economics","DOI":"10.1080/00036846.2015.1073846","ISSN":"0003-6846","issue":"2","note":"publisher: Routledge\n_eprint: https://doi.org/10.1080/00036846.2015.1073846","page":"107-120","source":"Taylor and Francis+NEJM","title":"Evaluating the long-run impact of an innovative anti-poverty programme: evidence using household panel data","title-short":"Evaluating the long-run impact of an innovative anti-poverty programme","volume":"48","author":[{"family":"Asadullah","given":"M Niaz"},{"family":"Ara","given":"Jinnat"}],"issued":{"date-parts":[["2016",1,8]]}}}],"schema":"https://github.com/citation-style-language/schema/raw/master/csl-citation.json"}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(21)</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300961E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72FD06F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Psychosocial factors: Improved psychological outlook (subjective well-being, aspirations, self-control, sense of control), social conditions (sense of community, sense of trust, risk sharing, empowerment of women)</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{"citationID":"EGmo9KYs","properties":{"formattedCitation":"(60)","plainCitation":"(60)","noteIndex":0},"citationItems":[{"id":408,"uris":["http://zotero.org/users/11153788/items/H4QTW3CR"],"itemData":{"id":408,"type":"article-journal","abstract":"Can training and mentorship expand the economic impact of cash transfer programs, or would such extensions waste resources that recipients could allocate more impactfully by themselves? Over the course of two years, a Ugandan nonprofit organization implemented alternative poverty alleviation approaches in a randomized manner. These included an integrated graduation-style program involving cash transfers as well as extensive training and mentorship; a slightly simplified variant excluding training on savings group formation; and a radically simplified approach that monetized all intangibles and delivered cash only. Light-touch behavioral extensions involving goal-setting and plan-making were also implemented with some cash transfer recipients. We find that simplifying the integrated program tended to erode its impact.","container-title":"Journal of Development Economics","DOI":"10.1016/j.jdeveco.2019.102418","ISSN":"0304-3878","journalAbbreviation":"Journal of Development Economics","page":"102418","source":"ScienceDirect","title":"Cash-plus: Poverty impacts of alternative transfer-based approaches","title-short":"Cash-plus","volume":"144","author":[{"family":"Sedlmayr","given":"Richard"},{"family":"Shah","given":"Anuj"},{"family":"Sulaiman","given":"Munshi"}],"issued":{"date-parts":[["2020",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reduced intimate partner violence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{"citationID":"RFgve4BE","properties":{"formattedCitation":"(20,60)","plainCitation":"(20,60)","noteIndex":0},"citationItems":[{"id":88,"uris":["http://zotero.org/users/11153788/items/FNVD9WRI"],"itemData":{"id":88,"type":"article-journal","abstract":"Objectives. We sought to obtain evidence about the scope of women’s empowerment and the mechanisms underlying the significant reduction in intimate partner violence documented by the Intervention With Microfinance for AIDS and Gender Equity (IMAGE) cluster-randomized trial in rural South Africa.\n\nMethods. The IMAGE intervention combined a microfinance program with participatory training on understanding HIV infection, gender norms, domestic violence, and sexuality. Outcome measures included past year’s experience of intimate partner violence and 9 indicators of women’s empowerment. Qualitative data about changes occurring within intimate relationships, loan groups, and the community were also collected.\n\nResults. After 2 years, the risk of past-year physical or sexual violence by an intimate partner was reduced by more than half (adjusted risk ratio=0.45; 95% confidence interval=0.23, 0.91). Improvements in all 9 indicators of empowerment were observed. Reductions in violence resulted from a range of responses enabling women to challenge the acceptability of violence, expect and receive better treatment from partners, leave abusive relationships, and raise public awareness about intimate partner violence.\n\nConclusions. Our findings, both qualitative and quantitative, indicate that economic and social empowerment of women can contribute to reductions in intimate partner violence.","container-title":"American Journal of Public Health","DOI":"10.2105/AJPH.2006.095521","ISSN":"0090-0036","issue":"10","journalAbbreviation":"Am J Public Health","note":"publisher: American Public Health Association","page":"1794-1802","source":"ajph.aphapublications.org (Atypon)","title":"Understanding the Impact of a Microfinance-Based Intervention on Women’s Empowerment and the Reduction of Intimate Partner Violence in South Africa","volume":"97","author":[{"family":"Kim","given":"Julia C."},{"family":"Watts","given":"Charlotte H."},{"family":"Hargreaves","given":"James R."},{"family":"Ndhlovu","given":"Luceth X."},{"family":"Phetla","given":"Godfrey"},{"family":"Morison","given":"Linda A."},{"family":"Busza","given":"Joanna"},{"family":"Porter","given":"John D.H."},{"family":"Pronyk","given":"Paul"}],"issued":{"date-parts":[["2007",10]]}}},{"id":408,"uris":["http://zotero.org/users/11153788/items/H4QTW3CR"],"itemData":{"id":408,"type":"article-journal","abstract":"Can training and mentorship expand the economic impact of cash transfer programs, or would such extensions waste resources that recipients could allocate more impactfully by themselves? Over the course of two years, a Ugandan nonprofit organization implemented alternative poverty alleviation approaches in a randomized manner. These included an integrated graduation-style program involving cash transfers as well as extensive training and mentorship; a slightly simplified variant excluding training on savings group formation; and a radically simplified approach that monetized all intangibles and delivered cash only. Light-touch behavioral extensions involving goal-setting and plan-making were also implemented with some cash transfer recipients. We find that simplifying the integrated program tended to erode its impact.","container-title":"Journal of Development Economics","DOI":"10.1016/j.jdeveco.2019.102418","ISSN":"0304-3878","journalAbbreviation":"Journal of Development Economics","page":"102418","source":"ScienceDirect","title":"Cash-plus: Poverty impacts of alternative transfer-based approaches","title-short":"Cash-plus","volume":"144","author":[{"family":"Sedlmayr","given":"Richard"},{"family":"Shah","given":"Anuj"},{"family":"Sulaiman","given":"Munshi"}],"issued":{"date-parts":[["2020",5,1]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(20,60)</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bottom w:val="single" w:sz="6" w:space="0" w:color="7F7F7F" w:themeColor="text1" w:themeTint="80"/>
            </w:tcBorders>
          </w:tcPr>
          <w:p w14:paraId="7002540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If we can just get the skill on how to get these, and maybe if you want to open your own business at home – how do you do that. We do have that, it’s just that you need to have a plan and sometimes you don’t even know how to put that plan down. </w:t>
            </w:r>
          </w:p>
          <w:p w14:paraId="245F7AD3"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 (FGD 1)</w:t>
            </w:r>
          </w:p>
          <w:p w14:paraId="7DF7AD1E"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1B9482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As women, we can get together and go ask for assistance from the counsellor, SANCO and Social Development. Let them know that we have women who are struggling. We can also contribute a small amount, say R50 a month towards helping each other out. (FGD 3)</w:t>
            </w:r>
          </w:p>
          <w:p w14:paraId="5C116AD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233B905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If we can be able to invest on community workshops to educate them [mothers] to say what to do when you go online, which sites you can frequently watch, even when you've got those media services, which channels you can watch, so that you can be able to upskill yourself, even if you're at home. But also, beside the formal employment, starting businesses, because most people here, they can be self-reliant, because there's got skills that you've got families </w:t>
            </w:r>
            <w:r w:rsidRPr="00AB408C">
              <w:rPr>
                <w:rFonts w:ascii="Arial Narrow" w:eastAsia="Arial Narrow" w:hAnsi="Arial Narrow" w:cs="Arial Narrow"/>
                <w:color w:val="000000" w:themeColor="text1"/>
                <w:sz w:val="20"/>
                <w:szCs w:val="20"/>
              </w:rPr>
              <w:lastRenderedPageBreak/>
              <w:t>that they (Participant 16, CBO8)</w:t>
            </w:r>
          </w:p>
        </w:tc>
      </w:tr>
      <w:tr w:rsidR="00CD1362" w:rsidRPr="00AB408C" w14:paraId="6F472801" w14:textId="77777777" w:rsidTr="00971419">
        <w:trPr>
          <w:trHeight w:val="300"/>
        </w:trPr>
        <w:tc>
          <w:tcPr>
            <w:cnfStyle w:val="001000000000" w:firstRow="0" w:lastRow="0" w:firstColumn="1" w:lastColumn="0" w:oddVBand="0" w:evenVBand="0" w:oddHBand="0" w:evenHBand="0" w:firstRowFirstColumn="0" w:firstRowLastColumn="0" w:lastRowFirstColumn="0" w:lastRowLastColumn="0"/>
            <w:tcW w:w="1274" w:type="dxa"/>
            <w:vMerge/>
            <w:shd w:val="clear" w:color="auto" w:fill="FFFFFF" w:themeFill="background1"/>
            <w:tcMar>
              <w:left w:w="105" w:type="dxa"/>
              <w:right w:w="105" w:type="dxa"/>
            </w:tcMar>
          </w:tcPr>
          <w:p w14:paraId="3E1D20BC"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bottom w:val="single" w:sz="6" w:space="0" w:color="7F7F7F" w:themeColor="text1" w:themeTint="80"/>
              <w:right w:val="nil"/>
            </w:tcBorders>
            <w:shd w:val="clear" w:color="auto" w:fill="F2F2F2" w:themeFill="background1" w:themeFillShade="F2"/>
            <w:tcMar>
              <w:left w:w="105" w:type="dxa"/>
              <w:right w:w="105" w:type="dxa"/>
            </w:tcMar>
          </w:tcPr>
          <w:p w14:paraId="7E7DA0B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Pay-as-you-go fridge</w:t>
            </w:r>
          </w:p>
        </w:tc>
        <w:tc>
          <w:tcPr>
            <w:tcW w:w="1783" w:type="dxa"/>
            <w:tcBorders>
              <w:top w:val="single" w:sz="6" w:space="0" w:color="7F7F7F" w:themeColor="text1" w:themeTint="80"/>
              <w:left w:val="nil"/>
              <w:bottom w:val="single" w:sz="6" w:space="0" w:color="7F7F7F" w:themeColor="text1" w:themeTint="80"/>
              <w:right w:val="nil"/>
            </w:tcBorders>
          </w:tcPr>
          <w:p w14:paraId="348C67B3"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Own an electricity-free fridge for as little as ZAR 20/day, allowing moms to buy in bulk and reduce worry about food waste.</w:t>
            </w:r>
          </w:p>
        </w:tc>
        <w:tc>
          <w:tcPr>
            <w:tcW w:w="1984"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09730D6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Social need: Appropriate and affordable housing.</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Affordable healthier foods.</w:t>
            </w:r>
          </w:p>
          <w:p w14:paraId="1DD5036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0FF1477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Path: Improving mothers’ asset base. Promoting resourcefulness.</w:t>
            </w:r>
          </w:p>
          <w:p w14:paraId="3650468D"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998"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40AF554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De Souza (2017)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{"citationID":"EExdKWw5","properties":{"formattedCitation":"(61)","plainCitation":"(61)","noteIndex":0},"citationItems":[{"id":364,"uris":["http://zotero.org/users/11153788/items/4K9TC5H2"],"itemData":{"id":364,"type":"article-journal","abstract":"Malnutrition is part of a vicious cycle involving biological and social aspects. Some factors are directly associated with malnutrition, such as inadequate dietary intake and incidence of disease, while others (socio-economic in nature) are more distant but no less important. This paper aims at identifying the main correlates of stunting among Yemeni children through a logistic regression model. The results are based on the fourth round of the National Social Protection Monitoring Survey conducted in 2013; which makes this study a baseline assessment of Yemeni child undernutrition before the ongoing civil war. Primarily addressing the most significant factors associated with stunting in Yemen is urgent especially if one considers the country’s constant public budget shortages. There are significant differences—in prevalence of child stunting—between regions of residence that could be reduced by putting in place local policies aimed at increasing population access to adequate water and good hygiene practices. The Social Welfare Fund (SWF) programme is also important since this benefit is the only source of income for some families. However, if corruption, regional and civil conflict continues, improvements in the SWF will probably not matter. Such interventions, together with policies for changing attitudes towards women’s education, would also help to promote proper child feeding practices. Likewise, cultural aspects can explain the aetiology of children’s poor growth. Examples include feeding taboos that influence early initiation and duration of breastfeeding. With so many steps to be taken to prevent child malnutrition, it cannot remain an invisible problem.","container-title":"Bandung: Journal of the Global South","DOI":"10.1186/s40728-017-0040-y","ISSN":"2198-3534","issue":"1","journalAbbreviation":"Bandung: Journal of the Global South","page":"3","source":"BioMed Central","title":"Correlates of child undernutrition in Yemen","volume":"4","author":[{"family":"De Souza","given":"Laetícia R."}],"issued":{"date-parts":[["2017",4,3]]}}}],"schema":"https://github.com/citation-style-language/schema/raw/master/csl-citation.json"}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(61)</w:t>
            </w:r>
            <w:r w:rsidRPr="00AB408C">
              <w:rPr>
                <w:rFonts w:ascii="Arial Narrow" w:eastAsia="Arial Narrow" w:hAnsi="Arial Narrow" w:cs="Arial Narrow"/>
                <w:color w:val="000000" w:themeColor="text1"/>
                <w:sz w:val="20"/>
                <w:szCs w:val="20"/>
              </w:rPr>
              <w:fldChar w:fldCharType="end"/>
            </w:r>
          </w:p>
          <w:p w14:paraId="21677EA1"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Yemen. </w:t>
            </w:r>
          </w:p>
          <w:p w14:paraId="1A71A74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Martinez (2021)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{"citationID":"aTCxHMPM","properties":{"formattedCitation":"(62)","plainCitation":"(62)","noteIndex":0},"citationItems":[{"id":365,"uris":["http://zotero.org/users/11153788/items/4AV3L3HK"],"itemData":{"id":365,"type":"article-journal","abstract":"Child stunting in Latin America and the Caribbean (LAC) decreased from 22.9% in 1990 to 9.6% in 2017. While stunting rates in the region were falling, access to electricity and refrigeration were on the rise. Despite a large body of evidence surrounding the effects of refrigeration on food consumption, and separately of the importance of food consumption for child health and nutrition, surprisingly few studies explore the potential effects of refrigeration on child nutrition. We studied the relationship between refrigeration and child nutrition outcomes using rich panel data for 1298 low-income households with children younger than 12 months at baseline in El Alto, Bolivia. We estimated the effects of refrigerator ownership on diet and nutrition outcomes using a difference-in-difference approach. Owning a refrigerator was associated with increased food expenditures and improved child nutrition. We found evidence that households that acquired a refrigerator were more likely to buy food that requires refrigeration, and children in households that acquired refrigerators were 0.17 standard deviations taller for their age after 2 years. We also found that refrigeration was associated with a 0.26 standard deviation decline in BMI-for-age, an effect driven by increased height rather than lower weight. These results suggest that refrigeration may play a role in explaining reductions in undernutrition observed in low- and middle-income countries in recent decades.","container-title":"Maternal &amp; Child Nutrition","DOI":"10.1111/mcn.13083","ISSN":"1740-8709","issue":"2","language":"en","license":"© 2021 The Authors. Maternal &amp; Child Nutrition published by John Wiley &amp; Sons Ltd","note":"_eprint: https://onlinelibrary.wiley.com/doi/pdf/10.1111/mcn.13083","page":"e13083","source":"Wiley Online Library","title":"Refrigeration and child growth: What is the connection?","title-short":"Refrigeration and child growth","volume":"17","author":[{"family":"Martinez","given":"Sebastian"},{"family":"Murguia","given":"Juan M."},{"family":"Rejas","given":"Brisa"},{"family":"Winters","given":"Solis"}],"issued":{"date-parts":[["2021"]]}}}],"schema":"https://github.com/citation-style-language/schema/raw/master/csl-citation.json"}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(62)</w:t>
            </w:r>
            <w:r w:rsidRPr="00AB408C">
              <w:rPr>
                <w:rFonts w:ascii="Arial Narrow" w:eastAsia="Arial Narrow" w:hAnsi="Arial Narrow" w:cs="Arial Narrow"/>
                <w:color w:val="000000" w:themeColor="text1"/>
                <w:sz w:val="20"/>
                <w:szCs w:val="20"/>
              </w:rPr>
              <w:fldChar w:fldCharType="end"/>
            </w:r>
          </w:p>
          <w:p w14:paraId="152C1363"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Bolivia. </w:t>
            </w:r>
          </w:p>
          <w:p w14:paraId="56F06B58"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Heard et al (2020)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{"citationID":"iK9WtDOj","properties":{"formattedCitation":"(63)","plainCitation":"(63)","noteIndex":0},"citationItems":[{"id":363,"uris":["http://zotero.org/users/11153788/items/IRHTXM42"],"itemData":{"id":363,"type":"article-journal","abstract":"Refrigerator ownership accompanies socio-economic development, with the potential to change human diets. Household refrigerator ownership in Vietnam has increased from 13% to 59% between 2004-2014. This study estimates changes in food consumption and diet linkages with household refrigerator ownership in Vietnam, while controlling for socioeconomic variables. We use a two-step instrumental variable regression model on two panels of the Vietnam Household Living Standards Survey covering 2004-2014. Our study finds refrigerator ownership to be significantly associated with decreases in per-capita calorie intake over both periods. Refrigerator ownership may be connected with households substituting lower-nutrient foods with higher ones, with substantial decreases in starchy staple food consumption connected with refrigerator ownership in both panels. For both periods, refrigerator ownership is significantly connected with increased dairy consumption, potentially reflecting the refrigerator increasing a household’s ability to store dairy products.","container-title":"Economics &amp; Human Biology","DOI":"10.1016/j.ehb.2020.100930","ISSN":"1570-677X","journalAbbreviation":"Economics &amp; Human Biology","page":"100930","source":"ScienceDirect","title":"The Influence of Household Refrigerator Ownership on Diets in Vietnam","volume":"39","author":[{"family":"Heard","given":"Brent R."},{"family":"Thi","given":"Huong Trinh"},{"family":"Burra","given":"Dharani Dhar"},{"family":"Heller","given":"Martin C."},{"family":"Miller","given":"Shelie A."},{"family":"Duong","given":"Thanh Thi"},{"family":"Simioni","given":"Michel"},{"family":"Jones","given":"Andrew D."}],"issued":{"date-parts":[["2020",12,1]]}}}],"schema":"https://github.com/citation-style-language/schema/raw/master/csl-citation.json"}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(63)</w:t>
            </w:r>
            <w:r w:rsidRPr="00AB408C">
              <w:rPr>
                <w:rFonts w:ascii="Arial Narrow" w:eastAsia="Arial Narrow" w:hAnsi="Arial Narrow" w:cs="Arial Narrow"/>
                <w:color w:val="000000" w:themeColor="text1"/>
                <w:sz w:val="20"/>
                <w:szCs w:val="20"/>
              </w:rPr>
              <w:fldChar w:fldCharType="end"/>
            </w:r>
          </w:p>
          <w:p w14:paraId="6052F98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Vietnam.</w:t>
            </w:r>
          </w:p>
          <w:p w14:paraId="6A3B2207"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79956804"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Fridge ownership.</w:t>
            </w:r>
          </w:p>
          <w:p w14:paraId="73C45CDB"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4F2B440E"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Sanni et al (2019)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{"citationID":"qD0ZcT7x","properties":{"formattedCitation":"(64)","plainCitation":"(64)","noteIndex":0},"citationItems":[{"id":419,"uris":["http://zotero.org/users/11153788/items/YJC687JX"],"itemData":{"id":419,"type":"report","collection-title":"Insight","genre":"Impact Study","number":"007","publisher":"CDC Investment Works","title":"How innovation in off grid refrigeration impacts lives in Kenya","URL":"https://assets.cdcgroup.com/wp-content/uploads/2019/10/29165356/How-innovation-in-off-grid-refrigeration-impacts-lives-in-Kenya.pdf","author":[{"family":"Sanni","given":"Michael"},{"family":"Neureiter","given":"Katharina"},{"family":"Raksit","given":"Arpita"}],"accessed":{"date-parts":[["2023",9,22]]},"issued":{"date-parts":[["2019",10,28]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(64)</w:t>
            </w:r>
            <w:r w:rsidRPr="00AB408C">
              <w:rPr>
                <w:rFonts w:ascii="Arial Narrow" w:eastAsia="Arial Narrow" w:hAnsi="Arial Narrow" w:cs="Arial Narrow"/>
                <w:color w:val="000000" w:themeColor="text1"/>
                <w:sz w:val="20"/>
                <w:szCs w:val="20"/>
              </w:rPr>
              <w:fldChar w:fldCharType="end"/>
            </w:r>
          </w:p>
          <w:p w14:paraId="49DEA8B9"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Where? Kenya.</w:t>
            </w:r>
          </w:p>
          <w:p w14:paraId="7DFBA0A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What? Access to innovative, solar powered refrigeration in off-grid and rural areas at a rate of KES 165/day (USD 1.12) for 700 days.</w:t>
            </w:r>
          </w:p>
        </w:tc>
        <w:tc>
          <w:tcPr>
            <w:tcW w:w="1886"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94F8355"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Reduced probability of stunting among children 6-59 months, </w:t>
            </w:r>
          </w:p>
          <w:p w14:paraId="3A6E2B2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{"citationID":"Z9A4rIia","properties":{"formattedCitation":"(61,62)","plainCitation":"(61,62)","noteIndex":0},"citationItems":[{"id":364,"uris":["http://zotero.org/users/11153788/items/4K9TC5H2"],"itemData":{"id":364,"type":"article-journal","abstract":"Malnutrition is part of a vicious cycle involving biological and social aspects. Some factors are directly associated with malnutrition, such as inadequate dietary intake and incidence of disease, while others (socio-economic in nature) are more distant but no less important. This paper aims at identifying the main correlates of stunting among Yemeni children through a logistic regression model. The results are based on the fourth round of the National Social Protection Monitoring Survey conducted in 2013; which makes this study a baseline assessment of Yemeni child undernutrition before the ongoing civil war. Primarily addressing the most significant factors associated with stunting in Yemen is urgent especially if one considers the country’s constant public budget shortages. There are significant differences—in prevalence of child stunting—between regions of residence that could be reduced by putting in place local policies aimed at increasing population access to adequate water and good hygiene practices. The Social Welfare Fund (SWF) programme is also important since this benefit is the only source of income for some families. However, if corruption, regional and civil conflict continues, improvements in the SWF will probably not matter. Such interventions, together with policies for changing attitudes towards women’s education, would also help to promote proper child feeding practices. Likewise, cultural aspects can explain the aetiology of children’s poor growth. Examples include feeding taboos that influence early initiation and duration of breastfeeding. With so many steps to be taken to prevent child malnutrition, it cannot remain an invisible problem.","container-title":"Bandung: Journal of the Global South","DOI":"10.1186/s40728-017-0040-y","ISSN":"2198-3534","issue":"1","journalAbbreviation":"Bandung: Journal of the Global South","page":"3","source":"BioMed Central","title":"Correlates of child undernutrition in Yemen","volume":"4","author":[{"family":"De Souza","given":"Laetícia R."}],"issued":{"date-parts":[["2017",4,3]]}}},{"id":365,"uris":["http://zotero.org/users/11153788/items/4AV3L3HK"],"itemData":{"id":365,"type":"article-journal","abstract":"Child stunting in Latin America and the Caribbean (LAC) decreased from 22.9% in 1990 to 9.6% in 2017. While stunting rates in the region were falling, access to electricity and refrigeration were on the rise. Despite a large body of evidence surrounding the effects of refrigeration on food consumption, and separately of the importance of food consumption for child health and nutrition, surprisingly few studies explore the potential effects of refrigeration on child nutrition. We studied the relationship between refrigeration and child nutrition outcomes using rich panel data for 1298 low-income households with children younger than 12 months at baseline in El Alto, Bolivia. We estimated the effects of refrigerator ownership on diet and nutrition outcomes using a difference-in-difference approach. Owning a refrigerator was associated with increased food expenditures and improved child nutrition. We found evidence that households that acquired a refrigerator were more likely to buy food that requires refrigeration, and children in households that acquired refrigerators were 0.17 standard deviations taller for their age after 2 years. We also found that refrigeration was associated with a 0.26 standard deviation decline in BMI-for-age, an effect driven by increased height rather than lower weight. These results suggest that refrigeration may play a role in explaining reductions in undernutrition observed in low- and middle-income countries in recent decades.","container-title":"Maternal &amp; Child Nutrition","DOI":"10.1111/mcn.13083","ISSN":"1740-8709","issue":"2","language":"en","license":"© 2021 The Authors. Maternal &amp; Child Nutrition published by John Wiley &amp; Sons Ltd","note":"_eprint: https://onlinelibrary.wiley.com/doi/pdf/10.1111/mcn.13083","page":"e13083","source":"Wiley Online Library","title":"Refrigeration and child growth: What is the connection?","title-short":"Refrigeration and child growth","volume":"17","author":[{"family":"Martinez","given":"Sebastian"},{"family":"Murguia","given":"Juan M."},{"family":"Rejas","given":"Brisa"},{"family":"Winters","given":"Solis"}],"issued":{"date-parts":[["2021"]]}}}],"schema":"https://github.com/citation-style-language/schema/raw/master/csl-citation.json"}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(61,62)</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increased the purchase of more and/or higher quality food (dairy, meat and fish)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{"citationID":"AsQ6mAEx","properties":{"formattedCitation":"(62\\uc0\\u8211{}64)","plainCitation":"(62–64)","noteIndex":0},"citationItems":[{"id":365,"uris":["http://zotero.org/users/11153788/items/4AV3L3HK"],"itemData":{"id":365,"type":"article-journal","abstract":"Child stunting in Latin America and the Caribbean (LAC) decreased from 22.9% in 1990 to 9.6% in 2017. While stunting rates in the region were falling, access to electricity and refrigeration were on the rise. Despite a large body of evidence surrounding the effects of refrigeration on food consumption, and separately of the importance of food consumption for child health and nutrition, surprisingly few studies explore the potential effects of refrigeration on child nutrition. We studied the relationship between refrigeration and child nutrition outcomes using rich panel data for 1298 low-income households with children younger than 12 months at baseline in El Alto, Bolivia. We estimated the effects of refrigerator ownership on diet and nutrition outcomes using a difference-in-difference approach. Owning a refrigerator was associated with increased food expenditures and improved child nutrition. We found evidence that households that acquired a refrigerator were more likely to buy food that requires refrigeration, and children in households that acquired refrigerators were 0.17 standard deviations taller for their age after 2 years. We also found that refrigeration was associated with a 0.26 standard deviation decline in BMI-for-age, an effect driven by increased height rather than lower weight. These results suggest that refrigeration may play a role in explaining reductions in undernutrition observed in low- and middle-income countries in recent decades.","container-title":"Maternal &amp; Child Nutrition","DOI":"10.1111/mcn.13083","ISSN":"1740-8709","issue":"2","language":"en","license":"© 2021 The Authors. Maternal &amp; Child Nutrition published by John Wiley &amp; Sons Ltd","note":"_eprint: https://onlinelibrary.wiley.com/doi/pdf/10.1111/mcn.13083","page":"e13083","source":"Wiley Online Library","title":"Refrigeration and child growth: What is the connection?","title-short":"Refrigeration and child growth","volume":"17","author":[{"family":"Martinez","given":"Sebastian"},{"family":"Murguia","given":"Juan M."},{"family":"Rejas","given":"Brisa"},{"family":"Winters","given":"Solis"}],"issued":{"date-parts":[["2021"]]}}},{"id":363,"uris":["http://zotero.org/users/11153788/items/IRHTXM42"],"itemData":{"id":363,"type":"article-journal","abstract":"Refrigerator ownership accompanies socio-economic development, with the potential to change human diets. Household refrigerator ownership in Vietnam has increased from 13% to 59% between 2004-2014. This study estimates changes in food consumption and diet linkages with household refrigerator ownership in Vietnam, while controlling for socioeconomic variables. We use a two-step instrumental variable regression model on two panels of the Vietnam Household Living Standards Survey covering 2004-2014. Our study finds refrigerator ownership to be significantly associated with decreases in per-capita calorie intake over both periods. Refrigerator ownership may be connected with households substituting lower-nutrient foods with higher ones, with substantial decreases in starchy staple food consumption connected with refrigerator ownership in both panels. For both periods, refrigerator ownership is significantly connected with increased dairy consumption, potentially reflecting the refrigerator increasing a household’s ability to store dairy products.","container-title":"Economics &amp; Human Biology","DOI":"10.1016/j.ehb.2020.100930","ISSN":"1570-677X","journalAbbreviation":"Economics &amp; Human Biology","page":"100930","source":"ScienceDirect","title":"The Influence of Household Refrigerator Ownership on Diets in Vietnam","volume":"39","author":[{"family":"Heard","given":"Brent R."},{"family":"Thi","given":"Huong Trinh"},{"family":"Burra","given":"Dharani Dhar"},{"family":"Heller","given":"Martin C."},{"family":"Miller","given":"Shelie A."},{"family":"Duong","given":"Thanh Thi"},{"family":"Simioni","given":"Michel"},{"family":"Jones","given":"Andrew D."}],"issued":{"date-parts":[["2020",12,1]]}}},{"id":419,"uris":["http://zotero.org/users/11153788/items/YJC687JX"],"itemData":{"id":419,"type":"report","collection-title":"Insight","genre":"Impact Study","number":"007","publisher":"CDC Investment Works","title":"How innovation in off grid refrigeration impacts lives in Kenya","URL":"https://assets.cdcgroup.com/wp-content/uploads/2019/10/29165356/How-innovation-in-off-grid-refrigeration-impacts-lives-in-Kenya.pdf","author":[{"family":"Sanni","given":"Michael"},{"family":"Neureiter","given":"Katharina"},{"family":"Raksit","given":"Arpita"}],"accessed":{"date-parts":[["2023",9,22]]},"issued":{"date-parts":[["2019",10,28]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cs="Times New Roman"/>
                <w:sz w:val="20"/>
                <w:szCs w:val="24"/>
              </w:rPr>
              <w:t>(62–64)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 xml:space="preserve">; led to household saving of USD 4.82/week (by reducing market trips, cooking fuel expenses, food waste); commercial opportunity to start a business with average increase of USD 1-40 in weekly income for business owners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{"citationID":"oLztlD7P","properties":{"formattedCitation":"(64)","plainCitation":"(64)","noteIndex":0},"citationItems":[{"id":419,"uris":["http://zotero.org/users/11153788/items/YJC687JX"],"itemData":{"id":419,"type":"report","collection-title":"Insight","genre":"Impact Study","number":"007","publisher":"CDC Investment Works","title":"How innovation in off grid refrigeration impacts lives in Kenya","URL":"https://assets.cdcgroup.com/wp-content/uploads/2019/10/29165356/How-innovation-in-off-grid-refrigeration-impacts-lives-in-Kenya.pdf","author":[{"family":"Sanni","given":"Michael"},{"family":"Neureiter","given":"Katharina"},{"family":"Raksit","given":"Arpita"}],"accessed":{"date-parts":[["2023",9,22]]},"issued":{"date-parts":[["2019",10,28]]}}}],"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(64)</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tc>
        <w:tc>
          <w:tcPr>
            <w:tcW w:w="2434" w:type="dxa"/>
            <w:tcBorders>
              <w:top w:val="single" w:sz="6" w:space="0" w:color="7F7F7F" w:themeColor="text1" w:themeTint="80"/>
              <w:left w:val="nil"/>
              <w:bottom w:val="single" w:sz="6" w:space="0" w:color="7F7F7F" w:themeColor="text1" w:themeTint="80"/>
              <w:right w:val="nil"/>
            </w:tcBorders>
          </w:tcPr>
          <w:p w14:paraId="2F7B01EA"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The solution [to lack of healthy food stores] is to open such a place- maybe team up with P25 and discuss how we can go about it; maybe she as a better working fridge and say how about we try such a thing and see where it will go. (FGD 4) </w:t>
            </w:r>
          </w:p>
          <w:p w14:paraId="1D053A1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6C91394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People lack fridges, so nutrition cannot be adopted there. When the parents got that time to just take the porridge and go buy the fried chicken feet for the child to eat, and sour milk, you can see that there is no nutrition. (Participant 6, CBO3)</w:t>
            </w:r>
          </w:p>
          <w:p w14:paraId="1A500F60"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p w14:paraId="0C6A859C"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They won't be able to buy and store food. […] When I still had my child, I'd buy fresh produce, blend them in, then freeze them. So that at least my child has two three days’ supply of nutritious food, instead of buying the already stored fruit from the from the shelves. (Participant 16, CBO8)</w:t>
            </w:r>
          </w:p>
          <w:p w14:paraId="6D9459D5" w14:textId="77777777" w:rsidR="00CD1362" w:rsidRPr="00AB408C" w:rsidRDefault="00CD1362" w:rsidP="00971419">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themeColor="text1"/>
                <w:sz w:val="20"/>
                <w:szCs w:val="20"/>
              </w:rPr>
            </w:pPr>
          </w:p>
        </w:tc>
      </w:tr>
      <w:tr w:rsidR="00CD1362" w:rsidRPr="00AB408C" w14:paraId="41606E23" w14:textId="77777777" w:rsidTr="0097141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4" w:type="dxa"/>
            <w:vMerge/>
            <w:shd w:val="clear" w:color="auto" w:fill="FFFFFF" w:themeFill="background1"/>
            <w:tcMar>
              <w:left w:w="105" w:type="dxa"/>
              <w:right w:w="105" w:type="dxa"/>
            </w:tcMar>
          </w:tcPr>
          <w:p w14:paraId="17D6904C" w14:textId="77777777" w:rsidR="00CD1362" w:rsidRPr="00AB408C" w:rsidRDefault="00CD1362" w:rsidP="00971419">
            <w:pPr>
              <w:rPr>
                <w:rFonts w:ascii="Arial Narrow" w:eastAsia="Arial Narrow" w:hAnsi="Arial Narrow" w:cs="Arial Narrow"/>
                <w:b w:val="0"/>
                <w:bCs w:val="0"/>
                <w:color w:val="000000" w:themeColor="text1"/>
                <w:sz w:val="20"/>
                <w:szCs w:val="20"/>
              </w:rPr>
            </w:pPr>
          </w:p>
        </w:tc>
        <w:tc>
          <w:tcPr>
            <w:tcW w:w="1564" w:type="dxa"/>
            <w:tcBorders>
              <w:top w:val="single" w:sz="6" w:space="0" w:color="7F7F7F" w:themeColor="text1" w:themeTint="80"/>
              <w:left w:val="nil"/>
              <w:bottom w:val="single" w:sz="6" w:space="0" w:color="7F7F7F" w:themeColor="text1" w:themeTint="80"/>
              <w:right w:val="nil"/>
            </w:tcBorders>
            <w:shd w:val="clear" w:color="auto" w:fill="F2F2F2" w:themeFill="background1" w:themeFillShade="F2"/>
            <w:tcMar>
              <w:left w:w="105" w:type="dxa"/>
              <w:right w:w="105" w:type="dxa"/>
            </w:tcMar>
          </w:tcPr>
          <w:p w14:paraId="1D6A76AC"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Soup kitchen</w:t>
            </w:r>
          </w:p>
        </w:tc>
        <w:tc>
          <w:tcPr>
            <w:tcW w:w="1783" w:type="dxa"/>
            <w:tcBorders>
              <w:top w:val="single" w:sz="6" w:space="0" w:color="7F7F7F" w:themeColor="text1" w:themeTint="80"/>
              <w:left w:val="nil"/>
              <w:bottom w:val="single" w:sz="6" w:space="0" w:color="7F7F7F" w:themeColor="text1" w:themeTint="80"/>
              <w:right w:val="nil"/>
            </w:tcBorders>
          </w:tcPr>
          <w:p w14:paraId="18576DC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Free daily nutritious meals to children, pregnant and breastfeeding moms in the community. </w:t>
            </w:r>
            <w:r w:rsidRPr="00AB408C">
              <w:rPr>
                <w:rFonts w:ascii="Arial Narrow" w:eastAsia="Arial Narrow" w:hAnsi="Arial Narrow" w:cs="Arial Narrow"/>
                <w:color w:val="000000" w:themeColor="text1"/>
                <w:sz w:val="20"/>
                <w:szCs w:val="20"/>
              </w:rPr>
              <w:lastRenderedPageBreak/>
              <w:t>Moms can volunteer to help.</w:t>
            </w:r>
          </w:p>
        </w:tc>
        <w:tc>
          <w:tcPr>
            <w:tcW w:w="1984"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6D1AC467"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AB408C">
              <w:rPr>
                <w:rFonts w:ascii="Arial Narrow" w:hAnsi="Arial Narrow"/>
                <w:color w:val="000000" w:themeColor="text1"/>
                <w:sz w:val="20"/>
                <w:szCs w:val="20"/>
              </w:rPr>
              <w:lastRenderedPageBreak/>
              <w:t>Social need: Affordable healthier foods. Access to civic services, welfare, and labour market.</w:t>
            </w:r>
          </w:p>
          <w:p w14:paraId="36ED9935"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p>
          <w:p w14:paraId="541B4E69"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0"/>
                <w:szCs w:val="20"/>
              </w:rPr>
            </w:pPr>
            <w:r w:rsidRPr="00AB408C">
              <w:rPr>
                <w:rFonts w:ascii="Arial Narrow" w:hAnsi="Arial Narrow"/>
                <w:color w:val="000000" w:themeColor="text1"/>
                <w:sz w:val="20"/>
                <w:szCs w:val="20"/>
              </w:rPr>
              <w:t>Path: Improving mothers’ asset base. Freeing up personal income.</w:t>
            </w:r>
          </w:p>
        </w:tc>
        <w:tc>
          <w:tcPr>
            <w:tcW w:w="2998"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69BE8EA"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Creed-Kanashiro (2000)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{"citationID":"cW08qlvm","properties":{"formattedCitation":"(65)","plainCitation":"(65)","noteIndex":0},"citationItems":[{"id":414,"uris":["http://zotero.org/users/11153788/items/639Q497B"],"itemData":{"id":414,"type":"article-journal","container-title":"The Journal of Nutrition","DOI":"10.1093/jn/133.11.3987S","ISSN":"0022-3166, 1541-6100","issue":"11","journalAbbreviation":"The Journal of Nutrition","language":"English","note":"publisher: Elsevier\nPMID: 14672300","page":"3987S-3991S","source":"jn.nutrition.org","title":"Formative Research to Develop a Nutrition Education Intervention to Improve Dietary Iron Intake among Women and Adolescent Girls through Community Kitchens in Lima, Peru","volume":"133","author":[{"family":"Creed-Kanashiro","given":"Hilary M."},{"family":"Bartolini","given":"Rosario M."},{"family":"Fukumoto","given":"Mary N."},{"family":"Uribe","given":"Tula G."},{"family":"Robert","given":"Rebecca C."},{"family":"Bentley","given":"Margaret E."}],"issued":{"date-parts":[["2003",11,1]]}}}],"schema":"https://github.com/citation-style-language/schema/raw/master/csl-citation.json"}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(65)</w:t>
            </w:r>
            <w:r w:rsidRPr="00AB408C">
              <w:rPr>
                <w:rFonts w:ascii="Arial Narrow" w:eastAsia="Arial Narrow" w:hAnsi="Arial Narrow" w:cs="Arial Narrow"/>
                <w:color w:val="000000" w:themeColor="text1"/>
                <w:sz w:val="20"/>
                <w:szCs w:val="20"/>
              </w:rPr>
              <w:fldChar w:fldCharType="end"/>
            </w:r>
          </w:p>
          <w:p w14:paraId="1643198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Where? Urban Peru. </w:t>
            </w:r>
          </w:p>
          <w:p w14:paraId="2736EC3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What? A community kitchen with an educational campaign to improve menus, offering affordable heme iron </w:t>
            </w:r>
            <w:r w:rsidRPr="00AB408C">
              <w:rPr>
                <w:rFonts w:ascii="Arial Narrow" w:eastAsia="Arial Narrow" w:hAnsi="Arial Narrow" w:cs="Arial Narrow"/>
                <w:color w:val="000000" w:themeColor="text1"/>
                <w:sz w:val="20"/>
                <w:szCs w:val="20"/>
              </w:rPr>
              <w:lastRenderedPageBreak/>
              <w:t>sources, promoting dietary enhancers, motivating adolescent girls to enhance their nutrition awareness.</w:t>
            </w:r>
          </w:p>
          <w:p w14:paraId="0110DF36"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7F4FDD4D"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t xml:space="preserve">Sahyoun et al. (2019)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{"citationID":"dytIog31","properties":{"formattedCitation":"(66)","plainCitation":"(66)","noteIndex":0},"citationItems":[{"id":415,"uris":["http://zotero.org/users/11153788/items/2CYX3N2C"],"itemData":{"id":415,"type":"article-journal","abstract":"Background\nThe aim of this study is to investigate the potential impact of a community-based intervention - the Healthy Kitchens, Healthy Children (HKHC) intervention - on participating women’s household’s economics and food security status, decision making, mental health and social support.\n\nMethods\nWe established two healthy kitchens in existing community-based organizations in Palestinian camps in Lebanon. These were set up as small business enterprises, using participatory approaches to develop recipes and train women in food preparation, food safety and entrepreneurship. We used a mixed-methods approach to assess the impact of participating in the program on women’s economic, food security, decision making, social and mental health outcomes. A questionnaire was administered to women at baseline and at an 8-month endpoint. The end line survey was complemented by a set of embedded open-ended questions.\n\nResults\nThirty-two Palestinian refugee women were employed within the kitchens on a rotating basis. Participating women had a 13% increase in household expenditure. This was translated into a significant increase in food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0.05) and clothing expenditures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0.01), as well as a reduction in food insecurity score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0.01). These findings were supported by qualitative data which found that the kitchens provided women with financial support in addition to a space to form social bonds, discuss personal issues and share experiences.\n\nConclusions\nThis model created a social enterprise using the concept of community kitchens linked to schools and allowed women to significantly contribute to household expenditure and improve their food security.","container-title":"BMC Public Health","DOI":"10.1186/s12889-019-7950-3","ISSN":"1471-2458","journalAbbreviation":"BMC Public Health","note":"PMID: 31783830\nPMCID: PMC6883597","page":"1590","source":"PubMed Central","title":"A mixed-methods evaluation of community-based healthy kitchens as social enterprises for refugee women","volume":"19","author":[{"family":"Sahyoun","given":"Nadine R."},{"family":"Jamaluddine","given":"Zeina"},{"family":"Choufani","given":"Jowel"},{"family":"Mesmar","given":"Sandra"},{"family":"Reese-Masterson","given":"Amelia"},{"family":"Ghattas","given":"Hala"}],"issued":{"date-parts":[["2019",11,29]]}}}],"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br/>
              <w:t>Where? Lebanon.</w:t>
            </w:r>
            <w:r w:rsidRPr="00AB408C">
              <w:rPr>
                <w:rFonts w:ascii="Arial Narrow" w:eastAsia="Arial Narrow" w:hAnsi="Arial Narrow" w:cs="Arial Narrow"/>
                <w:color w:val="000000" w:themeColor="text1"/>
                <w:sz w:val="20"/>
                <w:szCs w:val="20"/>
              </w:rPr>
              <w:br/>
              <w:t>What?</w:t>
            </w:r>
            <w:r w:rsidRPr="00AB408C">
              <w:rPr>
                <w:rFonts w:ascii="Arial Narrow" w:hAnsi="Arial Narrow"/>
                <w:color w:val="000000" w:themeColor="text1"/>
                <w:sz w:val="20"/>
                <w:szCs w:val="20"/>
              </w:rPr>
              <w:t xml:space="preserve"> </w:t>
            </w:r>
            <w:r w:rsidRPr="00AB408C">
              <w:rPr>
                <w:rFonts w:ascii="Arial Narrow" w:eastAsia="Arial Narrow" w:hAnsi="Arial Narrow" w:cs="Arial Narrow"/>
                <w:color w:val="000000" w:themeColor="text1"/>
                <w:sz w:val="20"/>
                <w:szCs w:val="20"/>
              </w:rPr>
              <w:t>Community kitchens linked to schools, employing women, and offering a week-long training program on entrepreneurship and food-related skills.</w:t>
            </w:r>
          </w:p>
        </w:tc>
        <w:tc>
          <w:tcPr>
            <w:tcW w:w="1886" w:type="dxa"/>
            <w:tcBorders>
              <w:top w:val="single" w:sz="6" w:space="0" w:color="7F7F7F" w:themeColor="text1" w:themeTint="80"/>
              <w:left w:val="nil"/>
              <w:bottom w:val="single" w:sz="6" w:space="0" w:color="7F7F7F" w:themeColor="text1" w:themeTint="80"/>
              <w:right w:val="nil"/>
            </w:tcBorders>
            <w:tcMar>
              <w:left w:w="105" w:type="dxa"/>
              <w:right w:w="105" w:type="dxa"/>
            </w:tcMar>
          </w:tcPr>
          <w:p w14:paraId="35E9C624"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Protective effect in maintaining the iron status of girls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{"citationID":"jvek7dZr","properties":{"formattedCitation":"(65)","plainCitation":"(65)","noteIndex":0},"citationItems":[{"id":414,"uris":["http://zotero.org/users/11153788/items/639Q497B"],"itemData":{"id":414,"type":"article-journal","container-title":"The Journal of Nutrition","DOI":"10.1093/jn/133.11.3987S","ISSN":"0022-3166, 1541-6100","issue":"11","journalAbbreviation":"The Journal of Nutrition","language":"English","note":"publisher: Elsevier\nPMID: 14672300","page":"3987S-3991S","source":"jn.nutrition.org","title":"Formative Research to Develop a Nutrition Education Intervention to Improve Dietary Iron Intake among Women and Adolescent Girls through Community Kitchens in Lima, Peru","volume":"133","author":[{"family":"Creed-Kanashiro","given":"Hilary M."},{"family":"Bartolini","given":"Rosario M."},{"family":"Fukumoto","given":"Mary N."},{"family":"Uribe","given":"Tula G."},{"family":"Robert","given":"Rebecca C."},{"family":"Bentley","given":"Margaret E."}],"issued":{"date-parts":[["2003",11,1]]}}}],"schema":"https://github.com/citation-style-language/schema/raw/master/csl-citation.json"}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(65)</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64631922"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p w14:paraId="48C8272F"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Employment creation for mothers with increased income of USD 110/month </w:t>
            </w:r>
            <w:r w:rsidRPr="00AB408C">
              <w:rPr>
                <w:rFonts w:ascii="Arial Narrow" w:eastAsia="Arial Narrow" w:hAnsi="Arial Narrow" w:cs="Arial Narrow"/>
                <w:color w:val="000000" w:themeColor="text1"/>
                <w:sz w:val="20"/>
                <w:szCs w:val="20"/>
              </w:rPr>
              <w:fldChar w:fldCharType="begin"/>
            </w:r>
            <w:r w:rsidRPr="00AB408C">
              <w:rPr>
                <w:rFonts w:ascii="Arial Narrow" w:eastAsia="Arial Narrow" w:hAnsi="Arial Narrow" w:cs="Arial Narrow"/>
                <w:color w:val="000000" w:themeColor="text1"/>
                <w:sz w:val="20"/>
                <w:szCs w:val="20"/>
              </w:rPr>
              <w:instrText xml:space="preserve"> ADDIN ZOTERO_ITEM CSL_CITATION {"citationID":"PAyeCArd","properties":{"formattedCitation":"(66)","plainCitation":"(66)","noteIndex":0},"citationItems":[{"id":415,"uris":["http://zotero.org/users/11153788/items/2CYX3N2C"],"itemData":{"id":415,"type":"article-journal","abstract":"Background\nThe aim of this study is to investigate the potential impact of a community-based intervention - the Healthy Kitchens, Healthy Children (HKHC) intervention - on participating women’s household’s economics and food security status, decision making, mental health and social support.\n\nMethods\nWe established two healthy kitchens in existing community-based organizations in Palestinian camps in Lebanon. These were set up as small business enterprises, using participatory approaches to develop recipes and train women in food preparation, food safety and entrepreneurship. We used a mixed-methods approach to assess the impact of participating in the program on women’s economic, food security, decision making, social and mental health outcomes. A questionnaire was administered to women at baseline and at an 8-month endpoint. The end line survey was complemented by a set of embedded open-ended questions.\n\nResults\nThirty-two Palestinian refugee women were employed within the kitchens on a rotating basis. Participating women had a 13% increase in household expenditure. This was translated into a significant increase in food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0.05) and clothing expenditures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0.01), as well as a reduction in food insecurity score (p</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&lt;</w:instrText>
            </w:r>
            <w:r w:rsidRPr="00AB408C">
              <w:rPr>
                <w:rFonts w:ascii="Arial" w:eastAsia="Arial Narrow" w:hAnsi="Arial" w:cs="Arial"/>
                <w:color w:val="000000" w:themeColor="text1"/>
                <w:sz w:val="20"/>
                <w:szCs w:val="20"/>
              </w:rPr>
              <w:instrText> </w:instrText>
            </w:r>
            <w:r w:rsidRPr="00AB408C">
              <w:rPr>
                <w:rFonts w:ascii="Arial Narrow" w:eastAsia="Arial Narrow" w:hAnsi="Arial Narrow" w:cs="Arial Narrow"/>
                <w:color w:val="000000" w:themeColor="text1"/>
                <w:sz w:val="20"/>
                <w:szCs w:val="20"/>
              </w:rPr>
              <w:instrText xml:space="preserve">0.01). These findings were supported by qualitative data which found that the kitchens provided women with financial support in addition to a space to form social bonds, discuss personal issues and share experiences.\n\nConclusions\nThis model created a social enterprise using the concept of community kitchens linked to schools and allowed women to significantly contribute to household expenditure and improve their food security.","container-title":"BMC Public Health","DOI":"10.1186/s12889-019-7950-3","ISSN":"1471-2458","journalAbbreviation":"BMC Public Health","note":"PMID: 31783830\nPMCID: PMC6883597","page":"1590","source":"PubMed Central","title":"A mixed-methods evaluation of community-based healthy kitchens as social enterprises for refugee women","volume":"19","author":[{"family":"Sahyoun","given":"Nadine R."},{"family":"Jamaluddine","given":"Zeina"},{"family":"Choufani","given":"Jowel"},{"family":"Mesmar","given":"Sandra"},{"family":"Reese-Masterson","given":"Amelia"},{"family":"Ghattas","given":"Hala"}],"issued":{"date-parts":[["2019",11,29]]}}}],"schema":"https://github.com/citation-style-language/schema/raw/master/csl-citation.json"} </w:instrText>
            </w:r>
            <w:r w:rsidRPr="00AB408C">
              <w:rPr>
                <w:rFonts w:ascii="Arial Narrow" w:eastAsia="Arial Narrow" w:hAnsi="Arial Narrow" w:cs="Arial Narrow"/>
                <w:color w:val="000000" w:themeColor="text1"/>
                <w:sz w:val="20"/>
                <w:szCs w:val="20"/>
              </w:rPr>
              <w:fldChar w:fldCharType="separate"/>
            </w:r>
            <w:r w:rsidRPr="00AB408C">
              <w:rPr>
                <w:rFonts w:ascii="Arial Narrow" w:hAnsi="Arial Narrow"/>
                <w:sz w:val="20"/>
              </w:rPr>
              <w:t>(66)</w:t>
            </w:r>
            <w:r w:rsidRPr="00AB408C">
              <w:rPr>
                <w:rFonts w:ascii="Arial Narrow" w:eastAsia="Arial Narrow" w:hAnsi="Arial Narrow" w:cs="Arial Narrow"/>
                <w:color w:val="000000" w:themeColor="text1"/>
                <w:sz w:val="20"/>
                <w:szCs w:val="20"/>
              </w:rPr>
              <w:fldChar w:fldCharType="end"/>
            </w:r>
            <w:r w:rsidRPr="00AB408C">
              <w:rPr>
                <w:rFonts w:ascii="Arial Narrow" w:eastAsia="Arial Narrow" w:hAnsi="Arial Narrow" w:cs="Arial Narrow"/>
                <w:color w:val="000000" w:themeColor="text1"/>
                <w:sz w:val="20"/>
                <w:szCs w:val="20"/>
              </w:rPr>
              <w:t>.</w:t>
            </w:r>
          </w:p>
          <w:p w14:paraId="41941D40"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p>
        </w:tc>
        <w:tc>
          <w:tcPr>
            <w:tcW w:w="2434" w:type="dxa"/>
            <w:tcBorders>
              <w:top w:val="single" w:sz="6" w:space="0" w:color="7F7F7F" w:themeColor="text1" w:themeTint="80"/>
              <w:left w:val="nil"/>
              <w:bottom w:val="single" w:sz="6" w:space="0" w:color="7F7F7F" w:themeColor="text1" w:themeTint="80"/>
              <w:right w:val="nil"/>
            </w:tcBorders>
          </w:tcPr>
          <w:p w14:paraId="6A32FEA8" w14:textId="77777777" w:rsidR="00CD1362" w:rsidRPr="00AB408C" w:rsidRDefault="00CD1362" w:rsidP="00971419">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themeColor="text1"/>
                <w:sz w:val="20"/>
                <w:szCs w:val="20"/>
              </w:rPr>
            </w:pPr>
            <w:r w:rsidRPr="00AB408C">
              <w:rPr>
                <w:rFonts w:ascii="Arial Narrow" w:eastAsia="Arial Narrow" w:hAnsi="Arial Narrow" w:cs="Arial Narrow"/>
                <w:color w:val="000000" w:themeColor="text1"/>
                <w:sz w:val="20"/>
                <w:szCs w:val="20"/>
              </w:rPr>
              <w:lastRenderedPageBreak/>
              <w:t xml:space="preserve">The government should start a soup kitchen, whereby mother and child would benefit. The mother should go with her children. In that soup </w:t>
            </w:r>
            <w:r w:rsidRPr="00AB408C">
              <w:rPr>
                <w:rFonts w:ascii="Arial Narrow" w:eastAsia="Arial Narrow" w:hAnsi="Arial Narrow" w:cs="Arial Narrow"/>
                <w:color w:val="000000" w:themeColor="text1"/>
                <w:sz w:val="20"/>
                <w:szCs w:val="20"/>
              </w:rPr>
              <w:lastRenderedPageBreak/>
              <w:t>kitchen, that’s where the nutrition things should be introduced. (FGD 6)</w:t>
            </w:r>
          </w:p>
        </w:tc>
      </w:tr>
    </w:tbl>
    <w:p w14:paraId="2B6E1F44" w14:textId="77777777" w:rsidR="00CD1362" w:rsidRPr="00AB408C" w:rsidRDefault="00CD1362" w:rsidP="00CD1362"/>
    <w:p w14:paraId="3AB2326B" w14:textId="77777777" w:rsidR="00CD1362" w:rsidRPr="00AB408C" w:rsidRDefault="00CD1362" w:rsidP="00CD1362"/>
    <w:p w14:paraId="61450DFB" w14:textId="77777777" w:rsidR="00CD1362" w:rsidRDefault="00CD1362" w:rsidP="00CD1362">
      <w:pPr>
        <w:pStyle w:val="Bibliography"/>
      </w:pPr>
      <w:r w:rsidRPr="00AB408C">
        <w:fldChar w:fldCharType="begin"/>
      </w:r>
      <w:r>
        <w:instrText xml:space="preserve"> ADDIN ZOTERO_BIBL {"uncited":[],"omitted":[],"custom":[]} CSL_BIBLIOGRAPHY </w:instrText>
      </w:r>
      <w:r w:rsidRPr="00AB408C">
        <w:fldChar w:fldCharType="separate"/>
      </w:r>
      <w:r>
        <w:t>1.</w:t>
      </w:r>
      <w:r>
        <w:tab/>
        <w:t xml:space="preserve">Ahinkorah BO, Amadu I, Seidu AA, Okyere J, Duku E, Hagan JE, et al. Prevalence and Factors Associated with the Triple Burden of Malnutrition among Mother-Child Pairs in Sub-Saharan Africa. Nutrients. 2021 Jun;13(6):2050. </w:t>
      </w:r>
    </w:p>
    <w:p w14:paraId="31365197" w14:textId="77777777" w:rsidR="00CD1362" w:rsidRDefault="00CD1362" w:rsidP="00CD1362">
      <w:pPr>
        <w:pStyle w:val="Bibliography"/>
      </w:pPr>
      <w:r>
        <w:t>2.</w:t>
      </w:r>
      <w:r>
        <w:tab/>
        <w:t xml:space="preserve">WHO. Global nutrition targets 2025: policy brief series. Geneva: World Health Organization; 2014. Report No.: (WHO/NMH/NHD/14.2). </w:t>
      </w:r>
    </w:p>
    <w:p w14:paraId="0BE4EDEB" w14:textId="77777777" w:rsidR="00CD1362" w:rsidRDefault="00CD1362" w:rsidP="00CD1362">
      <w:pPr>
        <w:pStyle w:val="Bibliography"/>
      </w:pPr>
      <w:r>
        <w:t>3.</w:t>
      </w:r>
      <w:r>
        <w:tab/>
        <w:t>UNICEF, WHO, World Bank Group. Levels and trends in child malnutrition [Internet]. UNICEF, WHO, World Bank Group; 2023 [cited 2023 Oct 12]. (Joint Child Malnutrition Estimates). Available from: https://iris.who.int/bitstream/handle/10665/368038/9789240073791-eng.pdf?sequence=1</w:t>
      </w:r>
    </w:p>
    <w:p w14:paraId="6887FE9A" w14:textId="77777777" w:rsidR="00CD1362" w:rsidRDefault="00CD1362" w:rsidP="00CD1362">
      <w:pPr>
        <w:pStyle w:val="Bibliography"/>
      </w:pPr>
      <w:r>
        <w:t>4.</w:t>
      </w:r>
      <w:r>
        <w:tab/>
        <w:t>Global Nutrition Report. 2022 Global Nutrition Report: Stronger commitments for greater action [Internet]. Bristol, UK: Development Initiatives.; 2022 [cited 2023 Apr 3]. Available from: https://globalnutritionreport.org/reports/2022-global-nutrition-report/</w:t>
      </w:r>
    </w:p>
    <w:p w14:paraId="443F368F" w14:textId="77777777" w:rsidR="00CD1362" w:rsidRDefault="00CD1362" w:rsidP="00CD1362">
      <w:pPr>
        <w:pStyle w:val="Bibliography"/>
      </w:pPr>
      <w:r>
        <w:t>5.</w:t>
      </w:r>
      <w:r>
        <w:tab/>
        <w:t xml:space="preserve">Holdsworth M, Kruger A, Nago E, Lachat C, Mamiro P, Smit K, et al. African stakeholders’ views of research options to improve nutritional status in sub-Saharan Africa. Health Policy and Planning. 2015 Sep 1;30(7):863–74. </w:t>
      </w:r>
    </w:p>
    <w:p w14:paraId="481CD2E8" w14:textId="77777777" w:rsidR="00CD1362" w:rsidRDefault="00CD1362" w:rsidP="00CD1362">
      <w:pPr>
        <w:pStyle w:val="Bibliography"/>
      </w:pPr>
      <w:r>
        <w:t>6.</w:t>
      </w:r>
      <w:r>
        <w:tab/>
        <w:t>Guidelines for maternity care in South Africa: A manual for clinics, community  health centres and district hospitals [Internet]. Pretoria, South Africa: National Department of Health; 2015 [cited 2023 Sep 26]. Available from: https://www.idealhealthfacility.org.za/App/Document/Download/42</w:t>
      </w:r>
    </w:p>
    <w:p w14:paraId="14D3E8A6" w14:textId="77777777" w:rsidR="00CD1362" w:rsidRDefault="00CD1362" w:rsidP="00CD1362">
      <w:pPr>
        <w:pStyle w:val="Bibliography"/>
      </w:pPr>
      <w:r>
        <w:t>7.</w:t>
      </w:r>
      <w:r>
        <w:tab/>
        <w:t xml:space="preserve">Erzse A, Desmond C, Hofman K, Barker M, Christofides NJ. Addressing unmet social needs for improved maternal and child nutrition: Qualitative insights from community-based organisations in urban South Africa. Global Public Health. 2024 Dec 31;19(1):2329986. </w:t>
      </w:r>
    </w:p>
    <w:p w14:paraId="2090DE08" w14:textId="77777777" w:rsidR="00CD1362" w:rsidRDefault="00CD1362" w:rsidP="00CD1362">
      <w:pPr>
        <w:pStyle w:val="Bibliography"/>
      </w:pPr>
      <w:r>
        <w:lastRenderedPageBreak/>
        <w:t>8.</w:t>
      </w:r>
      <w:r>
        <w:tab/>
        <w:t xml:space="preserve">Erzse A, Desmond C, Hofman K, Barker M, Christofides NJ. Qualitative exploration of the constraints on mothers’ and pregnant women’s ability to turn available services into nutrition benefits in a low-resource urban setting, South Africa. BMJ Open. 2023 Nov 1;13(11):e073716. </w:t>
      </w:r>
    </w:p>
    <w:p w14:paraId="70A29572" w14:textId="77777777" w:rsidR="00CD1362" w:rsidRDefault="00CD1362" w:rsidP="00CD1362">
      <w:pPr>
        <w:pStyle w:val="Bibliography"/>
      </w:pPr>
      <w:r>
        <w:t>9.</w:t>
      </w:r>
      <w:r>
        <w:tab/>
        <w:t xml:space="preserve">Sen. The Quality of Life. Oxford University Press; 1993. 466 p. </w:t>
      </w:r>
    </w:p>
    <w:p w14:paraId="284C2DA0" w14:textId="77777777" w:rsidR="00CD1362" w:rsidRDefault="00CD1362" w:rsidP="00CD1362">
      <w:pPr>
        <w:pStyle w:val="Bibliography"/>
      </w:pPr>
      <w:r>
        <w:t>10.</w:t>
      </w:r>
      <w:r>
        <w:tab/>
        <w:t xml:space="preserve">Bronfenbrenner U. Towards an experimental ecology of human development. American Psychologist. 1977;32(7):513–31. </w:t>
      </w:r>
    </w:p>
    <w:p w14:paraId="0D7F2CAB" w14:textId="77777777" w:rsidR="00CD1362" w:rsidRDefault="00CD1362" w:rsidP="00CD1362">
      <w:pPr>
        <w:pStyle w:val="Bibliography"/>
      </w:pPr>
      <w:r>
        <w:t>11.</w:t>
      </w:r>
      <w:r>
        <w:tab/>
        <w:t>Statistics South Africa. Soweto [Internet]. [cited 2023 Feb 6]. Available from: https://www.statssa.gov.za/?page_id=4286</w:t>
      </w:r>
    </w:p>
    <w:p w14:paraId="62E151EB" w14:textId="77777777" w:rsidR="00CD1362" w:rsidRDefault="00CD1362" w:rsidP="00CD1362">
      <w:pPr>
        <w:pStyle w:val="Bibliography"/>
      </w:pPr>
      <w:r>
        <w:t>12.</w:t>
      </w:r>
      <w:r>
        <w:tab/>
        <w:t xml:space="preserve">Cele L, Willen SS, Dhanuka M, Mendenhall E. Ukuphumelela: Flourishing and the pursuit of a good life, and good health, in Soweto, South Africa. SSM - Mental Health. 2021 Dec 1;1:100022. </w:t>
      </w:r>
    </w:p>
    <w:p w14:paraId="79108E3E" w14:textId="77777777" w:rsidR="00CD1362" w:rsidRDefault="00CD1362" w:rsidP="00CD1362">
      <w:pPr>
        <w:pStyle w:val="Bibliography"/>
      </w:pPr>
      <w:r>
        <w:t>13.</w:t>
      </w:r>
      <w:r>
        <w:tab/>
        <w:t xml:space="preserve">Ware LJ, Kim AW, Prioreschi A, Nyati LH, Taljaard W, Draper CE, et al. Social vulnerability, parity and food insecurity in urban South African young women: the healthy life trajectories initiative (HeLTI) study. J Public Health Pol. 2021 Sep 1;42(3):373–89. </w:t>
      </w:r>
    </w:p>
    <w:p w14:paraId="0B2DD39E" w14:textId="77777777" w:rsidR="00CD1362" w:rsidRDefault="00CD1362" w:rsidP="00CD1362">
      <w:pPr>
        <w:pStyle w:val="Bibliography"/>
      </w:pPr>
      <w:r>
        <w:t>14.</w:t>
      </w:r>
      <w:r>
        <w:tab/>
        <w:t>Specialist CSG. Socio-Economic Impact of Shopping Centers in Townships of South Africa [Internet]. Geoscope. 2023 [cited 2024 May 19]. Available from: https://geoscope-sa.com/2023/07/19/socio-economic-impact-of-shopping-centers-in-townships-of-south-africa/</w:t>
      </w:r>
    </w:p>
    <w:p w14:paraId="781C07DF" w14:textId="77777777" w:rsidR="00CD1362" w:rsidRDefault="00CD1362" w:rsidP="00CD1362">
      <w:pPr>
        <w:pStyle w:val="Bibliography"/>
      </w:pPr>
      <w:r>
        <w:t>15.</w:t>
      </w:r>
      <w:r>
        <w:tab/>
        <w:t xml:space="preserve">Font JC, Forns JR, Sato A. Eliciting health care priorities in developing countries: experimental evidence from Guatemala. Health Policy Plan. 2016 Feb;31(1):67–74. </w:t>
      </w:r>
    </w:p>
    <w:p w14:paraId="6666EE0B" w14:textId="77777777" w:rsidR="00CD1362" w:rsidRDefault="00CD1362" w:rsidP="00CD1362">
      <w:pPr>
        <w:pStyle w:val="Bibliography"/>
      </w:pPr>
      <w:r>
        <w:t>16.</w:t>
      </w:r>
      <w:r>
        <w:tab/>
        <w:t xml:space="preserve">Núñez A, Chi C. Investigating public values in health care priority – Chileans´ preference for national health care. BMC Public Health. 2021 Feb 27;21:416. </w:t>
      </w:r>
    </w:p>
    <w:p w14:paraId="15C71BE7" w14:textId="77777777" w:rsidR="00CD1362" w:rsidRDefault="00CD1362" w:rsidP="00CD1362">
      <w:pPr>
        <w:pStyle w:val="Bibliography"/>
      </w:pPr>
      <w:r>
        <w:t>17.</w:t>
      </w:r>
      <w:r>
        <w:tab/>
        <w:t xml:space="preserve">Ratcliffe J, Brazier J, Tsuchiya A, Symonds T, Brown M. Using DCE and ranking data to estimate cardinal values for health states for deriving a preference-based single index from the sexual quality of life questionnaire. Health Economics. 2009;18(11):1261–76. </w:t>
      </w:r>
    </w:p>
    <w:p w14:paraId="128622B8" w14:textId="77777777" w:rsidR="00CD1362" w:rsidRDefault="00CD1362" w:rsidP="00CD1362">
      <w:pPr>
        <w:pStyle w:val="Bibliography"/>
      </w:pPr>
      <w:r>
        <w:t>18.</w:t>
      </w:r>
      <w:r>
        <w:tab/>
        <w:t>United Nations General Assembly. Resolution adopted by the General Assembly on 1 April 2016 [without reference to a Main Committee (A/70/L.42 and Add.1)] 70/259. United Nations Decade of Action on Nutrition (2016– 2025) [Internet]. 2016 [cited 2023 May 29]. Available from: https://www.un.org/nutrition/resources/un-resolutions</w:t>
      </w:r>
    </w:p>
    <w:p w14:paraId="3EEEB05B" w14:textId="77777777" w:rsidR="00CD1362" w:rsidRDefault="00CD1362" w:rsidP="00CD1362">
      <w:pPr>
        <w:pStyle w:val="Bibliography"/>
      </w:pPr>
      <w:r>
        <w:t>19.</w:t>
      </w:r>
      <w:r>
        <w:tab/>
        <w:t>National Planning Commission. National Development Plan 2030: Our Future-make it work [Internet]. Pretoria, South Africa: National Planning Commission; 2012 [cited 2023 Apr 15]. Available from: https://www.gov.za/issues/national-development-plan-2030</w:t>
      </w:r>
    </w:p>
    <w:p w14:paraId="65F05FC8" w14:textId="77777777" w:rsidR="00CD1362" w:rsidRDefault="00CD1362" w:rsidP="00CD1362">
      <w:pPr>
        <w:pStyle w:val="Bibliography"/>
      </w:pPr>
      <w:r>
        <w:t>20.</w:t>
      </w:r>
      <w:r>
        <w:tab/>
        <w:t xml:space="preserve">Kim JC, Watts CH, Hargreaves JR, Ndhlovu LX, Phetla G, Morison LA, et al. Understanding the Impact of a Microfinance-Based Intervention on Women’s Empowerment and the Reduction of Intimate Partner Violence in South Africa. Am J Public Health. 2007 Oct;97(10):1794–802. </w:t>
      </w:r>
    </w:p>
    <w:p w14:paraId="51977BDC" w14:textId="77777777" w:rsidR="00CD1362" w:rsidRDefault="00CD1362" w:rsidP="00CD1362">
      <w:pPr>
        <w:pStyle w:val="Bibliography"/>
      </w:pPr>
      <w:r>
        <w:lastRenderedPageBreak/>
        <w:t>21.</w:t>
      </w:r>
      <w:r>
        <w:tab/>
        <w:t xml:space="preserve">Asadullah MN, Ara J. Evaluating the long-run impact of an innovative anti-poverty programme: evidence using household panel data. Applied Economics. 2016 Jan 8;48(2):107–20. </w:t>
      </w:r>
    </w:p>
    <w:p w14:paraId="3B777898" w14:textId="77777777" w:rsidR="00CD1362" w:rsidRDefault="00CD1362" w:rsidP="00CD1362">
      <w:pPr>
        <w:pStyle w:val="Bibliography"/>
      </w:pPr>
      <w:r>
        <w:t>22.</w:t>
      </w:r>
      <w:r>
        <w:tab/>
        <w:t xml:space="preserve">Ojha S, Szatkowski L, Sinha R, Yaron G, Fogarty A, Allen SJ, et al. Rojiroti microfinance and child nutrition: a cluster randomised trial. Arch Dis Child. 2020 Mar;105(3):229–35. </w:t>
      </w:r>
    </w:p>
    <w:p w14:paraId="715A389B" w14:textId="77777777" w:rsidR="00CD1362" w:rsidRDefault="00CD1362" w:rsidP="00CD1362">
      <w:pPr>
        <w:pStyle w:val="Bibliography"/>
      </w:pPr>
      <w:r>
        <w:t>23.</w:t>
      </w:r>
      <w:r>
        <w:tab/>
        <w:t>International Labour Organization. South Africa: Expanded Public Works Programme [Internet]. ILO Social Protection Department; 2018 [cited 2024 Feb 21]. (Building Social Protection Floors). Available from: https://www.social-protection.org/gimi/Media.action;jsessionid=lu-_vD34rTLrvOI4seOTXoUFnYqiarTKmYKp_jXhNSvJD4Xkdcih!1393577045?id=16462</w:t>
      </w:r>
    </w:p>
    <w:p w14:paraId="2D3A86E6" w14:textId="77777777" w:rsidR="00CD1362" w:rsidRDefault="00CD1362" w:rsidP="00CD1362">
      <w:pPr>
        <w:pStyle w:val="Bibliography"/>
      </w:pPr>
      <w:r>
        <w:t>24.</w:t>
      </w:r>
      <w:r>
        <w:tab/>
        <w:t>Department of Public Works and Infrastructure Annual Report 2021/2022 [Internet]. Department of Public Works and Infrastructure; 2022 [cited 2024 Feb 18]. Available from: https://www.gov.za/sites/default/files/gcis_document/202310/dpw-annualreport2021-22.pdf</w:t>
      </w:r>
    </w:p>
    <w:p w14:paraId="3955F14F" w14:textId="77777777" w:rsidR="00CD1362" w:rsidRDefault="00CD1362" w:rsidP="00CD1362">
      <w:pPr>
        <w:pStyle w:val="Bibliography"/>
      </w:pPr>
      <w:r>
        <w:t>25.</w:t>
      </w:r>
      <w:r>
        <w:tab/>
        <w:t>Shaw P, Wheeler L. Digital Networking and the Case of Youth Unemployment in South Africa. In: Madon T, Gadgil AJ, Anderson R, Casaburi L, Lee K, Rezaee A, editors. Introduction to Development Engineering: A Framework with Applications from the Field [Internet]. Cham: Springer International Publishing; 2023 [cited 2023 Sep 23]. p. 293–321. Available from: https://doi.org/10.1007/978-3-030-86065-3_12</w:t>
      </w:r>
    </w:p>
    <w:p w14:paraId="31172FAE" w14:textId="77777777" w:rsidR="00CD1362" w:rsidRDefault="00CD1362" w:rsidP="00CD1362">
      <w:pPr>
        <w:pStyle w:val="Bibliography"/>
      </w:pPr>
      <w:r>
        <w:t>26.</w:t>
      </w:r>
      <w:r>
        <w:tab/>
        <w:t xml:space="preserve">Carranza E, Garlick R, Orkin K, Rankin N. Job Search and Hiring with Limited Information about Workseekers’ Skills. American Economic Review. 2022 Nov;112(11):3547–83. </w:t>
      </w:r>
    </w:p>
    <w:p w14:paraId="618CE0BA" w14:textId="77777777" w:rsidR="00CD1362" w:rsidRDefault="00CD1362" w:rsidP="00CD1362">
      <w:pPr>
        <w:pStyle w:val="Bibliography"/>
      </w:pPr>
      <w:r>
        <w:t>27.</w:t>
      </w:r>
      <w:r>
        <w:tab/>
        <w:t xml:space="preserve">Hojman A, Lopez Boo F. Public childcare benefits children and mothers: Evidence from a nationwide experiment in a developing country. Journal of Public Economics. 2022 Aug 1;212:104686. </w:t>
      </w:r>
    </w:p>
    <w:p w14:paraId="74963A73" w14:textId="77777777" w:rsidR="00CD1362" w:rsidRDefault="00CD1362" w:rsidP="00CD1362">
      <w:pPr>
        <w:pStyle w:val="Bibliography"/>
      </w:pPr>
      <w:r>
        <w:t>28.</w:t>
      </w:r>
      <w:r>
        <w:tab/>
        <w:t>Department of Health. Basic Antenatal Care Plus Handbook. [Internet]. Pretoria, South Africa: National Department of Health; 2017 [cited 2023 Sep 26]. Available from: https://sacoronavirus.co.za/wp-content/uploads/2023/05/BANC-Plus-Handbook-Feb-2017-with-NDoH-logo.pdf</w:t>
      </w:r>
    </w:p>
    <w:p w14:paraId="424D49C9" w14:textId="77777777" w:rsidR="00CD1362" w:rsidRDefault="00CD1362" w:rsidP="00CD1362">
      <w:pPr>
        <w:pStyle w:val="Bibliography"/>
      </w:pPr>
      <w:r>
        <w:t>29.</w:t>
      </w:r>
      <w:r>
        <w:tab/>
        <w:t xml:space="preserve">Erzse A, Rwafa-Ponela T, Goldstein S, Motlhatlhedi M, Watson D, Hofman KJ, et al. What values drive communities’ nutrition priorities in a resource constrained urban area in South Africa? BMC Public Health. 2023 May 12;23(1):873. </w:t>
      </w:r>
    </w:p>
    <w:p w14:paraId="2A146F2D" w14:textId="77777777" w:rsidR="00CD1362" w:rsidRDefault="00CD1362" w:rsidP="00CD1362">
      <w:pPr>
        <w:pStyle w:val="Bibliography"/>
      </w:pPr>
      <w:r>
        <w:t>30.</w:t>
      </w:r>
      <w:r>
        <w:tab/>
        <w:t>Matlwa Mabaso K, Laurenzi C, Manda S, Müller A, Gemmell K, Menyatsoe M, et al. CoCare Maternal Support Study: Investigating hunger and mental health among pregnant women in the Cape Metro area during the 2020/21 COVID-19 pandemic: Follow-up study report [Internet]. Johannesburg: Grow Great Campaign; 2022 [cited 2023 Sep 27]. Available from: https://www.growgreat.co.za/wp-content/uploads/2022/05/Grow-Great-CoCare-Maternal-Support-Study-Follow-up-Report-2022.pdf</w:t>
      </w:r>
    </w:p>
    <w:p w14:paraId="6CF9CBF0" w14:textId="77777777" w:rsidR="00CD1362" w:rsidRDefault="00CD1362" w:rsidP="00CD1362">
      <w:pPr>
        <w:pStyle w:val="Bibliography"/>
      </w:pPr>
      <w:r>
        <w:lastRenderedPageBreak/>
        <w:t>31.</w:t>
      </w:r>
      <w:r>
        <w:tab/>
        <w:t xml:space="preserve">Hidrobo M, Hoddinott J, Peterman A, Margolies A, Moreira V. Cash, food, or vouchers? Evidence from a randomized experiment in northern Ecuador. Journal of Development Economics. 2014 Mar 1;107:144–56. </w:t>
      </w:r>
    </w:p>
    <w:p w14:paraId="4611B80A" w14:textId="77777777" w:rsidR="00CD1362" w:rsidRDefault="00CD1362" w:rsidP="00CD1362">
      <w:pPr>
        <w:pStyle w:val="Bibliography"/>
      </w:pPr>
      <w:r>
        <w:t>32.</w:t>
      </w:r>
      <w:r>
        <w:tab/>
        <w:t xml:space="preserve">Fenn B, Colbourn T, Dolan C, Pietzsch S, Sangrasi M, Shoham J. Impact evaluation of different cash-based intervention modalities on child and maternal nutritional status in Sindh Province, Pakistan, at 6 mo and at 1 y: A cluster randomised controlled trial. PLOS Medicine. 2017 máj;14(5):e1002305. </w:t>
      </w:r>
    </w:p>
    <w:p w14:paraId="30CE293B" w14:textId="77777777" w:rsidR="00CD1362" w:rsidRDefault="00CD1362" w:rsidP="00CD1362">
      <w:pPr>
        <w:pStyle w:val="Bibliography"/>
      </w:pPr>
      <w:r>
        <w:t>33.</w:t>
      </w:r>
      <w:r>
        <w:tab/>
        <w:t xml:space="preserve">Reyes AM, Akanyirige PW, Wishart D, Dahdouh R, Young MR, Estrada A, et al. Interventions Addressing Social Needs in Perinatal Care: A Systematic Review. Health Equity. 2021 Mar 4;5(1):100–18. </w:t>
      </w:r>
    </w:p>
    <w:p w14:paraId="70108EDA" w14:textId="77777777" w:rsidR="00CD1362" w:rsidRDefault="00CD1362" w:rsidP="00CD1362">
      <w:pPr>
        <w:pStyle w:val="Bibliography"/>
      </w:pPr>
      <w:r>
        <w:t>34.</w:t>
      </w:r>
      <w:r>
        <w:tab/>
        <w:t xml:space="preserve">Gottlieb LM, Hessler D, Long D, Laves E, Burns AR, Amaya A, et al. Effects of Social Needs Screening and In-Person Service Navigation on Child Health: A Randomized Clinical Trial. JAMA Pediatr. 2016;170(11):e162521. </w:t>
      </w:r>
    </w:p>
    <w:p w14:paraId="464539E8" w14:textId="77777777" w:rsidR="00CD1362" w:rsidRDefault="00CD1362" w:rsidP="00CD1362">
      <w:pPr>
        <w:pStyle w:val="Bibliography"/>
      </w:pPr>
      <w:r>
        <w:t>35.</w:t>
      </w:r>
      <w:r>
        <w:tab/>
        <w:t xml:space="preserve">Garg A, Toy S, Tripodis Y, Silverstein M, Freeman E. Addressing Social Determinants of Health at Well Child Care Visits: A Cluster RCT. Pediatrics. 2015 Feb;135(2):e296–304. </w:t>
      </w:r>
    </w:p>
    <w:p w14:paraId="68CB44BB" w14:textId="77777777" w:rsidR="00CD1362" w:rsidRDefault="00CD1362" w:rsidP="00CD1362">
      <w:pPr>
        <w:pStyle w:val="Bibliography"/>
      </w:pPr>
      <w:r>
        <w:t>36.</w:t>
      </w:r>
      <w:r>
        <w:tab/>
        <w:t>United Nations Children’s Fund (UNICEF). Building synergies between child nutrition and social protection  to address malnutrition and poverty [Internet]. New York: UNICEF; 2023 [cited 2024 Feb 16]. Available from: https://www.unicef.org/media/151141/file/Building%20synergies%20between%20child%20nutrition%20and%20social%20protection%20to%20address%20malnutrition%20and%20poverty.pdf</w:t>
      </w:r>
    </w:p>
    <w:p w14:paraId="5918B6C3" w14:textId="77777777" w:rsidR="00CD1362" w:rsidRDefault="00CD1362" w:rsidP="00CD1362">
      <w:pPr>
        <w:pStyle w:val="Bibliography"/>
      </w:pPr>
      <w:r>
        <w:t>37.</w:t>
      </w:r>
      <w:r>
        <w:tab/>
        <w:t>Key Asks 2023 Voluntary National Reviews: SDG 2 [Internet]. UNICEF; 2023 [cited 2024 Feb 29]. Available from: https://www.unicef.org/documents/sdg-issue-brief-2#:~:text=The%20triple%20burden%20of%20malnutrition,young%20people%2C%20economies%20and%20nations.</w:t>
      </w:r>
    </w:p>
    <w:p w14:paraId="24284835" w14:textId="77777777" w:rsidR="00CD1362" w:rsidRDefault="00CD1362" w:rsidP="00CD1362">
      <w:pPr>
        <w:pStyle w:val="Bibliography"/>
      </w:pPr>
      <w:r>
        <w:t>38.</w:t>
      </w:r>
      <w:r>
        <w:tab/>
        <w:t>National food and nutrition security plan for South Africa, 2018-2023 [Internet]. Pretoria, South Africa: Department of Planning, Monitoring and Evaluation; 2017 [cited 2024 Feb 19]. Available from: https://faolex.fao.org/docs/pdf/saf211944.pdf</w:t>
      </w:r>
    </w:p>
    <w:p w14:paraId="3866EC46" w14:textId="77777777" w:rsidR="00CD1362" w:rsidRDefault="00CD1362" w:rsidP="00CD1362">
      <w:pPr>
        <w:pStyle w:val="Bibliography"/>
      </w:pPr>
      <w:r>
        <w:t>39.</w:t>
      </w:r>
      <w:r>
        <w:tab/>
        <w:t>Institute for Economic Justice. Budget 2023: Taking from the poor with R162 billion in expenditure cuts while breaking the President’s promises [Internet]. 2023 Feb [cited 2023 Aug 27]. (IEJ Statement | Budget 2023). Available from: https://www.iej.org.za/wp-content/uploads/2023/02/IEJ-Statement_-Budget-2023_24.pdf</w:t>
      </w:r>
    </w:p>
    <w:p w14:paraId="5F831D28" w14:textId="77777777" w:rsidR="00CD1362" w:rsidRDefault="00CD1362" w:rsidP="00CD1362">
      <w:pPr>
        <w:pStyle w:val="Bibliography"/>
      </w:pPr>
      <w:r>
        <w:t>40.</w:t>
      </w:r>
      <w:r>
        <w:tab/>
        <w:t>Lencoasa M. OPINION: We are short-changing women with budget cuts, corruption, and underspending in health [Internet]. Spotlight. 2023 [cited 2024 Feb 17]. Available from: https://www.spotlightnsp.co.za/2023/08/25/opinion-we-are-short-changing-women-with-budget-cuts-corruption-and-underspending/</w:t>
      </w:r>
    </w:p>
    <w:p w14:paraId="44027EAB" w14:textId="77777777" w:rsidR="00CD1362" w:rsidRDefault="00CD1362" w:rsidP="00CD1362">
      <w:pPr>
        <w:pStyle w:val="Bibliography"/>
      </w:pPr>
      <w:r>
        <w:lastRenderedPageBreak/>
        <w:t>41.</w:t>
      </w:r>
      <w:r>
        <w:tab/>
        <w:t>Gauteng Department of Health Annual Report Financial Year 2021/2022 [Internet]. South Africa: Johannesburg: Gauteng Provincial Department of Health; 2022 [cited 2024 Mar 1]. Available from: https://provincialgovernment.co.za/department_annual/1183/2022-gauteng-health-annual-report.pdf</w:t>
      </w:r>
    </w:p>
    <w:p w14:paraId="2EC2389E" w14:textId="77777777" w:rsidR="00CD1362" w:rsidRDefault="00CD1362" w:rsidP="00CD1362">
      <w:pPr>
        <w:pStyle w:val="Bibliography"/>
      </w:pPr>
      <w:r>
        <w:t>42.</w:t>
      </w:r>
      <w:r>
        <w:tab/>
        <w:t xml:space="preserve">Penny ME, Creed-Kanashiro HM, Robert RC, Narro MR, Caulfield LE, Black RE. Effectiveness of an educational intervention delivered through the health services to improve nutrition in young children: a cluster-randomised controlled trial. The Lancet. 2005 May 28;365(9474):1863–72. </w:t>
      </w:r>
    </w:p>
    <w:p w14:paraId="6C02DEB6" w14:textId="77777777" w:rsidR="00CD1362" w:rsidRDefault="00CD1362" w:rsidP="00CD1362">
      <w:pPr>
        <w:pStyle w:val="Bibliography"/>
      </w:pPr>
      <w:r>
        <w:t>43.</w:t>
      </w:r>
      <w:r>
        <w:tab/>
        <w:t xml:space="preserve">Heberlein EC, Frongillo EA, Picklesimer AH, Covington-Kolb S. Effects of Group Prenatal Care on Food Insecurity during Late Pregnancy and Early Postpartum. Matern Child Health J. 2016 May 1;20(5):1014–24. </w:t>
      </w:r>
    </w:p>
    <w:p w14:paraId="4526D9BD" w14:textId="77777777" w:rsidR="00CD1362" w:rsidRDefault="00CD1362" w:rsidP="00CD1362">
      <w:pPr>
        <w:pStyle w:val="Bibliography"/>
      </w:pPr>
      <w:r>
        <w:t>44.</w:t>
      </w:r>
      <w:r>
        <w:tab/>
        <w:t xml:space="preserve">Daniele MA, Ganaba R, Sarrassat S, Cousens S, Rossier C, Drabo S, et al. Involving male partners in maternity care in Burkina Faso: a randomized controlled trial. Bull World Health Organ. 2018 Jul 1;96(7):450–61. </w:t>
      </w:r>
    </w:p>
    <w:p w14:paraId="7E7BF79B" w14:textId="77777777" w:rsidR="00CD1362" w:rsidRDefault="00CD1362" w:rsidP="00CD1362">
      <w:pPr>
        <w:pStyle w:val="Bibliography"/>
      </w:pPr>
      <w:r>
        <w:t>45.</w:t>
      </w:r>
      <w:r>
        <w:tab/>
        <w:t xml:space="preserve">Su M, Ouyang YQ. Father’s Role in Breastfeeding Promotion: Lessons from a Quasi-Experimental Trial in China. Breastfeeding Medicine. 2016 Apr;11(3):144–9. </w:t>
      </w:r>
    </w:p>
    <w:p w14:paraId="74D6EE3D" w14:textId="77777777" w:rsidR="00CD1362" w:rsidRDefault="00CD1362" w:rsidP="00CD1362">
      <w:pPr>
        <w:pStyle w:val="Bibliography"/>
      </w:pPr>
      <w:r>
        <w:t>46.</w:t>
      </w:r>
      <w:r>
        <w:tab/>
        <w:t xml:space="preserve">Özlüses E, Çelebioglu A. Educating fathers to improve breastfeeding rates and paternal-infant attachment. Indian Pediatrics. 2014;51(8):654–7. </w:t>
      </w:r>
    </w:p>
    <w:p w14:paraId="747EA0F4" w14:textId="77777777" w:rsidR="00CD1362" w:rsidRDefault="00CD1362" w:rsidP="00CD1362">
      <w:pPr>
        <w:pStyle w:val="Bibliography"/>
      </w:pPr>
      <w:r>
        <w:t>47.</w:t>
      </w:r>
      <w:r>
        <w:tab/>
        <w:t xml:space="preserve">Susin LRO, Giugliani ERJ. Inclusion of fathers in an intervention to promote breastfeeding: Impact on breastfeeding rates. Journal of Human Lactation. 2008;24(4):386–92. </w:t>
      </w:r>
    </w:p>
    <w:p w14:paraId="38F1A827" w14:textId="77777777" w:rsidR="00CD1362" w:rsidRDefault="00CD1362" w:rsidP="00CD1362">
      <w:pPr>
        <w:pStyle w:val="Bibliography"/>
      </w:pPr>
      <w:r>
        <w:t>48.</w:t>
      </w:r>
      <w:r>
        <w:tab/>
        <w:t xml:space="preserve">Rifayanto RP, Khomsan A, Sinaga T, Dewi M, Ekawidyani KR. The Effectiveness of Nutrition Education and Egg and Milk Supplementation during Pregnancy in Cirebon Regency Indonesia. Indian Journal of Public Health Research &amp; Development. 2021 Jun 3;12(3):471–7. </w:t>
      </w:r>
    </w:p>
    <w:p w14:paraId="29CCAF38" w14:textId="77777777" w:rsidR="00CD1362" w:rsidRDefault="00CD1362" w:rsidP="00CD1362">
      <w:pPr>
        <w:pStyle w:val="Bibliography"/>
      </w:pPr>
      <w:r>
        <w:t>49.</w:t>
      </w:r>
      <w:r>
        <w:tab/>
        <w:t>World Food Programme. Food by Prescription [Internet]. Swaziland, Kingdom of (SZ): World Food Programme; 2017 [cited 2023 Sep 27]. Available from: https://docs.wfp.org/api/documents/WFP-0000069888/download/</w:t>
      </w:r>
    </w:p>
    <w:p w14:paraId="2C6AC306" w14:textId="77777777" w:rsidR="00CD1362" w:rsidRDefault="00CD1362" w:rsidP="00CD1362">
      <w:pPr>
        <w:pStyle w:val="Bibliography"/>
      </w:pPr>
      <w:r>
        <w:t>50.</w:t>
      </w:r>
      <w:r>
        <w:tab/>
        <w:t>Von Fintel D, Von Fintel M, Butheleze T. The complementarity between cash transfers and financial literacy for child growth. [Internet]. Cape Town: SALDRU, UCT; 2019 [cited 2023 Oct 2]. Report No.: SALDRU Working Paper Number 241 Version 1/ NIDS Discussion Paper 2019/8. Available from: http://www.nids.uct.ac.za/images/papers/2019_08_NIDSW5.pdf</w:t>
      </w:r>
    </w:p>
    <w:p w14:paraId="16C88231" w14:textId="77777777" w:rsidR="00CD1362" w:rsidRDefault="00CD1362" w:rsidP="00CD1362">
      <w:pPr>
        <w:pStyle w:val="Bibliography"/>
      </w:pPr>
      <w:r>
        <w:t>51.</w:t>
      </w:r>
      <w:r>
        <w:tab/>
        <w:t xml:space="preserve">Rossouw L, Burger RP, Burger R. Testing an Incentive-Based and Community Health Worker Package Intervention to Improve Maternal Health and Nutrition Outcomes: A Pilot Randomized Controlled Trial. Matern Child Health J. 2021 Dec 1;25(12):1913–22. </w:t>
      </w:r>
    </w:p>
    <w:p w14:paraId="25375071" w14:textId="77777777" w:rsidR="00CD1362" w:rsidRDefault="00CD1362" w:rsidP="00CD1362">
      <w:pPr>
        <w:pStyle w:val="Bibliography"/>
      </w:pPr>
      <w:r>
        <w:lastRenderedPageBreak/>
        <w:t>52.</w:t>
      </w:r>
      <w:r>
        <w:tab/>
        <w:t xml:space="preserve">Macours K, Vakis R. Changing Households’ Investment Behaviour through Social Interactions with Local Leaders: Evidence from a Randomised Transfer Programme. The Economic Journal. 2014;124(576):607–33. </w:t>
      </w:r>
    </w:p>
    <w:p w14:paraId="5615D332" w14:textId="77777777" w:rsidR="00CD1362" w:rsidRDefault="00CD1362" w:rsidP="00CD1362">
      <w:pPr>
        <w:pStyle w:val="Bibliography"/>
      </w:pPr>
      <w:r>
        <w:t>53.</w:t>
      </w:r>
      <w:r>
        <w:tab/>
        <w:t xml:space="preserve">Le K, Nguyen M. The long-run impacts of paid maternity leave on height and educational attainment. Humanit Soc Sci Commun. 2022 Sep 16;9(1):1–8. </w:t>
      </w:r>
    </w:p>
    <w:p w14:paraId="1E53FE55" w14:textId="77777777" w:rsidR="00CD1362" w:rsidRDefault="00CD1362" w:rsidP="00CD1362">
      <w:pPr>
        <w:pStyle w:val="Bibliography"/>
      </w:pPr>
      <w:r>
        <w:t>54.</w:t>
      </w:r>
      <w:r>
        <w:tab/>
        <w:t xml:space="preserve">Chai Y, Nandi A, Heymann J. Does extending the duration of legislated paid maternity leave improve breastfeeding practices? Evidence from 38 low-income and middle-income countries. BMJ Glob Health. 2018 Oct 11;3(5):e001032. </w:t>
      </w:r>
    </w:p>
    <w:p w14:paraId="1750BC34" w14:textId="77777777" w:rsidR="00CD1362" w:rsidRDefault="00CD1362" w:rsidP="00CD1362">
      <w:pPr>
        <w:pStyle w:val="Bibliography"/>
      </w:pPr>
      <w:r>
        <w:t>55.</w:t>
      </w:r>
      <w:r>
        <w:tab/>
        <w:t xml:space="preserve">Chai Y, Ríos-Salas V, Stek P, Heymann J. Does Enhancing Paid Maternity Leave Policy Help Promote Gender Equality? Evidence from 31 Low- and Middle-Income Countries. Gend Issues. 2022 Sep 1;39(3):335–67. </w:t>
      </w:r>
    </w:p>
    <w:p w14:paraId="0F50C8A5" w14:textId="77777777" w:rsidR="00CD1362" w:rsidRDefault="00CD1362" w:rsidP="00CD1362">
      <w:pPr>
        <w:pStyle w:val="Bibliography"/>
      </w:pPr>
      <w:r>
        <w:t>56.</w:t>
      </w:r>
      <w:r>
        <w:tab/>
        <w:t xml:space="preserve">Briaux J, Martin-Prevel Y, Carles S, Fortin S, Kameli Y, Adubra L, et al. Evaluation of an unconditional cash transfer program targeting children’s first-1,000–days linear growth in rural Togo: A cluster-randomized controlled trial. PLOS Medicine. 2020 Nov 17;17(11):e1003388. </w:t>
      </w:r>
    </w:p>
    <w:p w14:paraId="292E2CCC" w14:textId="77777777" w:rsidR="00CD1362" w:rsidRDefault="00CD1362" w:rsidP="00CD1362">
      <w:pPr>
        <w:pStyle w:val="Bibliography"/>
      </w:pPr>
      <w:r>
        <w:t>57.</w:t>
      </w:r>
      <w:r>
        <w:tab/>
        <w:t>van Panhuys C, Barbero T, Earl F, Naickerd P. South Africa: ICROP: Reaching out to rural poor through mobile service units [Internet]. Social Protection Department, Internaltional Labour Organization; 2015 [cited 2023 May 14]. Available from: https://www.social-protection.org/gimi/RessourcePDF.action?id=51861#:~:text=The%20impact%20of%20ICROP%20on%20people's%20lives&amp;text=A%20recent%20study%20indicates%20that,population%20(UNICEF%2C%202011).</w:t>
      </w:r>
    </w:p>
    <w:p w14:paraId="6B795331" w14:textId="77777777" w:rsidR="00CD1362" w:rsidRDefault="00CD1362" w:rsidP="00CD1362">
      <w:pPr>
        <w:pStyle w:val="Bibliography"/>
      </w:pPr>
      <w:r>
        <w:t>58.</w:t>
      </w:r>
      <w:r>
        <w:tab/>
        <w:t>González-Fernández D, Mazzini Salom AS, Herrera Bendezu F, Huamán S, Rojas Hernández B, Pevec I, et al. A Multi-Sectoral Approach Improves Early Child Development in a Disadvantaged Community in Peru: Role of Community Gardens, Nutrition Workshops and Enhanced Caregiver-Child Interaction: Project “Wawa Illari.” Frontiers in Public Health [Internet]. 2020 [cited 2023 Oct 15];8. Available from: https://www.frontiersin.org/articles/10.3389/fpubh.2020.567900</w:t>
      </w:r>
    </w:p>
    <w:p w14:paraId="28796AC6" w14:textId="77777777" w:rsidR="00CD1362" w:rsidRDefault="00CD1362" w:rsidP="00CD1362">
      <w:pPr>
        <w:pStyle w:val="Bibliography"/>
      </w:pPr>
      <w:r>
        <w:t>59.</w:t>
      </w:r>
      <w:r>
        <w:tab/>
        <w:t xml:space="preserve">Brunie A, Fumagalli L, Martin T, Field S, Rutherford D. Can village savings and loan groups be a potential tool in the malnutrition fight? Mixed method findings from Mozambique. Children and Youth Services Review. 2014 Dec 1;47:113–20. </w:t>
      </w:r>
    </w:p>
    <w:p w14:paraId="5501FE07" w14:textId="77777777" w:rsidR="00CD1362" w:rsidRDefault="00CD1362" w:rsidP="00CD1362">
      <w:pPr>
        <w:pStyle w:val="Bibliography"/>
      </w:pPr>
      <w:r>
        <w:t>60.</w:t>
      </w:r>
      <w:r>
        <w:tab/>
        <w:t xml:space="preserve">Sedlmayr R, Shah A, Sulaiman M. Cash-plus: Poverty impacts of alternative transfer-based approaches. Journal of Development Economics. 2020 May 1;144:102418. </w:t>
      </w:r>
    </w:p>
    <w:p w14:paraId="487B330D" w14:textId="77777777" w:rsidR="00CD1362" w:rsidRDefault="00CD1362" w:rsidP="00CD1362">
      <w:pPr>
        <w:pStyle w:val="Bibliography"/>
      </w:pPr>
      <w:r>
        <w:t>61.</w:t>
      </w:r>
      <w:r>
        <w:tab/>
        <w:t xml:space="preserve">De Souza LR. Correlates of child undernutrition in Yemen. Bandung: Journal of the Global South. 2017 Apr 3;4(1):3. </w:t>
      </w:r>
    </w:p>
    <w:p w14:paraId="396251C4" w14:textId="77777777" w:rsidR="00CD1362" w:rsidRDefault="00CD1362" w:rsidP="00CD1362">
      <w:pPr>
        <w:pStyle w:val="Bibliography"/>
      </w:pPr>
      <w:r>
        <w:t>62.</w:t>
      </w:r>
      <w:r>
        <w:tab/>
        <w:t xml:space="preserve">Martinez S, Murguia JM, Rejas B, Winters S. Refrigeration and child growth: What is the connection? Maternal &amp; Child Nutrition. 2021;17(2):e13083. </w:t>
      </w:r>
    </w:p>
    <w:p w14:paraId="0BE79017" w14:textId="77777777" w:rsidR="00CD1362" w:rsidRDefault="00CD1362" w:rsidP="00CD1362">
      <w:pPr>
        <w:pStyle w:val="Bibliography"/>
      </w:pPr>
      <w:r>
        <w:lastRenderedPageBreak/>
        <w:t>63.</w:t>
      </w:r>
      <w:r>
        <w:tab/>
        <w:t xml:space="preserve">Heard BR, Thi HT, Burra DD, Heller MC, Miller SA, Duong TT, et al. The Influence of Household Refrigerator Ownership on Diets in Vietnam. Economics &amp; Human Biology. 2020 Dec 1;39:100930. </w:t>
      </w:r>
    </w:p>
    <w:p w14:paraId="4D8F8B8F" w14:textId="77777777" w:rsidR="00CD1362" w:rsidRDefault="00CD1362" w:rsidP="00CD1362">
      <w:pPr>
        <w:pStyle w:val="Bibliography"/>
      </w:pPr>
      <w:r>
        <w:t>64.</w:t>
      </w:r>
      <w:r>
        <w:tab/>
        <w:t>Sanni M, Neureiter K, Raksit A. How innovation in off grid refrigeration impacts lives in Kenya [Internet]. CDC Investment Works; 2019 Oct [cited 2023 Sep 22]. (Insight). Report No.: 007. Available from: https://assets.cdcgroup.com/wp-content/uploads/2019/10/29165356/How-innovation-in-off-grid-refrigeration-impacts-lives-in-Kenya.pdf</w:t>
      </w:r>
    </w:p>
    <w:p w14:paraId="16E9D88D" w14:textId="77777777" w:rsidR="00CD1362" w:rsidRDefault="00CD1362" w:rsidP="00CD1362">
      <w:pPr>
        <w:pStyle w:val="Bibliography"/>
      </w:pPr>
      <w:r>
        <w:t>65.</w:t>
      </w:r>
      <w:r>
        <w:tab/>
        <w:t xml:space="preserve">Creed-Kanashiro HM, Bartolini RM, Fukumoto MN, Uribe TG, Robert RC, Bentley ME. Formative Research to Develop a Nutrition Education Intervention to Improve Dietary Iron Intake among Women and Adolescent Girls through Community Kitchens in Lima, Peru. The Journal of Nutrition. 2003 Nov 1;133(11):3987S-3991S. </w:t>
      </w:r>
    </w:p>
    <w:p w14:paraId="24254668" w14:textId="77777777" w:rsidR="00CD1362" w:rsidRDefault="00CD1362" w:rsidP="00CD1362">
      <w:pPr>
        <w:pStyle w:val="Bibliography"/>
      </w:pPr>
      <w:r>
        <w:t>66.</w:t>
      </w:r>
      <w:r>
        <w:tab/>
        <w:t xml:space="preserve">Sahyoun NR, Jamaluddine Z, Choufani J, Mesmar S, Reese-Masterson A, Ghattas H. A mixed-methods evaluation of community-based healthy kitchens as social enterprises for refugee women. BMC Public Health. 2019 Nov 29;19:1590. </w:t>
      </w:r>
    </w:p>
    <w:p w14:paraId="450ACB90" w14:textId="77777777" w:rsidR="00CD1362" w:rsidRPr="00AB408C" w:rsidRDefault="00CD1362" w:rsidP="00CD1362">
      <w:r w:rsidRPr="00AB408C">
        <w:fldChar w:fldCharType="end"/>
      </w:r>
    </w:p>
    <w:p w14:paraId="4A302D9A" w14:textId="77777777" w:rsidR="00CD1362" w:rsidRPr="00AB408C" w:rsidRDefault="00CD1362" w:rsidP="00CD1362"/>
    <w:p w14:paraId="3EB71C3B" w14:textId="77777777" w:rsidR="00257547" w:rsidRDefault="00257547"/>
    <w:sectPr w:rsidR="00257547" w:rsidSect="00AC0F53">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F53"/>
    <w:rsid w:val="00257547"/>
    <w:rsid w:val="00AC0F53"/>
    <w:rsid w:val="00CD1362"/>
    <w:rsid w:val="00EC1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899D"/>
  <w15:chartTrackingRefBased/>
  <w15:docId w15:val="{0A77022D-D4F0-4F58-86A1-5D139EF38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362"/>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CD1362"/>
  </w:style>
  <w:style w:type="table" w:styleId="PlainTable2">
    <w:name w:val="Plain Table 2"/>
    <w:basedOn w:val="TableNormal"/>
    <w:uiPriority w:val="42"/>
    <w:rsid w:val="00CD136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34942</Words>
  <Characters>199172</Characters>
  <Application>Microsoft Office Word</Application>
  <DocSecurity>0</DocSecurity>
  <Lines>1659</Lines>
  <Paragraphs>467</Paragraphs>
  <ScaleCrop>false</ScaleCrop>
  <Company>UNICEF</Company>
  <LinksUpToDate>false</LinksUpToDate>
  <CharactersWithSpaces>233647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Erzse</dc:creator>
  <cp:keywords/>
  <dc:description/>
  <cp:lastModifiedBy>Agnes Erzse</cp:lastModifiedBy>
  <cp:revision>2</cp:revision>
  <dcterms:created xsi:type="dcterms:W3CDTF">2024-06-08T17:25:00Z</dcterms:created>
  <dcterms:modified xsi:type="dcterms:W3CDTF">2024-06-08T17:26:00Z</dcterms:modified>
</cp:coreProperties>
</file>