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93078C" w14:textId="28838B46" w:rsidR="00B05A65" w:rsidRDefault="008B18E7" w:rsidP="008B18E7">
      <w:pPr>
        <w:spacing w:before="240" w:after="240" w:line="480" w:lineRule="auto"/>
        <w:ind w:left="-5"/>
        <w:jc w:val="center"/>
        <w:rPr>
          <w:b/>
          <w:szCs w:val="24"/>
        </w:rPr>
      </w:pPr>
      <w:r>
        <w:rPr>
          <w:b/>
          <w:szCs w:val="24"/>
        </w:rPr>
        <w:t>Additional</w:t>
      </w:r>
      <w:r w:rsidR="00B05A65">
        <w:rPr>
          <w:b/>
          <w:szCs w:val="24"/>
        </w:rPr>
        <w:t xml:space="preserve"> file 1</w:t>
      </w:r>
    </w:p>
    <w:p w14:paraId="7794E230" w14:textId="55D06A83" w:rsidR="00AB4309" w:rsidRDefault="00AB4309" w:rsidP="00AB4309">
      <w:pPr>
        <w:spacing w:before="240" w:after="240" w:line="480" w:lineRule="auto"/>
        <w:ind w:left="-5"/>
        <w:jc w:val="both"/>
        <w:rPr>
          <w:b/>
          <w:szCs w:val="24"/>
        </w:rPr>
      </w:pPr>
      <w:r w:rsidRPr="00FA3552">
        <w:rPr>
          <w:b/>
          <w:szCs w:val="24"/>
        </w:rPr>
        <w:t xml:space="preserve">Inequality </w:t>
      </w:r>
      <w:r w:rsidR="004A0DA9">
        <w:rPr>
          <w:b/>
          <w:szCs w:val="24"/>
        </w:rPr>
        <w:t>Ratio</w:t>
      </w:r>
    </w:p>
    <w:p w14:paraId="653EEE9D" w14:textId="2944166B" w:rsidR="004A0DA9" w:rsidRDefault="004A0DA9" w:rsidP="004A0DA9">
      <w:pPr>
        <w:spacing w:after="240" w:line="480" w:lineRule="auto"/>
        <w:jc w:val="both"/>
        <w:rPr>
          <w:szCs w:val="24"/>
        </w:rPr>
      </w:pPr>
      <w:r w:rsidRPr="00B5508E">
        <w:rPr>
          <w:szCs w:val="24"/>
        </w:rPr>
        <w:t>The inequality ratio may be expressed mathematically in Eq. (</w:t>
      </w:r>
      <w:r w:rsidR="00013931">
        <w:rPr>
          <w:szCs w:val="24"/>
        </w:rPr>
        <w:t>1</w:t>
      </w:r>
      <w:r w:rsidRPr="00B5508E">
        <w:rPr>
          <w:szCs w:val="24"/>
        </w:rPr>
        <w:t>) as follows:</w:t>
      </w:r>
    </w:p>
    <w:p w14:paraId="3A54F825" w14:textId="0717D4EA" w:rsidR="004A0DA9" w:rsidRPr="007B760E" w:rsidRDefault="004A0DA9" w:rsidP="004A0DA9">
      <w:pPr>
        <w:spacing w:after="240" w:line="480" w:lineRule="auto"/>
        <w:jc w:val="center"/>
        <w:rPr>
          <w:color w:val="000000" w:themeColor="text1"/>
        </w:rPr>
      </w:pPr>
      <m:oMathPara>
        <m:oMath>
          <m:r>
            <m:rPr>
              <m:sty m:val="p"/>
            </m:rPr>
            <w:rPr>
              <w:rFonts w:ascii="Cambria Math" w:hAnsi="Cambria Math"/>
              <w:szCs w:val="24"/>
            </w:rPr>
            <m:t>Inequality</m:t>
          </m:r>
          <m:r>
            <m:rPr>
              <m:sty m:val="p"/>
            </m:rPr>
            <w:rPr>
              <w:rFonts w:ascii="Cambria Math" w:hAnsi="Cambria Math" w:cs="Cambria Math"/>
              <w:color w:val="000000" w:themeColor="text1"/>
              <w:szCs w:val="24"/>
            </w:rPr>
            <m:t xml:space="preserve"> Ratio=</m:t>
          </m:r>
          <m:f>
            <m:fPr>
              <m:ctrlPr>
                <w:rPr>
                  <w:rFonts w:ascii="Cambria Math" w:hAnsi="Cambria Math"/>
                  <w:color w:val="000000" w:themeColor="text1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Cs w:val="24"/>
                </w:rPr>
                <m:t>Mean of the first decile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color w:val="000000" w:themeColor="text1"/>
                  <w:szCs w:val="24"/>
                </w:rPr>
                <m:t>Mean of the last decile</m:t>
              </m:r>
            </m:den>
          </m:f>
          <m:r>
            <w:rPr>
              <w:rFonts w:ascii="Cambria Math" w:hAnsi="Cambria Math"/>
              <w:szCs w:val="24"/>
            </w:rPr>
            <m:t>⋯⋯⋯⋯⋯⋯⋯⋯(1)</m:t>
          </m:r>
        </m:oMath>
      </m:oMathPara>
    </w:p>
    <w:p w14:paraId="68C067A0" w14:textId="77777777" w:rsidR="004A0DA9" w:rsidRPr="0074303E" w:rsidRDefault="004A0DA9" w:rsidP="004A0DA9">
      <w:pPr>
        <w:spacing w:before="240" w:after="240" w:line="480" w:lineRule="auto"/>
        <w:ind w:left="-5"/>
        <w:jc w:val="both"/>
        <w:rPr>
          <w:b/>
          <w:szCs w:val="24"/>
        </w:rPr>
      </w:pPr>
      <w:r w:rsidRPr="00FA3552">
        <w:rPr>
          <w:b/>
          <w:szCs w:val="24"/>
        </w:rPr>
        <w:t xml:space="preserve">Inequality </w:t>
      </w:r>
      <w:r w:rsidRPr="0074303E">
        <w:rPr>
          <w:b/>
          <w:szCs w:val="24"/>
        </w:rPr>
        <w:t>Slope</w:t>
      </w:r>
    </w:p>
    <w:p w14:paraId="38544A34" w14:textId="77777777" w:rsidR="004A0DA9" w:rsidRDefault="004A0DA9" w:rsidP="004A0DA9">
      <w:pPr>
        <w:spacing w:after="240" w:line="480" w:lineRule="auto"/>
        <w:ind w:left="-5"/>
        <w:jc w:val="both"/>
        <w:rPr>
          <w:szCs w:val="24"/>
        </w:rPr>
      </w:pPr>
      <w:r w:rsidRPr="00B5508E">
        <w:rPr>
          <w:szCs w:val="24"/>
        </w:rPr>
        <w:t>In the first step, the DMI scores of all districts were set in descending order, and then the DMI values were regressed upon ranked variables. Mathematically</w:t>
      </w:r>
    </w:p>
    <w:p w14:paraId="14AF8802" w14:textId="4F6F30C6" w:rsidR="004A0DA9" w:rsidRPr="00373A91" w:rsidRDefault="00000000" w:rsidP="004A0DA9">
      <w:pPr>
        <w:spacing w:after="240" w:line="480" w:lineRule="auto"/>
        <w:ind w:left="-5"/>
        <w:jc w:val="center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DMI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 xml:space="preserve">=f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Rank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  <w:szCs w:val="24"/>
            </w:rPr>
            <m:t>⋯⋯⋯⋯⋯⋯⋯⋯⋯⋯⋯⋯⋯⋯(2)</m:t>
          </m:r>
        </m:oMath>
      </m:oMathPara>
    </w:p>
    <w:p w14:paraId="2D016369" w14:textId="77777777" w:rsidR="004A0DA9" w:rsidRDefault="004A0DA9" w:rsidP="004A0DA9">
      <w:pPr>
        <w:spacing w:after="240" w:line="480" w:lineRule="auto"/>
        <w:ind w:left="-5"/>
        <w:jc w:val="both"/>
      </w:pPr>
      <m:oMath>
        <m:r>
          <m:rPr>
            <m:sty m:val="p"/>
          </m:rPr>
          <w:rPr>
            <w:rFonts w:ascii="Cambria Math" w:hAnsi="Cambria Math"/>
          </w:rPr>
          <m:t>Where DMI</m:t>
        </m:r>
      </m:oMath>
      <w:r>
        <w:rPr>
          <w:vertAlign w:val="subscript"/>
        </w:rPr>
        <w:t xml:space="preserve">i </w:t>
      </w:r>
      <w:r>
        <w:t>is the index value of “i</w:t>
      </w:r>
      <w:r w:rsidRPr="009F10B0">
        <w:rPr>
          <w:vertAlign w:val="subscript"/>
        </w:rPr>
        <w:t>th</w:t>
      </w:r>
      <w:r>
        <w:t>” district, and “Rank</w:t>
      </w:r>
      <w:r>
        <w:rPr>
          <w:vertAlign w:val="subscript"/>
        </w:rPr>
        <w:t>i</w:t>
      </w:r>
      <w:r>
        <w:t>” is the rank of that specific district. “f” denotes the functional relationship between the dependent and independent variables. The equation can econometrically be illustrated as under:</w:t>
      </w:r>
    </w:p>
    <w:p w14:paraId="294F6CD7" w14:textId="20B9F77E" w:rsidR="004A0DA9" w:rsidRPr="00373A91" w:rsidRDefault="00000000" w:rsidP="004A0DA9">
      <w:pPr>
        <w:spacing w:after="240" w:line="480" w:lineRule="auto"/>
        <w:ind w:left="-5"/>
        <w:jc w:val="both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DMI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=α + β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Rank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 xml:space="preserve">+ </m:t>
          </m:r>
          <m:r>
            <m:rPr>
              <m:sty m:val="p"/>
            </m:rPr>
            <w:rPr>
              <w:rFonts w:ascii="Cambria Math" w:hAnsi="Cambria Math"/>
            </w:rPr>
            <m:t>µ</m:t>
          </m:r>
          <m:r>
            <m:rPr>
              <m:sty m:val="p"/>
            </m:rPr>
            <w:rPr>
              <w:rFonts w:ascii="Cambria Math" w:hAnsi="Cambria Math"/>
              <w:vertAlign w:val="subscript"/>
            </w:rPr>
            <m:t>i</m:t>
          </m:r>
          <m:r>
            <w:rPr>
              <w:rFonts w:ascii="Cambria Math" w:hAnsi="Cambria Math"/>
              <w:vertAlign w:val="subscript"/>
            </w:rPr>
            <m:t xml:space="preserve"> </m:t>
          </m:r>
          <m:r>
            <w:rPr>
              <w:rFonts w:ascii="Cambria Math" w:hAnsi="Cambria Math"/>
              <w:szCs w:val="24"/>
            </w:rPr>
            <m:t>⋯⋯⋯⋯⋯⋯⋯⋯⋯⋯⋯⋯(3)</m:t>
          </m:r>
        </m:oMath>
      </m:oMathPara>
    </w:p>
    <w:p w14:paraId="670F48B3" w14:textId="56D067CC" w:rsidR="004A0DA9" w:rsidRDefault="004A0DA9" w:rsidP="004A0DA9">
      <w:pPr>
        <w:spacing w:after="240" w:line="480" w:lineRule="auto"/>
        <w:jc w:val="both"/>
      </w:pPr>
      <w:r>
        <w:t>In Eq. (</w:t>
      </w:r>
      <w:r w:rsidR="000816FD">
        <w:t>3</w:t>
      </w:r>
      <w:r>
        <w:t xml:space="preserve">) “β” is the </w:t>
      </w:r>
      <w:r>
        <w:rPr>
          <w:szCs w:val="24"/>
        </w:rPr>
        <w:t>i</w:t>
      </w:r>
      <w:r w:rsidRPr="000D5424">
        <w:rPr>
          <w:szCs w:val="24"/>
        </w:rPr>
        <w:t>nequality</w:t>
      </w:r>
      <w:r>
        <w:t xml:space="preserve"> slope, which shows the average DMI heterogeneity between each adjacent district and changes with the ranking of districts. As the number of districts </w:t>
      </w:r>
      <w:r w:rsidR="00B05A65">
        <w:t>was</w:t>
      </w:r>
      <w:r>
        <w:t xml:space="preserve"> different in each province, the ranking of districts was rescaled by dividing each district’s rank by the total number of districts in the 8 deciles and regressing the DMI values on the rescaled rank variables.</w:t>
      </w:r>
    </w:p>
    <w:p w14:paraId="5064D7A3" w14:textId="17209E92" w:rsidR="004A0DA9" w:rsidRPr="00373A91" w:rsidRDefault="00000000" w:rsidP="004A0DA9">
      <w:pPr>
        <w:spacing w:after="240" w:line="480" w:lineRule="auto"/>
        <w:ind w:left="-5"/>
        <w:jc w:val="both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DMI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=α + β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RescaledRank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 xml:space="preserve">+ </m:t>
          </m:r>
          <m:r>
            <m:rPr>
              <m:sty m:val="p"/>
            </m:rPr>
            <w:rPr>
              <w:rFonts w:ascii="Cambria Math" w:hAnsi="Cambria Math"/>
            </w:rPr>
            <m:t>µ</m:t>
          </m:r>
          <m:r>
            <m:rPr>
              <m:sty m:val="p"/>
            </m:rPr>
            <w:rPr>
              <w:rFonts w:ascii="Cambria Math" w:hAnsi="Cambria Math"/>
              <w:vertAlign w:val="subscript"/>
            </w:rPr>
            <m:t>i</m:t>
          </m:r>
          <m:r>
            <w:rPr>
              <w:rFonts w:ascii="Cambria Math" w:hAnsi="Cambria Math"/>
              <w:szCs w:val="24"/>
            </w:rPr>
            <m:t>⋯⋯⋯⋯⋯⋯⋯⋯(4)</m:t>
          </m:r>
        </m:oMath>
      </m:oMathPara>
    </w:p>
    <w:p w14:paraId="47B17589" w14:textId="13752400" w:rsidR="004A0DA9" w:rsidRPr="002C4247" w:rsidRDefault="004A0DA9" w:rsidP="004A0DA9">
      <w:pPr>
        <w:spacing w:after="240" w:line="480" w:lineRule="auto"/>
        <w:jc w:val="both"/>
      </w:pPr>
      <w:r>
        <w:lastRenderedPageBreak/>
        <w:t>The slope estimate through Eq. (</w:t>
      </w:r>
      <w:r w:rsidR="000816FD">
        <w:t>4</w:t>
      </w:r>
      <w:r>
        <w:t>) was used to compare the DMI of different provinces with a bundle of districts.</w:t>
      </w:r>
    </w:p>
    <w:p w14:paraId="7F95E00D" w14:textId="3088A9CE" w:rsidR="00CB247C" w:rsidRPr="00CB247C" w:rsidRDefault="00CB247C" w:rsidP="00893E56">
      <w:pPr>
        <w:spacing w:after="240" w:line="480" w:lineRule="auto"/>
        <w:jc w:val="both"/>
        <w:rPr>
          <w:b/>
          <w:bCs/>
          <w:color w:val="000000" w:themeColor="text1"/>
          <w:szCs w:val="24"/>
        </w:rPr>
      </w:pPr>
      <w:r w:rsidRPr="00CB247C">
        <w:rPr>
          <w:b/>
          <w:bCs/>
          <w:color w:val="000000" w:themeColor="text1"/>
          <w:szCs w:val="24"/>
        </w:rPr>
        <w:t>Global Moran’s I</w:t>
      </w:r>
    </w:p>
    <w:p w14:paraId="56DBC56D" w14:textId="38119FEF" w:rsidR="00893E56" w:rsidRDefault="00893E56" w:rsidP="00893E56">
      <w:pPr>
        <w:spacing w:after="240" w:line="480" w:lineRule="auto"/>
        <w:jc w:val="both"/>
        <w:rPr>
          <w:color w:val="000000" w:themeColor="text1"/>
          <w:szCs w:val="24"/>
        </w:rPr>
      </w:pPr>
      <w:r w:rsidRPr="009B3C26">
        <w:rPr>
          <w:color w:val="000000" w:themeColor="text1"/>
          <w:szCs w:val="24"/>
        </w:rPr>
        <w:t>Global Moran’s I is expressed in Eq. (</w:t>
      </w:r>
      <w:r w:rsidR="00B05A65">
        <w:rPr>
          <w:color w:val="000000" w:themeColor="text1"/>
          <w:szCs w:val="24"/>
        </w:rPr>
        <w:t>5</w:t>
      </w:r>
      <w:r w:rsidRPr="009B3C26">
        <w:rPr>
          <w:color w:val="000000" w:themeColor="text1"/>
          <w:szCs w:val="24"/>
        </w:rPr>
        <w:t>) as follows:</w:t>
      </w:r>
    </w:p>
    <w:p w14:paraId="4831C203" w14:textId="5C2361A0" w:rsidR="00893E56" w:rsidRPr="00373A91" w:rsidRDefault="00000000" w:rsidP="00893E56">
      <w:pPr>
        <w:spacing w:after="240" w:line="480" w:lineRule="auto"/>
        <w:jc w:val="both"/>
        <w:rPr>
          <w:color w:val="000000" w:themeColor="text1"/>
          <w:szCs w:val="24"/>
        </w:rPr>
      </w:pPr>
      <m:oMathPara>
        <m:oMathParaPr>
          <m:jc m:val="center"/>
        </m:oMathParaPr>
        <m:oMath>
          <m:box>
            <m:boxPr>
              <m:opEmu m:val="1"/>
              <m:ctrlPr>
                <w:rPr>
                  <w:rFonts w:ascii="Cambria Math" w:hAnsi="Cambria Math"/>
                  <w:i/>
                  <w:color w:val="000000" w:themeColor="text1"/>
                  <w:szCs w:val="24"/>
                </w:rPr>
              </m:ctrlPr>
            </m:boxPr>
            <m:e>
              <m:r>
                <w:rPr>
                  <w:rFonts w:ascii="Cambria Math" w:hAnsi="Cambria Math"/>
                  <w:color w:val="000000" w:themeColor="text1"/>
                  <w:szCs w:val="24"/>
                </w:rPr>
                <m:t>I=</m:t>
              </m:r>
            </m:e>
          </m:box>
          <m:f>
            <m:fPr>
              <m:ctrlPr>
                <w:rPr>
                  <w:rFonts w:ascii="Cambria Math" w:hAnsi="Cambria Math"/>
                  <w:i/>
                  <w:color w:val="000000" w:themeColor="text1"/>
                  <w:szCs w:val="24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Cs w:val="24"/>
                </w:rPr>
                <m:t>n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color w:val="000000" w:themeColor="text1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n</m:t>
                  </m:r>
                </m:sup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color w:val="000000" w:themeColor="text1"/>
                          <w:szCs w:val="24"/>
                        </w:rPr>
                        <m:t>j=1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0000" w:themeColor="text1"/>
                          <w:szCs w:val="24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Cs w:val="24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szCs w:val="24"/>
                            </w:rPr>
                            <m:t>ij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 w:themeColor="text1"/>
                          <w:szCs w:val="24"/>
                        </w:rPr>
                        <m:t xml:space="preserve"> 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0000" w:themeColor="text1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Cs w:val="24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Cs w:val="24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color w:val="000000" w:themeColor="text1"/>
                              <w:szCs w:val="24"/>
                            </w:rPr>
                            <m:t>-</m:t>
                          </m:r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/>
                                  <w:i/>
                                  <w:color w:val="000000" w:themeColor="text1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Cs w:val="24"/>
                                </w:rPr>
                                <m:t>x</m:t>
                              </m:r>
                            </m:e>
                          </m:acc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0000" w:themeColor="text1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Cs w:val="24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Cs w:val="24"/>
                                </w:rPr>
                                <m:t>j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color w:val="000000" w:themeColor="text1"/>
                              <w:szCs w:val="24"/>
                            </w:rPr>
                            <m:t>-</m:t>
                          </m:r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/>
                                  <w:i/>
                                  <w:color w:val="000000" w:themeColor="text1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Cs w:val="24"/>
                                </w:rPr>
                                <m:t>x</m:t>
                              </m:r>
                            </m:e>
                          </m:acc>
                        </m:e>
                      </m:d>
                    </m:e>
                  </m:nary>
                </m:e>
              </m:nary>
            </m:num>
            <m:den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color w:val="000000" w:themeColor="text1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n</m:t>
                  </m:r>
                </m:sup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color w:val="000000" w:themeColor="text1"/>
                          <w:szCs w:val="24"/>
                        </w:rPr>
                        <m:t>j=1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0000" w:themeColor="text1"/>
                          <w:szCs w:val="24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Cs w:val="24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szCs w:val="24"/>
                            </w:rPr>
                            <m:t>ij</m:t>
                          </m:r>
                        </m:sub>
                      </m:sSub>
                    </m:e>
                  </m:nary>
                </m:e>
              </m:nary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x-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color w:val="000000" w:themeColor="text1"/>
                          <w:szCs w:val="24"/>
                        </w:rPr>
                        <m:t>x</m:t>
                      </m:r>
                    </m:e>
                  </m:acc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 w:themeColor="text1"/>
                          <w:szCs w:val="24"/>
                        </w:rPr>
                        <m:t xml:space="preserve">x- 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Cs w:val="24"/>
                            </w:rPr>
                            <m:t>x</m:t>
                          </m:r>
                        </m:e>
                      </m:acc>
                    </m:e>
                  </m:d>
                </m:e>
                <m:sup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color w:val="000000" w:themeColor="text1"/>
              <w:szCs w:val="24"/>
            </w:rPr>
            <m:t xml:space="preserve"> ,  i ≠j</m:t>
          </m:r>
          <m:r>
            <w:rPr>
              <w:rFonts w:ascii="Cambria Math" w:hAnsi="Cambria Math"/>
              <w:szCs w:val="24"/>
            </w:rPr>
            <m:t>⋯⋯⋯⋯⋯⋯⋯⋯(5)</m:t>
          </m:r>
        </m:oMath>
      </m:oMathPara>
    </w:p>
    <w:p w14:paraId="37ECB7A5" w14:textId="711C633D" w:rsidR="00893E56" w:rsidRDefault="00893E56" w:rsidP="00893E56">
      <w:pPr>
        <w:spacing w:after="240" w:line="480" w:lineRule="auto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Where </w:t>
      </w:r>
      <m:oMath>
        <m:r>
          <w:rPr>
            <w:rFonts w:ascii="Cambria Math" w:hAnsi="Cambria Math"/>
            <w:color w:val="000000" w:themeColor="text1"/>
            <w:sz w:val="28"/>
            <w:szCs w:val="24"/>
          </w:rPr>
          <m:t>n</m:t>
        </m:r>
      </m:oMath>
      <w:r>
        <w:rPr>
          <w:color w:val="000000" w:themeColor="text1"/>
          <w:szCs w:val="24"/>
        </w:rPr>
        <w:t xml:space="preserve"> is </w:t>
      </w:r>
      <w:r w:rsidR="006D12B0">
        <w:rPr>
          <w:color w:val="000000" w:themeColor="text1"/>
          <w:szCs w:val="24"/>
        </w:rPr>
        <w:t xml:space="preserve">the </w:t>
      </w:r>
      <w:r>
        <w:rPr>
          <w:color w:val="000000" w:themeColor="text1"/>
          <w:szCs w:val="24"/>
        </w:rPr>
        <w:t xml:space="preserve">total number of districts,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4"/>
              </w:rPr>
              <m:t>w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4"/>
              </w:rPr>
              <m:t>ij</m:t>
            </m:r>
          </m:sub>
        </m:sSub>
        <m:r>
          <w:rPr>
            <w:rFonts w:ascii="Cambria Math" w:hAnsi="Cambria Math"/>
            <w:color w:val="000000" w:themeColor="text1"/>
            <w:sz w:val="28"/>
            <w:szCs w:val="24"/>
          </w:rPr>
          <m:t xml:space="preserve"> </m:t>
        </m:r>
      </m:oMath>
      <w:r>
        <w:rPr>
          <w:color w:val="000000" w:themeColor="text1"/>
          <w:szCs w:val="24"/>
        </w:rPr>
        <w:t xml:space="preserve">is the weighted spatial matrix which shows that if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4"/>
              </w:rPr>
              <m:t>w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4"/>
              </w:rPr>
              <m:t>ij</m:t>
            </m:r>
          </m:sub>
        </m:sSub>
        <m:r>
          <w:rPr>
            <w:rFonts w:ascii="Cambria Math" w:hAnsi="Cambria Math"/>
            <w:color w:val="000000" w:themeColor="text1"/>
            <w:sz w:val="28"/>
            <w:szCs w:val="24"/>
          </w:rPr>
          <m:t xml:space="preserve">=1 </m:t>
        </m:r>
      </m:oMath>
      <w:r w:rsidR="005C509E">
        <w:rPr>
          <w:color w:val="000000" w:themeColor="text1"/>
          <w:szCs w:val="24"/>
        </w:rPr>
        <w:t>boundaries</w:t>
      </w:r>
      <w:r>
        <w:rPr>
          <w:color w:val="000000" w:themeColor="text1"/>
          <w:szCs w:val="24"/>
        </w:rPr>
        <w:t xml:space="preserve"> of the two districts are adjacent and if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4"/>
              </w:rPr>
              <m:t>w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4"/>
              </w:rPr>
              <m:t>ij</m:t>
            </m:r>
          </m:sub>
        </m:sSub>
        <m:r>
          <w:rPr>
            <w:rFonts w:ascii="Cambria Math" w:hAnsi="Cambria Math"/>
            <w:color w:val="000000" w:themeColor="text1"/>
            <w:sz w:val="28"/>
            <w:szCs w:val="24"/>
          </w:rPr>
          <m:t>=0</m:t>
        </m:r>
      </m:oMath>
      <w:r>
        <w:rPr>
          <w:color w:val="000000" w:themeColor="text1"/>
          <w:sz w:val="28"/>
          <w:szCs w:val="24"/>
        </w:rPr>
        <w:t xml:space="preserve"> </w:t>
      </w:r>
      <w:r>
        <w:rPr>
          <w:color w:val="000000" w:themeColor="text1"/>
          <w:szCs w:val="24"/>
        </w:rPr>
        <w:t xml:space="preserve">then </w:t>
      </w:r>
      <w:r w:rsidR="006D12B0">
        <w:rPr>
          <w:color w:val="000000" w:themeColor="text1"/>
          <w:szCs w:val="24"/>
        </w:rPr>
        <w:t>regions</w:t>
      </w:r>
      <w:r>
        <w:rPr>
          <w:color w:val="000000" w:themeColor="text1"/>
          <w:szCs w:val="24"/>
        </w:rPr>
        <w:t xml:space="preserve"> i and j </w:t>
      </w:r>
      <w:r w:rsidR="006D12B0">
        <w:rPr>
          <w:color w:val="000000" w:themeColor="text1"/>
          <w:szCs w:val="24"/>
        </w:rPr>
        <w:t>do</w:t>
      </w:r>
      <w:r>
        <w:rPr>
          <w:color w:val="000000" w:themeColor="text1"/>
          <w:szCs w:val="24"/>
        </w:rPr>
        <w:t xml:space="preserve"> not </w:t>
      </w:r>
      <w:r w:rsidR="006D12B0">
        <w:rPr>
          <w:color w:val="000000" w:themeColor="text1"/>
          <w:szCs w:val="24"/>
        </w:rPr>
        <w:t>share</w:t>
      </w:r>
      <w:r>
        <w:rPr>
          <w:color w:val="000000" w:themeColor="text1"/>
          <w:szCs w:val="24"/>
        </w:rPr>
        <w:t xml:space="preserve"> common boundaries.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4"/>
              </w:rPr>
              <m:t>i</m:t>
            </m:r>
          </m:sub>
        </m:sSub>
      </m:oMath>
      <w:r>
        <w:rPr>
          <w:color w:val="000000" w:themeColor="text1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4"/>
              </w:rPr>
              <m:t>j</m:t>
            </m:r>
          </m:sub>
        </m:sSub>
      </m:oMath>
      <w:r>
        <w:rPr>
          <w:color w:val="000000" w:themeColor="text1"/>
          <w:szCs w:val="24"/>
        </w:rPr>
        <w:t xml:space="preserve"> are the DMI </w:t>
      </w:r>
      <w:r w:rsidR="006D12B0">
        <w:rPr>
          <w:color w:val="000000" w:themeColor="text1"/>
          <w:szCs w:val="24"/>
        </w:rPr>
        <w:t>scores</w:t>
      </w:r>
      <w:r>
        <w:rPr>
          <w:color w:val="000000" w:themeColor="text1"/>
          <w:szCs w:val="24"/>
        </w:rPr>
        <w:t xml:space="preserve"> for </w:t>
      </w:r>
      <w:r w:rsidR="006D12B0">
        <w:rPr>
          <w:color w:val="000000" w:themeColor="text1"/>
          <w:szCs w:val="24"/>
        </w:rPr>
        <w:t>districts</w:t>
      </w:r>
      <w:r>
        <w:rPr>
          <w:color w:val="000000" w:themeColor="text1"/>
          <w:szCs w:val="24"/>
        </w:rPr>
        <w:t xml:space="preserve"> </w:t>
      </w:r>
      <w:r w:rsidR="006D12B0">
        <w:rPr>
          <w:color w:val="000000" w:themeColor="text1"/>
          <w:szCs w:val="24"/>
        </w:rPr>
        <w:t>i and</w:t>
      </w:r>
      <w:r>
        <w:rPr>
          <w:color w:val="000000" w:themeColor="text1"/>
          <w:szCs w:val="24"/>
        </w:rPr>
        <w:t xml:space="preserve"> j. </w:t>
      </w:r>
      <m:oMath>
        <m:acc>
          <m:accPr>
            <m:chr m:val="̅"/>
            <m:ctrlPr>
              <w:rPr>
                <w:rFonts w:ascii="Cambria Math" w:hAnsi="Cambria Math"/>
                <w:i/>
                <w:color w:val="000000" w:themeColor="text1"/>
                <w:sz w:val="28"/>
                <w:szCs w:val="24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sz w:val="28"/>
                <w:szCs w:val="24"/>
              </w:rPr>
              <m:t>x</m:t>
            </m:r>
          </m:e>
        </m:acc>
      </m:oMath>
      <w:r>
        <w:rPr>
          <w:color w:val="000000" w:themeColor="text1"/>
          <w:szCs w:val="24"/>
        </w:rPr>
        <w:t xml:space="preserve"> is the mean of DMI scores of all districts and I is Moran statistic. </w:t>
      </w:r>
      <w:r w:rsidRPr="00B0609A">
        <w:rPr>
          <w:color w:val="000000" w:themeColor="text1"/>
          <w:szCs w:val="24"/>
        </w:rPr>
        <w:t xml:space="preserve">The range of global Moran's I value is from +1 to -1. A positive value of I indicates that the district exhibits </w:t>
      </w:r>
      <w:r>
        <w:rPr>
          <w:color w:val="000000" w:themeColor="text1"/>
          <w:szCs w:val="24"/>
        </w:rPr>
        <w:t xml:space="preserve">similar </w:t>
      </w:r>
      <w:r w:rsidRPr="00B0609A">
        <w:rPr>
          <w:color w:val="000000" w:themeColor="text1"/>
          <w:szCs w:val="24"/>
        </w:rPr>
        <w:t xml:space="preserve">DMI scores to its adjacent regions. A negative value of I indicates that a district exhibits </w:t>
      </w:r>
      <w:r>
        <w:rPr>
          <w:color w:val="000000" w:themeColor="text1"/>
          <w:szCs w:val="24"/>
        </w:rPr>
        <w:t xml:space="preserve">different </w:t>
      </w:r>
      <w:r w:rsidRPr="00B0609A">
        <w:rPr>
          <w:color w:val="000000" w:themeColor="text1"/>
          <w:szCs w:val="24"/>
        </w:rPr>
        <w:t>DMI scores compared to its surrounding district</w:t>
      </w:r>
      <w:r>
        <w:rPr>
          <w:color w:val="000000" w:themeColor="text1"/>
          <w:szCs w:val="24"/>
        </w:rPr>
        <w:t>. A 0 value means</w:t>
      </w:r>
      <w:r w:rsidRPr="00B0609A">
        <w:rPr>
          <w:color w:val="000000" w:themeColor="text1"/>
          <w:szCs w:val="24"/>
        </w:rPr>
        <w:t xml:space="preserve"> that the DMI scores of the</w:t>
      </w:r>
      <w:r>
        <w:rPr>
          <w:color w:val="000000" w:themeColor="text1"/>
          <w:szCs w:val="24"/>
        </w:rPr>
        <w:t xml:space="preserve"> contiguous</w:t>
      </w:r>
      <w:r w:rsidRPr="00B0609A">
        <w:rPr>
          <w:color w:val="000000" w:themeColor="text1"/>
          <w:szCs w:val="24"/>
        </w:rPr>
        <w:t xml:space="preserve"> districts are spread </w:t>
      </w:r>
      <w:r>
        <w:rPr>
          <w:color w:val="000000" w:themeColor="text1"/>
          <w:szCs w:val="24"/>
        </w:rPr>
        <w:t>randomly</w:t>
      </w:r>
      <w:r w:rsidRPr="00B0609A">
        <w:rPr>
          <w:color w:val="000000" w:themeColor="text1"/>
          <w:szCs w:val="24"/>
        </w:rPr>
        <w:t xml:space="preserve">. If the district mortality index value of an area and its </w:t>
      </w:r>
      <w:r w:rsidR="006D12B0">
        <w:rPr>
          <w:color w:val="000000" w:themeColor="text1"/>
          <w:szCs w:val="24"/>
        </w:rPr>
        <w:t>neighbouring</w:t>
      </w:r>
      <w:r w:rsidRPr="00B0609A">
        <w:rPr>
          <w:color w:val="000000" w:themeColor="text1"/>
          <w:szCs w:val="24"/>
        </w:rPr>
        <w:t xml:space="preserve"> areas is above </w:t>
      </w:r>
      <w:r w:rsidR="006D12B0">
        <w:rPr>
          <w:color w:val="000000" w:themeColor="text1"/>
          <w:szCs w:val="24"/>
        </w:rPr>
        <w:t xml:space="preserve">the </w:t>
      </w:r>
      <w:r w:rsidRPr="00B0609A">
        <w:rPr>
          <w:color w:val="000000" w:themeColor="text1"/>
          <w:szCs w:val="24"/>
        </w:rPr>
        <w:t xml:space="preserve">mean, then the cluster is a significant cluster of regions with high rates of mortalities. </w:t>
      </w:r>
    </w:p>
    <w:p w14:paraId="13385272" w14:textId="3519756F" w:rsidR="009A37F1" w:rsidRPr="009F0C89" w:rsidRDefault="006D12B0" w:rsidP="009A37F1">
      <w:pPr>
        <w:spacing w:before="240" w:after="240" w:line="480" w:lineRule="auto"/>
        <w:jc w:val="both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Assigning weights to </w:t>
      </w:r>
      <w:r w:rsidR="009A37F1" w:rsidRPr="009F0C89">
        <w:rPr>
          <w:b/>
          <w:bCs/>
          <w:color w:val="auto"/>
          <w:szCs w:val="28"/>
        </w:rPr>
        <w:t>Geographically weighted regression (GWR) model</w:t>
      </w:r>
    </w:p>
    <w:p w14:paraId="4D10EEA9" w14:textId="49D7373E" w:rsidR="00414FB8" w:rsidRPr="009F0C89" w:rsidRDefault="00414FB8" w:rsidP="00414FB8">
      <w:pPr>
        <w:spacing w:line="480" w:lineRule="auto"/>
        <w:jc w:val="both"/>
        <w:rPr>
          <w:color w:val="auto"/>
          <w:szCs w:val="24"/>
        </w:rPr>
      </w:pPr>
      <w:r w:rsidRPr="009F0C89">
        <w:rPr>
          <w:color w:val="auto"/>
          <w:szCs w:val="24"/>
        </w:rPr>
        <w:t xml:space="preserve">The weights are assigned using the </w:t>
      </w:r>
      <w:r w:rsidR="005A4BA7" w:rsidRPr="009F0C89">
        <w:rPr>
          <w:color w:val="auto"/>
          <w:szCs w:val="24"/>
        </w:rPr>
        <w:t>Queen contiguity</w:t>
      </w:r>
      <w:r w:rsidRPr="009F0C89">
        <w:rPr>
          <w:color w:val="auto"/>
          <w:szCs w:val="24"/>
        </w:rPr>
        <w:t xml:space="preserve"> based on the </w:t>
      </w:r>
      <w:r w:rsidR="009F0C89" w:rsidRPr="009F0C89">
        <w:rPr>
          <w:color w:val="auto"/>
          <w:szCs w:val="24"/>
        </w:rPr>
        <w:t>proximity</w:t>
      </w:r>
      <w:r w:rsidRPr="009F0C89">
        <w:rPr>
          <w:color w:val="auto"/>
          <w:szCs w:val="24"/>
        </w:rPr>
        <w:t xml:space="preserve"> between location </w:t>
      </w:r>
      <w:r w:rsidR="009F0C89">
        <w:rPr>
          <w:color w:val="auto"/>
          <w:szCs w:val="24"/>
        </w:rPr>
        <w:t>“i”</w:t>
      </w:r>
      <w:r w:rsidRPr="009F0C89">
        <w:rPr>
          <w:color w:val="auto"/>
          <w:szCs w:val="24"/>
        </w:rPr>
        <w:t xml:space="preserve"> and observations around it. Bandwidth in GWR models may be quantified using several </w:t>
      </w:r>
      <w:r w:rsidR="00121102">
        <w:rPr>
          <w:color w:val="auto"/>
          <w:szCs w:val="24"/>
        </w:rPr>
        <w:t>methods</w:t>
      </w:r>
      <w:r w:rsidR="00E90286">
        <w:rPr>
          <w:color w:val="auto"/>
          <w:szCs w:val="24"/>
        </w:rPr>
        <w:t xml:space="preserve"> </w:t>
      </w:r>
      <w:r w:rsidR="00651E6A">
        <w:rPr>
          <w:color w:val="auto"/>
          <w:szCs w:val="24"/>
        </w:rPr>
        <w:t>(</w:t>
      </w:r>
      <w:r w:rsidR="00651E6A" w:rsidRPr="00063D21">
        <w:t>Fotheringham</w:t>
      </w:r>
      <w:r w:rsidR="00121102">
        <w:t xml:space="preserve"> et al., 2009</w:t>
      </w:r>
      <w:r w:rsidR="00651E6A">
        <w:rPr>
          <w:color w:val="auto"/>
          <w:szCs w:val="24"/>
        </w:rPr>
        <w:t>)</w:t>
      </w:r>
      <w:r w:rsidRPr="00E90286">
        <w:rPr>
          <w:color w:val="auto"/>
          <w:szCs w:val="24"/>
        </w:rPr>
        <w:t xml:space="preserve">. </w:t>
      </w:r>
      <w:r w:rsidR="00A5248D">
        <w:rPr>
          <w:color w:val="000000" w:themeColor="text1"/>
          <w:szCs w:val="24"/>
        </w:rPr>
        <w:t xml:space="preserve">The fixed Gaussian kernel weighting function was employed in this study as it best fits the model </w:t>
      </w:r>
      <w:r w:rsidRPr="009F0C89">
        <w:rPr>
          <w:color w:val="auto"/>
          <w:szCs w:val="24"/>
        </w:rPr>
        <w:t>and is illustrated in Eq. (</w:t>
      </w:r>
      <w:r w:rsidR="006D12B0">
        <w:rPr>
          <w:color w:val="auto"/>
          <w:szCs w:val="24"/>
        </w:rPr>
        <w:t>6</w:t>
      </w:r>
      <w:r w:rsidRPr="009F0C89">
        <w:rPr>
          <w:color w:val="auto"/>
          <w:szCs w:val="24"/>
        </w:rPr>
        <w:t xml:space="preserve">) under, </w:t>
      </w:r>
    </w:p>
    <w:p w14:paraId="1DA0AF26" w14:textId="5530923B" w:rsidR="00414FB8" w:rsidRPr="009F0C89" w:rsidRDefault="00000000" w:rsidP="00414FB8">
      <w:pPr>
        <w:spacing w:line="480" w:lineRule="auto"/>
        <w:jc w:val="both"/>
        <w:rPr>
          <w:color w:val="auto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auto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auto"/>
                  <w:szCs w:val="24"/>
                </w:rPr>
                <m:t>W</m:t>
              </m:r>
            </m:e>
            <m:sub>
              <m:r>
                <w:rPr>
                  <w:rFonts w:ascii="Cambria Math" w:hAnsi="Cambria Math"/>
                  <w:color w:val="auto"/>
                  <w:szCs w:val="24"/>
                </w:rPr>
                <m:t>ij</m:t>
              </m:r>
            </m:sub>
          </m:sSub>
          <m:r>
            <w:rPr>
              <w:rFonts w:ascii="Cambria Math" w:hAnsi="Cambria Math"/>
              <w:color w:val="auto"/>
              <w:szCs w:val="24"/>
            </w:rPr>
            <m:t>= exp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color w:val="auto"/>
                  <w:szCs w:val="24"/>
                </w:rPr>
              </m:ctrlPr>
            </m:dPr>
            <m:e>
              <m:r>
                <w:rPr>
                  <w:rFonts w:ascii="Cambria Math" w:hAnsi="Cambria Math"/>
                  <w:color w:val="auto"/>
                  <w:szCs w:val="24"/>
                </w:rPr>
                <m:t xml:space="preserve">- </m:t>
              </m:r>
              <m:f>
                <m:fPr>
                  <m:ctrlPr>
                    <w:rPr>
                      <w:rFonts w:ascii="Cambria Math" w:hAnsi="Cambria Math"/>
                      <w:i/>
                      <w:color w:val="auto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auto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auto"/>
                      <w:szCs w:val="24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color w:val="auto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color w:val="auto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color w:val="auto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color w:val="auto"/>
                              <w:szCs w:val="24"/>
                            </w:rPr>
                            <m:t>dij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color w:val="auto"/>
                              <w:szCs w:val="24"/>
                            </w:rPr>
                            <m:t>b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color w:val="auto"/>
                      <w:szCs w:val="24"/>
                    </w:rPr>
                    <m:t xml:space="preserve"> 2</m:t>
                  </m:r>
                </m:sup>
              </m:sSup>
            </m:e>
          </m:d>
          <m:r>
            <w:rPr>
              <w:rFonts w:ascii="Cambria Math" w:hAnsi="Cambria Math"/>
              <w:color w:val="auto"/>
              <w:szCs w:val="24"/>
            </w:rPr>
            <m:t>⋯⋯⋯⋯⋯⋯⋯⋯⋯⋯⋯⋯(6)</m:t>
          </m:r>
        </m:oMath>
      </m:oMathPara>
    </w:p>
    <w:p w14:paraId="386C11E8" w14:textId="77777777" w:rsidR="00414FB8" w:rsidRPr="009F0C89" w:rsidRDefault="00414FB8" w:rsidP="00414FB8">
      <w:pPr>
        <w:spacing w:line="480" w:lineRule="auto"/>
        <w:jc w:val="both"/>
        <w:rPr>
          <w:color w:val="auto"/>
          <w:szCs w:val="24"/>
        </w:rPr>
      </w:pPr>
      <w:r w:rsidRPr="009F0C89">
        <w:rPr>
          <w:color w:val="auto"/>
          <w:szCs w:val="24"/>
        </w:rPr>
        <w:t xml:space="preserve">The variable </w:t>
      </w:r>
      <m:oMath>
        <m:r>
          <w:rPr>
            <w:rFonts w:ascii="Cambria Math" w:hAnsi="Cambria Math"/>
            <w:color w:val="auto"/>
            <w:szCs w:val="24"/>
          </w:rPr>
          <m:t>dij</m:t>
        </m:r>
      </m:oMath>
      <w:r w:rsidRPr="009F0C89">
        <w:rPr>
          <w:color w:val="auto"/>
          <w:szCs w:val="24"/>
        </w:rPr>
        <w:t xml:space="preserve"> represents the Euclidean distance between two places i and j in geographical space. The variable b represents the bandwidth, which is the radius of the circle that includes points that are still relevant in determining the model parameters. To determine the best bandwidth, one might minimize a diagnostic measure of model goodness-of-fit, such as the cross-validation (CV) score, which evaluates the accuracy of model predictions, or the Akaike information criterion (AIC). Therefore, to get the coefficient of variation of the bandwidth for a GWR model with a given bandwidth b, one has to minimize the following expression</w:t>
      </w:r>
    </w:p>
    <w:p w14:paraId="24F7C79A" w14:textId="588CCE31" w:rsidR="00414FB8" w:rsidRPr="009F0C89" w:rsidRDefault="00414FB8" w:rsidP="00414FB8">
      <w:pPr>
        <w:spacing w:line="480" w:lineRule="auto"/>
        <w:jc w:val="both"/>
        <w:rPr>
          <w:color w:val="auto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color w:val="auto"/>
              <w:szCs w:val="24"/>
            </w:rPr>
            <m:t>CV</m:t>
          </m:r>
          <m:r>
            <w:rPr>
              <w:rFonts w:ascii="Cambria Math" w:hAnsi="Cambria Math"/>
              <w:color w:val="auto"/>
              <w:szCs w:val="24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color w:val="auto"/>
                  <w:szCs w:val="24"/>
                </w:rPr>
              </m:ctrlPr>
            </m:naryPr>
            <m:sub>
              <m:r>
                <w:rPr>
                  <w:rFonts w:ascii="Cambria Math" w:hAnsi="Cambria Math"/>
                  <w:color w:val="auto"/>
                  <w:szCs w:val="24"/>
                </w:rPr>
                <m:t>i=1</m:t>
              </m:r>
            </m:sub>
            <m:sup>
              <m:r>
                <w:rPr>
                  <w:rFonts w:ascii="Cambria Math" w:hAnsi="Cambria Math"/>
                  <w:color w:val="auto"/>
                  <w:szCs w:val="24"/>
                </w:rPr>
                <m:t>n</m:t>
              </m:r>
            </m:sup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  <w:color w:val="auto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auto"/>
                      <w:szCs w:val="24"/>
                    </w:rPr>
                    <m:t>j=1</m:t>
                  </m:r>
                </m:sub>
                <m:sup>
                  <m:r>
                    <w:rPr>
                      <w:rFonts w:ascii="Cambria Math" w:hAnsi="Cambria Math"/>
                      <w:color w:val="auto"/>
                      <w:szCs w:val="24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auto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auto"/>
                          <w:szCs w:val="24"/>
                        </w:rPr>
                        <m:t>[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auto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auto"/>
                              <w:szCs w:val="24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auto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auto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auto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trlPr>
                                <w:rPr>
                                  <w:rFonts w:ascii="Cambria Math" w:hAnsi="Cambria Math"/>
                                  <w:i/>
                                  <w:color w:val="auto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color w:val="auto"/>
                                  <w:szCs w:val="24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  <w:color w:val="auto"/>
                              <w:szCs w:val="24"/>
                            </w:rPr>
                            <m:t>j≠i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auto"/>
                          <w:szCs w:val="24"/>
                        </w:rPr>
                        <m:t xml:space="preserve"> 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color w:val="auto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color w:val="auto"/>
                              <w:szCs w:val="24"/>
                            </w:rPr>
                            <m:t>b</m:t>
                          </m:r>
                        </m:e>
                      </m:d>
                      <m:r>
                        <w:rPr>
                          <w:rFonts w:ascii="Cambria Math" w:hAnsi="Cambria Math"/>
                          <w:color w:val="auto"/>
                          <w:szCs w:val="24"/>
                        </w:rPr>
                        <m:t>]</m:t>
                      </m:r>
                    </m:e>
                    <m:sup>
                      <m:r>
                        <w:rPr>
                          <w:rFonts w:ascii="Cambria Math" w:hAnsi="Cambria Math"/>
                          <w:color w:val="auto"/>
                          <w:szCs w:val="24"/>
                        </w:rPr>
                        <m:t>2</m:t>
                      </m:r>
                    </m:sup>
                  </m:sSup>
                </m:e>
              </m:nary>
            </m:e>
          </m:nary>
          <m:r>
            <w:rPr>
              <w:rFonts w:ascii="Cambria Math" w:hAnsi="Cambria Math"/>
              <w:color w:val="auto"/>
              <w:szCs w:val="24"/>
            </w:rPr>
            <m:t>⋯⋯⋯⋯⋯⋯⋯⋯</m:t>
          </m:r>
          <m:d>
            <m:dPr>
              <m:ctrlPr>
                <w:rPr>
                  <w:rFonts w:ascii="Cambria Math" w:hAnsi="Cambria Math"/>
                  <w:i/>
                  <w:color w:val="auto"/>
                  <w:szCs w:val="24"/>
                </w:rPr>
              </m:ctrlPr>
            </m:dPr>
            <m:e>
              <m:r>
                <w:rPr>
                  <w:rFonts w:ascii="Cambria Math" w:hAnsi="Cambria Math"/>
                  <w:color w:val="auto"/>
                  <w:szCs w:val="24"/>
                </w:rPr>
                <m:t>7</m:t>
              </m:r>
            </m:e>
          </m:d>
        </m:oMath>
      </m:oMathPara>
    </w:p>
    <w:p w14:paraId="50B11C03" w14:textId="2893A448" w:rsidR="00414FB8" w:rsidRDefault="00414FB8" w:rsidP="00414FB8">
      <w:pPr>
        <w:spacing w:line="480" w:lineRule="auto"/>
        <w:jc w:val="both"/>
        <w:rPr>
          <w:color w:val="auto"/>
          <w:szCs w:val="24"/>
        </w:rPr>
      </w:pPr>
      <w:r w:rsidRPr="009F0C89">
        <w:rPr>
          <w:color w:val="auto"/>
          <w:szCs w:val="24"/>
        </w:rPr>
        <w:t xml:space="preserve">Here </w:t>
      </w:r>
      <m:oMath>
        <m:sSub>
          <m:sSubPr>
            <m:ctrlPr>
              <w:rPr>
                <w:rFonts w:ascii="Cambria Math" w:hAnsi="Cambria Math"/>
                <w:i/>
                <w:color w:val="auto"/>
                <w:szCs w:val="24"/>
              </w:rPr>
            </m:ctrlPr>
          </m:sSubPr>
          <m:e>
            <m:r>
              <w:rPr>
                <w:rFonts w:ascii="Cambria Math" w:hAnsi="Cambria Math"/>
                <w:color w:val="auto"/>
                <w:szCs w:val="24"/>
              </w:rPr>
              <m:t>y</m:t>
            </m:r>
          </m:e>
          <m:sub>
            <m:r>
              <w:rPr>
                <w:rFonts w:ascii="Cambria Math" w:hAnsi="Cambria Math"/>
                <w:color w:val="auto"/>
                <w:szCs w:val="24"/>
              </w:rPr>
              <m:t>i</m:t>
            </m:r>
          </m:sub>
        </m:sSub>
        <m:r>
          <w:rPr>
            <w:rFonts w:ascii="Cambria Math" w:hAnsi="Cambria Math"/>
            <w:color w:val="auto"/>
            <w:szCs w:val="24"/>
          </w:rPr>
          <m:t>-</m:t>
        </m:r>
        <m:acc>
          <m:accPr>
            <m:ctrlPr>
              <w:rPr>
                <w:rFonts w:ascii="Cambria Math" w:hAnsi="Cambria Math"/>
                <w:i/>
                <w:color w:val="auto"/>
                <w:szCs w:val="24"/>
              </w:rPr>
            </m:ctrlPr>
          </m:accPr>
          <m:e>
            <m:r>
              <w:rPr>
                <w:rFonts w:ascii="Cambria Math" w:hAnsi="Cambria Math"/>
                <w:color w:val="auto"/>
                <w:szCs w:val="24"/>
              </w:rPr>
              <m:t>y</m:t>
            </m:r>
          </m:e>
        </m:acc>
      </m:oMath>
      <w:r w:rsidRPr="009F0C89">
        <w:rPr>
          <w:color w:val="auto"/>
          <w:szCs w:val="24"/>
        </w:rPr>
        <w:t xml:space="preserve"> is the difference between </w:t>
      </w:r>
      <w:r w:rsidR="009F0C89">
        <w:rPr>
          <w:color w:val="auto"/>
          <w:szCs w:val="24"/>
        </w:rPr>
        <w:t xml:space="preserve">the </w:t>
      </w:r>
      <w:r w:rsidRPr="009F0C89">
        <w:rPr>
          <w:color w:val="auto"/>
          <w:szCs w:val="24"/>
        </w:rPr>
        <w:t xml:space="preserve">actual and estimated value of the unit. </w:t>
      </w:r>
    </w:p>
    <w:p w14:paraId="5AE05C8A" w14:textId="77777777" w:rsidR="00651E6A" w:rsidRDefault="00651E6A" w:rsidP="00414FB8">
      <w:pPr>
        <w:spacing w:line="480" w:lineRule="auto"/>
        <w:jc w:val="both"/>
        <w:rPr>
          <w:color w:val="auto"/>
          <w:szCs w:val="24"/>
        </w:rPr>
      </w:pPr>
    </w:p>
    <w:p w14:paraId="2F5E9AAF" w14:textId="1F4DA544" w:rsidR="00121102" w:rsidRPr="00121102" w:rsidRDefault="00121102" w:rsidP="00651E6A">
      <w:pPr>
        <w:pStyle w:val="EndNoteBibliography"/>
        <w:spacing w:line="480" w:lineRule="auto"/>
        <w:ind w:left="720" w:hanging="720"/>
        <w:jc w:val="both"/>
        <w:rPr>
          <w:b/>
          <w:bCs/>
        </w:rPr>
      </w:pPr>
      <w:r w:rsidRPr="00121102">
        <w:rPr>
          <w:b/>
          <w:bCs/>
        </w:rPr>
        <w:t>Reference</w:t>
      </w:r>
    </w:p>
    <w:p w14:paraId="5B360D81" w14:textId="29369E2B" w:rsidR="00651E6A" w:rsidRPr="00063D21" w:rsidRDefault="00651E6A" w:rsidP="00651E6A">
      <w:pPr>
        <w:pStyle w:val="EndNoteBibliography"/>
        <w:spacing w:line="480" w:lineRule="auto"/>
        <w:ind w:left="720" w:hanging="720"/>
        <w:jc w:val="both"/>
      </w:pPr>
      <w:r w:rsidRPr="00063D21">
        <w:t xml:space="preserve">Fotheringham AS, Brunsdon C, Charlton M: </w:t>
      </w:r>
      <w:r w:rsidRPr="00063D21">
        <w:rPr>
          <w:b/>
        </w:rPr>
        <w:t>Geographically weighted regression</w:t>
      </w:r>
      <w:r w:rsidRPr="00063D21">
        <w:t xml:space="preserve">. </w:t>
      </w:r>
      <w:r w:rsidRPr="00063D21">
        <w:rPr>
          <w:i/>
        </w:rPr>
        <w:t xml:space="preserve">The Sage handbook of spatial analysis </w:t>
      </w:r>
      <w:r w:rsidRPr="00063D21">
        <w:t xml:space="preserve">2009, </w:t>
      </w:r>
      <w:r w:rsidRPr="00063D21">
        <w:rPr>
          <w:b/>
        </w:rPr>
        <w:t>1</w:t>
      </w:r>
      <w:r w:rsidRPr="00063D21">
        <w:t>:243-254.</w:t>
      </w:r>
    </w:p>
    <w:p w14:paraId="143BF516" w14:textId="77777777" w:rsidR="00651E6A" w:rsidRPr="009F0C89" w:rsidRDefault="00651E6A" w:rsidP="00414FB8">
      <w:pPr>
        <w:spacing w:line="480" w:lineRule="auto"/>
        <w:jc w:val="both"/>
        <w:rPr>
          <w:color w:val="auto"/>
          <w:szCs w:val="24"/>
        </w:rPr>
      </w:pPr>
    </w:p>
    <w:p w14:paraId="0CD0BF7C" w14:textId="54934C26" w:rsidR="00A2541A" w:rsidRPr="009F0C89" w:rsidRDefault="00A2541A" w:rsidP="008F6EE9">
      <w:pPr>
        <w:spacing w:line="480" w:lineRule="auto"/>
        <w:jc w:val="both"/>
        <w:rPr>
          <w:color w:val="auto"/>
          <w:szCs w:val="24"/>
        </w:rPr>
      </w:pPr>
    </w:p>
    <w:sectPr w:rsidR="00A2541A" w:rsidRPr="009F0C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716"/>
    <w:rsid w:val="00013931"/>
    <w:rsid w:val="000816FD"/>
    <w:rsid w:val="000F6B92"/>
    <w:rsid w:val="00121102"/>
    <w:rsid w:val="00162607"/>
    <w:rsid w:val="001733CF"/>
    <w:rsid w:val="00183716"/>
    <w:rsid w:val="00222CD7"/>
    <w:rsid w:val="00414FB8"/>
    <w:rsid w:val="004A0DA9"/>
    <w:rsid w:val="00552FF7"/>
    <w:rsid w:val="005A4BA7"/>
    <w:rsid w:val="005A6AD6"/>
    <w:rsid w:val="005B2539"/>
    <w:rsid w:val="005C509E"/>
    <w:rsid w:val="00651E6A"/>
    <w:rsid w:val="006D12B0"/>
    <w:rsid w:val="007478E2"/>
    <w:rsid w:val="0079663D"/>
    <w:rsid w:val="00893E56"/>
    <w:rsid w:val="008B18E7"/>
    <w:rsid w:val="008F6EE9"/>
    <w:rsid w:val="00905754"/>
    <w:rsid w:val="00936290"/>
    <w:rsid w:val="009806C5"/>
    <w:rsid w:val="009A37F1"/>
    <w:rsid w:val="009A3B91"/>
    <w:rsid w:val="009F0C89"/>
    <w:rsid w:val="00A2541A"/>
    <w:rsid w:val="00A5248D"/>
    <w:rsid w:val="00AB4309"/>
    <w:rsid w:val="00B05A65"/>
    <w:rsid w:val="00B511C2"/>
    <w:rsid w:val="00B53C0A"/>
    <w:rsid w:val="00C048A6"/>
    <w:rsid w:val="00C34387"/>
    <w:rsid w:val="00CB247C"/>
    <w:rsid w:val="00D34ACB"/>
    <w:rsid w:val="00DB341A"/>
    <w:rsid w:val="00E80A02"/>
    <w:rsid w:val="00E90286"/>
    <w:rsid w:val="00E95B52"/>
    <w:rsid w:val="00EA3977"/>
    <w:rsid w:val="00EF5B6A"/>
    <w:rsid w:val="00F1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ADC8DA"/>
  <w15:chartTrackingRefBased/>
  <w15:docId w15:val="{C183436C-9356-4C26-B20D-43A428DE7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309"/>
    <w:pPr>
      <w:spacing w:after="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37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37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371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371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371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371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371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371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371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371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37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371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371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371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37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37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37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37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371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3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371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3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3716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1837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3716"/>
    <w:pPr>
      <w:spacing w:after="160"/>
      <w:ind w:left="720"/>
      <w:contextualSpacing/>
    </w:pPr>
    <w:rPr>
      <w:rFonts w:asciiTheme="minorHAnsi" w:eastAsiaTheme="minorHAnsi" w:hAnsiTheme="minorHAnsi" w:cstheme="minorBidi"/>
      <w:color w:val="auto"/>
      <w:sz w:val="22"/>
    </w:rPr>
  </w:style>
  <w:style w:type="character" w:styleId="IntenseEmphasis">
    <w:name w:val="Intense Emphasis"/>
    <w:basedOn w:val="DefaultParagraphFont"/>
    <w:uiPriority w:val="21"/>
    <w:qFormat/>
    <w:rsid w:val="0018371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371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371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3716"/>
    <w:rPr>
      <w:b/>
      <w:bCs/>
      <w:smallCaps/>
      <w:color w:val="2E74B5" w:themeColor="accent1" w:themeShade="BF"/>
      <w:spacing w:val="5"/>
    </w:rPr>
  </w:style>
  <w:style w:type="paragraph" w:customStyle="1" w:styleId="EndNoteBibliography">
    <w:name w:val="EndNote Bibliography"/>
    <w:basedOn w:val="Normal"/>
    <w:link w:val="EndNoteBibliographyChar"/>
    <w:rsid w:val="00651E6A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51E6A"/>
    <w:rPr>
      <w:rFonts w:ascii="Times New Roman" w:eastAsia="Times New Roman" w:hAnsi="Times New Roman" w:cs="Times New Roman"/>
      <w:noProof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570</Words>
  <Characters>3014</Characters>
  <Application>Microsoft Office Word</Application>
  <DocSecurity>0</DocSecurity>
  <Lines>51</Lines>
  <Paragraphs>24</Paragraphs>
  <ScaleCrop>false</ScaleCrop>
  <Company>MRT www.Win2Farsi.com</Company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Farzana Sher Muhammad</dc:creator>
  <cp:keywords/>
  <dc:description/>
  <cp:lastModifiedBy>Farzana Sher Muhammad</cp:lastModifiedBy>
  <cp:revision>34</cp:revision>
  <dcterms:created xsi:type="dcterms:W3CDTF">2024-06-19T07:55:00Z</dcterms:created>
  <dcterms:modified xsi:type="dcterms:W3CDTF">2024-07-04T12:08:00Z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e1f9d6ef-ac8d-46ab-b63b-9a0b9eaba0dd</vt:lpwstr>
  </property>
</Properties>
</file>