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53742" w14:textId="6B1AFE58" w:rsidR="005B533C" w:rsidRPr="00DC676C" w:rsidRDefault="005B533C" w:rsidP="003906CB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676C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Additional file </w:t>
      </w:r>
      <w:r w:rsidR="0040546E">
        <w:rPr>
          <w:rFonts w:ascii="Times New Roman" w:hAnsi="Times New Roman" w:cs="Times New Roman"/>
          <w:b/>
          <w:bCs/>
          <w:kern w:val="0"/>
          <w:sz w:val="24"/>
          <w:szCs w:val="24"/>
        </w:rPr>
        <w:t>4</w:t>
      </w:r>
    </w:p>
    <w:p w14:paraId="479396CD" w14:textId="77777777" w:rsidR="00DC676C" w:rsidRPr="00DC676C" w:rsidRDefault="00DC676C" w:rsidP="003906CB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9824506" w14:textId="38EE5872" w:rsidR="00706E9B" w:rsidRPr="003906CB" w:rsidRDefault="00706E9B" w:rsidP="003906CB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C676C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Error measurement of small area estimation </w:t>
      </w:r>
    </w:p>
    <w:p w14:paraId="23351F6B" w14:textId="5083FF56" w:rsidR="00C513EF" w:rsidRPr="0090343A" w:rsidRDefault="00706E9B" w:rsidP="0090343A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4E02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Spatial heterogeneity and small area effects can bias the parameter estimates in standard regression models. </w:t>
      </w:r>
      <w:r w:rsidRPr="004E02F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To reduce the mean square</w:t>
      </w:r>
      <w:r w:rsidRPr="004E02F2">
        <w:rPr>
          <w:rFonts w:ascii="Times New Roman" w:eastAsia="Times New Roman" w:hAnsi="Times New Roman" w:cs="Times New Roman"/>
          <w:color w:val="000000" w:themeColor="text1"/>
          <w:sz w:val="24"/>
          <w:szCs w:val="24"/>
          <w14:ligatures w14:val="none"/>
        </w:rPr>
        <w:t>d</w:t>
      </w:r>
      <w:r w:rsidRPr="004E02F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error of</w:t>
      </w:r>
      <w:r w:rsidRPr="004E02F2">
        <w:rPr>
          <w:rFonts w:ascii="Times New Roman" w:eastAsia="Times New Roman" w:hAnsi="Times New Roman" w:cs="Times New Roman"/>
          <w:color w:val="000000" w:themeColor="text1"/>
          <w:sz w:val="24"/>
          <w:szCs w:val="24"/>
          <w14:ligatures w14:val="none"/>
        </w:rPr>
        <w:t xml:space="preserve"> the estimates of</w:t>
      </w:r>
      <w:r w:rsidRPr="004E02F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population parameters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,</w:t>
      </w:r>
      <w:r w:rsidRPr="004E02F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small-area</w:t>
      </w:r>
      <w:r w:rsidRPr="004E02F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estimation methods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were</w:t>
      </w:r>
      <w:r w:rsidRPr="004E02F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used to combine the direct estimates of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the </w:t>
      </w:r>
      <w:r w:rsidRPr="004E02F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survey with predictions from a model</w:t>
      </w:r>
      <w:r w:rsidR="00FF43E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(Ybara</w:t>
      </w:r>
      <w:r w:rsidR="0012742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&amp; Lohr., 2008</w:t>
      </w:r>
      <w:r w:rsidR="00FF43E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)</w:t>
      </w:r>
      <w:r w:rsidR="00127423">
        <w:rPr>
          <w:rFonts w:ascii="Times New Roman" w:eastAsia="Times New Roman" w:hAnsi="Times New Roman" w:cs="Times New Roman"/>
          <w:color w:val="000000" w:themeColor="text1"/>
          <w14:ligatures w14:val="none"/>
        </w:rPr>
        <w:t xml:space="preserve">. </w:t>
      </w:r>
      <w:r w:rsidRPr="004E02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borrowing information from </w:t>
      </w:r>
      <w:r w:rsidR="00127423">
        <w:rPr>
          <w:rFonts w:ascii="Times New Roman" w:hAnsi="Times New Roman" w:cs="Times New Roman"/>
          <w:color w:val="000000" w:themeColor="text1"/>
          <w:sz w:val="24"/>
          <w:szCs w:val="24"/>
        </w:rPr>
        <w:t>neighboring</w:t>
      </w:r>
      <w:r w:rsidRPr="004E02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areas, EBLUP can provide more efficient estimates of the regression coefficients. </w:t>
      </w:r>
      <w:r w:rsidRPr="009034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mainly benefits areas with limited data, leading to more precise estimates with narrower confidence intervals. </w:t>
      </w:r>
      <w:r w:rsidR="0090343A" w:rsidRPr="009034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90343A" w:rsidRPr="0090343A">
        <w:rPr>
          <w:rFonts w:ascii="Times New Roman" w:hAnsi="Times New Roman" w:cs="Times New Roman"/>
          <w:kern w:val="0"/>
          <w:sz w:val="24"/>
          <w:szCs w:val="24"/>
        </w:rPr>
        <w:t>Error measurement of small area estimation</w:t>
      </w:r>
      <w:r w:rsidR="0090343A" w:rsidRPr="0090343A">
        <w:rPr>
          <w:rFonts w:ascii="Times New Roman" w:hAnsi="Times New Roman" w:cs="Times New Roman"/>
          <w:kern w:val="0"/>
          <w:sz w:val="24"/>
          <w:szCs w:val="24"/>
        </w:rPr>
        <w:t>,</w:t>
      </w:r>
      <w:r w:rsidR="0090343A" w:rsidRPr="0090343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0343A" w:rsidRPr="0090343A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127423" w:rsidRPr="0090343A">
        <w:rPr>
          <w:rFonts w:ascii="Times New Roman" w:hAnsi="Times New Roman" w:cs="Times New Roman"/>
          <w:color w:val="000000" w:themeColor="text1"/>
          <w:sz w:val="24"/>
          <w:szCs w:val="24"/>
        </w:rPr>
        <w:t>he</w:t>
      </w:r>
      <w:r w:rsidRPr="009034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7423">
        <w:rPr>
          <w:rFonts w:ascii="Times New Roman" w:hAnsi="Times New Roman" w:cs="Times New Roman"/>
          <w:color w:val="000000" w:themeColor="text1"/>
          <w:sz w:val="24"/>
          <w:szCs w:val="24"/>
        </w:rPr>
        <w:t>results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EBLUP for fixed effect are </w:t>
      </w:r>
      <w:r w:rsidR="009034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demonstrated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under </w:t>
      </w:r>
    </w:p>
    <w:p w14:paraId="60D649E0" w14:textId="68EA2D41" w:rsidR="00C513EF" w:rsidRPr="00FF43ED" w:rsidRDefault="00C513EF" w:rsidP="00706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F43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1: Fixed effect model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3"/>
        <w:gridCol w:w="1412"/>
        <w:gridCol w:w="1439"/>
        <w:gridCol w:w="1260"/>
        <w:gridCol w:w="1526"/>
        <w:gridCol w:w="1797"/>
        <w:gridCol w:w="1253"/>
      </w:tblGrid>
      <w:tr w:rsidR="002E3F59" w:rsidRPr="00E76D01" w14:paraId="15BFD501" w14:textId="77777777" w:rsidTr="00FF43ED">
        <w:tc>
          <w:tcPr>
            <w:tcW w:w="663" w:type="dxa"/>
            <w:vAlign w:val="center"/>
          </w:tcPr>
          <w:p w14:paraId="3309E43E" w14:textId="3B7E5153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S.no</w:t>
            </w:r>
          </w:p>
        </w:tc>
        <w:tc>
          <w:tcPr>
            <w:tcW w:w="1412" w:type="dxa"/>
            <w:vAlign w:val="center"/>
          </w:tcPr>
          <w:p w14:paraId="1D85F644" w14:textId="7802ACDF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439" w:type="dxa"/>
            <w:vAlign w:val="center"/>
          </w:tcPr>
          <w:p w14:paraId="37455D14" w14:textId="19AEF168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β </w:t>
            </w:r>
            <w:r w:rsidRPr="00E76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1260" w:type="dxa"/>
            <w:vAlign w:val="center"/>
          </w:tcPr>
          <w:p w14:paraId="7B10A1F4" w14:textId="676FE923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S.E</w:t>
            </w:r>
          </w:p>
        </w:tc>
        <w:tc>
          <w:tcPr>
            <w:tcW w:w="1526" w:type="dxa"/>
          </w:tcPr>
          <w:p w14:paraId="4821F7BD" w14:textId="4B4FD30F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t-scores</w:t>
            </w:r>
          </w:p>
        </w:tc>
        <w:tc>
          <w:tcPr>
            <w:tcW w:w="1797" w:type="dxa"/>
            <w:vAlign w:val="center"/>
          </w:tcPr>
          <w:p w14:paraId="5A29EF4A" w14:textId="5060BD24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</w:t>
            </w:r>
          </w:p>
        </w:tc>
        <w:tc>
          <w:tcPr>
            <w:tcW w:w="1253" w:type="dxa"/>
          </w:tcPr>
          <w:p w14:paraId="15CDDDBA" w14:textId="4864E245" w:rsidR="002E3F59" w:rsidRPr="00E76D01" w:rsidRDefault="001B0321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-1.990</w:t>
            </w:r>
            <w:r w:rsidR="00940988"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2E3F59" w:rsidRPr="00E76D01" w14:paraId="4E750140" w14:textId="77777777" w:rsidTr="00FF43ED">
        <w:tc>
          <w:tcPr>
            <w:tcW w:w="663" w:type="dxa"/>
          </w:tcPr>
          <w:p w14:paraId="7B5B562F" w14:textId="35185C45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2" w:type="dxa"/>
            <w:vAlign w:val="center"/>
          </w:tcPr>
          <w:p w14:paraId="7A064C92" w14:textId="22FDABD7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439" w:type="dxa"/>
          </w:tcPr>
          <w:p w14:paraId="5EB474D9" w14:textId="0CB09BBE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0.2296824</w:t>
            </w:r>
          </w:p>
        </w:tc>
        <w:tc>
          <w:tcPr>
            <w:tcW w:w="1260" w:type="dxa"/>
          </w:tcPr>
          <w:p w14:paraId="4BF393C1" w14:textId="60CBA5A3" w:rsidR="002E3F59" w:rsidRPr="00E76D01" w:rsidRDefault="00883258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2.14409</w:t>
            </w:r>
            <w:r w:rsidR="00B70718"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26" w:type="dxa"/>
          </w:tcPr>
          <w:p w14:paraId="5A7834AB" w14:textId="6D6CCB3A" w:rsidR="002E3F59" w:rsidRPr="00E76D01" w:rsidRDefault="0066721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0.107</w:t>
            </w:r>
          </w:p>
        </w:tc>
        <w:tc>
          <w:tcPr>
            <w:tcW w:w="1797" w:type="dxa"/>
            <w:vAlign w:val="center"/>
          </w:tcPr>
          <w:p w14:paraId="508970FE" w14:textId="735F67EA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E76D0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253" w:type="dxa"/>
          </w:tcPr>
          <w:p w14:paraId="43C09731" w14:textId="42740FF9" w:rsidR="002E3F59" w:rsidRPr="00E76D01" w:rsidRDefault="00940988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-0.53367</w:t>
            </w:r>
          </w:p>
        </w:tc>
      </w:tr>
      <w:tr w:rsidR="002E3F59" w:rsidRPr="00E76D01" w14:paraId="126467A8" w14:textId="77777777" w:rsidTr="00FF43ED">
        <w:tc>
          <w:tcPr>
            <w:tcW w:w="663" w:type="dxa"/>
          </w:tcPr>
          <w:p w14:paraId="79BDD4E8" w14:textId="029884DC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2" w:type="dxa"/>
            <w:vAlign w:val="center"/>
          </w:tcPr>
          <w:p w14:paraId="029DAE43" w14:textId="78B61944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sz w:val="24"/>
                <w:szCs w:val="24"/>
              </w:rPr>
              <w:t>MOED</w:t>
            </w:r>
          </w:p>
        </w:tc>
        <w:tc>
          <w:tcPr>
            <w:tcW w:w="1439" w:type="dxa"/>
          </w:tcPr>
          <w:p w14:paraId="7632FC0E" w14:textId="4512FC08" w:rsidR="002E3F59" w:rsidRPr="00E76D01" w:rsidRDefault="00EB77D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0.0000507</w:t>
            </w:r>
          </w:p>
        </w:tc>
        <w:tc>
          <w:tcPr>
            <w:tcW w:w="1260" w:type="dxa"/>
          </w:tcPr>
          <w:p w14:paraId="1CFC9C60" w14:textId="7F9E4490" w:rsidR="002E3F59" w:rsidRPr="00E76D01" w:rsidRDefault="00883258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0.0010</w:t>
            </w:r>
            <w:r w:rsidR="00B70718"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139</w:t>
            </w:r>
          </w:p>
        </w:tc>
        <w:tc>
          <w:tcPr>
            <w:tcW w:w="1526" w:type="dxa"/>
          </w:tcPr>
          <w:p w14:paraId="2207E006" w14:textId="430D1E73" w:rsidR="002E3F59" w:rsidRPr="00E76D01" w:rsidRDefault="0066721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0.050</w:t>
            </w:r>
          </w:p>
        </w:tc>
        <w:tc>
          <w:tcPr>
            <w:tcW w:w="1797" w:type="dxa"/>
            <w:vAlign w:val="center"/>
          </w:tcPr>
          <w:p w14:paraId="232A1528" w14:textId="2E22673B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sz w:val="24"/>
                <w:szCs w:val="24"/>
              </w:rPr>
              <w:t>MED</w:t>
            </w:r>
          </w:p>
        </w:tc>
        <w:tc>
          <w:tcPr>
            <w:tcW w:w="1253" w:type="dxa"/>
          </w:tcPr>
          <w:p w14:paraId="207A643E" w14:textId="59625E7B" w:rsidR="002E3F59" w:rsidRPr="00E76D01" w:rsidRDefault="00940988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-0.03583</w:t>
            </w:r>
          </w:p>
        </w:tc>
      </w:tr>
      <w:tr w:rsidR="002E3F59" w:rsidRPr="00E76D01" w14:paraId="1BB5F040" w14:textId="77777777" w:rsidTr="00FF43ED">
        <w:tc>
          <w:tcPr>
            <w:tcW w:w="663" w:type="dxa"/>
          </w:tcPr>
          <w:p w14:paraId="30E9564C" w14:textId="302D8B78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2" w:type="dxa"/>
            <w:vAlign w:val="center"/>
          </w:tcPr>
          <w:p w14:paraId="02A07948" w14:textId="7CF42E73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sz w:val="24"/>
                <w:szCs w:val="24"/>
              </w:rPr>
              <w:t>WIQ</w:t>
            </w:r>
          </w:p>
        </w:tc>
        <w:tc>
          <w:tcPr>
            <w:tcW w:w="1439" w:type="dxa"/>
          </w:tcPr>
          <w:p w14:paraId="61596033" w14:textId="037DF4BD" w:rsidR="002E3F59" w:rsidRPr="00E76D01" w:rsidRDefault="00EB77D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0.0096519</w:t>
            </w:r>
          </w:p>
        </w:tc>
        <w:tc>
          <w:tcPr>
            <w:tcW w:w="1260" w:type="dxa"/>
          </w:tcPr>
          <w:p w14:paraId="3CCC6257" w14:textId="2A7F95A2" w:rsidR="002E3F59" w:rsidRPr="00E76D01" w:rsidRDefault="00B70718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0.0033411</w:t>
            </w:r>
          </w:p>
        </w:tc>
        <w:tc>
          <w:tcPr>
            <w:tcW w:w="1526" w:type="dxa"/>
          </w:tcPr>
          <w:p w14:paraId="07E57DF9" w14:textId="0C0E149A" w:rsidR="002E3F59" w:rsidRPr="00E76D01" w:rsidRDefault="0066721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2.889</w:t>
            </w:r>
          </w:p>
        </w:tc>
        <w:tc>
          <w:tcPr>
            <w:tcW w:w="1797" w:type="dxa"/>
            <w:vAlign w:val="center"/>
          </w:tcPr>
          <w:p w14:paraId="0A1E6F2F" w14:textId="78DF1992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E76D0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53" w:type="dxa"/>
          </w:tcPr>
          <w:p w14:paraId="4C9C1A9E" w14:textId="0B5AEA52" w:rsidR="002E3F59" w:rsidRPr="00E76D01" w:rsidRDefault="00940988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0.48886</w:t>
            </w:r>
          </w:p>
        </w:tc>
      </w:tr>
      <w:tr w:rsidR="002E3F59" w:rsidRPr="00E76D01" w14:paraId="0371440D" w14:textId="77777777" w:rsidTr="00FF43ED">
        <w:tc>
          <w:tcPr>
            <w:tcW w:w="663" w:type="dxa"/>
          </w:tcPr>
          <w:p w14:paraId="2DCE7A5A" w14:textId="5E4C4021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2" w:type="dxa"/>
            <w:vAlign w:val="center"/>
          </w:tcPr>
          <w:p w14:paraId="6538A3E3" w14:textId="3EA6EF95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sz w:val="24"/>
                <w:szCs w:val="24"/>
              </w:rPr>
              <w:t>LnWQ</w:t>
            </w:r>
          </w:p>
        </w:tc>
        <w:tc>
          <w:tcPr>
            <w:tcW w:w="1439" w:type="dxa"/>
          </w:tcPr>
          <w:p w14:paraId="48F42976" w14:textId="056D6DDB" w:rsidR="002E3F59" w:rsidRPr="00E76D01" w:rsidRDefault="00EB77D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-0.2308926</w:t>
            </w:r>
          </w:p>
        </w:tc>
        <w:tc>
          <w:tcPr>
            <w:tcW w:w="1260" w:type="dxa"/>
          </w:tcPr>
          <w:p w14:paraId="59E76038" w14:textId="59D949F0" w:rsidR="002E3F59" w:rsidRPr="00E76D01" w:rsidRDefault="00B70718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A0140C"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5196896</w:t>
            </w:r>
          </w:p>
        </w:tc>
        <w:tc>
          <w:tcPr>
            <w:tcW w:w="1526" w:type="dxa"/>
          </w:tcPr>
          <w:p w14:paraId="1C6321B5" w14:textId="2D1292B4" w:rsidR="002E3F59" w:rsidRPr="00E76D01" w:rsidRDefault="0066721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-0.444</w:t>
            </w:r>
          </w:p>
        </w:tc>
        <w:tc>
          <w:tcPr>
            <w:tcW w:w="1797" w:type="dxa"/>
            <w:vAlign w:val="center"/>
          </w:tcPr>
          <w:p w14:paraId="2210DCAB" w14:textId="21E4FFC2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1253" w:type="dxa"/>
          </w:tcPr>
          <w:p w14:paraId="7BEE63A2" w14:textId="3523FA99" w:rsidR="002E3F59" w:rsidRPr="00E76D01" w:rsidRDefault="00940988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3.04</w:t>
            </w:r>
            <w:r w:rsidR="0036109D"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658</w:t>
            </w:r>
          </w:p>
        </w:tc>
      </w:tr>
      <w:tr w:rsidR="002E3F59" w:rsidRPr="00E76D01" w14:paraId="519417FA" w14:textId="77777777" w:rsidTr="00FF43ED">
        <w:tc>
          <w:tcPr>
            <w:tcW w:w="663" w:type="dxa"/>
          </w:tcPr>
          <w:p w14:paraId="2B4C667D" w14:textId="2E45120C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2" w:type="dxa"/>
            <w:vAlign w:val="center"/>
          </w:tcPr>
          <w:p w14:paraId="2D0492FE" w14:textId="25420012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sz w:val="24"/>
                <w:szCs w:val="24"/>
              </w:rPr>
              <w:t>SANF</w:t>
            </w:r>
          </w:p>
        </w:tc>
        <w:tc>
          <w:tcPr>
            <w:tcW w:w="1439" w:type="dxa"/>
          </w:tcPr>
          <w:p w14:paraId="2387DBFD" w14:textId="551282B5" w:rsidR="002E3F59" w:rsidRPr="00E76D01" w:rsidRDefault="005C4B75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985F76"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0.0053214</w:t>
            </w:r>
          </w:p>
        </w:tc>
        <w:tc>
          <w:tcPr>
            <w:tcW w:w="1260" w:type="dxa"/>
          </w:tcPr>
          <w:p w14:paraId="2E0F37DA" w14:textId="6C449D84" w:rsidR="002E3F59" w:rsidRPr="00E76D01" w:rsidRDefault="00A0140C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0.0031853</w:t>
            </w:r>
          </w:p>
        </w:tc>
        <w:tc>
          <w:tcPr>
            <w:tcW w:w="1526" w:type="dxa"/>
          </w:tcPr>
          <w:p w14:paraId="18DE6FDA" w14:textId="5DDA3681" w:rsidR="002E3F59" w:rsidRPr="00E76D01" w:rsidRDefault="0066721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-1.671</w:t>
            </w:r>
          </w:p>
        </w:tc>
        <w:tc>
          <w:tcPr>
            <w:tcW w:w="1797" w:type="dxa"/>
            <w:vAlign w:val="center"/>
          </w:tcPr>
          <w:p w14:paraId="2875C6E1" w14:textId="693489EB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sz w:val="24"/>
                <w:szCs w:val="24"/>
              </w:rPr>
              <w:t>Variance</w:t>
            </w:r>
          </w:p>
        </w:tc>
        <w:tc>
          <w:tcPr>
            <w:tcW w:w="1253" w:type="dxa"/>
          </w:tcPr>
          <w:p w14:paraId="495B608F" w14:textId="3F9E1DCC" w:rsidR="002E3F59" w:rsidRPr="00E76D01" w:rsidRDefault="0036109D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0.44492</w:t>
            </w:r>
          </w:p>
        </w:tc>
      </w:tr>
      <w:tr w:rsidR="002E3F59" w:rsidRPr="00E76D01" w14:paraId="68F7015E" w14:textId="77777777" w:rsidTr="00FF43ED">
        <w:tc>
          <w:tcPr>
            <w:tcW w:w="663" w:type="dxa"/>
          </w:tcPr>
          <w:p w14:paraId="3968BD58" w14:textId="2AD22AF4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2" w:type="dxa"/>
            <w:vAlign w:val="center"/>
          </w:tcPr>
          <w:p w14:paraId="0234A58D" w14:textId="70097D51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sz w:val="24"/>
                <w:szCs w:val="24"/>
              </w:rPr>
              <w:t>ANC</w:t>
            </w:r>
          </w:p>
        </w:tc>
        <w:tc>
          <w:tcPr>
            <w:tcW w:w="1439" w:type="dxa"/>
          </w:tcPr>
          <w:p w14:paraId="38BFB7C3" w14:textId="1A3D1599" w:rsidR="002E3F59" w:rsidRPr="00E76D01" w:rsidRDefault="00985F76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-0.0126344</w:t>
            </w:r>
          </w:p>
        </w:tc>
        <w:tc>
          <w:tcPr>
            <w:tcW w:w="1260" w:type="dxa"/>
          </w:tcPr>
          <w:p w14:paraId="2DF98DC2" w14:textId="5B01FC61" w:rsidR="002E3F59" w:rsidRPr="00E76D01" w:rsidRDefault="00A0140C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0.0040207</w:t>
            </w:r>
          </w:p>
        </w:tc>
        <w:tc>
          <w:tcPr>
            <w:tcW w:w="1526" w:type="dxa"/>
          </w:tcPr>
          <w:p w14:paraId="59C014C1" w14:textId="1AFE5ACC" w:rsidR="002E3F59" w:rsidRPr="00E76D01" w:rsidRDefault="001B0321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-3.142</w:t>
            </w:r>
          </w:p>
        </w:tc>
        <w:tc>
          <w:tcPr>
            <w:tcW w:w="1797" w:type="dxa"/>
            <w:vAlign w:val="center"/>
          </w:tcPr>
          <w:p w14:paraId="38E922AE" w14:textId="1F9BF169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253" w:type="dxa"/>
          </w:tcPr>
          <w:p w14:paraId="62E43CA2" w14:textId="6AA9DCD2" w:rsidR="002E3F59" w:rsidRPr="00E76D01" w:rsidRDefault="0036109D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0.6670</w:t>
            </w:r>
          </w:p>
        </w:tc>
      </w:tr>
      <w:tr w:rsidR="002E3F59" w:rsidRPr="00E76D01" w14:paraId="45BBB7F1" w14:textId="77777777" w:rsidTr="00FF43ED">
        <w:tc>
          <w:tcPr>
            <w:tcW w:w="663" w:type="dxa"/>
          </w:tcPr>
          <w:p w14:paraId="66FC7047" w14:textId="5BC6AF40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2" w:type="dxa"/>
            <w:vAlign w:val="center"/>
          </w:tcPr>
          <w:p w14:paraId="7D6C3AAB" w14:textId="371970E8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sz w:val="24"/>
                <w:szCs w:val="24"/>
              </w:rPr>
              <w:t>LnSBA</w:t>
            </w:r>
          </w:p>
        </w:tc>
        <w:tc>
          <w:tcPr>
            <w:tcW w:w="1439" w:type="dxa"/>
          </w:tcPr>
          <w:p w14:paraId="3C139B05" w14:textId="3E3246BA" w:rsidR="002E3F59" w:rsidRPr="00E76D01" w:rsidRDefault="00985F76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</w:t>
            </w:r>
            <w:r w:rsidR="005C4B75"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2380576</w:t>
            </w:r>
          </w:p>
        </w:tc>
        <w:tc>
          <w:tcPr>
            <w:tcW w:w="1260" w:type="dxa"/>
          </w:tcPr>
          <w:p w14:paraId="572EF40B" w14:textId="660389A8" w:rsidR="002E3F59" w:rsidRPr="00E76D01" w:rsidRDefault="00A0140C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0.198</w:t>
            </w:r>
            <w:r w:rsidR="00667219"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5868</w:t>
            </w:r>
          </w:p>
        </w:tc>
        <w:tc>
          <w:tcPr>
            <w:tcW w:w="1526" w:type="dxa"/>
          </w:tcPr>
          <w:p w14:paraId="3F55330C" w14:textId="5C211DF9" w:rsidR="002E3F59" w:rsidRPr="00E76D01" w:rsidRDefault="001B0321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-1.199</w:t>
            </w:r>
          </w:p>
        </w:tc>
        <w:tc>
          <w:tcPr>
            <w:tcW w:w="1797" w:type="dxa"/>
            <w:vAlign w:val="center"/>
          </w:tcPr>
          <w:p w14:paraId="42942029" w14:textId="3C891858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sz w:val="24"/>
                <w:szCs w:val="24"/>
              </w:rPr>
              <w:t>AIC</w:t>
            </w:r>
          </w:p>
        </w:tc>
        <w:tc>
          <w:tcPr>
            <w:tcW w:w="1253" w:type="dxa"/>
          </w:tcPr>
          <w:p w14:paraId="47A2A5B4" w14:textId="38BA51AC" w:rsidR="002E3F59" w:rsidRPr="00E76D01" w:rsidRDefault="0036109D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321.34</w:t>
            </w:r>
          </w:p>
        </w:tc>
      </w:tr>
      <w:tr w:rsidR="002E3F59" w:rsidRPr="00E76D01" w14:paraId="6CA7BD65" w14:textId="77777777" w:rsidTr="00FF43ED">
        <w:tc>
          <w:tcPr>
            <w:tcW w:w="663" w:type="dxa"/>
          </w:tcPr>
          <w:p w14:paraId="32365819" w14:textId="703E1791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2" w:type="dxa"/>
            <w:vAlign w:val="center"/>
          </w:tcPr>
          <w:p w14:paraId="69DE78A4" w14:textId="660D3E15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sz w:val="24"/>
                <w:szCs w:val="24"/>
              </w:rPr>
              <w:t>HDW</w:t>
            </w:r>
          </w:p>
        </w:tc>
        <w:tc>
          <w:tcPr>
            <w:tcW w:w="1439" w:type="dxa"/>
          </w:tcPr>
          <w:p w14:paraId="16C72950" w14:textId="718EF856" w:rsidR="002E3F59" w:rsidRPr="00E76D01" w:rsidRDefault="005C4B75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-0.0033586</w:t>
            </w:r>
          </w:p>
        </w:tc>
        <w:tc>
          <w:tcPr>
            <w:tcW w:w="1260" w:type="dxa"/>
          </w:tcPr>
          <w:p w14:paraId="71888D98" w14:textId="54CAC6F5" w:rsidR="002E3F59" w:rsidRPr="00E76D01" w:rsidRDefault="0066721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0.0009165</w:t>
            </w:r>
          </w:p>
        </w:tc>
        <w:tc>
          <w:tcPr>
            <w:tcW w:w="1526" w:type="dxa"/>
          </w:tcPr>
          <w:p w14:paraId="1EACEE84" w14:textId="357FA89A" w:rsidR="002E3F59" w:rsidRPr="00E76D01" w:rsidRDefault="001B0321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-3.665</w:t>
            </w:r>
          </w:p>
        </w:tc>
        <w:tc>
          <w:tcPr>
            <w:tcW w:w="1797" w:type="dxa"/>
            <w:vAlign w:val="center"/>
          </w:tcPr>
          <w:p w14:paraId="6B46FFD0" w14:textId="7A19C96B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sz w:val="24"/>
                <w:szCs w:val="24"/>
              </w:rPr>
              <w:t>BIC</w:t>
            </w:r>
          </w:p>
        </w:tc>
        <w:tc>
          <w:tcPr>
            <w:tcW w:w="1253" w:type="dxa"/>
          </w:tcPr>
          <w:p w14:paraId="1DD0C1CE" w14:textId="5EB2BBEC" w:rsidR="002E3F59" w:rsidRPr="00E76D01" w:rsidRDefault="00624701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409</w:t>
            </w:r>
            <w:r w:rsidR="00FF43ED"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.611</w:t>
            </w:r>
          </w:p>
        </w:tc>
      </w:tr>
      <w:tr w:rsidR="002E3F59" w:rsidRPr="00E76D01" w14:paraId="71EF6389" w14:textId="77777777" w:rsidTr="00FF43ED">
        <w:tc>
          <w:tcPr>
            <w:tcW w:w="663" w:type="dxa"/>
          </w:tcPr>
          <w:p w14:paraId="0724B21F" w14:textId="191B1668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2" w:type="dxa"/>
            <w:vAlign w:val="center"/>
          </w:tcPr>
          <w:p w14:paraId="25D1F853" w14:textId="2513A89C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sz w:val="24"/>
                <w:szCs w:val="24"/>
              </w:rPr>
              <w:t>MDEX</w:t>
            </w:r>
          </w:p>
        </w:tc>
        <w:tc>
          <w:tcPr>
            <w:tcW w:w="1439" w:type="dxa"/>
          </w:tcPr>
          <w:p w14:paraId="03305050" w14:textId="3CF66F24" w:rsidR="002E3F59" w:rsidRPr="00E76D01" w:rsidRDefault="005C4B75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0.000507</w:t>
            </w:r>
          </w:p>
        </w:tc>
        <w:tc>
          <w:tcPr>
            <w:tcW w:w="1260" w:type="dxa"/>
          </w:tcPr>
          <w:p w14:paraId="6F85BD77" w14:textId="64595983" w:rsidR="002E3F59" w:rsidRPr="00E76D01" w:rsidRDefault="0066721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0.0017556</w:t>
            </w:r>
          </w:p>
        </w:tc>
        <w:tc>
          <w:tcPr>
            <w:tcW w:w="1526" w:type="dxa"/>
          </w:tcPr>
          <w:p w14:paraId="78C2651B" w14:textId="28E7EA42" w:rsidR="002E3F59" w:rsidRPr="00E76D01" w:rsidRDefault="001B0321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-1.016</w:t>
            </w:r>
          </w:p>
        </w:tc>
        <w:tc>
          <w:tcPr>
            <w:tcW w:w="1797" w:type="dxa"/>
            <w:vAlign w:val="center"/>
          </w:tcPr>
          <w:p w14:paraId="54ADBCB6" w14:textId="07CA6DBE" w:rsidR="002E3F59" w:rsidRPr="00E76D01" w:rsidRDefault="002E3F59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sz w:val="24"/>
                <w:szCs w:val="24"/>
              </w:rPr>
              <w:t>Log-Likelihood</w:t>
            </w:r>
          </w:p>
        </w:tc>
        <w:tc>
          <w:tcPr>
            <w:tcW w:w="1253" w:type="dxa"/>
          </w:tcPr>
          <w:p w14:paraId="282D6E5B" w14:textId="54189E00" w:rsidR="002E3F59" w:rsidRPr="00E76D01" w:rsidRDefault="00A925B1" w:rsidP="002E3F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206.307</w:t>
            </w:r>
          </w:p>
        </w:tc>
      </w:tr>
    </w:tbl>
    <w:p w14:paraId="11C4919C" w14:textId="77777777" w:rsidR="00FF43ED" w:rsidRPr="00F55DBE" w:rsidRDefault="00FF43ED" w:rsidP="00FF4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5DBE">
        <w:rPr>
          <w:rFonts w:ascii="Times New Roman" w:hAnsi="Times New Roman" w:cs="Times New Roman"/>
        </w:rPr>
        <w:t>Source: Author’s calculation</w:t>
      </w:r>
    </w:p>
    <w:p w14:paraId="38A553CF" w14:textId="77777777" w:rsidR="00B01F32" w:rsidRDefault="00B01F32" w:rsidP="00706E9B">
      <w:pPr>
        <w:autoSpaceDE w:val="0"/>
        <w:autoSpaceDN w:val="0"/>
        <w:adjustRightInd w:val="0"/>
        <w:spacing w:after="0" w:line="240" w:lineRule="auto"/>
        <w:jc w:val="both"/>
      </w:pPr>
    </w:p>
    <w:p w14:paraId="73E899B2" w14:textId="02F7D2E7" w:rsidR="00706E9B" w:rsidRPr="004E02F2" w:rsidRDefault="00546CE6" w:rsidP="003906CB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The </w:t>
      </w:r>
      <w:r w:rsidR="00A87056" w:rsidRPr="004E02F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EBLUP </w:t>
      </w:r>
      <w:r w:rsidR="00A8705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model </w:t>
      </w:r>
      <w:r w:rsidR="00A87056" w:rsidRPr="004E02F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provides insights into both fixed effects and random effects</w:t>
      </w:r>
      <w:r w:rsidR="00A8705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. </w:t>
      </w:r>
      <w:r w:rsidR="00A87056" w:rsidRPr="004E02F2">
        <w:rPr>
          <w:rFonts w:ascii="Times New Roman" w:hAnsi="Times New Roman" w:cs="Times New Roman"/>
          <w:color w:val="000000" w:themeColor="text1"/>
          <w:sz w:val="24"/>
          <w:szCs w:val="24"/>
        </w:rPr>
        <w:t>The fixed effects results of EBLUP are locally invariant</w:t>
      </w:r>
      <w:r w:rsidR="00A87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less consistent, and less </w:t>
      </w:r>
      <w:r w:rsidR="00A87056" w:rsidRPr="004E02F2">
        <w:rPr>
          <w:rFonts w:ascii="Times New Roman" w:hAnsi="Times New Roman" w:cs="Times New Roman"/>
          <w:color w:val="000000" w:themeColor="text1"/>
          <w:sz w:val="24"/>
          <w:szCs w:val="24"/>
        </w:rPr>
        <w:t>reliable than the GWR results.</w:t>
      </w:r>
      <w:r w:rsidR="00177F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5906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706E9B" w:rsidRPr="004E02F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model with the lower AIC is generally preferred because it indicates a better fit with fewer parameters. In this case, the </w:t>
      </w:r>
      <w:r w:rsidR="00706E9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GWR</w:t>
      </w:r>
      <w:r w:rsidR="00706E9B" w:rsidRPr="004E02F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model has a lower AIC</w:t>
      </w:r>
      <w:r w:rsidR="0012742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as compared to EBLUP</w:t>
      </w:r>
      <w:r w:rsidR="00706E9B" w:rsidRPr="004E02F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, suggesting it fits the data better than </w:t>
      </w:r>
      <w:r w:rsidR="00706E9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the EBLUP</w:t>
      </w:r>
      <w:r w:rsidR="00706E9B" w:rsidRPr="004E02F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model.</w:t>
      </w:r>
      <w:r w:rsidR="00706E9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Also</w:t>
      </w:r>
      <w:r w:rsidR="00706E9B" w:rsidRPr="004E02F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, the standard deviation of the GWR estimates is </w:t>
      </w:r>
      <w:r w:rsidR="00706E9B" w:rsidRPr="004E02F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lastRenderedPageBreak/>
        <w:t xml:space="preserve">consistently smaller than the standard error of the EBLUP estimates, </w:t>
      </w:r>
      <w:r w:rsidR="00706E9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which</w:t>
      </w:r>
      <w:r w:rsidR="00706E9B" w:rsidRPr="004E02F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suggests that the GWR model provides more consistent and possibly more reliable local parameter estimates. On the other hand, the EBLUP standard errors are </w:t>
      </w:r>
      <w:r w:rsidR="00706E9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more prominent</w:t>
      </w:r>
      <w:r w:rsidR="00706E9B" w:rsidRPr="004E02F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, </w:t>
      </w:r>
      <w:r w:rsidR="00706E9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which</w:t>
      </w:r>
      <w:r w:rsidR="00706E9B" w:rsidRPr="004E02F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may indicate less precision in the </w:t>
      </w:r>
      <w:r w:rsidR="00CC48D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fixed</w:t>
      </w:r>
      <w:r w:rsidR="00706E9B" w:rsidRPr="004E02F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effects predictions. GWR offers localized coefficients, which can be very informative for understanding spatial heterogeneity</w:t>
      </w:r>
      <w:r w:rsidR="00706E9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; understanding</w:t>
      </w:r>
      <w:r w:rsidR="00706E9B" w:rsidRPr="004E02F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the local variations in relationships is crucial (the main objective of this study)</w:t>
      </w:r>
      <w:r w:rsidR="00706E9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. </w:t>
      </w:r>
      <w:r w:rsidR="00706E9B" w:rsidRPr="004E02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Therefore, </w:t>
      </w:r>
      <w:r w:rsidR="0070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706E9B" w:rsidRPr="004E02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 study used GWR </w:t>
      </w:r>
      <w:r w:rsidR="00706E9B">
        <w:rPr>
          <w:rFonts w:ascii="Times New Roman" w:hAnsi="Times New Roman" w:cs="Times New Roman"/>
          <w:color w:val="000000" w:themeColor="text1"/>
          <w:sz w:val="24"/>
          <w:szCs w:val="24"/>
        </w:rPr>
        <w:t>to determine</w:t>
      </w:r>
      <w:r w:rsidR="00706E9B" w:rsidRPr="004E02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spatial effect of </w:t>
      </w:r>
      <w:r w:rsidR="00706E9B">
        <w:rPr>
          <w:rFonts w:ascii="Times New Roman" w:hAnsi="Times New Roman" w:cs="Times New Roman"/>
          <w:color w:val="000000" w:themeColor="text1"/>
          <w:sz w:val="24"/>
          <w:szCs w:val="24"/>
        </w:rPr>
        <w:t>locally</w:t>
      </w:r>
      <w:r w:rsidR="00706E9B" w:rsidRPr="004E02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varying coefficients on DMI in Pakistan.</w:t>
      </w:r>
    </w:p>
    <w:p w14:paraId="3D5D26D1" w14:textId="77777777" w:rsidR="00706E9B" w:rsidRDefault="00706E9B" w:rsidP="00706E9B"/>
    <w:p w14:paraId="19D97FCC" w14:textId="77777777" w:rsidR="00A2541A" w:rsidRDefault="00A2541A"/>
    <w:sectPr w:rsidR="00A2541A" w:rsidSect="00706E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E9B"/>
    <w:rsid w:val="000418AA"/>
    <w:rsid w:val="00127423"/>
    <w:rsid w:val="00162607"/>
    <w:rsid w:val="00177F1F"/>
    <w:rsid w:val="001B0321"/>
    <w:rsid w:val="002E3F59"/>
    <w:rsid w:val="0036109D"/>
    <w:rsid w:val="00366DAE"/>
    <w:rsid w:val="003906CB"/>
    <w:rsid w:val="0040546E"/>
    <w:rsid w:val="004E6BDF"/>
    <w:rsid w:val="00546CE6"/>
    <w:rsid w:val="005B533C"/>
    <w:rsid w:val="005C4B75"/>
    <w:rsid w:val="00624701"/>
    <w:rsid w:val="00660374"/>
    <w:rsid w:val="00667219"/>
    <w:rsid w:val="00706E9B"/>
    <w:rsid w:val="007856BF"/>
    <w:rsid w:val="0082154C"/>
    <w:rsid w:val="00883258"/>
    <w:rsid w:val="008C6557"/>
    <w:rsid w:val="0090343A"/>
    <w:rsid w:val="00940988"/>
    <w:rsid w:val="009806C5"/>
    <w:rsid w:val="00985F76"/>
    <w:rsid w:val="00A0140C"/>
    <w:rsid w:val="00A02215"/>
    <w:rsid w:val="00A2541A"/>
    <w:rsid w:val="00A82454"/>
    <w:rsid w:val="00A87056"/>
    <w:rsid w:val="00A925B1"/>
    <w:rsid w:val="00B01F32"/>
    <w:rsid w:val="00B34A2C"/>
    <w:rsid w:val="00B35906"/>
    <w:rsid w:val="00B70718"/>
    <w:rsid w:val="00BB7D6F"/>
    <w:rsid w:val="00C513EF"/>
    <w:rsid w:val="00CC48D7"/>
    <w:rsid w:val="00D56B87"/>
    <w:rsid w:val="00DC676C"/>
    <w:rsid w:val="00E76D01"/>
    <w:rsid w:val="00EB77D9"/>
    <w:rsid w:val="00EC1065"/>
    <w:rsid w:val="00F00A0D"/>
    <w:rsid w:val="00F55DBE"/>
    <w:rsid w:val="00FB6D5B"/>
    <w:rsid w:val="00FD6664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EA902F"/>
  <w15:chartTrackingRefBased/>
  <w15:docId w15:val="{D977190B-8A85-4D28-9A34-BF5CAE2FF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E9B"/>
  </w:style>
  <w:style w:type="paragraph" w:styleId="Heading1">
    <w:name w:val="heading 1"/>
    <w:basedOn w:val="Normal"/>
    <w:next w:val="Normal"/>
    <w:link w:val="Heading1Char"/>
    <w:uiPriority w:val="9"/>
    <w:qFormat/>
    <w:rsid w:val="00706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6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6E9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6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6E9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6E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6E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6E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6E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E9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6E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6E9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6E9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6E9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6E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6E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6E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6E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6E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6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6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6E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6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6E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6E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6E9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6E9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6E9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6E9B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706E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706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batimChar">
    <w:name w:val="Verbatim Char"/>
    <w:basedOn w:val="DefaultParagraphFont"/>
    <w:link w:val="SourceCode"/>
    <w:rsid w:val="00706E9B"/>
    <w:rPr>
      <w:rFonts w:ascii="Consolas" w:hAnsi="Consolas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706E9B"/>
    <w:pPr>
      <w:shd w:val="clear" w:color="auto" w:fill="F8F8F8"/>
      <w:wordWrap w:val="0"/>
      <w:spacing w:after="200" w:line="240" w:lineRule="auto"/>
    </w:pPr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361</Words>
  <Characters>2037</Characters>
  <Application>Microsoft Office Word</Application>
  <DocSecurity>0</DocSecurity>
  <Lines>97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Farzana Sher Muhammad</dc:creator>
  <cp:keywords/>
  <dc:description/>
  <cp:lastModifiedBy>Farzana Sher Muhammad</cp:lastModifiedBy>
  <cp:revision>39</cp:revision>
  <dcterms:created xsi:type="dcterms:W3CDTF">2024-07-01T09:04:00Z</dcterms:created>
  <dcterms:modified xsi:type="dcterms:W3CDTF">2024-07-02T23:32:00Z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1cf0c4dd-e488-468f-910b-4eee42ae48c5</vt:lpwstr>
  </property>
</Properties>
</file>