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Times New Roman" w:hAnsi="Times New Roman" w:eastAsia="黑体" w:cs="Times New Roman"/>
          <w:sz w:val="24"/>
          <w:lang w:eastAsia="zh-CN"/>
        </w:rPr>
      </w:pPr>
      <w:r>
        <w:rPr>
          <w:rFonts w:hint="eastAsia" w:ascii="Times New Roman" w:hAnsi="Times New Roman" w:cs="Times New Roman"/>
          <w:sz w:val="24"/>
        </w:rPr>
        <w:t xml:space="preserve">Supplementary </w:t>
      </w:r>
      <w:r>
        <w:rPr>
          <w:rFonts w:ascii="Times New Roman" w:hAnsi="Times New Roman" w:cs="Times New Roman"/>
          <w:sz w:val="24"/>
        </w:rPr>
        <w:t xml:space="preserve">Table </w:t>
      </w:r>
      <w:r>
        <w:rPr>
          <w:rFonts w:hint="eastAsia" w:ascii="Times New Roman" w:hAnsi="Times New Roman" w:cs="Times New Roman"/>
          <w:sz w:val="24"/>
          <w:lang w:val="en-US" w:eastAsia="zh-CN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Association of covariates and mor</w:t>
      </w:r>
      <w:r>
        <w:rPr>
          <w:rFonts w:hint="eastAsia"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ality risk.</w:t>
      </w:r>
    </w:p>
    <w:tbl>
      <w:tblPr>
        <w:tblStyle w:val="3"/>
        <w:tblW w:w="0" w:type="auto"/>
        <w:tblInd w:w="96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6"/>
        <w:gridCol w:w="1911"/>
        <w:gridCol w:w="776"/>
      </w:tblGrid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HR(95%CI)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-value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Sex: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Female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0.71 (0.66,0.77)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Mean ± SD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1.09 (1.09,1.1)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ace: ref.=Mexican American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Non-Hispanic Black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2.01 (1.72,2.35)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Non-Hispanic White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2.7 (2.35,3.1)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Other Hispanic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1.23 (1.01,1.49)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0.037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Other Race - Including Multi-Racial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0.96 (0.77,1.2)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0.733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arital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status: ref.=Divorced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Living with partner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0.36 (0.29,0.45)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Married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0.73 (0.65,0.82)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Never married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0.37 (0.31,0.43)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Separated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0.76 (0.6,0.97)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0.026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  Widowed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3.21 (2.83,3.64)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ducation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level: ref.=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Below high school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360" w:firstLineChars="2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0.75 (0.67,0.84)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360" w:firstLineChars="2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Above high school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0.47 (0.42,0.53)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PIR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Mean ± SD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0.85 (0.83,0.87)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Physical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activity: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0.54 (0.49,0.6)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Alcohol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use: ref.=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Former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360" w:firstLineChars="2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Mild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0.44 (0.4,0.48)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360" w:firstLineChars="2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0.22 (0.19,0.26)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360" w:firstLineChars="2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Heavy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0.23 (0.2,0.26)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Smok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ing status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Current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Former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0.51 (0.47,0.56)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CVD: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es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5.26 (4.87,5.69)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CKD: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es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5.85 (5.43,6.31)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COPD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3.27 (2.95,3.63)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Diabetes: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0.52 (0.46,0.59)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Hypertension: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0.91 (0.82,1.01)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0.068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epression: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1.29 (1.15,1.45)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regnant: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0.44 (0.32,0.62)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Death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cause: Cancer mortality vs CVD mortality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0.51 (0.47,0.55)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Klotho,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Mean ± SD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0.9992 (0.9991,0.9993)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Urinary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incontinence: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Yes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1.12 (1.03,1.22)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0.008</w:t>
            </w:r>
          </w:p>
        </w:tc>
      </w:tr>
    </w:tbl>
    <w:p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Abbreviations: C</w:t>
      </w:r>
      <w:r>
        <w:rPr>
          <w:rFonts w:hint="eastAsia"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>, confidence interval; OR, odds ratio</w:t>
      </w:r>
      <w:r>
        <w:rPr>
          <w:rFonts w:hint="eastAsia" w:ascii="Times New Roman" w:hAnsi="Times New Roman" w:cs="Times New Roman"/>
          <w:sz w:val="24"/>
        </w:rPr>
        <w:t xml:space="preserve">;CKD,chronic kidney disease; </w:t>
      </w:r>
    </w:p>
    <w:p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CVD, cardiovascular disease; PIR, poverty income ratio.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2YjFjOTBkMTg5Mjc3NWRhMjI5MDFlZmQzY2QxMmYifQ=="/>
  </w:docVars>
  <w:rsids>
    <w:rsidRoot w:val="00000000"/>
    <w:rsid w:val="153258D1"/>
    <w:rsid w:val="4E8E1B0B"/>
    <w:rsid w:val="513C2A21"/>
    <w:rsid w:val="5241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1230</Characters>
  <Lines>0</Lines>
  <Paragraphs>0</Paragraphs>
  <TotalTime>0</TotalTime>
  <ScaleCrop>false</ScaleCrop>
  <LinksUpToDate>false</LinksUpToDate>
  <CharactersWithSpaces>1420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2024-03-30T03:05:00Z</dcterms:created>
  <dc:creator>YinChen</dc:creator>
  <cp:lastModifiedBy>草予</cp:lastModifiedBy>
  <dcterms:modified xsi:type="dcterms:W3CDTF">2024-07-18T14:10:39Z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E919D081D52F4F0CA1C8DADD11B69483_12</vt:lpwstr>
  </property>
</Properties>
</file>