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E64D6" w14:textId="6CD4052E" w:rsidR="00117115" w:rsidRDefault="0015792C" w:rsidP="00610E44">
      <w:pPr>
        <w:spacing w:line="240" w:lineRule="auto"/>
        <w:jc w:val="center"/>
        <w:rPr>
          <w:rFonts w:ascii="Times New Roman" w:eastAsia="Times New Roman" w:hAnsi="Times New Roman"/>
          <w:snapToGrid w:val="0"/>
          <w:sz w:val="22"/>
          <w:lang w:eastAsia="de-DE" w:bidi="en-US"/>
        </w:rPr>
      </w:pPr>
      <w:r w:rsidRPr="005A7747">
        <w:rPr>
          <w:rFonts w:ascii="Times New Roman" w:eastAsia="Times New Roman" w:hAnsi="Times New Roman"/>
          <w:b/>
          <w:bCs/>
          <w:snapToGrid w:val="0"/>
          <w:sz w:val="22"/>
          <w:lang w:eastAsia="de-DE" w:bidi="en-US"/>
        </w:rPr>
        <w:t>Table</w:t>
      </w:r>
      <w:r w:rsidR="003B6D46" w:rsidRPr="005A7747">
        <w:rPr>
          <w:rFonts w:ascii="Times New Roman" w:eastAsia="Times New Roman" w:hAnsi="Times New Roman"/>
          <w:snapToGrid w:val="0"/>
          <w:sz w:val="22"/>
          <w:lang w:eastAsia="de-DE" w:bidi="en-US"/>
        </w:rPr>
        <w:t xml:space="preserve"> </w:t>
      </w:r>
      <w:r w:rsidR="003B6D46" w:rsidRPr="005A7747">
        <w:rPr>
          <w:rFonts w:ascii="Times New Roman" w:eastAsia="Times New Roman" w:hAnsi="Times New Roman"/>
          <w:b/>
          <w:bCs/>
          <w:snapToGrid w:val="0"/>
          <w:sz w:val="22"/>
          <w:lang w:eastAsia="de-DE" w:bidi="en-US"/>
        </w:rPr>
        <w:t>S3</w:t>
      </w:r>
      <w:r w:rsidR="003B6D46" w:rsidRPr="005A7747">
        <w:rPr>
          <w:rFonts w:ascii="Times New Roman" w:eastAsia="Times New Roman" w:hAnsi="Times New Roman"/>
          <w:snapToGrid w:val="0"/>
          <w:sz w:val="22"/>
          <w:lang w:eastAsia="de-DE" w:bidi="en-US"/>
        </w:rPr>
        <w:t>:</w:t>
      </w:r>
      <w:r w:rsidR="00117115" w:rsidRPr="005A7747">
        <w:rPr>
          <w:rFonts w:ascii="Times New Roman" w:eastAsia="Times New Roman" w:hAnsi="Times New Roman"/>
          <w:snapToGrid w:val="0"/>
          <w:sz w:val="22"/>
          <w:lang w:eastAsia="de-DE" w:bidi="en-US"/>
        </w:rPr>
        <w:t xml:space="preserve"> Quality of the included studies</w:t>
      </w:r>
    </w:p>
    <w:p w14:paraId="559570B0" w14:textId="77777777" w:rsidR="00A76CA1" w:rsidRPr="005A7747" w:rsidRDefault="00A76CA1" w:rsidP="00610E44">
      <w:pPr>
        <w:spacing w:line="240" w:lineRule="auto"/>
        <w:jc w:val="center"/>
        <w:rPr>
          <w:rFonts w:ascii="Times New Roman" w:eastAsia="Times New Roman" w:hAnsi="Times New Roman"/>
          <w:snapToGrid w:val="0"/>
          <w:sz w:val="22"/>
          <w:lang w:eastAsia="de-DE" w:bidi="en-US"/>
        </w:rPr>
      </w:pPr>
    </w:p>
    <w:tbl>
      <w:tblPr>
        <w:tblStyle w:val="Tablanormal2"/>
        <w:tblW w:w="5761" w:type="pct"/>
        <w:tblInd w:w="-1059" w:type="dxa"/>
        <w:tblLayout w:type="fixed"/>
        <w:tblLook w:val="04A0" w:firstRow="1" w:lastRow="0" w:firstColumn="1" w:lastColumn="0" w:noHBand="0" w:noVBand="1"/>
      </w:tblPr>
      <w:tblGrid>
        <w:gridCol w:w="1640"/>
        <w:gridCol w:w="746"/>
        <w:gridCol w:w="1050"/>
        <w:gridCol w:w="1346"/>
        <w:gridCol w:w="2089"/>
        <w:gridCol w:w="1343"/>
        <w:gridCol w:w="1350"/>
        <w:gridCol w:w="1342"/>
        <w:gridCol w:w="1497"/>
        <w:gridCol w:w="1345"/>
        <w:gridCol w:w="894"/>
        <w:gridCol w:w="1491"/>
      </w:tblGrid>
      <w:tr w:rsidR="00A76CA1" w:rsidRPr="00A76CA1" w14:paraId="60C2C5F6" w14:textId="77777777" w:rsidTr="00A76CA1">
        <w:trPr>
          <w:cnfStyle w:val="100000000000" w:firstRow="1" w:lastRow="0" w:firstColumn="0" w:lastColumn="0" w:oddVBand="0" w:evenVBand="0" w:oddHBand="0"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508" w:type="pct"/>
            <w:vAlign w:val="center"/>
          </w:tcPr>
          <w:p w14:paraId="20E4056B"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Authors</w:t>
            </w:r>
          </w:p>
        </w:tc>
        <w:tc>
          <w:tcPr>
            <w:tcW w:w="231" w:type="pct"/>
            <w:vAlign w:val="center"/>
          </w:tcPr>
          <w:p w14:paraId="66B0A566"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Year</w:t>
            </w:r>
          </w:p>
        </w:tc>
        <w:tc>
          <w:tcPr>
            <w:tcW w:w="325" w:type="pct"/>
            <w:vAlign w:val="center"/>
          </w:tcPr>
          <w:p w14:paraId="21C6177E"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Eligibility criteria</w:t>
            </w:r>
          </w:p>
        </w:tc>
        <w:tc>
          <w:tcPr>
            <w:tcW w:w="417" w:type="pct"/>
            <w:vAlign w:val="center"/>
          </w:tcPr>
          <w:p w14:paraId="478003A8"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Study subjects and the setting</w:t>
            </w:r>
          </w:p>
        </w:tc>
        <w:tc>
          <w:tcPr>
            <w:tcW w:w="647" w:type="pct"/>
            <w:vAlign w:val="center"/>
          </w:tcPr>
          <w:p w14:paraId="1519176E"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Exposure measured in a valid and reliable way 'gold standard'</w:t>
            </w:r>
          </w:p>
        </w:tc>
        <w:tc>
          <w:tcPr>
            <w:tcW w:w="416" w:type="pct"/>
            <w:vAlign w:val="center"/>
          </w:tcPr>
          <w:p w14:paraId="7EA490CD"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A specified diagnosis or definition</w:t>
            </w:r>
          </w:p>
        </w:tc>
        <w:tc>
          <w:tcPr>
            <w:tcW w:w="418" w:type="pct"/>
            <w:vAlign w:val="center"/>
          </w:tcPr>
          <w:p w14:paraId="0A54115F"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Confounding factors</w:t>
            </w:r>
          </w:p>
        </w:tc>
        <w:tc>
          <w:tcPr>
            <w:tcW w:w="416" w:type="pct"/>
            <w:vAlign w:val="center"/>
          </w:tcPr>
          <w:p w14:paraId="562B1797"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Dealing with confounding factors</w:t>
            </w:r>
          </w:p>
        </w:tc>
        <w:tc>
          <w:tcPr>
            <w:tcW w:w="464" w:type="pct"/>
            <w:vAlign w:val="center"/>
          </w:tcPr>
          <w:p w14:paraId="4E34F0E5"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Outcomes measured in a valid and reliable way</w:t>
            </w:r>
          </w:p>
        </w:tc>
        <w:tc>
          <w:tcPr>
            <w:tcW w:w="417" w:type="pct"/>
            <w:vAlign w:val="center"/>
          </w:tcPr>
          <w:p w14:paraId="600A5064"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Appropriate statistical analysis</w:t>
            </w:r>
          </w:p>
        </w:tc>
        <w:tc>
          <w:tcPr>
            <w:tcW w:w="277" w:type="pct"/>
            <w:vAlign w:val="center"/>
          </w:tcPr>
          <w:p w14:paraId="06BAE5F2"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Scores (8)</w:t>
            </w:r>
          </w:p>
        </w:tc>
        <w:tc>
          <w:tcPr>
            <w:tcW w:w="462" w:type="pct"/>
            <w:vAlign w:val="center"/>
          </w:tcPr>
          <w:p w14:paraId="4B1431AE" w14:textId="77777777" w:rsidR="00A76CA1" w:rsidRPr="00A76CA1" w:rsidRDefault="00A76CA1" w:rsidP="00DE16A9">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Quality (high, moderate, low)</w:t>
            </w:r>
          </w:p>
        </w:tc>
      </w:tr>
      <w:tr w:rsidR="00A76CA1" w:rsidRPr="00A76CA1" w14:paraId="0CFF6FD0" w14:textId="77777777" w:rsidTr="00A76CA1">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508" w:type="pct"/>
            <w:vAlign w:val="center"/>
          </w:tcPr>
          <w:p w14:paraId="2B3161D5"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Abdel-Hamed EF,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{"citationID":"ehORb6Qm","properties":{"formattedCitation":"(11)","plainCitation":"(11)","noteIndex":0},"citationItems":[{"id":2182,"uris":["http://zotero.org/users/6456139/items/EY2VUJKL"],"itemData":{"id":2182,"type":"article-journal","abstract":"BACKGROUND: By 27 June 2020, almost half a million people had died due to COVID-19 infections. The susceptibility and severity of infection vary significantly across nations. The contribution of chronic viral and parasitic infections to immune homeostasis remains a concern. By investigating the role of interferon (IFN)-γ, we conducted this study to understand the connection between the decrease in numbers and severity of COVID-19 cases within parasitic endemic regions. Our research included 375 patients referred to hospitals for diagnosis of COVID-19 infection. Patients were subjected to full investigations, in particular severe acute respiratory syndrome coronavirus-2 nucleic acid and Toxoplasma IgM and IgG antibody detection, stool examination, and quantitative IFN-γ measurement.\nRESULTS: The majority of the studied cases had chest manifestation either alone (54.7%) or in association with gastrointestinal (GIT) manifestations (19.7%), whereas 25.6% had GIT symptoms. We reported parasitic infections in 72.8% of mild COVID-19 cases and 20.7% of severe cases. Toxoplasma gondii, Cryptosporidium, Blastocyst, and Giardia were the most common parasitic infections among the COVID-19 cases studied.\nCONCLUSION: The remarkable adaptation of human immune response to COVID-19 infection by parasitic infections with high levels of IFN-γ was observed in moderate cases compared with low levels in extreme cases. The potential therapeutic efforts aimed at the role of parasitic infection in immune system modulation are needed if this hypothesis is confirmed.","container-title":"Gut Pathogens","DOI":"10.1186/s13099-021-00427-3","ISSN":"1757-4749","issue":"1","journalAbbreviation":"Gut Pathog","language":"eng","note":"PMID: 33947467\nPMCID: PMC8096133","page":"29","source":"PubMed","title":"Role of interferon gamma in SARS-CoV-2-positive patients with parasitic infections","volume":"13","author":[{"family":"Abdel-Hamed","given":"Enas Fakhry"},{"family":"Ibrahim","given":"Mohamed N."},{"family":"Mostafa","given":"Nahed E."},{"family":"Moawad","given":"Howayda S. F."},{"family":"Elgammal","given":"Nahla E."},{"family":"Darwiesh","given":"Ehab M."},{"family":"El-Rafey","given":"Dina S."},{"family":"ElBadawy","given":"Nissreen E."},{"family":"Al-Khoufi","given":"Emad Ali"},{"family":"Hindawi","given":"Salwa I."}],"issued":{"date-parts":[["2021",5,4]]}}}],"schema":"https://github.com/citation-style-language/schema/raw/master/csl-citation.json"}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(11)</w:t>
            </w:r>
            <w:r w:rsidRPr="00A76CA1">
              <w:rPr>
                <w:rFonts w:ascii="Times New Roman" w:hAnsi="Times New Roman"/>
                <w:sz w:val="18"/>
                <w:szCs w:val="18"/>
              </w:rPr>
              <w:fldChar w:fldCharType="end"/>
            </w:r>
          </w:p>
        </w:tc>
        <w:tc>
          <w:tcPr>
            <w:tcW w:w="231" w:type="pct"/>
            <w:vAlign w:val="center"/>
          </w:tcPr>
          <w:p w14:paraId="2082FEB3"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2021</w:t>
            </w:r>
          </w:p>
        </w:tc>
        <w:tc>
          <w:tcPr>
            <w:tcW w:w="325" w:type="pct"/>
            <w:vAlign w:val="center"/>
          </w:tcPr>
          <w:p w14:paraId="5C71D618"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162F31FC"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2B9D4D2A"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4CA61C13"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1B8FDA4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78B47874"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3E7DE49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7EB83937"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7C77FF8B"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22936E69"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50AF20E8" w14:textId="77777777" w:rsidTr="00A76CA1">
        <w:trPr>
          <w:trHeight w:val="521"/>
        </w:trPr>
        <w:tc>
          <w:tcPr>
            <w:cnfStyle w:val="001000000000" w:firstRow="0" w:lastRow="0" w:firstColumn="1" w:lastColumn="0" w:oddVBand="0" w:evenVBand="0" w:oddHBand="0" w:evenHBand="0" w:firstRowFirstColumn="0" w:firstRowLastColumn="0" w:lastRowFirstColumn="0" w:lastRowLastColumn="0"/>
            <w:tcW w:w="508" w:type="pct"/>
            <w:vAlign w:val="center"/>
          </w:tcPr>
          <w:p w14:paraId="3E7144D8"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Sharaf-El-Deen SA,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{"citationID":"zwVYOp7S","properties":{"formattedCitation":"(12)","plainCitation":"(12)","noteIndex":0},"citationItems":[{"id":13683,"uris":["http://zotero.org/users/6456139/items/SFC93F98"],"itemData":{"id":13683,"type":"article-journal","abstract":"Background: COVID-19 is a worldwide pandemic that stroke almost all countries of the world causing thousands of deaths and disabilities and burdened the economy of countries. One of the main criteria of the immune response against COVID-19 is the “immune exhaustion”, due to increased expression of T cell suppressor molecules e.g. programmed death-1 (PD-1), that leads to flaring of viral multiplication and disastrous clinical outcomes. This immune exhaustion is not restricted to COVID-19 but is also a common complication of chronic infections with the widely spreading protozoan, Toxoplasma (T.) gondii. Thus, theoretically, the toxoplasmosis-associated immune exhaustion can worsen that of COVID-19 and consequently increases its severity. However, the studies on this theory are still insufficient. Objective: this work was designed to answer two questions. Does T. gondii co-infection affect the severity of COVID-19 manifestations? Is this action related to T. gondii-induced PD-1 changes? Methodology: Covid-19+patients with moderate and severe conditions were screened for T. gondii IgG and compared to healthy controls. Serum levels of IL-1β, IL-6, TNFα, IFN-γ, IL-1α cytokines were assessed to evaluate COVID-19 severity and prognosis. Lymphocytic expression of PD-1 was assessed by flowcytometry. Results: We recorded a higher incidence of toxoplasmosis among COVID-19 patients especially patients with severe/critical manifestations. T. gondii positive cases exhibited a statistically significant increase in lymphocytic expression of PD-1 that correlated positively with the proinflammatory and bad prognosis cytokines. With fixation of other risk factors for severity, toxoplasmosis still scored a significant value. Conclusion: toxoplasmosis increased the severity of COVID-19. These effects can be related to the Toxoplasma-associated increased lymphocytic PD-1 expression. So, toxoplasmosis can be considered as an unrecognized independent risk factor for COVID-19 severity.","container-title":"Egyptian Journal of Medical Microbiology","ISSN":"1110-2179","issue":"2","note":"publisher: Egyptian Society for Medical Microbiology (ESMM)","page":"125-132","source":"ejmm.journals.ekb.eg","title":"Toxoplasma gondii as a possible risk factor for COVID-19 severity: a case-control study","title-short":"Toxoplasma gondii as a possible risk factor for COVID-19 severity","volume":"30","author":[{"family":"Sharaf-El-Deen","given":"Shaimaa A."}],"issued":{"date-parts":[["2021",4,4]]}}}],"schema":"https://github.com/citation-style-language/schema/raw/master/csl-citation.json"}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(12)</w:t>
            </w:r>
            <w:r w:rsidRPr="00A76CA1">
              <w:rPr>
                <w:rFonts w:ascii="Times New Roman" w:hAnsi="Times New Roman"/>
                <w:sz w:val="18"/>
                <w:szCs w:val="18"/>
              </w:rPr>
              <w:fldChar w:fldCharType="end"/>
            </w:r>
          </w:p>
        </w:tc>
        <w:tc>
          <w:tcPr>
            <w:tcW w:w="231" w:type="pct"/>
            <w:vAlign w:val="center"/>
          </w:tcPr>
          <w:p w14:paraId="1A6AFAD9"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2021</w:t>
            </w:r>
          </w:p>
        </w:tc>
        <w:tc>
          <w:tcPr>
            <w:tcW w:w="325" w:type="pct"/>
            <w:vAlign w:val="center"/>
          </w:tcPr>
          <w:p w14:paraId="15260B49"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6F8BA8B0"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5BD3587A"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55F639EE"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621931BB"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7B95BDB4"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3A9B9C60"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7ECADD9F"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47A5194B"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23C827E4"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73A35F0C" w14:textId="77777777" w:rsidTr="00A76CA1">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508" w:type="pct"/>
            <w:vAlign w:val="center"/>
          </w:tcPr>
          <w:p w14:paraId="698E3E45"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Ghaffari S,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{"citationID":"Vd4Oqhmh","properties":{"formattedCitation":"(13)","plainCitation":"(13)","noteIndex":0},"citationItems":[{"id":2188,"uris":["http://zotero.org/users/6456139/items/5N6F2GL5"],"itemData":{"id":2188,"type":"article-journal","abstract":"The present study aimed to evaluate the possible association between coronavirus disease 2019 (COVID-19) and latent Toxoplasma gondii infection in a group of patients and healthy individuals. Blood samples were obtained from 269 PCR-positive COVID-19 patients. The serum was separated and tested for the existence of anti-T. gondii antibodies (IgG) using a commercial enzyme-linked immunosorbent assay kit. The prevalence of latent toxoplasmosis between a subgroup of the patients (aged under 55 years old) and COVID-19 negative individuals was compared. Anti-T. gondii antibodies were found in 226/269 (84.0%) patients with COVID-19. Anti-Toxoplasma antibodies were detected in 72/91 (79.1%) cases and 96/123 (78.0%) COVID-19 negative individuals (odd ratio = 1.1; 95% confidence interval: 0.55-2.07, P = 0.85). The median and interquartile range (IQR) of the IgG titer were not statistically significant different between case (97.3 [31.0-133.5]) and control groups (34.4 [13.0-144.5]) (P = 0.10). These findings demonstrated that latent Toxoplasma infection is prevalent amongst the COVID-19 patients. It also did not find any significant association between chronic toxoplasmosis and COVID-19.","container-title":"Environmental Science and Pollution Research International","DOI":"10.1007/s11356-021-17126-w","ISSN":"1614-7499","issue":"47","journalAbbreviation":"Environ Sci Pollut Res Int","language":"eng","note":"PMID: 34693492\nPMCID: PMC8542425","page":"67886-67890","source":"PubMed","title":"Is COVID-19 associated with latent toxoplasmosis?","volume":"28","author":[{"family":"Ghaffari","given":"Salman"},{"family":"Kalantari","given":"Narges"},{"family":"Gorgani-Firouzjaee","given":"Tahmineh"},{"family":"Bayani","given":"Masomeh"},{"family":"Jalali","given":"Farzaneh"},{"family":"Daroonkola","given":"Meysam Aghajani"}],"issued":{"date-parts":[["2021",12]]}}}],"schema":"https://github.com/citation-style-language/schema/raw/master/csl-citation.json"}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(13)</w:t>
            </w:r>
            <w:r w:rsidRPr="00A76CA1">
              <w:rPr>
                <w:rFonts w:ascii="Times New Roman" w:hAnsi="Times New Roman"/>
                <w:sz w:val="18"/>
                <w:szCs w:val="18"/>
              </w:rPr>
              <w:fldChar w:fldCharType="end"/>
            </w:r>
          </w:p>
        </w:tc>
        <w:tc>
          <w:tcPr>
            <w:tcW w:w="231" w:type="pct"/>
            <w:vAlign w:val="center"/>
          </w:tcPr>
          <w:p w14:paraId="10F7BCAE"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2021</w:t>
            </w:r>
          </w:p>
        </w:tc>
        <w:tc>
          <w:tcPr>
            <w:tcW w:w="325" w:type="pct"/>
            <w:vAlign w:val="center"/>
          </w:tcPr>
          <w:p w14:paraId="0B0E0A0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34A24A9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51152DBE"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3488C185"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7D74C994"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046630C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5F6AC9AA"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1EC76A82"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634DB858"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37A5EDDF"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1A25A31E" w14:textId="77777777" w:rsidTr="00A76CA1">
        <w:trPr>
          <w:trHeight w:val="552"/>
        </w:trPr>
        <w:tc>
          <w:tcPr>
            <w:cnfStyle w:val="001000000000" w:firstRow="0" w:lastRow="0" w:firstColumn="1" w:lastColumn="0" w:oddVBand="0" w:evenVBand="0" w:oddHBand="0" w:evenHBand="0" w:firstRowFirstColumn="0" w:firstRowLastColumn="0" w:lastRowFirstColumn="0" w:lastRowLastColumn="0"/>
            <w:tcW w:w="508" w:type="pct"/>
            <w:vAlign w:val="center"/>
          </w:tcPr>
          <w:p w14:paraId="5D8243CC"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Halawi M,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{"citationID":"yLCjXX82","properties":{"formattedCitation":"(14)","plainCitation":"(14)","noteIndex":0},"citationItems":[{"id":2191,"uris":["http://zotero.org/users/6456139/items/8PTAUN6X"],"itemData":{"id":2191,"type":"article-journal","abstract":"&amp;lt;b&amp;gt;Background and Objective:&amp;lt;/b&amp;gt; In recent years, respiratory tract viral infections have caused many pandemics that impact the whole world. To investigate the seropositivity of &amp;lt;i&amp;gt;Toxoplasma gondii&amp;lt;/i&amp;gt;, rubella, CMV, HSV-1 and group A &amp;lt;i&amp;gt;Streptococcus&amp;lt;/i&amp;gt; in recovered COVID-19 patients and correlate these findings with vitamin D levels. &amp;lt;b&amp;gt;Materials and Methods:&amp;lt;/b&amp;gt; A total of 417 COVID-19 patients with diarrhoea were enrolled in this study. Vitamin D and seroprevalence for &amp;lt;i&amp;gt;Toxoplasma gondii&amp;lt;/i&amp;gt;, rubella, CMV, HSV-1 and group A &amp;lt;i&amp;gt;Streptococcus&amp;lt;/i&amp;gt; were evaluated and correlated. &amp;lt;b&amp;gt;Results:&amp;lt;/b&amp;gt; It was found that recent infection in COVID-19 patients with HSV-1, rubella, &amp;lt;i&amp;gt;Toxoplasma&amp;lt;/i&amp;gt; and CMV, respectively. IgG was detected indicating the development of adaptive immunity with all microbes. &amp;lt;b&amp;gt;Conclusion:&amp;lt;/b&amp;gt; Current study detected a correlation between vitamin D levels and HSV-1 and no correlation between this infection and vitamin D deficiency with the other microbes.","container-title":"Pakistan journal of biological sciences: PJBS","DOI":"10.3923/pjbs.2021.1169.1174","ISSN":"1812-5735","issue":"11","journalAbbreviation":"Pak J Biol Sci","language":"eng","note":"PMID: 34842389","page":"1169-1174","source":"PubMed","title":"Seroprevalence of Toxoplasma gondii, Rubella, Group A Streptococcus, CMV and HSV-1 in COVID-19 Patients with Vitamin D Deficiency","volume":"24","author":[{"family":"Halawi","given":"Mustafa"},{"family":"Al-Hazmi","given":"Ayman"},{"family":"Aljuaid","given":"Abdulelah"},{"family":"Allahyani","given":"Mamdouh"},{"family":"Abdulaziz","given":"Osama"},{"family":"A Almalki","given":"Abdulraheem"},{"family":"Alqurni","given":"Eman"},{"family":"Althibity","given":"Njood"},{"family":"Kuriri","given":"Hadi"},{"family":"Alosimi","given":"Ebtisam"},{"family":"Alsiwiehri","given":"Naif"},{"family":"Almehmadi","given":"Mazen"}],"issued":{"date-parts":[["2021",1]]}}}],"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(14)</w:t>
            </w:r>
            <w:r w:rsidRPr="00A76CA1">
              <w:rPr>
                <w:rFonts w:ascii="Times New Roman" w:hAnsi="Times New Roman"/>
                <w:sz w:val="18"/>
                <w:szCs w:val="18"/>
              </w:rPr>
              <w:fldChar w:fldCharType="end"/>
            </w:r>
          </w:p>
        </w:tc>
        <w:tc>
          <w:tcPr>
            <w:tcW w:w="231" w:type="pct"/>
            <w:vAlign w:val="center"/>
          </w:tcPr>
          <w:p w14:paraId="696FCD70"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2021</w:t>
            </w:r>
          </w:p>
        </w:tc>
        <w:tc>
          <w:tcPr>
            <w:tcW w:w="325" w:type="pct"/>
            <w:vAlign w:val="center"/>
          </w:tcPr>
          <w:p w14:paraId="012923D9"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2250ED5D"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15AEBEBD"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6BD80F3E"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5ACDB705"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20F315DB"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289A40A3"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40AE6B08"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7E4CE61F"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672539C2"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43CBC32B" w14:textId="77777777" w:rsidTr="00A76CA1">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508" w:type="pct"/>
            <w:vAlign w:val="center"/>
          </w:tcPr>
          <w:p w14:paraId="30EF6EFF"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proofErr w:type="spellStart"/>
            <w:r w:rsidRPr="00A76CA1">
              <w:rPr>
                <w:rFonts w:ascii="Times New Roman" w:hAnsi="Times New Roman"/>
                <w:sz w:val="18"/>
                <w:szCs w:val="18"/>
              </w:rPr>
              <w:t>Geraili</w:t>
            </w:r>
            <w:proofErr w:type="spellEnd"/>
            <w:r w:rsidRPr="00A76CA1">
              <w:rPr>
                <w:rFonts w:ascii="Times New Roman" w:hAnsi="Times New Roman"/>
                <w:sz w:val="18"/>
                <w:szCs w:val="18"/>
              </w:rPr>
              <w:t xml:space="preserve"> A,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{"citationID":"N39nbDDR","properties":{"formattedCitation":"(15)","plainCitation":"(15)","noteIndex":0},"citationItems":[{"id":2179,"uris":["http://zotero.org/users/6456139/items/CNGD485A"],"itemData":{"id":2179,"type":"article-journal","abstract":"Toxoplasmosis has been categorized as one of the long-lasting protozoan parasitic infections. It affects almost one-third of the world's population. In recent years, several documented studies have elucidated that infected individuals have a remarkably higher incidence of distinct health problems and show various adverse effects. In the PCR-positive COVID-19 patients in Gonbad-e-Kavus, Kalaleh, and Minoodasht counties in the northern part of Iran from June 2021 to December 2021, we sought to investigate any potential relationships between the severity of COVID-19 symptoms and acute and latent toxoplasmosis caused by Toxoplasma gondii (T. gondii). Whole blood samples of 161 COVID-19 patients with positive PCR. The samples were centrifuged to separate serum and screened for two important antibodies against T. gondii (IgM and IgG) by using ELISA kits for human anti-T. gondii IgM and IgG. Anti-T. gondii IgM and IgG antibodies were detected in 8/161 (5.0%) and 42/161 (26.1%) COVID-19 patients, respectively. No significant relationships were found between Toxoplasma IgM and IgG results with clinical signs, age, sex, contact with animals, comorbidities, and also the mortality rate of people with COVID-19. These findings showed that acute and latent toxoplasmosis infections are common among patients with COVID-19; however, no significant associations were found between toxoplasma infections and the symptoms of COVID-19. Therefore, toxoplasmosis is not considered a risk factor for COVID-19.","container-title":"Journal of Parasitic Diseases: Official Organ of the Indian Society for Parasitology","DOI":"10.1007/s12639-022-01556-5","ISSN":"0971-7196","issue":"1","journalAbbreviation":"J Parasit Dis","language":"eng","note":"PMID: 36532601\nPMCID: PMC9998753","page":"1-7","source":"PubMed","title":"Toxoplasmosis and symptoms severity in patients with COVID-19 in referral centers in Northern Iran","volume":"47","author":[{"family":"Geraili","given":"Ali"},{"family":"Badirzadeh","given":"Alireza"},{"family":"Sadeghi","given":"Maryam"},{"family":"Mousavi","given":"Seyed Mahmoud"},{"family":"Mousavi","given":"Parisa"},{"family":"Shahmoradi","given":"Zabihollah"},{"family":"Hosseini","given":"Sayed-Mohsen"},{"family":"Hejazi","given":"Seyed Hossein"},{"family":"Rafiei-Sefiddashti","given":"Raheleh"}],"issued":{"date-parts":[["2022",12,11]]}}}],"schema":"https://github.com/citation-style-language/schema/raw/master/csl-citation.json"}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(15)</w:t>
            </w:r>
            <w:r w:rsidRPr="00A76CA1">
              <w:rPr>
                <w:rFonts w:ascii="Times New Roman" w:hAnsi="Times New Roman"/>
                <w:sz w:val="18"/>
                <w:szCs w:val="18"/>
              </w:rPr>
              <w:fldChar w:fldCharType="end"/>
            </w:r>
          </w:p>
        </w:tc>
        <w:tc>
          <w:tcPr>
            <w:tcW w:w="231" w:type="pct"/>
            <w:vAlign w:val="center"/>
          </w:tcPr>
          <w:p w14:paraId="6C81EFD8"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2022</w:t>
            </w:r>
          </w:p>
        </w:tc>
        <w:tc>
          <w:tcPr>
            <w:tcW w:w="325" w:type="pct"/>
            <w:vAlign w:val="center"/>
          </w:tcPr>
          <w:p w14:paraId="4FDB2F0C"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26A8C9AF"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344E0EC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31989CD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46C69E34"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4CB01B83"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1B1C5CA4"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2A1AB035"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5CE6B6AC"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19FAC106"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35C3021F" w14:textId="77777777" w:rsidTr="00A76CA1">
        <w:trPr>
          <w:trHeight w:val="424"/>
        </w:trPr>
        <w:tc>
          <w:tcPr>
            <w:cnfStyle w:val="001000000000" w:firstRow="0" w:lastRow="0" w:firstColumn="1" w:lastColumn="0" w:oddVBand="0" w:evenVBand="0" w:oddHBand="0" w:evenHBand="0" w:firstRowFirstColumn="0" w:firstRowLastColumn="0" w:lastRowFirstColumn="0" w:lastRowLastColumn="0"/>
            <w:tcW w:w="508" w:type="pct"/>
            <w:vAlign w:val="center"/>
          </w:tcPr>
          <w:p w14:paraId="7B0B271A"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Montazeri M,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{"citationID":"LqUPy3Nh","properties":{"formattedCitation":"(16)","plainCitation":"(16)","noteIndex":0},"citationItems":[{"id":2194,"uris":["http://zotero.org/users/6456139/items/GMYWFKCS"],"itemData":{"id":2194,"type":"article-journal","abstract":"PURPOSE: This study aimed to determine the possible association between Toxoplasma gondii infection and COVID-19 outcomes among 133 patients with an RT-PCR-positive test for severe acute respiratory syndrome coronavirus 2 (SARS-CoV-2), hospitalized at Imam Khomeini Hospital, Sari, Mazandaran Province, northern Iran, during August to November 2020.\nMETHODS: A questionnaire was used to collect baseline data from the patients who were registered to the Iranian National Registry Center for Toxoplasmosis (INRCT). Also, blood samples were taken from each patient for detecting anti-T. gondii antibodies and T. gondii DNA using enzyme-linked immunosorbent assay (ELISA) and conventional-PCR methods, respectively. Variables related to the COVID-19 severity and outcomes were indicated based on multiple multinomial logistic regression models.\nRESULTS: Of 133 patients enrolled in the INRCT with COVID-19 through RT-PCR, 50 (37.59%), 52 (39.1%), and 31 (23%) suffered from mild, moderate, and severe COVID-19, respectively. 57.1% of the patients who died had severe COVID-19, while among those with other outcomes, only 18.60% had severe COVID-19 (P &lt; 0.05). Anti-T. gondii IgG was detected in 109/133 (81.95%) patients, which was not statistically significant (P &gt; 0.05). Among those with negative and positive anti-T. gondii IgG, 2 (8.30%) and 29 (26.60%) had severe COVID-19, respectively (P &gt; 0.05). T. gondii DNA and anti-T. gondii IgM were not found in any of the patients. Moreover, all deaths occurred in those with moderate or severe COVID-19 and a positive anti-T. gondii IgG.\nCONCLUSION: To our knowledge, this is the first registry-based study concerning T. gondii infection among patients with COVID-19. Our data show the high rate of latent T. gondii infection among COVID-19 with different severity. However, there is no significant relationship between latent T. gondii infection and COVID-19 severity and outcomes. Thus, conducting multicenter studies in different geographic regions of the world could offer a better understanding of this relationship.","container-title":"Acta Parasitologica","DOI":"10.1007/s11686-022-00559-9","ISSN":"1896-1851","issue":"3","journalAbbreviation":"Acta Parasitol","language":"eng","note":"PMID: 35545737\nPMCID: PMC9094600","page":"1172-1179","source":"PubMed","title":"Exploring the Association Between Latent Toxoplasma gondii Infection and COVID-19 in Hospitalized Patients: First Registry-Based Study","title-short":"Exploring the Association Between Latent Toxoplasma gondii Infection and COVID-19 in Hospitalized Patients","volume":"67","author":[{"family":"Montazeri","given":"Mahbobeh"},{"family":"Nakhaei","given":"Maryam"},{"family":"Fakhar","given":"Mahdi"},{"family":"Pazoki","given":"Hossein"},{"family":"Pagheh","given":"Abdol Sattar"},{"family":"Nazar","given":"Eisa"},{"family":"Zakariaei","given":"Zakaria"},{"family":"Mirzaeian","given":"Hadi"},{"family":"Sharifpour","given":"Ali"},{"family":"Banimostafavi","given":"Elham Sadat"},{"family":"Musavi","given":"Fatemeh"},{"family":"Rasouli","given":"Kimia"},{"family":"Soleymani","given":"Mostafa"},{"family":"Moradi","given":"Elahe"}],"issued":{"date-parts":[["2022",9]]}}}],"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(16)</w:t>
            </w:r>
            <w:r w:rsidRPr="00A76CA1">
              <w:rPr>
                <w:rFonts w:ascii="Times New Roman" w:hAnsi="Times New Roman"/>
                <w:sz w:val="18"/>
                <w:szCs w:val="18"/>
              </w:rPr>
              <w:fldChar w:fldCharType="end"/>
            </w:r>
          </w:p>
        </w:tc>
        <w:tc>
          <w:tcPr>
            <w:tcW w:w="231" w:type="pct"/>
            <w:vAlign w:val="center"/>
          </w:tcPr>
          <w:p w14:paraId="75E81285"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2022</w:t>
            </w:r>
          </w:p>
        </w:tc>
        <w:tc>
          <w:tcPr>
            <w:tcW w:w="325" w:type="pct"/>
            <w:vAlign w:val="center"/>
          </w:tcPr>
          <w:p w14:paraId="631B5EBE"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2C0E848E"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43FFF3C8"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4D382256"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7D8A1F8B"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36E923B0"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290AEB15"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22E95DCC"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6DC0146D"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7CDC9813"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3B9942CC" w14:textId="77777777" w:rsidTr="00A76CA1">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508" w:type="pct"/>
            <w:vAlign w:val="center"/>
          </w:tcPr>
          <w:p w14:paraId="1535246C"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Galván-Ramírez MdlL,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{"citationID":"zBHQChUR","properties":{"formattedCitation":"(9)","plainCitation":"(9)","noteIndex":0},"citationItems":[{"id":11452,"uris":["http://zotero.org/users/6456139/items/ZV8AGTUU"],"itemData":{"id":11452,"type":"article-journal","abstract":"SARS-CoV-2 is the causal agent of COVID-19; the first report of SARS-CoV-2 infection was in December 2019 in Wuhan, China. This virus has since caused the largest pandemic in history, and the number of deaths and infections has been significant. Nevertheless, the development of vaccines has helped to reduce both deaths and infections. Comorbidities such as diabetes, hypertension, heart and lung diseases, and obesity have been identified as additional risk factors for infection and the progression of COVID-19. Additionally, latent toxoplasmosis has been reported to be a risk factor for acquiring COVID-19 in some studies, but other studies have suggested a negative association between these two infections. Furthermore, in patients after vaccination or with COVID-19 and coinfection, an increase in the lethality and mortality of toxoplasmosis has been observed. Therefore, the objective of the current study is to determine the association of toxoplasmosis with COVID-19 in patients diagnosed with COVID-19. Serum samples from 384 patients previously diagnosed with COVID-19 using IgG antibodies against the S1/S2 antigens of SARS-CoV-2 were collected. Subsequently, anti-Toxoplasma IgG and IgM antibodies were analyzed with ELISA. Statistical analysis was performed using SPSS Version 20.0 frequencies, percentages, 2 × 2 tables, and the Pearson correlation coefficient. IgG and IgM anti-Toxoplasma antibodies were positive in 105/384 (27.34%) and (26/191) 13.6% of patients, respectively. The positivity for both infections was higher in patients aged &gt;40 years old. Subjects who were overweight or obese were mainly positive for both IgG antibodies against S1/S2 SARS-CoV-2 and Toxoplasma antibodies. In conclusion, the coinfection rate was 21.7%. The prevalence of S1/S2 SARS-CoV-2 was 308/384 (80.2%), and the percentage of Toxoplasma antibodies was 27.34%.","container-title":"Microorganisms","DOI":"10.3390/microorganisms11061441","ISSN":"2076-2607","issue":"6","language":"en","license":"http://creativecommons.org/licenses/by/3.0/","note":"number: 6\npublisher: Multidisciplinary Digital Publishing Institute","page":"1441","source":"www.mdpi.com","title":"Association of Toxoplasmosis and COVID-19 in a Mexican Population","volume":"11","author":[{"family":"Galván-Ramírez","given":"María de la Luz"},{"family":"Salas-Lais","given":"Angel Gustavo"},{"family":"Muñoz-Medina","given":"José Esteban"},{"family":"Fernandes-Matano","given":"Larissa"},{"family":"Pérez","given":"Laura Rocío Rodríguez"},{"family":"Franco de León","given":"Karen"}],"issued":{"date-parts":[["2023",6]]}}}],"schema":"https://github.com/citation-style-language/schema/raw/master/csl-citation.json"}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(9)</w:t>
            </w:r>
            <w:r w:rsidRPr="00A76CA1">
              <w:rPr>
                <w:rFonts w:ascii="Times New Roman" w:hAnsi="Times New Roman"/>
                <w:sz w:val="18"/>
                <w:szCs w:val="18"/>
              </w:rPr>
              <w:fldChar w:fldCharType="end"/>
            </w:r>
          </w:p>
        </w:tc>
        <w:tc>
          <w:tcPr>
            <w:tcW w:w="231" w:type="pct"/>
            <w:vAlign w:val="center"/>
          </w:tcPr>
          <w:p w14:paraId="32C30FD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2023</w:t>
            </w:r>
          </w:p>
        </w:tc>
        <w:tc>
          <w:tcPr>
            <w:tcW w:w="325" w:type="pct"/>
            <w:vAlign w:val="center"/>
          </w:tcPr>
          <w:p w14:paraId="00426A78"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0EFB3126"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55993115"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70FCD643"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2EB4C06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6744FC6A"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5C944AAB"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40016BFF"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1198E25E"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3130E3A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62380E21" w14:textId="77777777" w:rsidTr="00A76CA1">
        <w:trPr>
          <w:trHeight w:val="424"/>
        </w:trPr>
        <w:tc>
          <w:tcPr>
            <w:cnfStyle w:val="001000000000" w:firstRow="0" w:lastRow="0" w:firstColumn="1" w:lastColumn="0" w:oddVBand="0" w:evenVBand="0" w:oddHBand="0" w:evenHBand="0" w:firstRowFirstColumn="0" w:firstRowLastColumn="0" w:lastRowFirstColumn="0" w:lastRowLastColumn="0"/>
            <w:tcW w:w="508" w:type="pct"/>
            <w:vAlign w:val="center"/>
          </w:tcPr>
          <w:p w14:paraId="01A46581"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Habib S,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{"citationID":"IvulXnaC","properties":{"formattedCitation":"(17)","plainCitation":"(17)","noteIndex":0},"citationItems":[{"id":13532,"uris":["http://zotero.org/users/6456139/items/W3W3WITV"],"itemData":{"id":13532,"type":"article-journal","abstract":"Background Parasites are well-known immune-modulators. They inhibit some aspects of the immune system to ensure persistence inside the host for a long time; meanwhile, they stimulate other immune aspects to assure the survival of the host. Wide variations in the severity of coronavirus disease 2019 (COVID-19) among developed and developing countries were reported during the COVID-19 pandemic. Parasitic infections, including Toxoplasma gondii (T. gondii), were claimed to contribute to such variations. Methods To explore a possible relationship between latent toxoplasmosis and COVID-19 severity, our study included 44 blood samples from moderate/severe COVID-19 patients, who were admitted to Mansoura University Hospitals, Egypt, during the pandemic. Patients' sera were screened for Toxoplasma IgG antibodies using ELISA (Roche Diagnostics, Indianapolis, USA), and the gene expression of important immune markers (iNOS, arginase-1, IFN-γ, TNF-α, IL-6, IL-10, and TGF-β) was checked using real-time quantitative PCR. Clinical and laboratory data were obtained from the patients' medical records. Results Toxoplasma IgG antibodies were detected in 33 (75%) of patients. None of the studied clinical or laboratory parameters showed any significant changes in relation to toxoplasmosis seroprevalence. Further classification of the patients according to COVID-19 severity and Toxoplasma seroprevalence did not reveal any changes related to toxoplasmosis as well. Conclusion Our study indicates that latent toxoplasmosis has no effect on the severity of COVID-19.","container-title":"Cureus","DOI":"10.7759/cureus.45989","ISSN":"2168-8184","issue":"9","journalAbbreviation":"Cureus","language":"eng","note":"PMID: 37900421\nPMCID: PMC10601516","page":"e45989","source":"PubMed","title":"Clinical and Immunological Impacts of Latent Toxoplasmosis on COVID-19 Patients","volume":"15","author":[{"family":"Habib","given":"Samar"},{"family":"Hamza","given":"Eman"},{"family":"El-Gamal","given":"Randa"},{"family":"Nosser","given":"Nessma A."},{"family":"Aboukamar","given":"Wafaa A."},{"family":"Abdelsalam","given":"Sherehan"},{"family":"Sobh","given":"Ali"},{"family":"Elegezy","given":"Mohamed"},{"family":"Elbayoumy","given":"Mohamed"},{"family":"Eldars","given":"Waleed"},{"family":"Elmasry","given":"Khaled"},{"family":"Elnagdy","given":"Marwa H."}],"issued":{"date-parts":[["2023",9]]}}}],"schema":"https://github.com/citation-style-language/schema/raw/master/csl-citation.json"}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(17)</w:t>
            </w:r>
            <w:r w:rsidRPr="00A76CA1">
              <w:rPr>
                <w:rFonts w:ascii="Times New Roman" w:hAnsi="Times New Roman"/>
                <w:sz w:val="18"/>
                <w:szCs w:val="18"/>
              </w:rPr>
              <w:fldChar w:fldCharType="end"/>
            </w:r>
          </w:p>
        </w:tc>
        <w:tc>
          <w:tcPr>
            <w:tcW w:w="231" w:type="pct"/>
            <w:vAlign w:val="center"/>
          </w:tcPr>
          <w:p w14:paraId="1AD6ADBA"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2023</w:t>
            </w:r>
          </w:p>
        </w:tc>
        <w:tc>
          <w:tcPr>
            <w:tcW w:w="325" w:type="pct"/>
            <w:vAlign w:val="center"/>
          </w:tcPr>
          <w:p w14:paraId="38D38453"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25883BA2"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76647EFB"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086847D1"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2397CE4E"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11D254B7"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4D08A3CE"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5F80FFEF"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72E75574"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2FC636FB"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72A7BC08" w14:textId="77777777" w:rsidTr="00A76CA1">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08" w:type="pct"/>
            <w:vAlign w:val="center"/>
          </w:tcPr>
          <w:p w14:paraId="1B82E4C1"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Mahmoudi MR,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{"citationID":"12Vcr4ZQ","properties":{"formattedCitation":"(18)","plainCitation":"(18)","noteIndex":0},"citationItems":[{"id":13535,"uris":["http://zotero.org/users/6456139/items/NFVDVI6R"],"itemData":{"id":13535,"type":"article-journal","abstract":"BACKGROUND: Immunocompromised patients may be at risk for reactivating the toxoplasmosis infection; therefore, early diagnosis would be highly desirable in these individuals. This study evaluated the possible association between coronavirus disease 2019 (COVID-19) and latent Toxoplasma gondii infection in Guilan province, Iran.\nMATERIALS AND METHODS: The study was performed among 210 COVID-19 patients referred to Guilan University of Medical Sciences hospitals in 2022. Peripheral blood samples were taken for serum separation, collected into tubes, and kept at - 20 °C until use. Blood samples were obtained from COVID-19 patients. IgG antibody to Toxoplasma gondii was detected by a commercial ELISA kit. Accordingly, IgG absorbance levels &lt;9 were considered harmful, 9-11 was considered borderline, and &gt;11 was positive.\nRESULTS: Toxoplasma IgG antibodies were found in 73.9 % of patients with COVID-19 in male patients. The seroprevalence of Toxoplasma in dead and lived COVID-19 male patients was 83.3 % and 66.7 %, respectively, and this difference was significant. A present study found a significant correlation between the rising titer of Toxoplasma IgG and the severity of COVID-19. There was no significant difference between the hospitalization duration factor and the seropositivity rate.\nCONCLUSION: Regarding the significant association between the rising titer of Toxoplasma IgG and the severity of COVID-19. The findings demonstrated an association between the severity and mortality rate of COVID-19 with higher titer Anti-Toxoplasma IgG antibodies. Toxoplasmosis is currently considered a risk factor for COVID-19.","container-title":"Microbial Pathogenesis","DOI":"10.1016/j.micpath.2023.106402","ISSN":"1096-1208","journalAbbreviation":"Microb Pathog","language":"eng","note":"PMID: 37866548","page":"106402","source":"PubMed","title":"Latent toxoplasmosis in COVID-19 patients and link with higher mortality in COVID-19 male patients","volume":"185","author":[{"family":"Mahmoudi","given":"Mohammad Reza"},{"family":"Saadat","given":"Farshid"},{"family":"Yaghubi Kalurazi","given":"Tofigh"},{"family":"Ali Verdiloo","given":"Faizeh"},{"family":"Karanis","given":"Panagiotis"}],"issued":{"date-parts":[["2023",10,21]]}}}],"schema":"https://github.com/citation-style-language/schema/raw/master/csl-citation.json"}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(18)</w:t>
            </w:r>
            <w:r w:rsidRPr="00A76CA1">
              <w:rPr>
                <w:rFonts w:ascii="Times New Roman" w:hAnsi="Times New Roman"/>
                <w:sz w:val="18"/>
                <w:szCs w:val="18"/>
              </w:rPr>
              <w:fldChar w:fldCharType="end"/>
            </w:r>
          </w:p>
        </w:tc>
        <w:tc>
          <w:tcPr>
            <w:tcW w:w="231" w:type="pct"/>
            <w:vAlign w:val="center"/>
          </w:tcPr>
          <w:p w14:paraId="078E6EA6"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2023</w:t>
            </w:r>
          </w:p>
        </w:tc>
        <w:tc>
          <w:tcPr>
            <w:tcW w:w="325" w:type="pct"/>
            <w:vAlign w:val="center"/>
          </w:tcPr>
          <w:p w14:paraId="7E37820F"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32857CA6"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460BC83E"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4D0DC77E"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24AB05D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500CC80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1561843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591AE2A3"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7775762E"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7043C349"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1E081F92" w14:textId="77777777" w:rsidTr="00A76CA1">
        <w:trPr>
          <w:trHeight w:val="424"/>
        </w:trPr>
        <w:tc>
          <w:tcPr>
            <w:cnfStyle w:val="001000000000" w:firstRow="0" w:lastRow="0" w:firstColumn="1" w:lastColumn="0" w:oddVBand="0" w:evenVBand="0" w:oddHBand="0" w:evenHBand="0" w:firstRowFirstColumn="0" w:firstRowLastColumn="0" w:lastRowFirstColumn="0" w:lastRowLastColumn="0"/>
            <w:tcW w:w="508" w:type="pct"/>
            <w:vAlign w:val="center"/>
          </w:tcPr>
          <w:p w14:paraId="27E56A21"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Gouda MA,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{"citationID":"K4vWWvrj","properties":{"formattedCitation":"(19)","plainCitation":"(19)","noteIndex":0},"citationItems":[{"id":13537,"uris":["http://zotero.org/users/6456139/items/WSE5SCTN"],"itemData":{"id":13537,"type":"article-journal","abstract":"The breakthrough infection following COVID-19 vaccination has been a subject of concern recently. Evidence suggests that COVID-19 vaccine efficacy diminishes over time due to multiple factors related to the host, and vaccine. Coinfection with other pathogens was claimed earlier as a contributing cause for this phenomenon. Hence, we aimed to stratify the association of post-COVID-19 vaccination breakthrough coinfection with Toxoplasma gondii (T. gondii) and its impact on disease severity. This cross-sectional study included 330 COVID-19-vaccinated patients confirmed by RT-PCR. They were also screened for anti- T. gondii antibodies using ELISA. Toxoplasma seropositive cases' whole blood was screened for DNA using PCR to correlate results with COVID-19 severity. Out of 330 COVID-19 vaccinated patients with breakthrough infection, 34.5% (114 patients) showed positivity for Toxoplasma IgG by ELISA, and none of the cases was IgM positive. Eleven patients (9.6%) of the IgG-positive cases were positive by PCR. Positive PCR cases correlated positively with the Toxoplasma IgG titer (P &lt; 0.001), and the Cutoff point was 191.5. Molecular analysis of Toxoplasma and COVID-19 severity showed that 8 (72.7%), 1 (9.1%), and 2 cases (18.2%) had mild, moderate, and severe courses of the disease, respectively, with no significant correlation. Our study reported a heightened prevalence of latent toxoplasmosis among mild cases of COVID-19 breakthrough infection. Nevertheless, a discernible correlation between latent toxoplasmosis and COVID-19 severity is lacking. Hence, implementing studies on a larger scale could provide a more comprehensive comprehension of this association.","container-title":"Scientific Reports","DOI":"10.1038/s41598-023-44616-3","ISSN":"2045-2322","issue":"1","journalAbbreviation":"Sci Rep","language":"eng","note":"PMID: 37848511\nPMCID: PMC10582182","page":"17636","source":"PubMed","title":"Association between breakthrough infection with COVID-19 and Toxoplasma gondii: a cross-sectional study","title-short":"Association between breakthrough infection with COVID-19 and Toxoplasma gondii","volume":"13","author":[{"family":"Gouda","given":"Marwa A."},{"family":"AboShabaan","given":"Hind S."},{"family":"Abdelgawad","given":"Ahmed S."},{"family":"Abdel Wahed","given":"Aliaa Sabry"},{"family":"A Abd El-Razik","given":"Khaled"},{"family":"Elsaadawy","given":"Yara"},{"family":"Abdel-Wahab","given":"Ayman A."},{"family":"Hawash","given":"Yousry"}],"issued":{"date-parts":[["2023",10,17]]}}}],"schema":"https://github.com/citation-style-language/schema/raw/master/csl-citation.json"}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(19)</w:t>
            </w:r>
            <w:r w:rsidRPr="00A76CA1">
              <w:rPr>
                <w:rFonts w:ascii="Times New Roman" w:hAnsi="Times New Roman"/>
                <w:sz w:val="18"/>
                <w:szCs w:val="18"/>
              </w:rPr>
              <w:fldChar w:fldCharType="end"/>
            </w:r>
          </w:p>
        </w:tc>
        <w:tc>
          <w:tcPr>
            <w:tcW w:w="231" w:type="pct"/>
            <w:vAlign w:val="center"/>
          </w:tcPr>
          <w:p w14:paraId="27254B22"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2023</w:t>
            </w:r>
          </w:p>
        </w:tc>
        <w:tc>
          <w:tcPr>
            <w:tcW w:w="325" w:type="pct"/>
            <w:vAlign w:val="center"/>
          </w:tcPr>
          <w:p w14:paraId="5CC01457"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4FD94843"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5DB61971"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2DFADB7E"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0BC349A4"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5DECDC63"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62CFAA90"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53CF4608"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51BE7413"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1277EE92"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1B23E88D" w14:textId="77777777" w:rsidTr="00A76CA1">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08" w:type="pct"/>
            <w:vAlign w:val="center"/>
          </w:tcPr>
          <w:p w14:paraId="38AFF749"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Gouda MA,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{"citationID":"l2g2lhIl","properties":{"formattedCitation":"(20)","plainCitation":"(20)","noteIndex":0},"citationItems":[{"id":13653,"uris":["http://zotero.org/users/6456139/items/9FN8CYNP"],"itemData":{"id":13653,"type":"article-journal","abstract":"Toxoplasma gondii is associated with viral infections like cytomegalovirus (CMV), and humanimmunodeficiency virus (HIV), and an important a factor in SARS-COV-2 global pandemic.This study investigated the potential attribution of T. gondii as a risk factor in COVID-19 infectionafter vaccination and to detect associated hematological and biochemical parameters.Out of 375 COVID-19 patients enrolled in the study, latent toxoplasmosis was detected in108/375 (28.8%) patients. Regarding hematological parameters, a significant difference was reportedin white blood cells, lymphocyte, and neutrophil counts. Biochemical parameters, LDH(426.5±446.4), ferritin (453.71±283.36), and D-dimer (603.43±519.13) were significant amongcases. The current work highlights the role of toxoplasmosis in COVID infections followingvaccination through the changes in the hematological and biochemical parameters","container-title":"Journal of the Egyptian Society of Parasitology","DOI":"10.21608/jesp.2023.312186","ISSN":"1110-0583","issue":"2","note":"publisher: The Egyptian Society of Parasitology","page":"381-386","source":"jesp.journals.ekb.eg","title":"TOXOPLASMOSIS IN VACCINATED COVID-19 PATIENTS","volume":"53","author":[{"family":"Gouda","given":"Marwa Ahmed"},{"family":"Aboshabaan","given":"Hind Saad"},{"family":"Abdelgawad","given":"Ahmed Salah"},{"family":"Wahed","given":"Aliaa Sabry Abdel"},{"family":"Ibrahim","given":"Asmaa Fahmy"}],"issued":{"date-parts":[["2023",8,1]]}}}],"schema":"https://github.com/citation-style-language/schema/raw/master/csl-citation.json"}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(20)</w:t>
            </w:r>
            <w:r w:rsidRPr="00A76CA1">
              <w:rPr>
                <w:rFonts w:ascii="Times New Roman" w:hAnsi="Times New Roman"/>
                <w:sz w:val="18"/>
                <w:szCs w:val="18"/>
              </w:rPr>
              <w:fldChar w:fldCharType="end"/>
            </w:r>
          </w:p>
        </w:tc>
        <w:tc>
          <w:tcPr>
            <w:tcW w:w="231" w:type="pct"/>
            <w:vAlign w:val="center"/>
          </w:tcPr>
          <w:p w14:paraId="51AE7DCA"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2023</w:t>
            </w:r>
          </w:p>
        </w:tc>
        <w:tc>
          <w:tcPr>
            <w:tcW w:w="325" w:type="pct"/>
            <w:vAlign w:val="center"/>
          </w:tcPr>
          <w:p w14:paraId="2E1C9928"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1A2C6727"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347E11EB"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63823A89"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160C95A1"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7BD4FEA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353948B8"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71A799C6"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45C34674"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6F729DF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6592ABC3" w14:textId="77777777" w:rsidTr="00A76CA1">
        <w:trPr>
          <w:trHeight w:val="424"/>
        </w:trPr>
        <w:tc>
          <w:tcPr>
            <w:cnfStyle w:val="001000000000" w:firstRow="0" w:lastRow="0" w:firstColumn="1" w:lastColumn="0" w:oddVBand="0" w:evenVBand="0" w:oddHBand="0" w:evenHBand="0" w:firstRowFirstColumn="0" w:firstRowLastColumn="0" w:lastRowFirstColumn="0" w:lastRowLastColumn="0"/>
            <w:tcW w:w="508" w:type="pct"/>
            <w:vAlign w:val="center"/>
          </w:tcPr>
          <w:p w14:paraId="4B9D2397"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r w:rsidRPr="00A76CA1">
              <w:rPr>
                <w:rFonts w:ascii="Times New Roman" w:hAnsi="Times New Roman"/>
                <w:sz w:val="18"/>
                <w:szCs w:val="18"/>
              </w:rPr>
              <w:t xml:space="preserve">Hasanzadeh M,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{"citationID":"838186uR","properties":{"formattedCitation":"(21)","plainCitation":"(21)","noteIndex":0},"citationItems":[{"id":14211,"uris":["http://zotero.org/users/6456139/items/XI8JTT5Y"],"itemData":{"id":14211,"type":"article-journal","abstract":"BACKGROUND: Toxoplasmosis is a serious or life-threatening disease in immunosuppressed patients and pregnant women. This study examined the likely association between Toxoplasma gondii infection and COVID-19 patients with moderate illness.\nMETHODS: Seventy blood samples were collected from patients at the Health Reference Laboratory of Tabriz, Northwest Iran from April 2021 to September 2021. In addition, 70 healthy subjects of the same age (37 ± 15 years) and sex distribution were ethnically matched. Sera samples were examined for the detection of anti-Toxoplasma antibodies using ELISA. Nested-PCR targets were amplified based on the B1 and GRA6 genes. GRA6 amplicons were subjected to sequencing and phylogenetic analysis.\nRESULTS: The seroprevalence of toxoplasmosis based on IgG titer was 35.7% in the COVID‑19 patients and 27.1% in the control group, representing not to be associated with the Toxoplasma seropositivity in COVID‑19 patients (P = 0.18) compared to healthy subjects. Anti-T. gondii IgM was not found in any of the patients and healthy individuals. According to PCR amplification of the B1 and GRA6 genes, the frequency of T. gondii in COVID-19 patients was 14.2% (10/70). However, no T. gondii infection was detected in the healthy group. The CD4+T cell count was relatively lower in toxoplasmosis-infected patients (430-450 cells/mm3) than in control group (500-1500 cells/mm3). High genetic diversity (Hd: 0.710) of the type I strain of T. gondii was characterized in the patients. Present results showed that consumption of raw vegetables and close contact with stray cats can increase the transmission of T. gondii to COVID-19 patients (P &lt; 0.01).\nCONCLUSIONS: The current study revealed that T. gondii type I infection is unequivocally circulating among the COVID-19 patients in Tabriz; However, no significant association was observed between the occurrence of Toxoplasma and the severity of COVID-19. To make more accurate health decisions, multicenter investigations with a larger sample size of different ethnic groups of the Iranian population are needed.","container-title":"BMC infectious diseases","DOI":"10.1186/s12879-023-08964-9","ISSN":"1471-2334","issue":"1","journalAbbreviation":"BMC Infect Dis","language":"eng","note":"PMID: 38172676\nPMCID: PMC10763165","page":"42","source":"PubMed","title":"Genetic diversity and seroprevalence of Toxoplasma gondii in COVID‑19 patients; a first case-control study in Iran","volume":"24","author":[{"family":"Hasanzadeh","given":"Mehdi"},{"family":"Ahmadpour","given":"Ehsan"},{"family":"Mahami-Oskouei","given":"Mahmoud"},{"family":"Musavi","given":"Saeed"},{"family":"Parsaei","given":"Mahdi"},{"family":"Sarafraz","given":"Nazila"},{"family":"Spotin","given":"Adel"}],"issued":{"date-parts":[["2024",1,3]]}}}],"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(21)</w:t>
            </w:r>
            <w:r w:rsidRPr="00A76CA1">
              <w:rPr>
                <w:rFonts w:ascii="Times New Roman" w:hAnsi="Times New Roman"/>
                <w:sz w:val="18"/>
                <w:szCs w:val="18"/>
              </w:rPr>
              <w:fldChar w:fldCharType="end"/>
            </w:r>
          </w:p>
        </w:tc>
        <w:tc>
          <w:tcPr>
            <w:tcW w:w="231" w:type="pct"/>
            <w:vAlign w:val="center"/>
          </w:tcPr>
          <w:p w14:paraId="666B44CD"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2024</w:t>
            </w:r>
          </w:p>
        </w:tc>
        <w:tc>
          <w:tcPr>
            <w:tcW w:w="325" w:type="pct"/>
            <w:vAlign w:val="center"/>
          </w:tcPr>
          <w:p w14:paraId="3C3B4A5C"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49A075C0"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2BD227C9"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384D061D"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7DF053EF"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07D0EA05"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74AE6E65"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62CE1BD0"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180DF5F9"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6AA20B26" w14:textId="77777777" w:rsidR="00A76CA1" w:rsidRPr="00A76CA1" w:rsidRDefault="00A76CA1" w:rsidP="00DE16A9">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r w:rsidR="00A76CA1" w:rsidRPr="00A76CA1" w14:paraId="0DA40746" w14:textId="77777777" w:rsidTr="00A76CA1">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08" w:type="pct"/>
            <w:vAlign w:val="center"/>
          </w:tcPr>
          <w:p w14:paraId="46D43473" w14:textId="77777777" w:rsidR="00A76CA1" w:rsidRPr="00A76CA1" w:rsidRDefault="00A76CA1" w:rsidP="00DE16A9">
            <w:pPr>
              <w:tabs>
                <w:tab w:val="left" w:pos="7925"/>
              </w:tabs>
              <w:autoSpaceDE w:val="0"/>
              <w:autoSpaceDN w:val="0"/>
              <w:adjustRightInd w:val="0"/>
              <w:snapToGrid w:val="0"/>
              <w:spacing w:line="240" w:lineRule="auto"/>
              <w:jc w:val="center"/>
              <w:rPr>
                <w:rFonts w:ascii="Times New Roman" w:hAnsi="Times New Roman"/>
                <w:sz w:val="18"/>
                <w:szCs w:val="18"/>
              </w:rPr>
            </w:pPr>
            <w:proofErr w:type="spellStart"/>
            <w:r w:rsidRPr="00A76CA1">
              <w:rPr>
                <w:rFonts w:ascii="Times New Roman" w:hAnsi="Times New Roman"/>
                <w:sz w:val="18"/>
                <w:szCs w:val="18"/>
              </w:rPr>
              <w:t>Abdeltawab</w:t>
            </w:r>
            <w:proofErr w:type="spellEnd"/>
            <w:r w:rsidRPr="00A76CA1">
              <w:rPr>
                <w:rFonts w:ascii="Times New Roman" w:hAnsi="Times New Roman"/>
                <w:sz w:val="18"/>
                <w:szCs w:val="18"/>
              </w:rPr>
              <w:t xml:space="preserve"> MSA, et al. </w:t>
            </w:r>
            <w:r w:rsidRPr="00A76CA1">
              <w:rPr>
                <w:rFonts w:ascii="Times New Roman" w:hAnsi="Times New Roman"/>
                <w:sz w:val="18"/>
                <w:szCs w:val="18"/>
              </w:rPr>
              <w:fldChar w:fldCharType="begin"/>
            </w:r>
            <w:r w:rsidRPr="00A76CA1">
              <w:rPr>
                <w:rFonts w:ascii="Times New Roman" w:hAnsi="Times New Roman"/>
                <w:sz w:val="18"/>
                <w:szCs w:val="18"/>
              </w:rPr>
              <w:instrText xml:space="preserve"> ADDIN ZOTERO_ITEM CSL_CITATION {"citationID":"LmEySCTr","properties":{"formattedCitation":"(22)","plainCitation":"(22)","noteIndex":0},"citationItems":[{"id":14217,"uris":["http://zotero.org/users/6456139/items/9MSBQH2C"],"itemData":{"id":14217,"type":"article-journal","abstract":"The symptomatology of COVID-19 is dependent on the immune status and the cytokine response of the host. The cytokine level of the host is influenced by the presence of chronic persistent or latent infections with co-pathogens. Parasitic diseases are known to induce host immune-modulation which may impact the response to co-infection. Toxoplasmosis is a widespread protozoal infection that remains quiescent in its latent form to be re-activated during states of immune depression. Clinical data on the relation between toxoplasmosis and COVID-19 cytokine profile and symptomatology are still insufficient. Seventy-nine subjects were included in this study. Patients were diagnosed with COVID-19 by PCR. Serological testing for toxoplasmosis was performed by the detection of anti-Toxoplasma IgG antibodies, in addition to IgG avidity testing. IFN-γ and TNF-α levels were determined by RT-PCR. Among patients diagnosed with COVID-19, 67.1% were seronegative for anti-Toxoplasma IgG, while 32.9% were seropositive. High avidity was found in 10 cases (40% of seropositive cases), 4 of whom required ICU administration, while low avidity was found in 15 cases (60%), 7 of which were administered to the ICU. TNF-α and INF-γ levels were significantly higher in COVID-19 patients than in healthy control subjects. No significant association was found between the seroprevalence of toxoplasmosis and the presence of COVID-19 and its severity. Cytokines were significantly higher in both seropositive and seronegative COVID-19 patients than in their control counterparts. The high prevalence of toxoplasmosis merits further exploration of its relation to COVID-19 by mass studies.","container-title":"Cytokine","DOI":"10.1016/j.cyto.2024.156545","ISSN":"1096-0023","journalAbbreviation":"Cytokine","language":"eng","note":"PMID: 38368695","page":"156545","source":"PubMed","title":"Effect of SARS-CoV-2 and Toxoplasma gondii co-infection on IFN-γ and TNF-α expression and its impact on disease severity","volume":"177","author":[{"family":"Abdeltawab","given":"Magda S. A."},{"family":"Fateen","given":"Mohamed"},{"family":"Saad El-Din","given":"Shimaa"},{"family":"Elmessiery","given":"Riem M."},{"family":"Mohammady Mohamed","given":"Osama"},{"family":"Marzouk Sadek","given":"Khaled"},{"family":"Medhat","given":"Engy"},{"family":"Hamed","given":"Alshaimaa M. R."}],"issued":{"date-parts":[["2024",2,17]]}}}],"schema":"https://github.com/citation-style-language/schema/raw/master/csl-citation.json"} </w:instrText>
            </w:r>
            <w:r w:rsidRPr="00A76CA1">
              <w:rPr>
                <w:rFonts w:ascii="Times New Roman" w:hAnsi="Times New Roman"/>
                <w:sz w:val="18"/>
                <w:szCs w:val="18"/>
              </w:rPr>
              <w:fldChar w:fldCharType="separate"/>
            </w:r>
            <w:r w:rsidRPr="00A76CA1">
              <w:rPr>
                <w:rFonts w:ascii="Times New Roman" w:hAnsi="Times New Roman"/>
                <w:sz w:val="18"/>
              </w:rPr>
              <w:t>(22)</w:t>
            </w:r>
            <w:r w:rsidRPr="00A76CA1">
              <w:rPr>
                <w:rFonts w:ascii="Times New Roman" w:hAnsi="Times New Roman"/>
                <w:sz w:val="18"/>
                <w:szCs w:val="18"/>
              </w:rPr>
              <w:fldChar w:fldCharType="end"/>
            </w:r>
          </w:p>
        </w:tc>
        <w:tc>
          <w:tcPr>
            <w:tcW w:w="231" w:type="pct"/>
            <w:vAlign w:val="center"/>
          </w:tcPr>
          <w:p w14:paraId="55ED0D19"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2024</w:t>
            </w:r>
          </w:p>
        </w:tc>
        <w:tc>
          <w:tcPr>
            <w:tcW w:w="325" w:type="pct"/>
            <w:vAlign w:val="center"/>
          </w:tcPr>
          <w:p w14:paraId="021C5273"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1393BB81"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647" w:type="pct"/>
            <w:vAlign w:val="center"/>
          </w:tcPr>
          <w:p w14:paraId="258D0069"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2D557DA2"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8" w:type="pct"/>
            <w:vAlign w:val="center"/>
          </w:tcPr>
          <w:p w14:paraId="43C18040"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6" w:type="pct"/>
            <w:vAlign w:val="center"/>
          </w:tcPr>
          <w:p w14:paraId="7161ED44"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NA</w:t>
            </w:r>
          </w:p>
        </w:tc>
        <w:tc>
          <w:tcPr>
            <w:tcW w:w="464" w:type="pct"/>
            <w:vAlign w:val="center"/>
          </w:tcPr>
          <w:p w14:paraId="54D8379F"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417" w:type="pct"/>
            <w:vAlign w:val="center"/>
          </w:tcPr>
          <w:p w14:paraId="05DABA96"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Yes</w:t>
            </w:r>
          </w:p>
        </w:tc>
        <w:tc>
          <w:tcPr>
            <w:tcW w:w="277" w:type="pct"/>
            <w:vAlign w:val="center"/>
          </w:tcPr>
          <w:p w14:paraId="3334CE94"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6</w:t>
            </w:r>
          </w:p>
        </w:tc>
        <w:tc>
          <w:tcPr>
            <w:tcW w:w="462" w:type="pct"/>
            <w:vAlign w:val="center"/>
          </w:tcPr>
          <w:p w14:paraId="0BE5E58D" w14:textId="77777777" w:rsidR="00A76CA1" w:rsidRPr="00A76CA1" w:rsidRDefault="00A76CA1" w:rsidP="00DE16A9">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A76CA1">
              <w:rPr>
                <w:rFonts w:ascii="Times New Roman" w:hAnsi="Times New Roman"/>
                <w:sz w:val="18"/>
                <w:szCs w:val="18"/>
              </w:rPr>
              <w:t>Moderate</w:t>
            </w:r>
          </w:p>
        </w:tc>
      </w:tr>
    </w:tbl>
    <w:p w14:paraId="1ED00E17" w14:textId="77777777" w:rsidR="00117115" w:rsidRPr="005A7747" w:rsidRDefault="00117115">
      <w:pPr>
        <w:spacing w:line="240" w:lineRule="auto"/>
        <w:jc w:val="left"/>
        <w:rPr>
          <w:rFonts w:ascii="Times New Roman" w:eastAsia="Times New Roman" w:hAnsi="Times New Roman"/>
          <w:snapToGrid w:val="0"/>
          <w:sz w:val="22"/>
          <w:szCs w:val="22"/>
          <w:lang w:eastAsia="de-DE" w:bidi="en-US"/>
        </w:rPr>
      </w:pPr>
    </w:p>
    <w:p w14:paraId="2197B5A3" w14:textId="01981998" w:rsidR="008A21AC" w:rsidRPr="005A7747" w:rsidRDefault="00506553" w:rsidP="000E71EA">
      <w:pPr>
        <w:spacing w:line="240" w:lineRule="auto"/>
        <w:jc w:val="center"/>
        <w:rPr>
          <w:rFonts w:ascii="Times New Roman" w:hAnsi="Times New Roman"/>
          <w:sz w:val="22"/>
        </w:rPr>
      </w:pPr>
      <w:r w:rsidRPr="005A7747">
        <w:rPr>
          <w:rFonts w:ascii="Times New Roman" w:hAnsi="Times New Roman"/>
          <w:sz w:val="16"/>
          <w:szCs w:val="14"/>
        </w:rPr>
        <w:t>NA: Not assessed</w:t>
      </w:r>
    </w:p>
    <w:sectPr w:rsidR="008A21AC" w:rsidRPr="005A7747" w:rsidSect="000E71EA">
      <w:headerReference w:type="even" r:id="rId8"/>
      <w:footerReference w:type="default" r:id="rId9"/>
      <w:footerReference w:type="first" r:id="rId10"/>
      <w:pgSz w:w="16838" w:h="11906" w:orient="landscape" w:code="9"/>
      <w:pgMar w:top="1701" w:right="1418" w:bottom="1701" w:left="1418" w:header="1021" w:footer="340" w:gutter="0"/>
      <w:cols w:space="425"/>
      <w:titlePg/>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0ABA9" w14:textId="77777777" w:rsidR="00611183" w:rsidRDefault="00611183">
      <w:pPr>
        <w:spacing w:line="240" w:lineRule="auto"/>
      </w:pPr>
      <w:r>
        <w:separator/>
      </w:r>
    </w:p>
  </w:endnote>
  <w:endnote w:type="continuationSeparator" w:id="0">
    <w:p w14:paraId="6F6920EB" w14:textId="77777777" w:rsidR="00611183" w:rsidRDefault="006111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4743059"/>
      <w:docPartObj>
        <w:docPartGallery w:val="Page Numbers (Bottom of Page)"/>
        <w:docPartUnique/>
      </w:docPartObj>
    </w:sdtPr>
    <w:sdtContent>
      <w:p w14:paraId="5A857558" w14:textId="523A303B" w:rsidR="006709DB" w:rsidRDefault="006709DB">
        <w:pPr>
          <w:pStyle w:val="Piedepgina"/>
          <w:jc w:val="right"/>
        </w:pPr>
        <w:r>
          <w:fldChar w:fldCharType="begin"/>
        </w:r>
        <w:r>
          <w:instrText>PAGE   \* MERGEFORMAT</w:instrText>
        </w:r>
        <w:r>
          <w:fldChar w:fldCharType="separate"/>
        </w:r>
        <w:r>
          <w:rPr>
            <w:lang w:val="es-ES"/>
          </w:rPr>
          <w:t>2</w:t>
        </w:r>
        <w:r>
          <w:fldChar w:fldCharType="end"/>
        </w:r>
      </w:p>
    </w:sdtContent>
  </w:sdt>
  <w:p w14:paraId="48FE6F20" w14:textId="77777777" w:rsidR="00E90986" w:rsidRPr="00590BF9" w:rsidRDefault="00E90986" w:rsidP="00E90986">
    <w:pPr>
      <w:pStyle w:val="Piedepgin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9677028"/>
      <w:docPartObj>
        <w:docPartGallery w:val="Page Numbers (Bottom of Page)"/>
        <w:docPartUnique/>
      </w:docPartObj>
    </w:sdtPr>
    <w:sdtContent>
      <w:p w14:paraId="451E74C4" w14:textId="7AA2D2FC" w:rsidR="00982E66" w:rsidRDefault="00982E66">
        <w:pPr>
          <w:pStyle w:val="Piedepgina"/>
          <w:jc w:val="right"/>
        </w:pPr>
        <w:r>
          <w:fldChar w:fldCharType="begin"/>
        </w:r>
        <w:r>
          <w:instrText>PAGE   \* MERGEFORMAT</w:instrText>
        </w:r>
        <w:r>
          <w:fldChar w:fldCharType="separate"/>
        </w:r>
        <w:r>
          <w:rPr>
            <w:lang w:val="es-ES"/>
          </w:rPr>
          <w:t>2</w:t>
        </w:r>
        <w:r>
          <w:fldChar w:fldCharType="end"/>
        </w:r>
      </w:p>
    </w:sdtContent>
  </w:sdt>
  <w:p w14:paraId="0A5B9161" w14:textId="59D6F50B" w:rsidR="00E90986" w:rsidRPr="008B308E" w:rsidRDefault="00E90986" w:rsidP="00B200C8">
    <w:pPr>
      <w:pStyle w:val="MDPIfooterfirstpage"/>
      <w:tabs>
        <w:tab w:val="clear" w:pos="8845"/>
        <w:tab w:val="right" w:pos="10466"/>
      </w:tabs>
      <w:spacing w:line="240" w:lineRule="auto"/>
      <w:jc w:val="both"/>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2FD4B6" w14:textId="77777777" w:rsidR="00611183" w:rsidRDefault="00611183">
      <w:pPr>
        <w:spacing w:line="240" w:lineRule="auto"/>
      </w:pPr>
      <w:r>
        <w:separator/>
      </w:r>
    </w:p>
  </w:footnote>
  <w:footnote w:type="continuationSeparator" w:id="0">
    <w:p w14:paraId="78035B9B" w14:textId="77777777" w:rsidR="00611183" w:rsidRDefault="006111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83BBC" w14:textId="77777777" w:rsidR="00E90986" w:rsidRDefault="00E90986" w:rsidP="00E90986">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3182E"/>
    <w:multiLevelType w:val="hybridMultilevel"/>
    <w:tmpl w:val="F8D81EC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8BD725D"/>
    <w:multiLevelType w:val="hybridMultilevel"/>
    <w:tmpl w:val="B0260D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6B12E6D"/>
    <w:multiLevelType w:val="hybridMultilevel"/>
    <w:tmpl w:val="89DE7AB4"/>
    <w:lvl w:ilvl="0" w:tplc="F270330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8F5"/>
    <w:multiLevelType w:val="hybridMultilevel"/>
    <w:tmpl w:val="E4EA68C0"/>
    <w:lvl w:ilvl="0" w:tplc="7634241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37336"/>
    <w:multiLevelType w:val="hybridMultilevel"/>
    <w:tmpl w:val="249CC1C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EB46A9"/>
    <w:multiLevelType w:val="hybridMultilevel"/>
    <w:tmpl w:val="0F36FAF2"/>
    <w:lvl w:ilvl="0" w:tplc="278A602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C440C7"/>
    <w:multiLevelType w:val="hybridMultilevel"/>
    <w:tmpl w:val="77241A6A"/>
    <w:lvl w:ilvl="0" w:tplc="D92C0296">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4" w15:restartNumberingAfterBreak="0">
    <w:nsid w:val="589478C6"/>
    <w:multiLevelType w:val="hybridMultilevel"/>
    <w:tmpl w:val="77DE21FC"/>
    <w:lvl w:ilvl="0" w:tplc="036EFC60">
      <w:numFmt w:val="bullet"/>
      <w:lvlText w:val="-"/>
      <w:lvlJc w:val="left"/>
      <w:pPr>
        <w:ind w:left="644" w:hanging="360"/>
      </w:pPr>
      <w:rPr>
        <w:rFonts w:ascii="Arial" w:eastAsiaTheme="minorHAnsi" w:hAnsi="Arial" w:cs="Arial"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15"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B0F4D"/>
    <w:multiLevelType w:val="hybridMultilevel"/>
    <w:tmpl w:val="F124801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83120896">
    <w:abstractNumId w:val="7"/>
  </w:num>
  <w:num w:numId="2" w16cid:durableId="613487806">
    <w:abstractNumId w:val="10"/>
  </w:num>
  <w:num w:numId="3" w16cid:durableId="717976663">
    <w:abstractNumId w:val="6"/>
  </w:num>
  <w:num w:numId="4" w16cid:durableId="11880601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2228884">
    <w:abstractNumId w:val="8"/>
  </w:num>
  <w:num w:numId="6" w16cid:durableId="1269005301">
    <w:abstractNumId w:val="13"/>
  </w:num>
  <w:num w:numId="7" w16cid:durableId="2044624447">
    <w:abstractNumId w:val="5"/>
  </w:num>
  <w:num w:numId="8" w16cid:durableId="1990329370">
    <w:abstractNumId w:val="13"/>
  </w:num>
  <w:num w:numId="9" w16cid:durableId="1819879645">
    <w:abstractNumId w:val="5"/>
  </w:num>
  <w:num w:numId="10" w16cid:durableId="1526478403">
    <w:abstractNumId w:val="13"/>
  </w:num>
  <w:num w:numId="11" w16cid:durableId="1114012711">
    <w:abstractNumId w:val="5"/>
  </w:num>
  <w:num w:numId="12" w16cid:durableId="464003878">
    <w:abstractNumId w:val="15"/>
  </w:num>
  <w:num w:numId="13" w16cid:durableId="438068372">
    <w:abstractNumId w:val="13"/>
  </w:num>
  <w:num w:numId="14" w16cid:durableId="256520048">
    <w:abstractNumId w:val="5"/>
  </w:num>
  <w:num w:numId="15" w16cid:durableId="462769856">
    <w:abstractNumId w:val="3"/>
  </w:num>
  <w:num w:numId="16" w16cid:durableId="33505890">
    <w:abstractNumId w:val="11"/>
  </w:num>
  <w:num w:numId="17" w16cid:durableId="951323575">
    <w:abstractNumId w:val="2"/>
  </w:num>
  <w:num w:numId="18" w16cid:durableId="2008945808">
    <w:abstractNumId w:val="13"/>
  </w:num>
  <w:num w:numId="19" w16cid:durableId="538785186">
    <w:abstractNumId w:val="5"/>
  </w:num>
  <w:num w:numId="20" w16cid:durableId="1500541001">
    <w:abstractNumId w:val="3"/>
  </w:num>
  <w:num w:numId="21" w16cid:durableId="385958424">
    <w:abstractNumId w:val="12"/>
  </w:num>
  <w:num w:numId="22" w16cid:durableId="1853564132">
    <w:abstractNumId w:val="9"/>
  </w:num>
  <w:num w:numId="23" w16cid:durableId="1902789581">
    <w:abstractNumId w:val="2"/>
  </w:num>
  <w:num w:numId="24" w16cid:durableId="1999848145">
    <w:abstractNumId w:val="14"/>
  </w:num>
  <w:num w:numId="25" w16cid:durableId="2039308239">
    <w:abstractNumId w:val="1"/>
  </w:num>
  <w:num w:numId="26" w16cid:durableId="1709063342">
    <w:abstractNumId w:val="4"/>
  </w:num>
  <w:num w:numId="27" w16cid:durableId="358705692">
    <w:abstractNumId w:val="16"/>
  </w:num>
  <w:num w:numId="28" w16cid:durableId="762261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1MzAysDC2MDAyNrdQ0lEKTi0uzszPAykwrAUAL20jfiwAAAA="/>
  </w:docVars>
  <w:rsids>
    <w:rsidRoot w:val="00555C3A"/>
    <w:rsid w:val="00002C5A"/>
    <w:rsid w:val="000036DD"/>
    <w:rsid w:val="0000392F"/>
    <w:rsid w:val="00004468"/>
    <w:rsid w:val="00004AC7"/>
    <w:rsid w:val="000061F8"/>
    <w:rsid w:val="000104A3"/>
    <w:rsid w:val="000114E2"/>
    <w:rsid w:val="00012BED"/>
    <w:rsid w:val="00012EE1"/>
    <w:rsid w:val="00013915"/>
    <w:rsid w:val="00014A47"/>
    <w:rsid w:val="00021B83"/>
    <w:rsid w:val="00024F53"/>
    <w:rsid w:val="0002554A"/>
    <w:rsid w:val="00027185"/>
    <w:rsid w:val="0003183D"/>
    <w:rsid w:val="0003183F"/>
    <w:rsid w:val="00032734"/>
    <w:rsid w:val="00033E1A"/>
    <w:rsid w:val="0003567E"/>
    <w:rsid w:val="00041734"/>
    <w:rsid w:val="00041816"/>
    <w:rsid w:val="00041937"/>
    <w:rsid w:val="00042C6B"/>
    <w:rsid w:val="0004465B"/>
    <w:rsid w:val="0004651C"/>
    <w:rsid w:val="00046896"/>
    <w:rsid w:val="000469FC"/>
    <w:rsid w:val="00047331"/>
    <w:rsid w:val="00047C14"/>
    <w:rsid w:val="00050735"/>
    <w:rsid w:val="00053A67"/>
    <w:rsid w:val="00056D61"/>
    <w:rsid w:val="00062D64"/>
    <w:rsid w:val="00062E50"/>
    <w:rsid w:val="000631FF"/>
    <w:rsid w:val="0006325C"/>
    <w:rsid w:val="0006368C"/>
    <w:rsid w:val="0006442A"/>
    <w:rsid w:val="000650EA"/>
    <w:rsid w:val="00066388"/>
    <w:rsid w:val="0006711E"/>
    <w:rsid w:val="000709EB"/>
    <w:rsid w:val="00070BC3"/>
    <w:rsid w:val="00072F70"/>
    <w:rsid w:val="000738A4"/>
    <w:rsid w:val="0007477F"/>
    <w:rsid w:val="0007580C"/>
    <w:rsid w:val="00075E0A"/>
    <w:rsid w:val="00076159"/>
    <w:rsid w:val="00080693"/>
    <w:rsid w:val="00084F8E"/>
    <w:rsid w:val="0008598A"/>
    <w:rsid w:val="00085AA7"/>
    <w:rsid w:val="00086C21"/>
    <w:rsid w:val="00090176"/>
    <w:rsid w:val="000946E3"/>
    <w:rsid w:val="00094A83"/>
    <w:rsid w:val="000953F3"/>
    <w:rsid w:val="00095C0B"/>
    <w:rsid w:val="00096537"/>
    <w:rsid w:val="0009654D"/>
    <w:rsid w:val="000A02B5"/>
    <w:rsid w:val="000A036F"/>
    <w:rsid w:val="000A04F4"/>
    <w:rsid w:val="000A4071"/>
    <w:rsid w:val="000A49F2"/>
    <w:rsid w:val="000A5B3A"/>
    <w:rsid w:val="000A7643"/>
    <w:rsid w:val="000B1F20"/>
    <w:rsid w:val="000B49BE"/>
    <w:rsid w:val="000B66D9"/>
    <w:rsid w:val="000C02A4"/>
    <w:rsid w:val="000C3B7B"/>
    <w:rsid w:val="000C3D95"/>
    <w:rsid w:val="000C6C1E"/>
    <w:rsid w:val="000D090A"/>
    <w:rsid w:val="000D1D9C"/>
    <w:rsid w:val="000D244F"/>
    <w:rsid w:val="000D282C"/>
    <w:rsid w:val="000D3E83"/>
    <w:rsid w:val="000D4CAC"/>
    <w:rsid w:val="000D69F1"/>
    <w:rsid w:val="000D7FF5"/>
    <w:rsid w:val="000E0221"/>
    <w:rsid w:val="000E3108"/>
    <w:rsid w:val="000E381B"/>
    <w:rsid w:val="000E71EA"/>
    <w:rsid w:val="0010026D"/>
    <w:rsid w:val="00102164"/>
    <w:rsid w:val="001035B5"/>
    <w:rsid w:val="00104B19"/>
    <w:rsid w:val="00105042"/>
    <w:rsid w:val="001059AA"/>
    <w:rsid w:val="00105FEC"/>
    <w:rsid w:val="001078D1"/>
    <w:rsid w:val="001109D8"/>
    <w:rsid w:val="00111018"/>
    <w:rsid w:val="001131E2"/>
    <w:rsid w:val="00113A18"/>
    <w:rsid w:val="00114006"/>
    <w:rsid w:val="00116AC9"/>
    <w:rsid w:val="00117115"/>
    <w:rsid w:val="00117E7E"/>
    <w:rsid w:val="00120A92"/>
    <w:rsid w:val="00121956"/>
    <w:rsid w:val="00121E4C"/>
    <w:rsid w:val="001228BC"/>
    <w:rsid w:val="00125D79"/>
    <w:rsid w:val="00131CB4"/>
    <w:rsid w:val="00132D07"/>
    <w:rsid w:val="001338EF"/>
    <w:rsid w:val="00133F29"/>
    <w:rsid w:val="00133F6F"/>
    <w:rsid w:val="001358E7"/>
    <w:rsid w:val="00137C46"/>
    <w:rsid w:val="00140D73"/>
    <w:rsid w:val="00142604"/>
    <w:rsid w:val="001428ED"/>
    <w:rsid w:val="001442D5"/>
    <w:rsid w:val="00146D29"/>
    <w:rsid w:val="00150F97"/>
    <w:rsid w:val="0015187A"/>
    <w:rsid w:val="001519A7"/>
    <w:rsid w:val="0015792C"/>
    <w:rsid w:val="00160DB6"/>
    <w:rsid w:val="00163A94"/>
    <w:rsid w:val="00165A69"/>
    <w:rsid w:val="0016616A"/>
    <w:rsid w:val="001661F5"/>
    <w:rsid w:val="00167CED"/>
    <w:rsid w:val="0017139C"/>
    <w:rsid w:val="0017165E"/>
    <w:rsid w:val="00171AA9"/>
    <w:rsid w:val="00172746"/>
    <w:rsid w:val="00172E14"/>
    <w:rsid w:val="00173A44"/>
    <w:rsid w:val="00177995"/>
    <w:rsid w:val="001804D4"/>
    <w:rsid w:val="00183AB8"/>
    <w:rsid w:val="0018628D"/>
    <w:rsid w:val="00186C1A"/>
    <w:rsid w:val="00187A46"/>
    <w:rsid w:val="001900E7"/>
    <w:rsid w:val="00191BFA"/>
    <w:rsid w:val="00194C32"/>
    <w:rsid w:val="001957FA"/>
    <w:rsid w:val="00195F04"/>
    <w:rsid w:val="001A0D0E"/>
    <w:rsid w:val="001A14DD"/>
    <w:rsid w:val="001A150F"/>
    <w:rsid w:val="001A24D2"/>
    <w:rsid w:val="001A3944"/>
    <w:rsid w:val="001A3CDE"/>
    <w:rsid w:val="001A4EF2"/>
    <w:rsid w:val="001A5766"/>
    <w:rsid w:val="001B179B"/>
    <w:rsid w:val="001B2576"/>
    <w:rsid w:val="001B3E45"/>
    <w:rsid w:val="001B50BA"/>
    <w:rsid w:val="001B79E4"/>
    <w:rsid w:val="001C1EDD"/>
    <w:rsid w:val="001C3235"/>
    <w:rsid w:val="001C3A2B"/>
    <w:rsid w:val="001C3B0F"/>
    <w:rsid w:val="001C625F"/>
    <w:rsid w:val="001C626F"/>
    <w:rsid w:val="001C6552"/>
    <w:rsid w:val="001D068C"/>
    <w:rsid w:val="001D19AC"/>
    <w:rsid w:val="001D19CE"/>
    <w:rsid w:val="001D297D"/>
    <w:rsid w:val="001D3758"/>
    <w:rsid w:val="001D41F9"/>
    <w:rsid w:val="001D572B"/>
    <w:rsid w:val="001E03BC"/>
    <w:rsid w:val="001E14DE"/>
    <w:rsid w:val="001E1C47"/>
    <w:rsid w:val="001E25D8"/>
    <w:rsid w:val="001E2AEB"/>
    <w:rsid w:val="001E3147"/>
    <w:rsid w:val="001E3F51"/>
    <w:rsid w:val="001E518A"/>
    <w:rsid w:val="001E5538"/>
    <w:rsid w:val="001E5609"/>
    <w:rsid w:val="001F0C32"/>
    <w:rsid w:val="001F1182"/>
    <w:rsid w:val="001F1266"/>
    <w:rsid w:val="001F4302"/>
    <w:rsid w:val="001F53CA"/>
    <w:rsid w:val="001F6C94"/>
    <w:rsid w:val="001F6D18"/>
    <w:rsid w:val="002006D3"/>
    <w:rsid w:val="0020168F"/>
    <w:rsid w:val="002019E5"/>
    <w:rsid w:val="00201CE6"/>
    <w:rsid w:val="00201EB0"/>
    <w:rsid w:val="0020566A"/>
    <w:rsid w:val="00205AC7"/>
    <w:rsid w:val="0020625A"/>
    <w:rsid w:val="002070C3"/>
    <w:rsid w:val="00207818"/>
    <w:rsid w:val="0021417F"/>
    <w:rsid w:val="00214727"/>
    <w:rsid w:val="00214A6A"/>
    <w:rsid w:val="00214BBE"/>
    <w:rsid w:val="00215214"/>
    <w:rsid w:val="002207D6"/>
    <w:rsid w:val="00222B0F"/>
    <w:rsid w:val="00223336"/>
    <w:rsid w:val="002235A6"/>
    <w:rsid w:val="00223C61"/>
    <w:rsid w:val="002262F6"/>
    <w:rsid w:val="002274F1"/>
    <w:rsid w:val="002323A8"/>
    <w:rsid w:val="00232881"/>
    <w:rsid w:val="00234D16"/>
    <w:rsid w:val="00236323"/>
    <w:rsid w:val="0024090D"/>
    <w:rsid w:val="002439F9"/>
    <w:rsid w:val="0024403C"/>
    <w:rsid w:val="002462C4"/>
    <w:rsid w:val="00246682"/>
    <w:rsid w:val="00251401"/>
    <w:rsid w:val="00252F8E"/>
    <w:rsid w:val="0025599D"/>
    <w:rsid w:val="00255D39"/>
    <w:rsid w:val="00257BA9"/>
    <w:rsid w:val="0026115B"/>
    <w:rsid w:val="00262314"/>
    <w:rsid w:val="00262B5C"/>
    <w:rsid w:val="00271140"/>
    <w:rsid w:val="00271164"/>
    <w:rsid w:val="002736BB"/>
    <w:rsid w:val="00274D90"/>
    <w:rsid w:val="0027519E"/>
    <w:rsid w:val="00276B82"/>
    <w:rsid w:val="00277CCF"/>
    <w:rsid w:val="00280EAB"/>
    <w:rsid w:val="00281D45"/>
    <w:rsid w:val="00284BEB"/>
    <w:rsid w:val="00285053"/>
    <w:rsid w:val="002850D8"/>
    <w:rsid w:val="00285E1E"/>
    <w:rsid w:val="0028607E"/>
    <w:rsid w:val="0028726C"/>
    <w:rsid w:val="00287526"/>
    <w:rsid w:val="00287F71"/>
    <w:rsid w:val="0029089A"/>
    <w:rsid w:val="00292E33"/>
    <w:rsid w:val="00294656"/>
    <w:rsid w:val="0029599F"/>
    <w:rsid w:val="00295F95"/>
    <w:rsid w:val="002A403C"/>
    <w:rsid w:val="002A4337"/>
    <w:rsid w:val="002A53BD"/>
    <w:rsid w:val="002A5D2A"/>
    <w:rsid w:val="002A6562"/>
    <w:rsid w:val="002A7646"/>
    <w:rsid w:val="002B0498"/>
    <w:rsid w:val="002B276E"/>
    <w:rsid w:val="002B6731"/>
    <w:rsid w:val="002B69DF"/>
    <w:rsid w:val="002C3DCD"/>
    <w:rsid w:val="002C43A7"/>
    <w:rsid w:val="002C7BEC"/>
    <w:rsid w:val="002D1293"/>
    <w:rsid w:val="002D18CB"/>
    <w:rsid w:val="002D1C57"/>
    <w:rsid w:val="002D2319"/>
    <w:rsid w:val="002D32F7"/>
    <w:rsid w:val="002D52D1"/>
    <w:rsid w:val="002D57A5"/>
    <w:rsid w:val="002D6DE7"/>
    <w:rsid w:val="002E0E33"/>
    <w:rsid w:val="002E16D3"/>
    <w:rsid w:val="002E3019"/>
    <w:rsid w:val="002E3F03"/>
    <w:rsid w:val="002E576D"/>
    <w:rsid w:val="002E590F"/>
    <w:rsid w:val="002F048F"/>
    <w:rsid w:val="002F0DD3"/>
    <w:rsid w:val="002F3CD5"/>
    <w:rsid w:val="002F3D49"/>
    <w:rsid w:val="002F510F"/>
    <w:rsid w:val="002F7922"/>
    <w:rsid w:val="00300502"/>
    <w:rsid w:val="0030280D"/>
    <w:rsid w:val="00302C67"/>
    <w:rsid w:val="00304D43"/>
    <w:rsid w:val="00305D63"/>
    <w:rsid w:val="00306807"/>
    <w:rsid w:val="0031064A"/>
    <w:rsid w:val="003108DA"/>
    <w:rsid w:val="0031462C"/>
    <w:rsid w:val="003151EC"/>
    <w:rsid w:val="00322A22"/>
    <w:rsid w:val="00322BD2"/>
    <w:rsid w:val="00323B8B"/>
    <w:rsid w:val="00325894"/>
    <w:rsid w:val="00326141"/>
    <w:rsid w:val="00333601"/>
    <w:rsid w:val="0033536D"/>
    <w:rsid w:val="00337B55"/>
    <w:rsid w:val="003438D2"/>
    <w:rsid w:val="00347BB6"/>
    <w:rsid w:val="00350C9E"/>
    <w:rsid w:val="003514D5"/>
    <w:rsid w:val="00361F97"/>
    <w:rsid w:val="0036349C"/>
    <w:rsid w:val="00364B40"/>
    <w:rsid w:val="00364DC6"/>
    <w:rsid w:val="003663D4"/>
    <w:rsid w:val="00366EF1"/>
    <w:rsid w:val="00367933"/>
    <w:rsid w:val="00370327"/>
    <w:rsid w:val="00373748"/>
    <w:rsid w:val="003766E3"/>
    <w:rsid w:val="0038381D"/>
    <w:rsid w:val="00383AD9"/>
    <w:rsid w:val="00383AF0"/>
    <w:rsid w:val="00383B27"/>
    <w:rsid w:val="00385255"/>
    <w:rsid w:val="0038680C"/>
    <w:rsid w:val="0039002C"/>
    <w:rsid w:val="003938DA"/>
    <w:rsid w:val="0039420B"/>
    <w:rsid w:val="00395B0C"/>
    <w:rsid w:val="00395F06"/>
    <w:rsid w:val="003A2273"/>
    <w:rsid w:val="003A3105"/>
    <w:rsid w:val="003B0CEE"/>
    <w:rsid w:val="003B1C48"/>
    <w:rsid w:val="003B30D6"/>
    <w:rsid w:val="003B372A"/>
    <w:rsid w:val="003B4962"/>
    <w:rsid w:val="003B4DA3"/>
    <w:rsid w:val="003B546C"/>
    <w:rsid w:val="003B6D46"/>
    <w:rsid w:val="003C025B"/>
    <w:rsid w:val="003C2279"/>
    <w:rsid w:val="003C4267"/>
    <w:rsid w:val="003C4FDB"/>
    <w:rsid w:val="003C5385"/>
    <w:rsid w:val="003C73EE"/>
    <w:rsid w:val="003D05E2"/>
    <w:rsid w:val="003D1165"/>
    <w:rsid w:val="003D145E"/>
    <w:rsid w:val="003D1D4B"/>
    <w:rsid w:val="003D288A"/>
    <w:rsid w:val="003D52F2"/>
    <w:rsid w:val="003D5A5B"/>
    <w:rsid w:val="003D6136"/>
    <w:rsid w:val="003D686C"/>
    <w:rsid w:val="003D6BF2"/>
    <w:rsid w:val="003D7967"/>
    <w:rsid w:val="003D7E10"/>
    <w:rsid w:val="003E0660"/>
    <w:rsid w:val="003E0705"/>
    <w:rsid w:val="003E15DE"/>
    <w:rsid w:val="003E1AD7"/>
    <w:rsid w:val="003E3603"/>
    <w:rsid w:val="003E59BD"/>
    <w:rsid w:val="003E6ECF"/>
    <w:rsid w:val="003F02F7"/>
    <w:rsid w:val="003F0D58"/>
    <w:rsid w:val="003F2A57"/>
    <w:rsid w:val="003F45E8"/>
    <w:rsid w:val="003F62A2"/>
    <w:rsid w:val="003F7BB1"/>
    <w:rsid w:val="00401B3A"/>
    <w:rsid w:val="00401D30"/>
    <w:rsid w:val="00401F4F"/>
    <w:rsid w:val="00403DCE"/>
    <w:rsid w:val="00404848"/>
    <w:rsid w:val="00404FC7"/>
    <w:rsid w:val="004051FC"/>
    <w:rsid w:val="004069EE"/>
    <w:rsid w:val="00407587"/>
    <w:rsid w:val="00407BBF"/>
    <w:rsid w:val="00414DE1"/>
    <w:rsid w:val="00415366"/>
    <w:rsid w:val="004153E9"/>
    <w:rsid w:val="00417958"/>
    <w:rsid w:val="00421077"/>
    <w:rsid w:val="00421157"/>
    <w:rsid w:val="004212A0"/>
    <w:rsid w:val="00421FAB"/>
    <w:rsid w:val="00425984"/>
    <w:rsid w:val="004260C3"/>
    <w:rsid w:val="0042738E"/>
    <w:rsid w:val="004344A5"/>
    <w:rsid w:val="00435769"/>
    <w:rsid w:val="00435CF4"/>
    <w:rsid w:val="0044136B"/>
    <w:rsid w:val="00441A9A"/>
    <w:rsid w:val="0044251E"/>
    <w:rsid w:val="00444223"/>
    <w:rsid w:val="00445CE6"/>
    <w:rsid w:val="00447041"/>
    <w:rsid w:val="00450D7E"/>
    <w:rsid w:val="00452683"/>
    <w:rsid w:val="00452CD6"/>
    <w:rsid w:val="00453CC6"/>
    <w:rsid w:val="00456E31"/>
    <w:rsid w:val="00460A82"/>
    <w:rsid w:val="00460E2C"/>
    <w:rsid w:val="00464219"/>
    <w:rsid w:val="0046589A"/>
    <w:rsid w:val="0046726B"/>
    <w:rsid w:val="0047717E"/>
    <w:rsid w:val="00480009"/>
    <w:rsid w:val="004805C0"/>
    <w:rsid w:val="00481D59"/>
    <w:rsid w:val="00481E89"/>
    <w:rsid w:val="004821B3"/>
    <w:rsid w:val="00483650"/>
    <w:rsid w:val="00484C66"/>
    <w:rsid w:val="00484EB4"/>
    <w:rsid w:val="0048738A"/>
    <w:rsid w:val="0049226E"/>
    <w:rsid w:val="00495421"/>
    <w:rsid w:val="004955CB"/>
    <w:rsid w:val="00496872"/>
    <w:rsid w:val="004A081D"/>
    <w:rsid w:val="004A1F56"/>
    <w:rsid w:val="004A2E4E"/>
    <w:rsid w:val="004A52F2"/>
    <w:rsid w:val="004A6282"/>
    <w:rsid w:val="004A751A"/>
    <w:rsid w:val="004B08EC"/>
    <w:rsid w:val="004B5280"/>
    <w:rsid w:val="004C118E"/>
    <w:rsid w:val="004C11C7"/>
    <w:rsid w:val="004C1A01"/>
    <w:rsid w:val="004C2D65"/>
    <w:rsid w:val="004C307D"/>
    <w:rsid w:val="004C4CFF"/>
    <w:rsid w:val="004C4F60"/>
    <w:rsid w:val="004C5E02"/>
    <w:rsid w:val="004C69AF"/>
    <w:rsid w:val="004C6A93"/>
    <w:rsid w:val="004D0D3D"/>
    <w:rsid w:val="004D5A80"/>
    <w:rsid w:val="004D67D3"/>
    <w:rsid w:val="004D6B8D"/>
    <w:rsid w:val="004E0CCA"/>
    <w:rsid w:val="004E17E8"/>
    <w:rsid w:val="004E3A8A"/>
    <w:rsid w:val="004E3F50"/>
    <w:rsid w:val="004F090C"/>
    <w:rsid w:val="004F3DFA"/>
    <w:rsid w:val="004F5411"/>
    <w:rsid w:val="004F5DE1"/>
    <w:rsid w:val="004F6A4B"/>
    <w:rsid w:val="004F7DDA"/>
    <w:rsid w:val="00500C90"/>
    <w:rsid w:val="00502707"/>
    <w:rsid w:val="00502A9A"/>
    <w:rsid w:val="00502C8F"/>
    <w:rsid w:val="00503F7C"/>
    <w:rsid w:val="00503F9F"/>
    <w:rsid w:val="0050407C"/>
    <w:rsid w:val="005046C3"/>
    <w:rsid w:val="005048D5"/>
    <w:rsid w:val="00504C84"/>
    <w:rsid w:val="00505682"/>
    <w:rsid w:val="00506110"/>
    <w:rsid w:val="005061B1"/>
    <w:rsid w:val="00506553"/>
    <w:rsid w:val="00506C6C"/>
    <w:rsid w:val="00510707"/>
    <w:rsid w:val="005119ED"/>
    <w:rsid w:val="00513F82"/>
    <w:rsid w:val="00514646"/>
    <w:rsid w:val="005151B2"/>
    <w:rsid w:val="00515EC4"/>
    <w:rsid w:val="00521227"/>
    <w:rsid w:val="00521CD6"/>
    <w:rsid w:val="00522304"/>
    <w:rsid w:val="005224FB"/>
    <w:rsid w:val="00523102"/>
    <w:rsid w:val="00523F9F"/>
    <w:rsid w:val="00524435"/>
    <w:rsid w:val="00524E6D"/>
    <w:rsid w:val="00525BBD"/>
    <w:rsid w:val="005269CC"/>
    <w:rsid w:val="00526CF6"/>
    <w:rsid w:val="00527484"/>
    <w:rsid w:val="00527501"/>
    <w:rsid w:val="00531CD2"/>
    <w:rsid w:val="00534852"/>
    <w:rsid w:val="005362F5"/>
    <w:rsid w:val="00536F35"/>
    <w:rsid w:val="00541B12"/>
    <w:rsid w:val="005423AD"/>
    <w:rsid w:val="00542422"/>
    <w:rsid w:val="00543553"/>
    <w:rsid w:val="005436BA"/>
    <w:rsid w:val="00545C53"/>
    <w:rsid w:val="0054669E"/>
    <w:rsid w:val="00547C19"/>
    <w:rsid w:val="00547ED1"/>
    <w:rsid w:val="00553EF2"/>
    <w:rsid w:val="00555C3A"/>
    <w:rsid w:val="00557F76"/>
    <w:rsid w:val="005644ED"/>
    <w:rsid w:val="00565506"/>
    <w:rsid w:val="005664F0"/>
    <w:rsid w:val="005725B0"/>
    <w:rsid w:val="005729E4"/>
    <w:rsid w:val="00572D29"/>
    <w:rsid w:val="00576272"/>
    <w:rsid w:val="00577407"/>
    <w:rsid w:val="005817BC"/>
    <w:rsid w:val="00583A8E"/>
    <w:rsid w:val="0058428E"/>
    <w:rsid w:val="0058617A"/>
    <w:rsid w:val="00587913"/>
    <w:rsid w:val="005909F0"/>
    <w:rsid w:val="00590E3E"/>
    <w:rsid w:val="00592831"/>
    <w:rsid w:val="00592AC6"/>
    <w:rsid w:val="005940DE"/>
    <w:rsid w:val="00594A86"/>
    <w:rsid w:val="00595602"/>
    <w:rsid w:val="005959DE"/>
    <w:rsid w:val="0059676A"/>
    <w:rsid w:val="005A05F1"/>
    <w:rsid w:val="005A0CDC"/>
    <w:rsid w:val="005A27AA"/>
    <w:rsid w:val="005A3979"/>
    <w:rsid w:val="005A563D"/>
    <w:rsid w:val="005A7747"/>
    <w:rsid w:val="005A7CE9"/>
    <w:rsid w:val="005B0E8A"/>
    <w:rsid w:val="005B107C"/>
    <w:rsid w:val="005B348A"/>
    <w:rsid w:val="005B3C9E"/>
    <w:rsid w:val="005B5322"/>
    <w:rsid w:val="005B56F4"/>
    <w:rsid w:val="005B5DEC"/>
    <w:rsid w:val="005B6041"/>
    <w:rsid w:val="005B6C3D"/>
    <w:rsid w:val="005C09EE"/>
    <w:rsid w:val="005C6558"/>
    <w:rsid w:val="005C6A58"/>
    <w:rsid w:val="005D1E6B"/>
    <w:rsid w:val="005D3F6A"/>
    <w:rsid w:val="005D5CA4"/>
    <w:rsid w:val="005D6D13"/>
    <w:rsid w:val="005D71B5"/>
    <w:rsid w:val="005E04FC"/>
    <w:rsid w:val="005E13E2"/>
    <w:rsid w:val="005E213E"/>
    <w:rsid w:val="005E5F7F"/>
    <w:rsid w:val="005F07E5"/>
    <w:rsid w:val="005F15B5"/>
    <w:rsid w:val="005F322A"/>
    <w:rsid w:val="0060176C"/>
    <w:rsid w:val="0060308E"/>
    <w:rsid w:val="00603DFD"/>
    <w:rsid w:val="00603F48"/>
    <w:rsid w:val="0060553C"/>
    <w:rsid w:val="00605986"/>
    <w:rsid w:val="00607781"/>
    <w:rsid w:val="00610E44"/>
    <w:rsid w:val="00611183"/>
    <w:rsid w:val="00611196"/>
    <w:rsid w:val="00611D42"/>
    <w:rsid w:val="00613085"/>
    <w:rsid w:val="00613991"/>
    <w:rsid w:val="00614D37"/>
    <w:rsid w:val="00615FFE"/>
    <w:rsid w:val="0061655B"/>
    <w:rsid w:val="0061757B"/>
    <w:rsid w:val="006207BE"/>
    <w:rsid w:val="006211DD"/>
    <w:rsid w:val="006224DB"/>
    <w:rsid w:val="006238FE"/>
    <w:rsid w:val="006276F4"/>
    <w:rsid w:val="00627C39"/>
    <w:rsid w:val="0063004F"/>
    <w:rsid w:val="00630DAA"/>
    <w:rsid w:val="00633118"/>
    <w:rsid w:val="006331AD"/>
    <w:rsid w:val="00635D56"/>
    <w:rsid w:val="006373AC"/>
    <w:rsid w:val="0063794A"/>
    <w:rsid w:val="00637E7E"/>
    <w:rsid w:val="00637F41"/>
    <w:rsid w:val="006406BC"/>
    <w:rsid w:val="006412FF"/>
    <w:rsid w:val="0064133D"/>
    <w:rsid w:val="00642D0F"/>
    <w:rsid w:val="0064461A"/>
    <w:rsid w:val="00650547"/>
    <w:rsid w:val="00651EB6"/>
    <w:rsid w:val="00653287"/>
    <w:rsid w:val="00653375"/>
    <w:rsid w:val="00653E20"/>
    <w:rsid w:val="00653EEE"/>
    <w:rsid w:val="006554EC"/>
    <w:rsid w:val="00655C9E"/>
    <w:rsid w:val="00657C7E"/>
    <w:rsid w:val="00662E41"/>
    <w:rsid w:val="00662E49"/>
    <w:rsid w:val="006630EE"/>
    <w:rsid w:val="0066346E"/>
    <w:rsid w:val="00664C81"/>
    <w:rsid w:val="006709DB"/>
    <w:rsid w:val="00672D9B"/>
    <w:rsid w:val="006738B7"/>
    <w:rsid w:val="0067534A"/>
    <w:rsid w:val="00677126"/>
    <w:rsid w:val="006802AD"/>
    <w:rsid w:val="00680504"/>
    <w:rsid w:val="00681E76"/>
    <w:rsid w:val="006822FA"/>
    <w:rsid w:val="00684B98"/>
    <w:rsid w:val="00685EFB"/>
    <w:rsid w:val="00686327"/>
    <w:rsid w:val="00690EDC"/>
    <w:rsid w:val="00692317"/>
    <w:rsid w:val="00692393"/>
    <w:rsid w:val="00692F27"/>
    <w:rsid w:val="00693A52"/>
    <w:rsid w:val="0069569D"/>
    <w:rsid w:val="00696331"/>
    <w:rsid w:val="006A4C58"/>
    <w:rsid w:val="006A62B7"/>
    <w:rsid w:val="006A71CA"/>
    <w:rsid w:val="006B1C54"/>
    <w:rsid w:val="006B751C"/>
    <w:rsid w:val="006C0188"/>
    <w:rsid w:val="006C10D8"/>
    <w:rsid w:val="006C1E4F"/>
    <w:rsid w:val="006C3911"/>
    <w:rsid w:val="006C5FDB"/>
    <w:rsid w:val="006C61EE"/>
    <w:rsid w:val="006D3200"/>
    <w:rsid w:val="006D6458"/>
    <w:rsid w:val="006E1E7A"/>
    <w:rsid w:val="006E3BE6"/>
    <w:rsid w:val="006E4194"/>
    <w:rsid w:val="006E7694"/>
    <w:rsid w:val="006F1164"/>
    <w:rsid w:val="006F274D"/>
    <w:rsid w:val="006F31D1"/>
    <w:rsid w:val="006F3DB1"/>
    <w:rsid w:val="006F533D"/>
    <w:rsid w:val="006F5C4D"/>
    <w:rsid w:val="006F5F83"/>
    <w:rsid w:val="006F729D"/>
    <w:rsid w:val="006F7453"/>
    <w:rsid w:val="007010A3"/>
    <w:rsid w:val="007049F2"/>
    <w:rsid w:val="007053E4"/>
    <w:rsid w:val="007059D8"/>
    <w:rsid w:val="00707A52"/>
    <w:rsid w:val="00707DF4"/>
    <w:rsid w:val="007105BA"/>
    <w:rsid w:val="00711C0C"/>
    <w:rsid w:val="00712853"/>
    <w:rsid w:val="00713758"/>
    <w:rsid w:val="00713E05"/>
    <w:rsid w:val="00713E28"/>
    <w:rsid w:val="00715471"/>
    <w:rsid w:val="00715721"/>
    <w:rsid w:val="007159A9"/>
    <w:rsid w:val="00716440"/>
    <w:rsid w:val="00720171"/>
    <w:rsid w:val="00721541"/>
    <w:rsid w:val="00722AA9"/>
    <w:rsid w:val="00722B49"/>
    <w:rsid w:val="007267FB"/>
    <w:rsid w:val="00733AF9"/>
    <w:rsid w:val="00733F66"/>
    <w:rsid w:val="007341FF"/>
    <w:rsid w:val="00734F23"/>
    <w:rsid w:val="00737ABC"/>
    <w:rsid w:val="00744E46"/>
    <w:rsid w:val="007459E6"/>
    <w:rsid w:val="00762CC8"/>
    <w:rsid w:val="00763109"/>
    <w:rsid w:val="00763FD1"/>
    <w:rsid w:val="0076487A"/>
    <w:rsid w:val="007661DF"/>
    <w:rsid w:val="0077017A"/>
    <w:rsid w:val="007718A8"/>
    <w:rsid w:val="00776FB9"/>
    <w:rsid w:val="007813CB"/>
    <w:rsid w:val="007817B9"/>
    <w:rsid w:val="007826D3"/>
    <w:rsid w:val="00782BB7"/>
    <w:rsid w:val="00785B83"/>
    <w:rsid w:val="00787833"/>
    <w:rsid w:val="007902DC"/>
    <w:rsid w:val="0079053C"/>
    <w:rsid w:val="00790EAF"/>
    <w:rsid w:val="00791741"/>
    <w:rsid w:val="00794217"/>
    <w:rsid w:val="00795875"/>
    <w:rsid w:val="007A0755"/>
    <w:rsid w:val="007A5135"/>
    <w:rsid w:val="007A73C9"/>
    <w:rsid w:val="007B0B70"/>
    <w:rsid w:val="007B2CB1"/>
    <w:rsid w:val="007B3996"/>
    <w:rsid w:val="007B3E14"/>
    <w:rsid w:val="007B562F"/>
    <w:rsid w:val="007C437A"/>
    <w:rsid w:val="007C4413"/>
    <w:rsid w:val="007C5834"/>
    <w:rsid w:val="007C5F29"/>
    <w:rsid w:val="007C609B"/>
    <w:rsid w:val="007C646D"/>
    <w:rsid w:val="007D1435"/>
    <w:rsid w:val="007D1D24"/>
    <w:rsid w:val="007D2F94"/>
    <w:rsid w:val="007D6FBB"/>
    <w:rsid w:val="007D7DC8"/>
    <w:rsid w:val="007E0EC8"/>
    <w:rsid w:val="007E2363"/>
    <w:rsid w:val="007E27F3"/>
    <w:rsid w:val="007E51BB"/>
    <w:rsid w:val="007E5491"/>
    <w:rsid w:val="007E5A5B"/>
    <w:rsid w:val="007E5D91"/>
    <w:rsid w:val="007E6B70"/>
    <w:rsid w:val="007F08A8"/>
    <w:rsid w:val="007F10A8"/>
    <w:rsid w:val="007F1227"/>
    <w:rsid w:val="007F1B92"/>
    <w:rsid w:val="007F2C86"/>
    <w:rsid w:val="007F5706"/>
    <w:rsid w:val="008010E0"/>
    <w:rsid w:val="00801199"/>
    <w:rsid w:val="00804FE2"/>
    <w:rsid w:val="008051DF"/>
    <w:rsid w:val="00807730"/>
    <w:rsid w:val="00812E9A"/>
    <w:rsid w:val="00815FC3"/>
    <w:rsid w:val="00816672"/>
    <w:rsid w:val="00817079"/>
    <w:rsid w:val="00817CFE"/>
    <w:rsid w:val="0082046B"/>
    <w:rsid w:val="008214F4"/>
    <w:rsid w:val="00821868"/>
    <w:rsid w:val="00822AE5"/>
    <w:rsid w:val="00824F8C"/>
    <w:rsid w:val="00825875"/>
    <w:rsid w:val="00826149"/>
    <w:rsid w:val="008329D4"/>
    <w:rsid w:val="0083533E"/>
    <w:rsid w:val="0083560E"/>
    <w:rsid w:val="008370C3"/>
    <w:rsid w:val="0083775B"/>
    <w:rsid w:val="00841BB7"/>
    <w:rsid w:val="008442D2"/>
    <w:rsid w:val="008443FB"/>
    <w:rsid w:val="00847CF0"/>
    <w:rsid w:val="008533EF"/>
    <w:rsid w:val="00854E43"/>
    <w:rsid w:val="008557B7"/>
    <w:rsid w:val="00856FA1"/>
    <w:rsid w:val="00860434"/>
    <w:rsid w:val="00861A54"/>
    <w:rsid w:val="008622FE"/>
    <w:rsid w:val="00862996"/>
    <w:rsid w:val="00867BE7"/>
    <w:rsid w:val="0087161A"/>
    <w:rsid w:val="00873DD0"/>
    <w:rsid w:val="0087540B"/>
    <w:rsid w:val="0087552C"/>
    <w:rsid w:val="00882030"/>
    <w:rsid w:val="00882B5F"/>
    <w:rsid w:val="0088318A"/>
    <w:rsid w:val="00887F14"/>
    <w:rsid w:val="008907BE"/>
    <w:rsid w:val="00891AD9"/>
    <w:rsid w:val="00892756"/>
    <w:rsid w:val="00893760"/>
    <w:rsid w:val="00893859"/>
    <w:rsid w:val="00893FB9"/>
    <w:rsid w:val="00894B2A"/>
    <w:rsid w:val="00895A6F"/>
    <w:rsid w:val="008A1B00"/>
    <w:rsid w:val="008A2117"/>
    <w:rsid w:val="008A21AC"/>
    <w:rsid w:val="008A30FB"/>
    <w:rsid w:val="008A4392"/>
    <w:rsid w:val="008A4529"/>
    <w:rsid w:val="008A4ADE"/>
    <w:rsid w:val="008A504D"/>
    <w:rsid w:val="008A580F"/>
    <w:rsid w:val="008A608B"/>
    <w:rsid w:val="008A7044"/>
    <w:rsid w:val="008B31D7"/>
    <w:rsid w:val="008B44F6"/>
    <w:rsid w:val="008B4E46"/>
    <w:rsid w:val="008B54E1"/>
    <w:rsid w:val="008B5ADF"/>
    <w:rsid w:val="008B61F4"/>
    <w:rsid w:val="008B6D82"/>
    <w:rsid w:val="008C0B4D"/>
    <w:rsid w:val="008C1BC5"/>
    <w:rsid w:val="008C23F7"/>
    <w:rsid w:val="008C5CBF"/>
    <w:rsid w:val="008C7950"/>
    <w:rsid w:val="008E00B4"/>
    <w:rsid w:val="008E1DB0"/>
    <w:rsid w:val="008E1E91"/>
    <w:rsid w:val="008E2A51"/>
    <w:rsid w:val="008E36DB"/>
    <w:rsid w:val="008E3B5E"/>
    <w:rsid w:val="008E5B68"/>
    <w:rsid w:val="008E79DA"/>
    <w:rsid w:val="008F2129"/>
    <w:rsid w:val="008F2E19"/>
    <w:rsid w:val="008F3780"/>
    <w:rsid w:val="008F41D2"/>
    <w:rsid w:val="008F619C"/>
    <w:rsid w:val="008F796A"/>
    <w:rsid w:val="00900259"/>
    <w:rsid w:val="00901E04"/>
    <w:rsid w:val="00904094"/>
    <w:rsid w:val="009040B2"/>
    <w:rsid w:val="00906280"/>
    <w:rsid w:val="00907805"/>
    <w:rsid w:val="009113AB"/>
    <w:rsid w:val="00911758"/>
    <w:rsid w:val="00912593"/>
    <w:rsid w:val="00913426"/>
    <w:rsid w:val="00915122"/>
    <w:rsid w:val="0091565D"/>
    <w:rsid w:val="009174EA"/>
    <w:rsid w:val="00917FC0"/>
    <w:rsid w:val="00920726"/>
    <w:rsid w:val="00920807"/>
    <w:rsid w:val="00920F7B"/>
    <w:rsid w:val="00922BDA"/>
    <w:rsid w:val="0092353D"/>
    <w:rsid w:val="00925B02"/>
    <w:rsid w:val="00926020"/>
    <w:rsid w:val="009269B1"/>
    <w:rsid w:val="00926DBD"/>
    <w:rsid w:val="009272B1"/>
    <w:rsid w:val="009313EF"/>
    <w:rsid w:val="0093257E"/>
    <w:rsid w:val="00934344"/>
    <w:rsid w:val="00937A70"/>
    <w:rsid w:val="00940247"/>
    <w:rsid w:val="009433BE"/>
    <w:rsid w:val="0094479D"/>
    <w:rsid w:val="00950618"/>
    <w:rsid w:val="00951EC1"/>
    <w:rsid w:val="00953C94"/>
    <w:rsid w:val="009579C4"/>
    <w:rsid w:val="009619B4"/>
    <w:rsid w:val="009624D0"/>
    <w:rsid w:val="00962A32"/>
    <w:rsid w:val="00962E40"/>
    <w:rsid w:val="009636B6"/>
    <w:rsid w:val="00965626"/>
    <w:rsid w:val="00970214"/>
    <w:rsid w:val="009705E7"/>
    <w:rsid w:val="0097076C"/>
    <w:rsid w:val="00970D57"/>
    <w:rsid w:val="009714D5"/>
    <w:rsid w:val="00971D8D"/>
    <w:rsid w:val="00974866"/>
    <w:rsid w:val="00975614"/>
    <w:rsid w:val="009816E3"/>
    <w:rsid w:val="00982C90"/>
    <w:rsid w:val="00982E66"/>
    <w:rsid w:val="00985746"/>
    <w:rsid w:val="00990A43"/>
    <w:rsid w:val="009931AA"/>
    <w:rsid w:val="00993FB7"/>
    <w:rsid w:val="00997B86"/>
    <w:rsid w:val="00997B98"/>
    <w:rsid w:val="00997D71"/>
    <w:rsid w:val="009A2C3A"/>
    <w:rsid w:val="009A2D18"/>
    <w:rsid w:val="009A52C8"/>
    <w:rsid w:val="009A6120"/>
    <w:rsid w:val="009B03B9"/>
    <w:rsid w:val="009B152D"/>
    <w:rsid w:val="009B17F3"/>
    <w:rsid w:val="009B488B"/>
    <w:rsid w:val="009B626D"/>
    <w:rsid w:val="009B7A68"/>
    <w:rsid w:val="009C095B"/>
    <w:rsid w:val="009C3175"/>
    <w:rsid w:val="009C41A8"/>
    <w:rsid w:val="009C50E9"/>
    <w:rsid w:val="009C5BA0"/>
    <w:rsid w:val="009C5FE8"/>
    <w:rsid w:val="009C6E03"/>
    <w:rsid w:val="009C70D3"/>
    <w:rsid w:val="009D0669"/>
    <w:rsid w:val="009D19D5"/>
    <w:rsid w:val="009D2FDA"/>
    <w:rsid w:val="009D7967"/>
    <w:rsid w:val="009E0103"/>
    <w:rsid w:val="009E497D"/>
    <w:rsid w:val="009E5F6B"/>
    <w:rsid w:val="009F059E"/>
    <w:rsid w:val="009F10AB"/>
    <w:rsid w:val="009F1821"/>
    <w:rsid w:val="009F274E"/>
    <w:rsid w:val="009F4281"/>
    <w:rsid w:val="009F5672"/>
    <w:rsid w:val="009F6021"/>
    <w:rsid w:val="009F70E6"/>
    <w:rsid w:val="009F74DE"/>
    <w:rsid w:val="00A0136F"/>
    <w:rsid w:val="00A02301"/>
    <w:rsid w:val="00A03BB4"/>
    <w:rsid w:val="00A05016"/>
    <w:rsid w:val="00A05683"/>
    <w:rsid w:val="00A07573"/>
    <w:rsid w:val="00A1397A"/>
    <w:rsid w:val="00A146C0"/>
    <w:rsid w:val="00A1671C"/>
    <w:rsid w:val="00A168AE"/>
    <w:rsid w:val="00A20194"/>
    <w:rsid w:val="00A21207"/>
    <w:rsid w:val="00A241A6"/>
    <w:rsid w:val="00A24C99"/>
    <w:rsid w:val="00A26485"/>
    <w:rsid w:val="00A27C03"/>
    <w:rsid w:val="00A310E7"/>
    <w:rsid w:val="00A317E0"/>
    <w:rsid w:val="00A326E3"/>
    <w:rsid w:val="00A33BB3"/>
    <w:rsid w:val="00A36690"/>
    <w:rsid w:val="00A36C6E"/>
    <w:rsid w:val="00A415E4"/>
    <w:rsid w:val="00A41EC8"/>
    <w:rsid w:val="00A44BA2"/>
    <w:rsid w:val="00A450D3"/>
    <w:rsid w:val="00A46F47"/>
    <w:rsid w:val="00A4732A"/>
    <w:rsid w:val="00A50305"/>
    <w:rsid w:val="00A5511D"/>
    <w:rsid w:val="00A55FF1"/>
    <w:rsid w:val="00A57F24"/>
    <w:rsid w:val="00A60967"/>
    <w:rsid w:val="00A609CF"/>
    <w:rsid w:val="00A60E6D"/>
    <w:rsid w:val="00A63E20"/>
    <w:rsid w:val="00A64950"/>
    <w:rsid w:val="00A729F7"/>
    <w:rsid w:val="00A72D1C"/>
    <w:rsid w:val="00A750FB"/>
    <w:rsid w:val="00A75CBD"/>
    <w:rsid w:val="00A76CA1"/>
    <w:rsid w:val="00A81293"/>
    <w:rsid w:val="00A816C1"/>
    <w:rsid w:val="00A87305"/>
    <w:rsid w:val="00A90069"/>
    <w:rsid w:val="00A90C11"/>
    <w:rsid w:val="00A930B7"/>
    <w:rsid w:val="00A95CD9"/>
    <w:rsid w:val="00A965B4"/>
    <w:rsid w:val="00AA0F72"/>
    <w:rsid w:val="00AA2427"/>
    <w:rsid w:val="00AA2C01"/>
    <w:rsid w:val="00AA455F"/>
    <w:rsid w:val="00AA4EA9"/>
    <w:rsid w:val="00AA6380"/>
    <w:rsid w:val="00AA736F"/>
    <w:rsid w:val="00AB0DE9"/>
    <w:rsid w:val="00AB4D5F"/>
    <w:rsid w:val="00AB4F35"/>
    <w:rsid w:val="00AC0013"/>
    <w:rsid w:val="00AC0B23"/>
    <w:rsid w:val="00AC1042"/>
    <w:rsid w:val="00AC3293"/>
    <w:rsid w:val="00AC3460"/>
    <w:rsid w:val="00AC61B4"/>
    <w:rsid w:val="00AC7FD9"/>
    <w:rsid w:val="00AD04F7"/>
    <w:rsid w:val="00AD1CDB"/>
    <w:rsid w:val="00AD2D7B"/>
    <w:rsid w:val="00AD3A0F"/>
    <w:rsid w:val="00AD65FA"/>
    <w:rsid w:val="00AD70B2"/>
    <w:rsid w:val="00AE0E14"/>
    <w:rsid w:val="00AE348C"/>
    <w:rsid w:val="00AE7261"/>
    <w:rsid w:val="00AE7451"/>
    <w:rsid w:val="00AF1B6A"/>
    <w:rsid w:val="00AF231B"/>
    <w:rsid w:val="00AF36E2"/>
    <w:rsid w:val="00AF37E2"/>
    <w:rsid w:val="00AF44C1"/>
    <w:rsid w:val="00B00E09"/>
    <w:rsid w:val="00B032E7"/>
    <w:rsid w:val="00B037B0"/>
    <w:rsid w:val="00B05253"/>
    <w:rsid w:val="00B05922"/>
    <w:rsid w:val="00B06823"/>
    <w:rsid w:val="00B10690"/>
    <w:rsid w:val="00B12B50"/>
    <w:rsid w:val="00B1325E"/>
    <w:rsid w:val="00B143A6"/>
    <w:rsid w:val="00B15180"/>
    <w:rsid w:val="00B16044"/>
    <w:rsid w:val="00B1706D"/>
    <w:rsid w:val="00B17A58"/>
    <w:rsid w:val="00B200C8"/>
    <w:rsid w:val="00B20651"/>
    <w:rsid w:val="00B229F2"/>
    <w:rsid w:val="00B22E54"/>
    <w:rsid w:val="00B230E1"/>
    <w:rsid w:val="00B2585B"/>
    <w:rsid w:val="00B267AE"/>
    <w:rsid w:val="00B26884"/>
    <w:rsid w:val="00B26F3C"/>
    <w:rsid w:val="00B32CF8"/>
    <w:rsid w:val="00B351BE"/>
    <w:rsid w:val="00B36F23"/>
    <w:rsid w:val="00B415D6"/>
    <w:rsid w:val="00B42412"/>
    <w:rsid w:val="00B42DF5"/>
    <w:rsid w:val="00B432DE"/>
    <w:rsid w:val="00B43B63"/>
    <w:rsid w:val="00B43C77"/>
    <w:rsid w:val="00B44848"/>
    <w:rsid w:val="00B44B49"/>
    <w:rsid w:val="00B45CD5"/>
    <w:rsid w:val="00B465D4"/>
    <w:rsid w:val="00B51C7F"/>
    <w:rsid w:val="00B53E75"/>
    <w:rsid w:val="00B55A15"/>
    <w:rsid w:val="00B56782"/>
    <w:rsid w:val="00B6018F"/>
    <w:rsid w:val="00B624CA"/>
    <w:rsid w:val="00B66E71"/>
    <w:rsid w:val="00B670B5"/>
    <w:rsid w:val="00B67B34"/>
    <w:rsid w:val="00B70801"/>
    <w:rsid w:val="00B73086"/>
    <w:rsid w:val="00B742D8"/>
    <w:rsid w:val="00B7571D"/>
    <w:rsid w:val="00B76A9A"/>
    <w:rsid w:val="00B81CC7"/>
    <w:rsid w:val="00B85A06"/>
    <w:rsid w:val="00B91113"/>
    <w:rsid w:val="00B912B0"/>
    <w:rsid w:val="00B91B01"/>
    <w:rsid w:val="00B9209F"/>
    <w:rsid w:val="00B95EA9"/>
    <w:rsid w:val="00BA33D1"/>
    <w:rsid w:val="00BA6E26"/>
    <w:rsid w:val="00BB0CB1"/>
    <w:rsid w:val="00BB1999"/>
    <w:rsid w:val="00BB2DCA"/>
    <w:rsid w:val="00BB35DD"/>
    <w:rsid w:val="00BB441D"/>
    <w:rsid w:val="00BB45DB"/>
    <w:rsid w:val="00BB74C1"/>
    <w:rsid w:val="00BC339F"/>
    <w:rsid w:val="00BC7111"/>
    <w:rsid w:val="00BC781C"/>
    <w:rsid w:val="00BD0CA5"/>
    <w:rsid w:val="00BD0EEE"/>
    <w:rsid w:val="00BD23A3"/>
    <w:rsid w:val="00BD43F0"/>
    <w:rsid w:val="00BD582B"/>
    <w:rsid w:val="00BD7CD4"/>
    <w:rsid w:val="00BE0169"/>
    <w:rsid w:val="00BE110D"/>
    <w:rsid w:val="00BE11AC"/>
    <w:rsid w:val="00BE2ED3"/>
    <w:rsid w:val="00BE325B"/>
    <w:rsid w:val="00BE496D"/>
    <w:rsid w:val="00BE6750"/>
    <w:rsid w:val="00BE7378"/>
    <w:rsid w:val="00BF2AF7"/>
    <w:rsid w:val="00BF437C"/>
    <w:rsid w:val="00BF4A32"/>
    <w:rsid w:val="00BF4AE3"/>
    <w:rsid w:val="00BF5AF4"/>
    <w:rsid w:val="00BF7075"/>
    <w:rsid w:val="00C02B48"/>
    <w:rsid w:val="00C04DBC"/>
    <w:rsid w:val="00C13470"/>
    <w:rsid w:val="00C15820"/>
    <w:rsid w:val="00C1638D"/>
    <w:rsid w:val="00C22823"/>
    <w:rsid w:val="00C243C9"/>
    <w:rsid w:val="00C24EAD"/>
    <w:rsid w:val="00C25539"/>
    <w:rsid w:val="00C25674"/>
    <w:rsid w:val="00C25F95"/>
    <w:rsid w:val="00C310CC"/>
    <w:rsid w:val="00C3164F"/>
    <w:rsid w:val="00C356C8"/>
    <w:rsid w:val="00C37014"/>
    <w:rsid w:val="00C37F4D"/>
    <w:rsid w:val="00C41016"/>
    <w:rsid w:val="00C419AE"/>
    <w:rsid w:val="00C43BFC"/>
    <w:rsid w:val="00C45D84"/>
    <w:rsid w:val="00C471AF"/>
    <w:rsid w:val="00C50C70"/>
    <w:rsid w:val="00C52613"/>
    <w:rsid w:val="00C52809"/>
    <w:rsid w:val="00C52FA4"/>
    <w:rsid w:val="00C538A7"/>
    <w:rsid w:val="00C5515E"/>
    <w:rsid w:val="00C61B8F"/>
    <w:rsid w:val="00C639EA"/>
    <w:rsid w:val="00C65B0B"/>
    <w:rsid w:val="00C66AF2"/>
    <w:rsid w:val="00C722BE"/>
    <w:rsid w:val="00C73E99"/>
    <w:rsid w:val="00C75DC9"/>
    <w:rsid w:val="00C76FDE"/>
    <w:rsid w:val="00C81029"/>
    <w:rsid w:val="00C81893"/>
    <w:rsid w:val="00C82596"/>
    <w:rsid w:val="00C85B91"/>
    <w:rsid w:val="00C85C75"/>
    <w:rsid w:val="00C860F5"/>
    <w:rsid w:val="00C86FF2"/>
    <w:rsid w:val="00C87C2F"/>
    <w:rsid w:val="00C903BF"/>
    <w:rsid w:val="00C90B7F"/>
    <w:rsid w:val="00C928EC"/>
    <w:rsid w:val="00C93840"/>
    <w:rsid w:val="00C9621D"/>
    <w:rsid w:val="00C979D6"/>
    <w:rsid w:val="00CA17C4"/>
    <w:rsid w:val="00CA2CAC"/>
    <w:rsid w:val="00CA6615"/>
    <w:rsid w:val="00CA6B2F"/>
    <w:rsid w:val="00CA6E0D"/>
    <w:rsid w:val="00CA7505"/>
    <w:rsid w:val="00CA7EAE"/>
    <w:rsid w:val="00CB3DE6"/>
    <w:rsid w:val="00CB5594"/>
    <w:rsid w:val="00CB597B"/>
    <w:rsid w:val="00CB5F71"/>
    <w:rsid w:val="00CB6764"/>
    <w:rsid w:val="00CB709A"/>
    <w:rsid w:val="00CC3BD2"/>
    <w:rsid w:val="00CC57CC"/>
    <w:rsid w:val="00CC5984"/>
    <w:rsid w:val="00CC5B56"/>
    <w:rsid w:val="00CC6417"/>
    <w:rsid w:val="00CD0725"/>
    <w:rsid w:val="00CD0B77"/>
    <w:rsid w:val="00CD235A"/>
    <w:rsid w:val="00CD2FE8"/>
    <w:rsid w:val="00CD5935"/>
    <w:rsid w:val="00CD6D84"/>
    <w:rsid w:val="00CE0298"/>
    <w:rsid w:val="00CE0BCD"/>
    <w:rsid w:val="00CE14DF"/>
    <w:rsid w:val="00CE3E55"/>
    <w:rsid w:val="00CF0485"/>
    <w:rsid w:val="00CF49C8"/>
    <w:rsid w:val="00CF629F"/>
    <w:rsid w:val="00D0098E"/>
    <w:rsid w:val="00D034D5"/>
    <w:rsid w:val="00D05F8D"/>
    <w:rsid w:val="00D067E7"/>
    <w:rsid w:val="00D06864"/>
    <w:rsid w:val="00D075F0"/>
    <w:rsid w:val="00D11CFA"/>
    <w:rsid w:val="00D1351A"/>
    <w:rsid w:val="00D13594"/>
    <w:rsid w:val="00D13F16"/>
    <w:rsid w:val="00D15EAA"/>
    <w:rsid w:val="00D173C0"/>
    <w:rsid w:val="00D2297E"/>
    <w:rsid w:val="00D26E11"/>
    <w:rsid w:val="00D273B4"/>
    <w:rsid w:val="00D27F14"/>
    <w:rsid w:val="00D27FFA"/>
    <w:rsid w:val="00D32244"/>
    <w:rsid w:val="00D32B33"/>
    <w:rsid w:val="00D354AC"/>
    <w:rsid w:val="00D358A9"/>
    <w:rsid w:val="00D36831"/>
    <w:rsid w:val="00D36BE4"/>
    <w:rsid w:val="00D36F04"/>
    <w:rsid w:val="00D412C1"/>
    <w:rsid w:val="00D46D08"/>
    <w:rsid w:val="00D52940"/>
    <w:rsid w:val="00D542DE"/>
    <w:rsid w:val="00D556EA"/>
    <w:rsid w:val="00D60490"/>
    <w:rsid w:val="00D60D4D"/>
    <w:rsid w:val="00D61E67"/>
    <w:rsid w:val="00D62B14"/>
    <w:rsid w:val="00D65686"/>
    <w:rsid w:val="00D65AE5"/>
    <w:rsid w:val="00D66219"/>
    <w:rsid w:val="00D70953"/>
    <w:rsid w:val="00D712EC"/>
    <w:rsid w:val="00D72033"/>
    <w:rsid w:val="00D72395"/>
    <w:rsid w:val="00D74406"/>
    <w:rsid w:val="00D7461A"/>
    <w:rsid w:val="00D75394"/>
    <w:rsid w:val="00D77A4D"/>
    <w:rsid w:val="00D81315"/>
    <w:rsid w:val="00D81521"/>
    <w:rsid w:val="00D8297D"/>
    <w:rsid w:val="00D838C1"/>
    <w:rsid w:val="00D84BCF"/>
    <w:rsid w:val="00D84E70"/>
    <w:rsid w:val="00D87C86"/>
    <w:rsid w:val="00D90169"/>
    <w:rsid w:val="00D90BF5"/>
    <w:rsid w:val="00D94D3A"/>
    <w:rsid w:val="00D959DC"/>
    <w:rsid w:val="00D96023"/>
    <w:rsid w:val="00DA051E"/>
    <w:rsid w:val="00DA0600"/>
    <w:rsid w:val="00DA079B"/>
    <w:rsid w:val="00DA26C2"/>
    <w:rsid w:val="00DA4B0E"/>
    <w:rsid w:val="00DA6B33"/>
    <w:rsid w:val="00DB2B21"/>
    <w:rsid w:val="00DB2F05"/>
    <w:rsid w:val="00DB3721"/>
    <w:rsid w:val="00DB6550"/>
    <w:rsid w:val="00DC08E3"/>
    <w:rsid w:val="00DC0AE1"/>
    <w:rsid w:val="00DC130C"/>
    <w:rsid w:val="00DC3A1F"/>
    <w:rsid w:val="00DC3AD3"/>
    <w:rsid w:val="00DC538D"/>
    <w:rsid w:val="00DC6054"/>
    <w:rsid w:val="00DC7627"/>
    <w:rsid w:val="00DC7F54"/>
    <w:rsid w:val="00DD05DD"/>
    <w:rsid w:val="00DD0F30"/>
    <w:rsid w:val="00DD5900"/>
    <w:rsid w:val="00DD6284"/>
    <w:rsid w:val="00DD697A"/>
    <w:rsid w:val="00DE0CA2"/>
    <w:rsid w:val="00DE5C2F"/>
    <w:rsid w:val="00DE7A53"/>
    <w:rsid w:val="00DE7FC9"/>
    <w:rsid w:val="00DF398A"/>
    <w:rsid w:val="00DF43BD"/>
    <w:rsid w:val="00DF54BC"/>
    <w:rsid w:val="00E0026E"/>
    <w:rsid w:val="00E0032E"/>
    <w:rsid w:val="00E0051E"/>
    <w:rsid w:val="00E04E7D"/>
    <w:rsid w:val="00E0531B"/>
    <w:rsid w:val="00E05952"/>
    <w:rsid w:val="00E0628F"/>
    <w:rsid w:val="00E07069"/>
    <w:rsid w:val="00E126E2"/>
    <w:rsid w:val="00E168E4"/>
    <w:rsid w:val="00E16EF4"/>
    <w:rsid w:val="00E21232"/>
    <w:rsid w:val="00E21304"/>
    <w:rsid w:val="00E24194"/>
    <w:rsid w:val="00E24E00"/>
    <w:rsid w:val="00E24E52"/>
    <w:rsid w:val="00E25F74"/>
    <w:rsid w:val="00E2746A"/>
    <w:rsid w:val="00E30DFE"/>
    <w:rsid w:val="00E31D11"/>
    <w:rsid w:val="00E3244E"/>
    <w:rsid w:val="00E347DE"/>
    <w:rsid w:val="00E35459"/>
    <w:rsid w:val="00E4286A"/>
    <w:rsid w:val="00E43E94"/>
    <w:rsid w:val="00E4528C"/>
    <w:rsid w:val="00E47B82"/>
    <w:rsid w:val="00E508B5"/>
    <w:rsid w:val="00E50F40"/>
    <w:rsid w:val="00E53AA3"/>
    <w:rsid w:val="00E548AB"/>
    <w:rsid w:val="00E60082"/>
    <w:rsid w:val="00E608A0"/>
    <w:rsid w:val="00E611BB"/>
    <w:rsid w:val="00E63B33"/>
    <w:rsid w:val="00E66088"/>
    <w:rsid w:val="00E7068C"/>
    <w:rsid w:val="00E706A1"/>
    <w:rsid w:val="00E71D50"/>
    <w:rsid w:val="00E71FF5"/>
    <w:rsid w:val="00E72FFD"/>
    <w:rsid w:val="00E73979"/>
    <w:rsid w:val="00E755FF"/>
    <w:rsid w:val="00E75A9C"/>
    <w:rsid w:val="00E76D73"/>
    <w:rsid w:val="00E81209"/>
    <w:rsid w:val="00E83D5A"/>
    <w:rsid w:val="00E90986"/>
    <w:rsid w:val="00E9194C"/>
    <w:rsid w:val="00E933C5"/>
    <w:rsid w:val="00E947A0"/>
    <w:rsid w:val="00E95409"/>
    <w:rsid w:val="00E96FC2"/>
    <w:rsid w:val="00EA55A6"/>
    <w:rsid w:val="00EB0250"/>
    <w:rsid w:val="00EB06C1"/>
    <w:rsid w:val="00EB17B1"/>
    <w:rsid w:val="00EB20B9"/>
    <w:rsid w:val="00EB2C05"/>
    <w:rsid w:val="00EB2CF5"/>
    <w:rsid w:val="00EB6688"/>
    <w:rsid w:val="00EB6A26"/>
    <w:rsid w:val="00EC0DCF"/>
    <w:rsid w:val="00EC5615"/>
    <w:rsid w:val="00EC60E0"/>
    <w:rsid w:val="00ED005E"/>
    <w:rsid w:val="00ED0DC6"/>
    <w:rsid w:val="00ED1A12"/>
    <w:rsid w:val="00ED1BAB"/>
    <w:rsid w:val="00ED24E0"/>
    <w:rsid w:val="00ED28E0"/>
    <w:rsid w:val="00ED4346"/>
    <w:rsid w:val="00EE2FD4"/>
    <w:rsid w:val="00EE5BDC"/>
    <w:rsid w:val="00EE5F8A"/>
    <w:rsid w:val="00EF0190"/>
    <w:rsid w:val="00EF062E"/>
    <w:rsid w:val="00EF3CF3"/>
    <w:rsid w:val="00EF4585"/>
    <w:rsid w:val="00EF4C0E"/>
    <w:rsid w:val="00EF68EB"/>
    <w:rsid w:val="00F005AA"/>
    <w:rsid w:val="00F01EEE"/>
    <w:rsid w:val="00F01FEC"/>
    <w:rsid w:val="00F04033"/>
    <w:rsid w:val="00F05FA3"/>
    <w:rsid w:val="00F066D9"/>
    <w:rsid w:val="00F11705"/>
    <w:rsid w:val="00F1506F"/>
    <w:rsid w:val="00F15085"/>
    <w:rsid w:val="00F15B08"/>
    <w:rsid w:val="00F2022B"/>
    <w:rsid w:val="00F22F3D"/>
    <w:rsid w:val="00F24902"/>
    <w:rsid w:val="00F2618C"/>
    <w:rsid w:val="00F26F6C"/>
    <w:rsid w:val="00F27FC1"/>
    <w:rsid w:val="00F30917"/>
    <w:rsid w:val="00F31042"/>
    <w:rsid w:val="00F32587"/>
    <w:rsid w:val="00F32F04"/>
    <w:rsid w:val="00F35C92"/>
    <w:rsid w:val="00F414C5"/>
    <w:rsid w:val="00F41BD8"/>
    <w:rsid w:val="00F43A96"/>
    <w:rsid w:val="00F47EE8"/>
    <w:rsid w:val="00F500A0"/>
    <w:rsid w:val="00F565E7"/>
    <w:rsid w:val="00F61555"/>
    <w:rsid w:val="00F62464"/>
    <w:rsid w:val="00F62C5C"/>
    <w:rsid w:val="00F6630D"/>
    <w:rsid w:val="00F67C0C"/>
    <w:rsid w:val="00F71EC5"/>
    <w:rsid w:val="00F748C6"/>
    <w:rsid w:val="00F74A7D"/>
    <w:rsid w:val="00F74E62"/>
    <w:rsid w:val="00F80FA5"/>
    <w:rsid w:val="00F82240"/>
    <w:rsid w:val="00F837D5"/>
    <w:rsid w:val="00F842D0"/>
    <w:rsid w:val="00F93453"/>
    <w:rsid w:val="00F95D5A"/>
    <w:rsid w:val="00F97FE3"/>
    <w:rsid w:val="00FA0D84"/>
    <w:rsid w:val="00FA347B"/>
    <w:rsid w:val="00FA4D60"/>
    <w:rsid w:val="00FA4F19"/>
    <w:rsid w:val="00FA6084"/>
    <w:rsid w:val="00FA7201"/>
    <w:rsid w:val="00FA72CF"/>
    <w:rsid w:val="00FA7BC9"/>
    <w:rsid w:val="00FB02DE"/>
    <w:rsid w:val="00FB0D48"/>
    <w:rsid w:val="00FB1A48"/>
    <w:rsid w:val="00FB34D2"/>
    <w:rsid w:val="00FB3863"/>
    <w:rsid w:val="00FB7066"/>
    <w:rsid w:val="00FC16CD"/>
    <w:rsid w:val="00FC2C62"/>
    <w:rsid w:val="00FC64AC"/>
    <w:rsid w:val="00FC7798"/>
    <w:rsid w:val="00FD0E5B"/>
    <w:rsid w:val="00FD1492"/>
    <w:rsid w:val="00FD1A73"/>
    <w:rsid w:val="00FD1E58"/>
    <w:rsid w:val="00FD2608"/>
    <w:rsid w:val="00FD3B2B"/>
    <w:rsid w:val="00FD4A0C"/>
    <w:rsid w:val="00FD5541"/>
    <w:rsid w:val="00FD5DA1"/>
    <w:rsid w:val="00FE4CF5"/>
    <w:rsid w:val="00FE4F4E"/>
    <w:rsid w:val="00FE544B"/>
    <w:rsid w:val="00FE6482"/>
    <w:rsid w:val="00FE6577"/>
    <w:rsid w:val="00FF06F9"/>
    <w:rsid w:val="00FF1726"/>
    <w:rsid w:val="00FF1EF8"/>
    <w:rsid w:val="00FF21A2"/>
    <w:rsid w:val="00FF25A8"/>
    <w:rsid w:val="00FF57B9"/>
    <w:rsid w:val="00FF5F3B"/>
    <w:rsid w:val="00FF77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70961B"/>
  <w15:chartTrackingRefBased/>
  <w15:docId w15:val="{F04277D0-7F7E-4D56-BF56-00601A34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62C"/>
    <w:pPr>
      <w:spacing w:line="260" w:lineRule="atLeast"/>
      <w:jc w:val="both"/>
    </w:pPr>
    <w:rPr>
      <w:rFonts w:ascii="Palatino Linotype" w:hAnsi="Palatino Linotype"/>
      <w:color w:val="000000"/>
    </w:rPr>
  </w:style>
  <w:style w:type="paragraph" w:styleId="Ttulo1">
    <w:name w:val="heading 1"/>
    <w:basedOn w:val="Normal"/>
    <w:next w:val="Normal"/>
    <w:link w:val="Ttulo1Car"/>
    <w:uiPriority w:val="9"/>
    <w:qFormat/>
    <w:rsid w:val="002A403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2F3CD5"/>
    <w:pPr>
      <w:keepNext/>
      <w:keepLines/>
      <w:spacing w:before="280" w:after="80" w:line="259" w:lineRule="auto"/>
      <w:jc w:val="left"/>
      <w:outlineLvl w:val="2"/>
    </w:pPr>
    <w:rPr>
      <w:rFonts w:ascii="Calibri" w:eastAsia="Calibri" w:hAnsi="Calibri" w:cs="Calibri"/>
      <w:b/>
      <w:color w:val="auto"/>
      <w:sz w:val="28"/>
      <w:szCs w:val="28"/>
      <w:lang w:eastAsia="es-PE"/>
    </w:rPr>
  </w:style>
  <w:style w:type="paragraph" w:styleId="Ttulo5">
    <w:name w:val="heading 5"/>
    <w:basedOn w:val="Normal"/>
    <w:next w:val="Normal"/>
    <w:link w:val="Ttulo5Car"/>
    <w:uiPriority w:val="9"/>
    <w:semiHidden/>
    <w:unhideWhenUsed/>
    <w:qFormat/>
    <w:rsid w:val="002A403C"/>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next w:val="Normal"/>
    <w:qFormat/>
    <w:rsid w:val="00522304"/>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522304"/>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522304"/>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522304"/>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522304"/>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522304"/>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522304"/>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522304"/>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a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52230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522304"/>
    <w:pPr>
      <w:tabs>
        <w:tab w:val="center" w:pos="4153"/>
        <w:tab w:val="right" w:pos="8306"/>
      </w:tabs>
      <w:snapToGrid w:val="0"/>
      <w:spacing w:line="240" w:lineRule="atLeast"/>
    </w:pPr>
    <w:rPr>
      <w:szCs w:val="18"/>
    </w:rPr>
  </w:style>
  <w:style w:type="character" w:customStyle="1" w:styleId="PiedepginaCar">
    <w:name w:val="Pie de página Car"/>
    <w:link w:val="Piedepgina"/>
    <w:uiPriority w:val="99"/>
    <w:rsid w:val="00522304"/>
    <w:rPr>
      <w:rFonts w:ascii="Palatino Linotype" w:hAnsi="Palatino Linotype"/>
      <w:noProof/>
      <w:color w:val="000000"/>
      <w:szCs w:val="18"/>
    </w:rPr>
  </w:style>
  <w:style w:type="paragraph" w:styleId="Encabezado">
    <w:name w:val="header"/>
    <w:basedOn w:val="Normal"/>
    <w:link w:val="EncabezadoCar"/>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link w:val="Encabezado"/>
    <w:uiPriority w:val="99"/>
    <w:rsid w:val="00522304"/>
    <w:rPr>
      <w:rFonts w:ascii="Palatino Linotype" w:hAnsi="Palatino Linotype"/>
      <w:noProof/>
      <w:color w:val="000000"/>
      <w:szCs w:val="18"/>
    </w:rPr>
  </w:style>
  <w:style w:type="paragraph" w:customStyle="1" w:styleId="MDPIheaderjournallogo">
    <w:name w:val="MDPI_header_journal_logo"/>
    <w:qFormat/>
    <w:rsid w:val="00522304"/>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522304"/>
    <w:pPr>
      <w:ind w:firstLine="0"/>
    </w:pPr>
  </w:style>
  <w:style w:type="paragraph" w:customStyle="1" w:styleId="MDPI31text">
    <w:name w:val="MDPI_3.1_text"/>
    <w:qFormat/>
    <w:rsid w:val="00322BD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522304"/>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522304"/>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522304"/>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522304"/>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10707"/>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10707"/>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522304"/>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522304"/>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522304"/>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522304"/>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22304"/>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522304"/>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522304"/>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522304"/>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522304"/>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522304"/>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522304"/>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522304"/>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187A46"/>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odeglobo">
    <w:name w:val="Balloon Text"/>
    <w:basedOn w:val="Normal"/>
    <w:link w:val="TextodegloboCar"/>
    <w:uiPriority w:val="99"/>
    <w:rsid w:val="00522304"/>
    <w:rPr>
      <w:rFonts w:cs="Tahoma"/>
      <w:szCs w:val="18"/>
    </w:rPr>
  </w:style>
  <w:style w:type="character" w:customStyle="1" w:styleId="TextodegloboCar">
    <w:name w:val="Texto de globo Car"/>
    <w:link w:val="Textodeglobo"/>
    <w:uiPriority w:val="99"/>
    <w:rsid w:val="00522304"/>
    <w:rPr>
      <w:rFonts w:ascii="Palatino Linotype" w:hAnsi="Palatino Linotype" w:cs="Tahoma"/>
      <w:noProof/>
      <w:color w:val="000000"/>
      <w:szCs w:val="18"/>
    </w:rPr>
  </w:style>
  <w:style w:type="character" w:styleId="Nmerodelnea">
    <w:name w:val="line number"/>
    <w:uiPriority w:val="99"/>
    <w:rsid w:val="00284BEB"/>
    <w:rPr>
      <w:rFonts w:ascii="Palatino Linotype" w:hAnsi="Palatino Linotype"/>
      <w:sz w:val="16"/>
    </w:rPr>
  </w:style>
  <w:style w:type="table" w:customStyle="1" w:styleId="MDPI41threelinetable">
    <w:name w:val="MDPI_4.1_three_line_table"/>
    <w:basedOn w:val="Tablanormal"/>
    <w:uiPriority w:val="99"/>
    <w:rsid w:val="00522304"/>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ipervnculo">
    <w:name w:val="Hyperlink"/>
    <w:uiPriority w:val="99"/>
    <w:rsid w:val="00522304"/>
    <w:rPr>
      <w:color w:val="0000FF"/>
      <w:u w:val="single"/>
    </w:rPr>
  </w:style>
  <w:style w:type="character" w:styleId="Mencinsinresolver">
    <w:name w:val="Unresolved Mention"/>
    <w:uiPriority w:val="99"/>
    <w:semiHidden/>
    <w:unhideWhenUsed/>
    <w:rsid w:val="00C243C9"/>
    <w:rPr>
      <w:color w:val="605E5C"/>
      <w:shd w:val="clear" w:color="auto" w:fill="E1DFDD"/>
    </w:rPr>
  </w:style>
  <w:style w:type="table" w:styleId="Tablanormal4">
    <w:name w:val="Plain Table 4"/>
    <w:basedOn w:val="Tablanormal"/>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522304"/>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522304"/>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522304"/>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06442A"/>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522304"/>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522304"/>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522304"/>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28726C"/>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522304"/>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522304"/>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522304"/>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522304"/>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522304"/>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522304"/>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anormal"/>
    <w:uiPriority w:val="99"/>
    <w:rsid w:val="00522304"/>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522304"/>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522304"/>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22304"/>
  </w:style>
  <w:style w:type="paragraph" w:styleId="Bibliografa">
    <w:name w:val="Bibliography"/>
    <w:basedOn w:val="Normal"/>
    <w:next w:val="Normal"/>
    <w:uiPriority w:val="37"/>
    <w:unhideWhenUsed/>
    <w:rsid w:val="00522304"/>
    <w:pPr>
      <w:tabs>
        <w:tab w:val="left" w:pos="384"/>
      </w:tabs>
      <w:spacing w:after="240" w:line="240" w:lineRule="atLeast"/>
      <w:ind w:left="384" w:hanging="384"/>
    </w:pPr>
  </w:style>
  <w:style w:type="paragraph" w:styleId="Textoindependiente">
    <w:name w:val="Body Text"/>
    <w:link w:val="TextoindependienteCar"/>
    <w:rsid w:val="00522304"/>
    <w:pPr>
      <w:spacing w:after="120" w:line="340" w:lineRule="atLeast"/>
      <w:jc w:val="both"/>
    </w:pPr>
    <w:rPr>
      <w:rFonts w:ascii="Palatino Linotype" w:hAnsi="Palatino Linotype"/>
      <w:color w:val="000000"/>
      <w:sz w:val="24"/>
      <w:lang w:eastAsia="de-DE"/>
    </w:rPr>
  </w:style>
  <w:style w:type="character" w:customStyle="1" w:styleId="TextoindependienteCar">
    <w:name w:val="Texto independiente Car"/>
    <w:link w:val="Textoindependiente"/>
    <w:rsid w:val="00522304"/>
    <w:rPr>
      <w:rFonts w:ascii="Palatino Linotype" w:hAnsi="Palatino Linotype"/>
      <w:color w:val="000000"/>
      <w:sz w:val="24"/>
      <w:lang w:eastAsia="de-DE"/>
    </w:rPr>
  </w:style>
  <w:style w:type="character" w:styleId="Refdecomentario">
    <w:name w:val="annotation reference"/>
    <w:rsid w:val="00522304"/>
    <w:rPr>
      <w:sz w:val="21"/>
      <w:szCs w:val="21"/>
    </w:rPr>
  </w:style>
  <w:style w:type="paragraph" w:styleId="Textocomentario">
    <w:name w:val="annotation text"/>
    <w:basedOn w:val="Normal"/>
    <w:link w:val="TextocomentarioCar"/>
    <w:rsid w:val="00522304"/>
  </w:style>
  <w:style w:type="character" w:customStyle="1" w:styleId="TextocomentarioCar">
    <w:name w:val="Texto comentario Car"/>
    <w:link w:val="Textocomentario"/>
    <w:rsid w:val="00522304"/>
    <w:rPr>
      <w:rFonts w:ascii="Palatino Linotype" w:hAnsi="Palatino Linotype"/>
      <w:noProof/>
      <w:color w:val="000000"/>
    </w:rPr>
  </w:style>
  <w:style w:type="paragraph" w:styleId="Asuntodelcomentario">
    <w:name w:val="annotation subject"/>
    <w:basedOn w:val="Textocomentario"/>
    <w:next w:val="Textocomentario"/>
    <w:link w:val="AsuntodelcomentarioCar"/>
    <w:rsid w:val="00522304"/>
    <w:rPr>
      <w:b/>
      <w:bCs/>
    </w:rPr>
  </w:style>
  <w:style w:type="character" w:customStyle="1" w:styleId="AsuntodelcomentarioCar">
    <w:name w:val="Asunto del comentario Car"/>
    <w:link w:val="Asuntodelcomentario"/>
    <w:rsid w:val="00522304"/>
    <w:rPr>
      <w:rFonts w:ascii="Palatino Linotype" w:hAnsi="Palatino Linotype"/>
      <w:b/>
      <w:bCs/>
      <w:noProof/>
      <w:color w:val="000000"/>
    </w:rPr>
  </w:style>
  <w:style w:type="character" w:styleId="Refdenotaalfinal">
    <w:name w:val="endnote reference"/>
    <w:rsid w:val="00522304"/>
    <w:rPr>
      <w:vertAlign w:val="superscript"/>
    </w:rPr>
  </w:style>
  <w:style w:type="paragraph" w:styleId="Textonotaalfinal">
    <w:name w:val="endnote text"/>
    <w:basedOn w:val="Normal"/>
    <w:link w:val="TextonotaalfinalCar"/>
    <w:semiHidden/>
    <w:unhideWhenUsed/>
    <w:rsid w:val="00522304"/>
    <w:pPr>
      <w:spacing w:line="240" w:lineRule="auto"/>
    </w:pPr>
  </w:style>
  <w:style w:type="character" w:customStyle="1" w:styleId="TextonotaalfinalCar">
    <w:name w:val="Texto nota al final Car"/>
    <w:link w:val="Textonotaalfinal"/>
    <w:semiHidden/>
    <w:rsid w:val="00522304"/>
    <w:rPr>
      <w:rFonts w:ascii="Palatino Linotype" w:hAnsi="Palatino Linotype"/>
      <w:noProof/>
      <w:color w:val="000000"/>
    </w:rPr>
  </w:style>
  <w:style w:type="character" w:styleId="Hipervnculovisitado">
    <w:name w:val="FollowedHyperlink"/>
    <w:rsid w:val="00522304"/>
    <w:rPr>
      <w:color w:val="954F72"/>
      <w:u w:val="single"/>
    </w:rPr>
  </w:style>
  <w:style w:type="paragraph" w:styleId="Textonotapie">
    <w:name w:val="footnote text"/>
    <w:basedOn w:val="Normal"/>
    <w:link w:val="TextonotapieCar"/>
    <w:semiHidden/>
    <w:unhideWhenUsed/>
    <w:rsid w:val="00522304"/>
    <w:pPr>
      <w:spacing w:line="240" w:lineRule="auto"/>
    </w:pPr>
  </w:style>
  <w:style w:type="character" w:customStyle="1" w:styleId="TextonotapieCar">
    <w:name w:val="Texto nota pie Car"/>
    <w:link w:val="Textonotapie"/>
    <w:semiHidden/>
    <w:rsid w:val="00522304"/>
    <w:rPr>
      <w:rFonts w:ascii="Palatino Linotype" w:hAnsi="Palatino Linotype"/>
      <w:noProof/>
      <w:color w:val="000000"/>
    </w:rPr>
  </w:style>
  <w:style w:type="paragraph" w:styleId="NormalWeb">
    <w:name w:val="Normal (Web)"/>
    <w:basedOn w:val="Normal"/>
    <w:uiPriority w:val="99"/>
    <w:rsid w:val="00522304"/>
    <w:rPr>
      <w:szCs w:val="24"/>
    </w:rPr>
  </w:style>
  <w:style w:type="paragraph" w:customStyle="1" w:styleId="MsoFootnoteText0">
    <w:name w:val="MsoFootnoteText"/>
    <w:basedOn w:val="NormalWeb"/>
    <w:qFormat/>
    <w:rsid w:val="00522304"/>
    <w:rPr>
      <w:rFonts w:ascii="Times New Roman" w:hAnsi="Times New Roman"/>
    </w:rPr>
  </w:style>
  <w:style w:type="character" w:styleId="Nmerodepgina">
    <w:name w:val="page number"/>
    <w:rsid w:val="00522304"/>
  </w:style>
  <w:style w:type="character" w:styleId="Textodelmarcadordeposicin">
    <w:name w:val="Placeholder Text"/>
    <w:uiPriority w:val="99"/>
    <w:semiHidden/>
    <w:rsid w:val="00522304"/>
    <w:rPr>
      <w:color w:val="808080"/>
    </w:rPr>
  </w:style>
  <w:style w:type="paragraph" w:customStyle="1" w:styleId="MDPI71FootNotes">
    <w:name w:val="MDPI_7.1_FootNotes"/>
    <w:qFormat/>
    <w:rsid w:val="00262314"/>
    <w:pPr>
      <w:numPr>
        <w:numId w:val="21"/>
      </w:numPr>
      <w:adjustRightInd w:val="0"/>
      <w:snapToGrid w:val="0"/>
      <w:spacing w:line="228" w:lineRule="auto"/>
    </w:pPr>
    <w:rPr>
      <w:rFonts w:ascii="Palatino Linotype" w:eastAsiaTheme="minorEastAsia" w:hAnsi="Palatino Linotype"/>
      <w:noProof/>
      <w:color w:val="000000"/>
      <w:sz w:val="18"/>
    </w:rPr>
  </w:style>
  <w:style w:type="table" w:styleId="Tablanormal2">
    <w:name w:val="Plain Table 2"/>
    <w:basedOn w:val="Tablanormal"/>
    <w:uiPriority w:val="42"/>
    <w:rsid w:val="00FD1A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clara">
    <w:name w:val="Grid Table Light"/>
    <w:basedOn w:val="Tablanormal"/>
    <w:uiPriority w:val="40"/>
    <w:rsid w:val="0031462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basedOn w:val="Normal"/>
    <w:uiPriority w:val="34"/>
    <w:qFormat/>
    <w:rsid w:val="008B44F6"/>
    <w:pPr>
      <w:spacing w:after="160" w:line="259" w:lineRule="auto"/>
      <w:ind w:left="720"/>
      <w:contextualSpacing/>
      <w:jc w:val="left"/>
    </w:pPr>
    <w:rPr>
      <w:rFonts w:asciiTheme="minorHAnsi" w:eastAsiaTheme="minorHAnsi" w:hAnsiTheme="minorHAnsi" w:cstheme="minorBidi"/>
      <w:color w:val="auto"/>
      <w:sz w:val="22"/>
      <w:szCs w:val="22"/>
      <w:lang w:val="en-AU" w:eastAsia="en-US"/>
    </w:rPr>
  </w:style>
  <w:style w:type="character" w:customStyle="1" w:styleId="Ttulo3Car">
    <w:name w:val="Título 3 Car"/>
    <w:basedOn w:val="Fuentedeprrafopredeter"/>
    <w:link w:val="Ttulo3"/>
    <w:uiPriority w:val="9"/>
    <w:rsid w:val="002F3CD5"/>
    <w:rPr>
      <w:rFonts w:eastAsia="Calibri" w:cs="Calibri"/>
      <w:b/>
      <w:sz w:val="28"/>
      <w:szCs w:val="28"/>
      <w:lang w:eastAsia="es-PE"/>
    </w:rPr>
  </w:style>
  <w:style w:type="character" w:customStyle="1" w:styleId="Ttulo1Car">
    <w:name w:val="Título 1 Car"/>
    <w:basedOn w:val="Fuentedeprrafopredeter"/>
    <w:link w:val="Ttulo1"/>
    <w:uiPriority w:val="9"/>
    <w:rsid w:val="002A403C"/>
    <w:rPr>
      <w:rFonts w:asciiTheme="majorHAnsi" w:eastAsiaTheme="majorEastAsia" w:hAnsiTheme="majorHAnsi" w:cstheme="majorBidi"/>
      <w:color w:val="2F5496" w:themeColor="accent1" w:themeShade="BF"/>
      <w:sz w:val="32"/>
      <w:szCs w:val="32"/>
    </w:rPr>
  </w:style>
  <w:style w:type="character" w:customStyle="1" w:styleId="Ttulo5Car">
    <w:name w:val="Título 5 Car"/>
    <w:basedOn w:val="Fuentedeprrafopredeter"/>
    <w:link w:val="Ttulo5"/>
    <w:uiPriority w:val="9"/>
    <w:semiHidden/>
    <w:rsid w:val="002A403C"/>
    <w:rPr>
      <w:rFonts w:asciiTheme="majorHAnsi" w:eastAsiaTheme="majorEastAsia" w:hAnsiTheme="majorHAnsi" w:cstheme="majorBidi"/>
      <w:color w:val="2F5496" w:themeColor="accent1" w:themeShade="BF"/>
    </w:rPr>
  </w:style>
  <w:style w:type="paragraph" w:customStyle="1" w:styleId="FirstParagraph">
    <w:name w:val="First Paragraph"/>
    <w:basedOn w:val="Textoindependiente"/>
    <w:next w:val="Textoindependiente"/>
    <w:qFormat/>
    <w:rsid w:val="002A403C"/>
    <w:pPr>
      <w:spacing w:before="120" w:line="240" w:lineRule="auto"/>
      <w:jc w:val="left"/>
    </w:pPr>
    <w:rPr>
      <w:rFonts w:asciiTheme="minorHAnsi" w:eastAsiaTheme="minorHAnsi" w:hAnsiTheme="minorHAnsi" w:cstheme="minorBidi"/>
      <w:color w:val="auto"/>
      <w:szCs w:val="24"/>
      <w:lang w:eastAsia="en-US"/>
    </w:rPr>
  </w:style>
  <w:style w:type="paragraph" w:styleId="TtuloTDC">
    <w:name w:val="TOC Heading"/>
    <w:basedOn w:val="Ttulo1"/>
    <w:next w:val="Normal"/>
    <w:uiPriority w:val="39"/>
    <w:unhideWhenUsed/>
    <w:qFormat/>
    <w:rsid w:val="002A403C"/>
    <w:pPr>
      <w:spacing w:line="259" w:lineRule="auto"/>
      <w:jc w:val="left"/>
      <w:outlineLvl w:val="9"/>
    </w:pPr>
    <w:rPr>
      <w:lang w:val="es-PE" w:eastAsia="es-PE"/>
    </w:rPr>
  </w:style>
  <w:style w:type="paragraph" w:styleId="TDC1">
    <w:name w:val="toc 1"/>
    <w:basedOn w:val="Normal"/>
    <w:next w:val="Normal"/>
    <w:autoRedefine/>
    <w:uiPriority w:val="39"/>
    <w:unhideWhenUsed/>
    <w:rsid w:val="002A403C"/>
    <w:pPr>
      <w:spacing w:after="100"/>
    </w:pPr>
  </w:style>
  <w:style w:type="paragraph" w:styleId="TDC2">
    <w:name w:val="toc 2"/>
    <w:basedOn w:val="Normal"/>
    <w:next w:val="Normal"/>
    <w:autoRedefine/>
    <w:uiPriority w:val="39"/>
    <w:unhideWhenUsed/>
    <w:rsid w:val="002A403C"/>
    <w:pPr>
      <w:spacing w:after="100" w:line="259" w:lineRule="auto"/>
      <w:ind w:left="220"/>
      <w:jc w:val="left"/>
    </w:pPr>
    <w:rPr>
      <w:rFonts w:asciiTheme="minorHAnsi" w:eastAsiaTheme="minorEastAsia" w:hAnsiTheme="minorHAnsi"/>
      <w:color w:val="auto"/>
      <w:sz w:val="22"/>
      <w:szCs w:val="22"/>
      <w:lang w:val="es-PE" w:eastAsia="es-PE"/>
    </w:rPr>
  </w:style>
  <w:style w:type="paragraph" w:styleId="TDC3">
    <w:name w:val="toc 3"/>
    <w:basedOn w:val="Normal"/>
    <w:next w:val="Normal"/>
    <w:autoRedefine/>
    <w:uiPriority w:val="39"/>
    <w:unhideWhenUsed/>
    <w:rsid w:val="002A403C"/>
    <w:pPr>
      <w:spacing w:after="100" w:line="259" w:lineRule="auto"/>
      <w:ind w:left="440"/>
      <w:jc w:val="left"/>
    </w:pPr>
    <w:rPr>
      <w:rFonts w:asciiTheme="minorHAnsi" w:eastAsiaTheme="minorEastAsia" w:hAnsiTheme="minorHAnsi"/>
      <w:color w:val="auto"/>
      <w:sz w:val="22"/>
      <w:szCs w:val="22"/>
      <w:lang w:val="es-PE" w:eastAsia="es-PE"/>
    </w:rPr>
  </w:style>
  <w:style w:type="paragraph" w:styleId="Revisin">
    <w:name w:val="Revision"/>
    <w:hidden/>
    <w:uiPriority w:val="99"/>
    <w:semiHidden/>
    <w:rsid w:val="00483650"/>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win%20Anthony%20Le&#243;n\Downloads\ijerp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8F7FD-D75B-4DBF-94CF-5D603C5B7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ijerph-template</Template>
  <TotalTime>5</TotalTime>
  <Pages>1</Pages>
  <Words>5698</Words>
  <Characters>31343</Characters>
  <Application>Microsoft Office Word</Application>
  <DocSecurity>0</DocSecurity>
  <Lines>261</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36968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Darwin Anthony León</dc:creator>
  <cp:keywords/>
  <dc:description/>
  <cp:lastModifiedBy>Darwin A. León-Figueroa</cp:lastModifiedBy>
  <cp:revision>4</cp:revision>
  <cp:lastPrinted>2023-06-05T09:16:00Z</cp:lastPrinted>
  <dcterms:created xsi:type="dcterms:W3CDTF">2024-10-08T13:28:00Z</dcterms:created>
  <dcterms:modified xsi:type="dcterms:W3CDTF">2024-10-08T13:45:00Z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id="zV3gM4fB"/&gt;&lt;style id="http://www.zotero.org/styles/vancouver" locale="es-ES"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