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E24A" w14:textId="58AC0ABF" w:rsidR="0030434B" w:rsidRDefault="0030434B" w:rsidP="0030434B">
      <w:pPr>
        <w:spacing w:after="0"/>
        <w:rPr>
          <w:rFonts w:ascii="Times New Roman" w:hAnsi="Times New Roman" w:cs="Times New Roman"/>
          <w:b/>
          <w:bCs/>
          <w:sz w:val="24"/>
          <w:szCs w:val="24"/>
        </w:rPr>
      </w:pPr>
      <w:r w:rsidRPr="005D3D45">
        <w:rPr>
          <w:rFonts w:ascii="Times New Roman" w:hAnsi="Times New Roman" w:cs="Times New Roman"/>
          <w:b/>
          <w:bCs/>
          <w:sz w:val="24"/>
          <w:szCs w:val="24"/>
        </w:rPr>
        <w:t xml:space="preserve">Supplementary </w:t>
      </w:r>
      <w:r>
        <w:rPr>
          <w:rFonts w:ascii="Times New Roman" w:hAnsi="Times New Roman" w:cs="Times New Roman"/>
          <w:b/>
          <w:bCs/>
          <w:sz w:val="24"/>
          <w:szCs w:val="24"/>
        </w:rPr>
        <w:t>T</w:t>
      </w:r>
      <w:r w:rsidRPr="005D3D45">
        <w:rPr>
          <w:rFonts w:ascii="Times New Roman" w:hAnsi="Times New Roman" w:cs="Times New Roman"/>
          <w:b/>
          <w:bCs/>
          <w:sz w:val="24"/>
          <w:szCs w:val="24"/>
        </w:rPr>
        <w:t xml:space="preserve">able 1. List of primarily selected indicators </w:t>
      </w:r>
    </w:p>
    <w:p w14:paraId="2A6C94FA" w14:textId="77777777" w:rsidR="0030434B" w:rsidRPr="005D3D45" w:rsidRDefault="0030434B" w:rsidP="0030434B">
      <w:pPr>
        <w:spacing w:after="0"/>
        <w:rPr>
          <w:rFonts w:ascii="Times New Roman" w:hAnsi="Times New Roman" w:cs="Times New Roman"/>
          <w:b/>
          <w:bCs/>
          <w:sz w:val="24"/>
          <w:szCs w:val="24"/>
        </w:rPr>
      </w:pP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7103"/>
      </w:tblGrid>
      <w:tr w:rsidR="0030434B" w:rsidRPr="0030434B" w14:paraId="047D7846" w14:textId="77777777" w:rsidTr="00642908">
        <w:trPr>
          <w:trHeight w:val="290"/>
        </w:trPr>
        <w:tc>
          <w:tcPr>
            <w:tcW w:w="1257" w:type="pct"/>
            <w:shd w:val="clear" w:color="auto" w:fill="auto"/>
            <w:noWrap/>
            <w:vAlign w:val="bottom"/>
            <w:hideMark/>
          </w:tcPr>
          <w:p w14:paraId="466EEFE6"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Indicator </w:t>
            </w:r>
          </w:p>
        </w:tc>
        <w:tc>
          <w:tcPr>
            <w:tcW w:w="3743" w:type="pct"/>
          </w:tcPr>
          <w:p w14:paraId="28F61B2E" w14:textId="5E696DD1"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The r</w:t>
            </w:r>
            <w:r w:rsidRPr="0030434B">
              <w:rPr>
                <w:rFonts w:ascii="Times New Roman" w:eastAsia="Times New Roman" w:hAnsi="Times New Roman" w:cs="Times New Roman"/>
                <w:color w:val="000000"/>
                <w:sz w:val="24"/>
                <w:szCs w:val="24"/>
              </w:rPr>
              <w:t xml:space="preserve">ationale for their selection </w:t>
            </w:r>
          </w:p>
        </w:tc>
      </w:tr>
      <w:tr w:rsidR="0030434B" w:rsidRPr="0030434B" w14:paraId="21C52DC5" w14:textId="77777777" w:rsidTr="00642908">
        <w:trPr>
          <w:trHeight w:val="290"/>
        </w:trPr>
        <w:tc>
          <w:tcPr>
            <w:tcW w:w="1257" w:type="pct"/>
            <w:shd w:val="clear" w:color="auto" w:fill="auto"/>
            <w:noWrap/>
            <w:hideMark/>
          </w:tcPr>
          <w:p w14:paraId="5C7BD09F"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head is a female</w:t>
            </w:r>
          </w:p>
        </w:tc>
        <w:tc>
          <w:tcPr>
            <w:tcW w:w="3743" w:type="pct"/>
          </w:tcPr>
          <w:p w14:paraId="14FF50A3"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Female-headed households often face unique challenges related to economic empowerment, access to resources, and social protection. In many societies, women are disproportionately affected by poverty, and their households may be more vulnerable to economic shocks. This indicator aligns with SDG 5 (Gender Equality) and SDG 10, as it highlights gender-related inequalities that contribute to socioeconomic vulnerabilities.</w:t>
            </w:r>
          </w:p>
        </w:tc>
      </w:tr>
      <w:tr w:rsidR="0030434B" w:rsidRPr="0030434B" w14:paraId="7A543F25" w14:textId="77777777" w:rsidTr="00642908">
        <w:trPr>
          <w:trHeight w:val="1214"/>
        </w:trPr>
        <w:tc>
          <w:tcPr>
            <w:tcW w:w="1257" w:type="pct"/>
            <w:shd w:val="clear" w:color="auto" w:fill="auto"/>
            <w:noWrap/>
            <w:hideMark/>
          </w:tcPr>
          <w:p w14:paraId="2479AD05"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Head of the house in your family a widow</w:t>
            </w:r>
          </w:p>
        </w:tc>
        <w:tc>
          <w:tcPr>
            <w:tcW w:w="3743" w:type="pct"/>
          </w:tcPr>
          <w:p w14:paraId="6AEF531C"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Widowed heads of households may experience significant economic and social challenges, including loss of income and social support. This indicator is critical for understanding the intersection of gender, age, and economic vulnerability. It connects with SDG 3 (by addressing the well-being of vulnerable groups) and SDG 10 (by focusing on the reduction of inequalities experienced by widows).</w:t>
            </w:r>
          </w:p>
        </w:tc>
      </w:tr>
      <w:tr w:rsidR="0030434B" w:rsidRPr="0030434B" w14:paraId="35B99D45" w14:textId="77777777" w:rsidTr="00642908">
        <w:trPr>
          <w:trHeight w:val="290"/>
        </w:trPr>
        <w:tc>
          <w:tcPr>
            <w:tcW w:w="1257" w:type="pct"/>
            <w:shd w:val="clear" w:color="auto" w:fill="auto"/>
            <w:noWrap/>
            <w:hideMark/>
          </w:tcPr>
          <w:p w14:paraId="0D0776E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owns the house they live in</w:t>
            </w:r>
          </w:p>
        </w:tc>
        <w:tc>
          <w:tcPr>
            <w:tcW w:w="3743" w:type="pct"/>
          </w:tcPr>
          <w:p w14:paraId="7268B376"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Homeownership is a key determinant of economic stability and security. Households that own their homes are generally more resilient to economic fluctuations and have better access to financial resources. This indicator reflects the broader goal of reducing inequalities (SDG 10) by highlighting disparities in asset ownership and the potential for wealth accumulation.</w:t>
            </w:r>
          </w:p>
        </w:tc>
      </w:tr>
      <w:tr w:rsidR="0030434B" w:rsidRPr="0030434B" w14:paraId="1E3626D7" w14:textId="77777777" w:rsidTr="00642908">
        <w:trPr>
          <w:trHeight w:val="290"/>
        </w:trPr>
        <w:tc>
          <w:tcPr>
            <w:tcW w:w="1257" w:type="pct"/>
            <w:shd w:val="clear" w:color="auto" w:fill="auto"/>
            <w:noWrap/>
            <w:hideMark/>
          </w:tcPr>
          <w:p w14:paraId="2CD32D05"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Condition or quality of the household is good</w:t>
            </w:r>
          </w:p>
        </w:tc>
        <w:tc>
          <w:tcPr>
            <w:tcW w:w="3743" w:type="pct"/>
          </w:tcPr>
          <w:p w14:paraId="3C72E133"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The physical condition of a household is directly linked to health outcomes. Poor housing conditions can lead to respiratory illnesses, accidents, and other health issues. This indicator supports SDG 3 by focusing on the importance of healthy living environments and contributes to SDG 10 by identifying inequalities in housing quality.</w:t>
            </w:r>
          </w:p>
        </w:tc>
      </w:tr>
      <w:tr w:rsidR="0030434B" w:rsidRPr="0030434B" w14:paraId="1A69FCE1" w14:textId="77777777" w:rsidTr="00642908">
        <w:trPr>
          <w:trHeight w:val="290"/>
        </w:trPr>
        <w:tc>
          <w:tcPr>
            <w:tcW w:w="1257" w:type="pct"/>
            <w:shd w:val="clear" w:color="auto" w:fill="auto"/>
            <w:noWrap/>
            <w:hideMark/>
          </w:tcPr>
          <w:p w14:paraId="1E7CBA4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Household shared the same kitchen with other households </w:t>
            </w:r>
          </w:p>
        </w:tc>
        <w:tc>
          <w:tcPr>
            <w:tcW w:w="3743" w:type="pct"/>
          </w:tcPr>
          <w:p w14:paraId="320239A3"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Sharing kitchen facilities can indicate overcrowding and poor living conditions, which can lead to the spread of communicable diseases and other health risks. This indicator aligns with SDG 3 by addressing health risks associated with inadequate housing and contributes to SDG 10 by highlighting disparities in living conditions.</w:t>
            </w:r>
          </w:p>
        </w:tc>
      </w:tr>
      <w:tr w:rsidR="0030434B" w:rsidRPr="0030434B" w14:paraId="32FB8A1B" w14:textId="77777777" w:rsidTr="00642908">
        <w:trPr>
          <w:trHeight w:val="290"/>
        </w:trPr>
        <w:tc>
          <w:tcPr>
            <w:tcW w:w="1257" w:type="pct"/>
            <w:shd w:val="clear" w:color="auto" w:fill="auto"/>
            <w:noWrap/>
            <w:hideMark/>
          </w:tcPr>
          <w:p w14:paraId="6F171555"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connected to public electricity supply systems</w:t>
            </w:r>
          </w:p>
        </w:tc>
        <w:tc>
          <w:tcPr>
            <w:tcW w:w="3743" w:type="pct"/>
          </w:tcPr>
          <w:p w14:paraId="639A56A9"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electricity is essential for economic development, education, and health. It impacts everything from the ability to work or study after dark to maintaining food and medication storage. This indicator supports </w:t>
            </w:r>
            <w:r w:rsidRPr="0030434B">
              <w:rPr>
                <w:rStyle w:val="Strong"/>
                <w:rFonts w:ascii="Times New Roman" w:hAnsi="Times New Roman" w:cs="Times New Roman"/>
                <w:b w:val="0"/>
                <w:bCs w:val="0"/>
                <w:sz w:val="24"/>
                <w:szCs w:val="24"/>
              </w:rPr>
              <w:t>SDG 7</w:t>
            </w:r>
            <w:r w:rsidRPr="0030434B">
              <w:rPr>
                <w:rFonts w:ascii="Times New Roman" w:hAnsi="Times New Roman" w:cs="Times New Roman"/>
                <w:sz w:val="24"/>
                <w:szCs w:val="24"/>
              </w:rPr>
              <w:t xml:space="preserve"> (Affordable and Clean Energy)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identifying gaps in access to basic services.</w:t>
            </w:r>
          </w:p>
        </w:tc>
      </w:tr>
      <w:tr w:rsidR="0030434B" w:rsidRPr="0030434B" w14:paraId="42224763" w14:textId="77777777" w:rsidTr="00642908">
        <w:trPr>
          <w:trHeight w:val="290"/>
        </w:trPr>
        <w:tc>
          <w:tcPr>
            <w:tcW w:w="1257" w:type="pct"/>
            <w:shd w:val="clear" w:color="auto" w:fill="auto"/>
            <w:noWrap/>
            <w:hideMark/>
          </w:tcPr>
          <w:p w14:paraId="76EDF92F"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connected to public water supply systems</w:t>
            </w:r>
          </w:p>
        </w:tc>
        <w:tc>
          <w:tcPr>
            <w:tcW w:w="3743" w:type="pct"/>
          </w:tcPr>
          <w:p w14:paraId="227D75F0"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clean water is a fundamental determinant of health. Households without reliable access to clean water are more susceptible to waterborne diseases. This indicator is directly linked to </w:t>
            </w:r>
            <w:r w:rsidRPr="0030434B">
              <w:rPr>
                <w:rStyle w:val="Strong"/>
                <w:rFonts w:ascii="Times New Roman" w:hAnsi="Times New Roman" w:cs="Times New Roman"/>
                <w:b w:val="0"/>
                <w:bCs w:val="0"/>
                <w:sz w:val="24"/>
                <w:szCs w:val="24"/>
              </w:rPr>
              <w:t>SDG 6</w:t>
            </w:r>
            <w:r w:rsidRPr="0030434B">
              <w:rPr>
                <w:rFonts w:ascii="Times New Roman" w:hAnsi="Times New Roman" w:cs="Times New Roman"/>
                <w:sz w:val="24"/>
                <w:szCs w:val="24"/>
              </w:rPr>
              <w:t xml:space="preserve"> (Clean Water and Sanitation) and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the health impacts of water access, while also contributing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inequalities in basic service provision.</w:t>
            </w:r>
          </w:p>
        </w:tc>
      </w:tr>
      <w:tr w:rsidR="0030434B" w:rsidRPr="0030434B" w14:paraId="0C5ED0F3" w14:textId="77777777" w:rsidTr="00642908">
        <w:trPr>
          <w:trHeight w:val="290"/>
        </w:trPr>
        <w:tc>
          <w:tcPr>
            <w:tcW w:w="1257" w:type="pct"/>
            <w:shd w:val="clear" w:color="auto" w:fill="auto"/>
            <w:noWrap/>
            <w:hideMark/>
          </w:tcPr>
          <w:p w14:paraId="38197A9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connected to public gas supply systems</w:t>
            </w:r>
          </w:p>
        </w:tc>
        <w:tc>
          <w:tcPr>
            <w:tcW w:w="3743" w:type="pct"/>
          </w:tcPr>
          <w:p w14:paraId="448062E5"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Reliable access to gas for cooking and heating is crucial for reducing indoor air pollution and associated health risks.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addressing the health risks associated with indoor pollution </w:t>
            </w:r>
            <w:r w:rsidRPr="0030434B">
              <w:rPr>
                <w:rFonts w:ascii="Times New Roman" w:hAnsi="Times New Roman" w:cs="Times New Roman"/>
                <w:sz w:val="24"/>
                <w:szCs w:val="24"/>
              </w:rPr>
              <w:lastRenderedPageBreak/>
              <w:t xml:space="preserve">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inequalities in access to clean energy sources.</w:t>
            </w:r>
          </w:p>
        </w:tc>
      </w:tr>
      <w:tr w:rsidR="0030434B" w:rsidRPr="0030434B" w14:paraId="6FF324FE" w14:textId="77777777" w:rsidTr="00642908">
        <w:trPr>
          <w:trHeight w:val="290"/>
        </w:trPr>
        <w:tc>
          <w:tcPr>
            <w:tcW w:w="1257" w:type="pct"/>
            <w:shd w:val="clear" w:color="auto" w:fill="auto"/>
            <w:noWrap/>
            <w:hideMark/>
          </w:tcPr>
          <w:p w14:paraId="2C82A10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lastRenderedPageBreak/>
              <w:t>Household uses a sanitary/hygienic latrine</w:t>
            </w:r>
          </w:p>
        </w:tc>
        <w:tc>
          <w:tcPr>
            <w:tcW w:w="3743" w:type="pct"/>
          </w:tcPr>
          <w:p w14:paraId="2A67ECC6"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sanitary latrines is vital for preventing the spread of disease and maintaining public health. This indicator supports </w:t>
            </w:r>
            <w:r w:rsidRPr="0030434B">
              <w:rPr>
                <w:rStyle w:val="Strong"/>
                <w:rFonts w:ascii="Times New Roman" w:hAnsi="Times New Roman" w:cs="Times New Roman"/>
                <w:b w:val="0"/>
                <w:bCs w:val="0"/>
                <w:sz w:val="24"/>
                <w:szCs w:val="24"/>
              </w:rPr>
              <w:t>SDG 6</w:t>
            </w:r>
            <w:r w:rsidRPr="0030434B">
              <w:rPr>
                <w:rFonts w:ascii="Times New Roman" w:hAnsi="Times New Roman" w:cs="Times New Roman"/>
                <w:sz w:val="24"/>
                <w:szCs w:val="24"/>
              </w:rPr>
              <w:t xml:space="preserve"> by focusing on the importance of sanitation for health and hygiene, directly contributing to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reducing the prevalence of communicable diseases.</w:t>
            </w:r>
          </w:p>
        </w:tc>
      </w:tr>
      <w:tr w:rsidR="0030434B" w:rsidRPr="0030434B" w14:paraId="103BDE55" w14:textId="77777777" w:rsidTr="00642908">
        <w:trPr>
          <w:trHeight w:val="290"/>
        </w:trPr>
        <w:tc>
          <w:tcPr>
            <w:tcW w:w="1257" w:type="pct"/>
            <w:shd w:val="clear" w:color="auto" w:fill="auto"/>
            <w:noWrap/>
            <w:hideMark/>
          </w:tcPr>
          <w:p w14:paraId="5DDF25E6"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shared the toilet with other households</w:t>
            </w:r>
          </w:p>
        </w:tc>
        <w:tc>
          <w:tcPr>
            <w:tcW w:w="3743" w:type="pct"/>
          </w:tcPr>
          <w:p w14:paraId="54BDCBAF"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Sharing toilets can indicate overcrowding and inadequate sanitation facilities, which can increase the risk of communicable diseases. This indicator aligns with </w:t>
            </w:r>
            <w:r w:rsidRPr="0030434B">
              <w:rPr>
                <w:rStyle w:val="Strong"/>
                <w:rFonts w:ascii="Times New Roman" w:hAnsi="Times New Roman" w:cs="Times New Roman"/>
                <w:b w:val="0"/>
                <w:bCs w:val="0"/>
                <w:sz w:val="24"/>
                <w:szCs w:val="24"/>
              </w:rPr>
              <w:t>SDG 6</w:t>
            </w:r>
            <w:r w:rsidRPr="0030434B">
              <w:rPr>
                <w:rFonts w:ascii="Times New Roman" w:hAnsi="Times New Roman" w:cs="Times New Roman"/>
                <w:sz w:val="24"/>
                <w:szCs w:val="24"/>
              </w:rPr>
              <w:t xml:space="preserve"> by addressing the sanitation needs of households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inequalities in access to basic services.</w:t>
            </w:r>
          </w:p>
        </w:tc>
      </w:tr>
      <w:tr w:rsidR="0030434B" w:rsidRPr="0030434B" w14:paraId="557EF7E9" w14:textId="77777777" w:rsidTr="00642908">
        <w:trPr>
          <w:trHeight w:val="290"/>
        </w:trPr>
        <w:tc>
          <w:tcPr>
            <w:tcW w:w="1257" w:type="pct"/>
            <w:shd w:val="clear" w:color="auto" w:fill="auto"/>
            <w:noWrap/>
            <w:hideMark/>
          </w:tcPr>
          <w:p w14:paraId="63CD099D"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Household's toilet connected to sewerage system</w:t>
            </w:r>
          </w:p>
        </w:tc>
        <w:tc>
          <w:tcPr>
            <w:tcW w:w="3743" w:type="pct"/>
          </w:tcPr>
          <w:p w14:paraId="4BF6C8B7"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Proper waste disposal through a connected sewerage system is essential for preventing contamination and protecting public health. This indicator supports </w:t>
            </w:r>
            <w:r w:rsidRPr="0030434B">
              <w:rPr>
                <w:rStyle w:val="Strong"/>
                <w:rFonts w:ascii="Times New Roman" w:hAnsi="Times New Roman" w:cs="Times New Roman"/>
                <w:b w:val="0"/>
                <w:bCs w:val="0"/>
                <w:sz w:val="24"/>
                <w:szCs w:val="24"/>
              </w:rPr>
              <w:t>SDG 6</w:t>
            </w:r>
            <w:r w:rsidRPr="0030434B">
              <w:rPr>
                <w:rFonts w:ascii="Times New Roman" w:hAnsi="Times New Roman" w:cs="Times New Roman"/>
                <w:sz w:val="24"/>
                <w:szCs w:val="24"/>
              </w:rPr>
              <w:t xml:space="preserve"> by promoting sanitation infrastructure that is crucial for health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and helps reduce inequalities in access to essential services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w:t>
            </w:r>
          </w:p>
        </w:tc>
      </w:tr>
      <w:tr w:rsidR="0030434B" w:rsidRPr="0030434B" w14:paraId="17960D29" w14:textId="77777777" w:rsidTr="00642908">
        <w:trPr>
          <w:trHeight w:val="290"/>
        </w:trPr>
        <w:tc>
          <w:tcPr>
            <w:tcW w:w="1257" w:type="pct"/>
            <w:shd w:val="clear" w:color="auto" w:fill="auto"/>
            <w:noWrap/>
            <w:hideMark/>
          </w:tcPr>
          <w:p w14:paraId="02F980E9"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Waste dumping area is available</w:t>
            </w:r>
          </w:p>
        </w:tc>
        <w:tc>
          <w:tcPr>
            <w:tcW w:w="3743" w:type="pct"/>
          </w:tcPr>
          <w:p w14:paraId="38D32743"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The availability of designated waste dumping areas helps prevent environmental contamination and reduces health risks. This indicator aligns with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(Sustainable Cities and Communities) by promoting clean and healthy living environments and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reducing health risks associated with improper waste disposal. </w:t>
            </w:r>
          </w:p>
        </w:tc>
      </w:tr>
      <w:tr w:rsidR="0030434B" w:rsidRPr="0030434B" w14:paraId="1845FE89" w14:textId="77777777" w:rsidTr="00642908">
        <w:trPr>
          <w:trHeight w:val="290"/>
        </w:trPr>
        <w:tc>
          <w:tcPr>
            <w:tcW w:w="1257" w:type="pct"/>
            <w:shd w:val="clear" w:color="auto" w:fill="auto"/>
            <w:noWrap/>
            <w:hideMark/>
          </w:tcPr>
          <w:p w14:paraId="7283A3E0"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The city corporation authority regularly collects waste from the slum</w:t>
            </w:r>
          </w:p>
        </w:tc>
        <w:tc>
          <w:tcPr>
            <w:tcW w:w="3743" w:type="pct"/>
          </w:tcPr>
          <w:p w14:paraId="3F32BB3E"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Regular waste collection is essential for maintaining a clean environment and preventing the spread of disease. This indicator supports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ensuring sustainable waste management practices and contributes to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addressing public health concerns.</w:t>
            </w:r>
          </w:p>
        </w:tc>
      </w:tr>
      <w:tr w:rsidR="0030434B" w:rsidRPr="0030434B" w14:paraId="4B742C0C" w14:textId="77777777" w:rsidTr="00642908">
        <w:trPr>
          <w:trHeight w:val="290"/>
        </w:trPr>
        <w:tc>
          <w:tcPr>
            <w:tcW w:w="1257" w:type="pct"/>
            <w:shd w:val="clear" w:color="auto" w:fill="auto"/>
            <w:noWrap/>
            <w:hideMark/>
          </w:tcPr>
          <w:p w14:paraId="50428C69"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The city corporation authority regularly cleans the slum area</w:t>
            </w:r>
          </w:p>
        </w:tc>
        <w:tc>
          <w:tcPr>
            <w:tcW w:w="3743" w:type="pct"/>
          </w:tcPr>
          <w:p w14:paraId="24116C4B"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Regular cleaning of public areas helps reduce environmental hazards and improve overall health. This indicator aligns with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promoting sustainable community management and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ensuring a healthy living environment. </w:t>
            </w:r>
          </w:p>
        </w:tc>
      </w:tr>
      <w:tr w:rsidR="0030434B" w:rsidRPr="0030434B" w14:paraId="7D2ED163" w14:textId="77777777" w:rsidTr="00642908">
        <w:trPr>
          <w:trHeight w:val="290"/>
        </w:trPr>
        <w:tc>
          <w:tcPr>
            <w:tcW w:w="1257" w:type="pct"/>
            <w:shd w:val="clear" w:color="auto" w:fill="auto"/>
            <w:noWrap/>
            <w:hideMark/>
          </w:tcPr>
          <w:p w14:paraId="42CAA80B"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The city corporation authority regularly sprays mosquito repellent</w:t>
            </w:r>
          </w:p>
        </w:tc>
        <w:tc>
          <w:tcPr>
            <w:tcW w:w="3743" w:type="pct"/>
          </w:tcPr>
          <w:p w14:paraId="739D861C"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Spraying mosquito repellent is crucial for controlling vector-borne diseases such as dengue and malaria, which are prevalent in slum areas.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the prevention of infectious diseases and aligns with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promoting public health interventions in urban areas. </w:t>
            </w:r>
          </w:p>
        </w:tc>
      </w:tr>
      <w:tr w:rsidR="0030434B" w:rsidRPr="0030434B" w14:paraId="312D3EAF" w14:textId="77777777" w:rsidTr="00642908">
        <w:trPr>
          <w:trHeight w:val="290"/>
        </w:trPr>
        <w:tc>
          <w:tcPr>
            <w:tcW w:w="1257" w:type="pct"/>
            <w:shd w:val="clear" w:color="auto" w:fill="auto"/>
            <w:noWrap/>
            <w:hideMark/>
          </w:tcPr>
          <w:p w14:paraId="0823AE7E"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The surrounding environment of the household is clean </w:t>
            </w:r>
          </w:p>
        </w:tc>
        <w:tc>
          <w:tcPr>
            <w:tcW w:w="3743" w:type="pct"/>
          </w:tcPr>
          <w:p w14:paraId="5BE9BE0F"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 clean surrounding environment is essential for preventing health issues related to environmental contamination and pollution.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the importance of environmental health and contributes to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promoting sustainable urban living conditions.</w:t>
            </w:r>
          </w:p>
        </w:tc>
      </w:tr>
      <w:tr w:rsidR="0030434B" w:rsidRPr="0030434B" w14:paraId="3465ED01" w14:textId="77777777" w:rsidTr="00642908">
        <w:trPr>
          <w:trHeight w:val="290"/>
        </w:trPr>
        <w:tc>
          <w:tcPr>
            <w:tcW w:w="1257" w:type="pct"/>
            <w:shd w:val="clear" w:color="auto" w:fill="auto"/>
            <w:noWrap/>
            <w:hideMark/>
          </w:tcPr>
          <w:p w14:paraId="2FCA955E"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Water logging is a common problem all over the year</w:t>
            </w:r>
          </w:p>
        </w:tc>
        <w:tc>
          <w:tcPr>
            <w:tcW w:w="3743" w:type="pct"/>
          </w:tcPr>
          <w:p w14:paraId="09D1102B"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Persistent waterlogging can lead to the spread of waterborne diseases and exacerbate living conditions. This indicator aligns with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addressing the need for resilient infrastructure in urban areas and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the health risks associated with environmental challenges.</w:t>
            </w:r>
          </w:p>
        </w:tc>
      </w:tr>
      <w:tr w:rsidR="0030434B" w:rsidRPr="0030434B" w14:paraId="4F0FB730" w14:textId="77777777" w:rsidTr="00642908">
        <w:trPr>
          <w:trHeight w:val="290"/>
        </w:trPr>
        <w:tc>
          <w:tcPr>
            <w:tcW w:w="1257" w:type="pct"/>
            <w:shd w:val="clear" w:color="auto" w:fill="auto"/>
            <w:noWrap/>
            <w:hideMark/>
          </w:tcPr>
          <w:p w14:paraId="45421FB9"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lastRenderedPageBreak/>
              <w:t>Household has a regular income</w:t>
            </w:r>
          </w:p>
        </w:tc>
        <w:tc>
          <w:tcPr>
            <w:tcW w:w="3743" w:type="pct"/>
          </w:tcPr>
          <w:p w14:paraId="14C7C650"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 regular income is essential for ensuring economic stability and access to basic needs such as food, shelter, and healthcare. This indicator supports </w:t>
            </w:r>
            <w:r w:rsidRPr="0030434B">
              <w:rPr>
                <w:rStyle w:val="Strong"/>
                <w:rFonts w:ascii="Times New Roman" w:hAnsi="Times New Roman" w:cs="Times New Roman"/>
                <w:b w:val="0"/>
                <w:bCs w:val="0"/>
                <w:sz w:val="24"/>
                <w:szCs w:val="24"/>
              </w:rPr>
              <w:t>SDG 8</w:t>
            </w:r>
            <w:r w:rsidRPr="0030434B">
              <w:rPr>
                <w:rFonts w:ascii="Times New Roman" w:hAnsi="Times New Roman" w:cs="Times New Roman"/>
                <w:sz w:val="24"/>
                <w:szCs w:val="24"/>
              </w:rPr>
              <w:t xml:space="preserve"> (Decent Work and Economic Growth) by focusing on income stability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economic inequalities.</w:t>
            </w:r>
          </w:p>
        </w:tc>
      </w:tr>
      <w:tr w:rsidR="0030434B" w:rsidRPr="0030434B" w14:paraId="76283701" w14:textId="77777777" w:rsidTr="00642908">
        <w:trPr>
          <w:trHeight w:val="290"/>
        </w:trPr>
        <w:tc>
          <w:tcPr>
            <w:tcW w:w="1257" w:type="pct"/>
            <w:shd w:val="clear" w:color="auto" w:fill="auto"/>
            <w:noWrap/>
            <w:hideMark/>
          </w:tcPr>
          <w:p w14:paraId="28F39B4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head is a day laborer</w:t>
            </w:r>
          </w:p>
        </w:tc>
        <w:tc>
          <w:tcPr>
            <w:tcW w:w="3743" w:type="pct"/>
          </w:tcPr>
          <w:p w14:paraId="2497FF41"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Day laborers often experience job insecurity, low wages, and lack of social protection, making them vulnerable to economic shocks. This indicator supports </w:t>
            </w:r>
            <w:r w:rsidRPr="0030434B">
              <w:rPr>
                <w:rStyle w:val="Strong"/>
                <w:rFonts w:ascii="Times New Roman" w:hAnsi="Times New Roman" w:cs="Times New Roman"/>
                <w:b w:val="0"/>
                <w:bCs w:val="0"/>
                <w:sz w:val="24"/>
                <w:szCs w:val="24"/>
              </w:rPr>
              <w:t>SDG 8</w:t>
            </w:r>
            <w:r w:rsidRPr="0030434B">
              <w:rPr>
                <w:rFonts w:ascii="Times New Roman" w:hAnsi="Times New Roman" w:cs="Times New Roman"/>
                <w:sz w:val="24"/>
                <w:szCs w:val="24"/>
              </w:rPr>
              <w:t xml:space="preserve"> by addressing the challenges faced by informal workers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economic vulnerabilities</w:t>
            </w:r>
          </w:p>
        </w:tc>
      </w:tr>
      <w:tr w:rsidR="0030434B" w:rsidRPr="0030434B" w14:paraId="1886969E" w14:textId="77777777" w:rsidTr="00642908">
        <w:trPr>
          <w:trHeight w:val="290"/>
        </w:trPr>
        <w:tc>
          <w:tcPr>
            <w:tcW w:w="1257" w:type="pct"/>
            <w:shd w:val="clear" w:color="auto" w:fill="auto"/>
            <w:noWrap/>
            <w:hideMark/>
          </w:tcPr>
          <w:p w14:paraId="7FD30BC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has a very low- and irregular-income family - earning less than Tk. 3000 per month</w:t>
            </w:r>
          </w:p>
        </w:tc>
        <w:tc>
          <w:tcPr>
            <w:tcW w:w="3743" w:type="pct"/>
          </w:tcPr>
          <w:p w14:paraId="5E770EFB"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Extremely low- and irregular-income levels indicate high economic vulnerability and limited access to essential services. This indicator supports </w:t>
            </w:r>
            <w:r w:rsidRPr="0030434B">
              <w:rPr>
                <w:rStyle w:val="Strong"/>
                <w:rFonts w:ascii="Times New Roman" w:hAnsi="Times New Roman" w:cs="Times New Roman"/>
                <w:b w:val="0"/>
                <w:bCs w:val="0"/>
                <w:sz w:val="24"/>
                <w:szCs w:val="24"/>
              </w:rPr>
              <w:t>SDG 1</w:t>
            </w:r>
            <w:r w:rsidRPr="0030434B">
              <w:rPr>
                <w:rFonts w:ascii="Times New Roman" w:hAnsi="Times New Roman" w:cs="Times New Roman"/>
                <w:sz w:val="24"/>
                <w:szCs w:val="24"/>
              </w:rPr>
              <w:t xml:space="preserve"> (No Poverty)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focusing on income inequality and its impact on health and well-being.</w:t>
            </w:r>
          </w:p>
        </w:tc>
      </w:tr>
      <w:tr w:rsidR="0030434B" w:rsidRPr="0030434B" w14:paraId="1914C6C0" w14:textId="77777777" w:rsidTr="00642908">
        <w:trPr>
          <w:trHeight w:val="290"/>
        </w:trPr>
        <w:tc>
          <w:tcPr>
            <w:tcW w:w="1257" w:type="pct"/>
            <w:shd w:val="clear" w:color="auto" w:fill="auto"/>
            <w:noWrap/>
            <w:hideMark/>
          </w:tcPr>
          <w:p w14:paraId="7E4CE04B"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has a residence in your village</w:t>
            </w:r>
          </w:p>
        </w:tc>
        <w:tc>
          <w:tcPr>
            <w:tcW w:w="3743" w:type="pct"/>
          </w:tcPr>
          <w:p w14:paraId="6645A696"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 residence in the village may indicate social ties and a potential safety net for urban slum dwellers. However, it may also highlight rural-urban migration patterns and the challenges associated with integrating into urban areas. This indicator aligns with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the complexities of rural-urban inequality and migration.</w:t>
            </w:r>
          </w:p>
        </w:tc>
      </w:tr>
      <w:tr w:rsidR="0030434B" w:rsidRPr="0030434B" w14:paraId="7D5611CD" w14:textId="77777777" w:rsidTr="00642908">
        <w:trPr>
          <w:trHeight w:val="290"/>
        </w:trPr>
        <w:tc>
          <w:tcPr>
            <w:tcW w:w="1257" w:type="pct"/>
            <w:shd w:val="clear" w:color="auto" w:fill="auto"/>
            <w:noWrap/>
            <w:hideMark/>
          </w:tcPr>
          <w:p w14:paraId="4D1969B3"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has own property (land) in village</w:t>
            </w:r>
          </w:p>
        </w:tc>
        <w:tc>
          <w:tcPr>
            <w:tcW w:w="3743" w:type="pct"/>
          </w:tcPr>
          <w:p w14:paraId="62F8C979"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Owning land in a village may provide a sense of security and a potential fallback option for slum dwellers. This indicator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property ownership as a factor in reducing economic vulnerability.</w:t>
            </w:r>
          </w:p>
        </w:tc>
      </w:tr>
      <w:tr w:rsidR="0030434B" w:rsidRPr="0030434B" w14:paraId="1E4C9D7C" w14:textId="77777777" w:rsidTr="00642908">
        <w:trPr>
          <w:trHeight w:val="290"/>
        </w:trPr>
        <w:tc>
          <w:tcPr>
            <w:tcW w:w="1257" w:type="pct"/>
            <w:shd w:val="clear" w:color="auto" w:fill="auto"/>
            <w:noWrap/>
            <w:hideMark/>
          </w:tcPr>
          <w:p w14:paraId="69F5E66C"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members have 3 sufficient meals a day</w:t>
            </w:r>
          </w:p>
        </w:tc>
        <w:tc>
          <w:tcPr>
            <w:tcW w:w="3743" w:type="pct"/>
          </w:tcPr>
          <w:p w14:paraId="1995AE4E"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Regular access to sufficient meals is a basic determinant of health and well-being. This indicator supports </w:t>
            </w:r>
            <w:r w:rsidRPr="0030434B">
              <w:rPr>
                <w:rStyle w:val="Strong"/>
                <w:rFonts w:ascii="Times New Roman" w:hAnsi="Times New Roman" w:cs="Times New Roman"/>
                <w:b w:val="0"/>
                <w:bCs w:val="0"/>
                <w:sz w:val="24"/>
                <w:szCs w:val="24"/>
              </w:rPr>
              <w:t>SDG 2</w:t>
            </w:r>
            <w:r w:rsidRPr="0030434B">
              <w:rPr>
                <w:rFonts w:ascii="Times New Roman" w:hAnsi="Times New Roman" w:cs="Times New Roman"/>
                <w:sz w:val="24"/>
                <w:szCs w:val="24"/>
              </w:rPr>
              <w:t xml:space="preserve"> (Zero Hunger) by focusing on food security and contributes to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addressing the nutritional needs of vulnerable populations.</w:t>
            </w:r>
          </w:p>
        </w:tc>
      </w:tr>
      <w:tr w:rsidR="0030434B" w:rsidRPr="0030434B" w14:paraId="6DE216BF" w14:textId="77777777" w:rsidTr="00642908">
        <w:trPr>
          <w:trHeight w:val="290"/>
        </w:trPr>
        <w:tc>
          <w:tcPr>
            <w:tcW w:w="1257" w:type="pct"/>
            <w:shd w:val="clear" w:color="auto" w:fill="auto"/>
            <w:noWrap/>
            <w:hideMark/>
          </w:tcPr>
          <w:p w14:paraId="7C426BE5"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currently have financial debt</w:t>
            </w:r>
          </w:p>
        </w:tc>
        <w:tc>
          <w:tcPr>
            <w:tcW w:w="3743" w:type="pct"/>
          </w:tcPr>
          <w:p w14:paraId="1B3225D5"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Financial debt can increase economic vulnerability and limit access to resources needed for health and well-being. This indicator aligns with </w:t>
            </w:r>
            <w:r w:rsidRPr="0030434B">
              <w:rPr>
                <w:rStyle w:val="Strong"/>
                <w:rFonts w:ascii="Times New Roman" w:hAnsi="Times New Roman" w:cs="Times New Roman"/>
                <w:b w:val="0"/>
                <w:bCs w:val="0"/>
                <w:sz w:val="24"/>
                <w:szCs w:val="24"/>
              </w:rPr>
              <w:t>SDG 1</w:t>
            </w:r>
            <w:r w:rsidRPr="0030434B">
              <w:rPr>
                <w:rFonts w:ascii="Times New Roman" w:hAnsi="Times New Roman" w:cs="Times New Roman"/>
                <w:sz w:val="24"/>
                <w:szCs w:val="24"/>
              </w:rPr>
              <w:t xml:space="preserve"> by addressing poverty-related challenges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economic inequalities.</w:t>
            </w:r>
          </w:p>
        </w:tc>
      </w:tr>
      <w:tr w:rsidR="0030434B" w:rsidRPr="0030434B" w14:paraId="1CEE3547" w14:textId="77777777" w:rsidTr="00642908">
        <w:trPr>
          <w:trHeight w:val="290"/>
        </w:trPr>
        <w:tc>
          <w:tcPr>
            <w:tcW w:w="1257" w:type="pct"/>
            <w:shd w:val="clear" w:color="auto" w:fill="auto"/>
            <w:noWrap/>
            <w:hideMark/>
          </w:tcPr>
          <w:p w14:paraId="158F8A56"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is able to make any savings at the end of a year</w:t>
            </w:r>
          </w:p>
        </w:tc>
        <w:tc>
          <w:tcPr>
            <w:tcW w:w="3743" w:type="pct"/>
          </w:tcPr>
          <w:p w14:paraId="3EBABCEA"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The ability to save indicates economic resilience and the potential to invest in health, education, and other essential services. This indicator supports </w:t>
            </w:r>
            <w:r w:rsidRPr="0030434B">
              <w:rPr>
                <w:rStyle w:val="Strong"/>
                <w:rFonts w:ascii="Times New Roman" w:hAnsi="Times New Roman" w:cs="Times New Roman"/>
                <w:b w:val="0"/>
                <w:bCs w:val="0"/>
                <w:sz w:val="24"/>
                <w:szCs w:val="24"/>
              </w:rPr>
              <w:t>SDG 8</w:t>
            </w:r>
            <w:r w:rsidRPr="0030434B">
              <w:rPr>
                <w:rFonts w:ascii="Times New Roman" w:hAnsi="Times New Roman" w:cs="Times New Roman"/>
                <w:sz w:val="24"/>
                <w:szCs w:val="24"/>
              </w:rPr>
              <w:t xml:space="preserve"> by focusing on financial stability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disparities in economic security.</w:t>
            </w:r>
          </w:p>
        </w:tc>
      </w:tr>
      <w:tr w:rsidR="0030434B" w:rsidRPr="0030434B" w14:paraId="1D464195" w14:textId="77777777" w:rsidTr="00642908">
        <w:trPr>
          <w:trHeight w:val="290"/>
        </w:trPr>
        <w:tc>
          <w:tcPr>
            <w:tcW w:w="1257" w:type="pct"/>
            <w:shd w:val="clear" w:color="auto" w:fill="auto"/>
            <w:noWrap/>
            <w:hideMark/>
          </w:tcPr>
          <w:p w14:paraId="797E9737"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In case of an emergency, do you or your family have someone (relative, friend, or neighbor) to support you financially</w:t>
            </w:r>
          </w:p>
        </w:tc>
        <w:tc>
          <w:tcPr>
            <w:tcW w:w="3743" w:type="pct"/>
          </w:tcPr>
          <w:p w14:paraId="087C228D"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Social support networks are crucial for coping with emergencies and reducing vulnerability. This indicator supports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focusing on the importance of community resilience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social inequalities. </w:t>
            </w:r>
          </w:p>
        </w:tc>
      </w:tr>
      <w:tr w:rsidR="0030434B" w:rsidRPr="0030434B" w14:paraId="5DAFF031" w14:textId="77777777" w:rsidTr="00642908">
        <w:trPr>
          <w:trHeight w:val="290"/>
        </w:trPr>
        <w:tc>
          <w:tcPr>
            <w:tcW w:w="1257" w:type="pct"/>
            <w:shd w:val="clear" w:color="auto" w:fill="auto"/>
            <w:noWrap/>
            <w:hideMark/>
          </w:tcPr>
          <w:p w14:paraId="2B4EBA1C"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Household were able to seek treatment for </w:t>
            </w:r>
            <w:r w:rsidRPr="0030434B">
              <w:rPr>
                <w:rFonts w:ascii="Times New Roman" w:eastAsia="Times New Roman" w:hAnsi="Times New Roman" w:cs="Times New Roman"/>
                <w:color w:val="000000"/>
                <w:sz w:val="24"/>
                <w:szCs w:val="24"/>
              </w:rPr>
              <w:lastRenderedPageBreak/>
              <w:t>their sick member in the last three months</w:t>
            </w:r>
          </w:p>
        </w:tc>
        <w:tc>
          <w:tcPr>
            <w:tcW w:w="3743" w:type="pct"/>
          </w:tcPr>
          <w:p w14:paraId="06469ADE"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lastRenderedPageBreak/>
              <w:t xml:space="preserve">Access to healthcare is a fundamental determinant of health outcomes.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healthcare access and utilization, which are critical for reducing health inequalities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w:t>
            </w:r>
          </w:p>
        </w:tc>
      </w:tr>
      <w:tr w:rsidR="0030434B" w:rsidRPr="0030434B" w14:paraId="1D0B2EA7" w14:textId="77777777" w:rsidTr="00642908">
        <w:trPr>
          <w:trHeight w:val="290"/>
        </w:trPr>
        <w:tc>
          <w:tcPr>
            <w:tcW w:w="1257" w:type="pct"/>
            <w:shd w:val="clear" w:color="auto" w:fill="auto"/>
            <w:noWrap/>
            <w:hideMark/>
          </w:tcPr>
          <w:p w14:paraId="419E74D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received care from formal sources for their sick members in the last three months</w:t>
            </w:r>
          </w:p>
        </w:tc>
        <w:tc>
          <w:tcPr>
            <w:tcW w:w="3743" w:type="pct"/>
          </w:tcPr>
          <w:p w14:paraId="76F48124"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Receiving care from formal healthcare sources indicates access to professional medical services and better health outcomes.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the quality of healthcare services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inequalities in access to formal healthcare.</w:t>
            </w:r>
          </w:p>
        </w:tc>
      </w:tr>
      <w:tr w:rsidR="0030434B" w:rsidRPr="0030434B" w14:paraId="42B21BC6" w14:textId="77777777" w:rsidTr="00642908">
        <w:trPr>
          <w:trHeight w:val="290"/>
        </w:trPr>
        <w:tc>
          <w:tcPr>
            <w:tcW w:w="1257" w:type="pct"/>
            <w:shd w:val="clear" w:color="auto" w:fill="auto"/>
            <w:noWrap/>
            <w:hideMark/>
          </w:tcPr>
          <w:p w14:paraId="510977C9"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with at least a chronic disease patient</w:t>
            </w:r>
          </w:p>
        </w:tc>
        <w:tc>
          <w:tcPr>
            <w:tcW w:w="3743" w:type="pct"/>
          </w:tcPr>
          <w:p w14:paraId="73453FEB"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The presence of chronic disease in a household can increase health-related expenditures and reduce economic productivity.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addressing the burden of chronic diseases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health-related inequalities.</w:t>
            </w:r>
          </w:p>
        </w:tc>
      </w:tr>
      <w:tr w:rsidR="0030434B" w:rsidRPr="0030434B" w14:paraId="369F059B" w14:textId="77777777" w:rsidTr="00642908">
        <w:trPr>
          <w:trHeight w:val="290"/>
        </w:trPr>
        <w:tc>
          <w:tcPr>
            <w:tcW w:w="1257" w:type="pct"/>
            <w:shd w:val="clear" w:color="auto" w:fill="auto"/>
            <w:noWrap/>
            <w:hideMark/>
          </w:tcPr>
          <w:p w14:paraId="45E0491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had over 5 mortalities die due to any illness in the last year</w:t>
            </w:r>
          </w:p>
        </w:tc>
        <w:tc>
          <w:tcPr>
            <w:tcW w:w="3743" w:type="pct"/>
          </w:tcPr>
          <w:p w14:paraId="48606F6A"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High mortality rates within a household indicate extreme vulnerability and poor access to quality healthcare. This indicator is critical for understanding health inequities and the impact of inadequate healthcare services. It aligns with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(Good Health and Well-being) by highlighting the need to reduce preventable deaths and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(Reduced Inequalities) by addressing disparities in health outcomes. </w:t>
            </w:r>
          </w:p>
        </w:tc>
      </w:tr>
      <w:tr w:rsidR="0030434B" w:rsidRPr="0030434B" w14:paraId="50E055FA" w14:textId="77777777" w:rsidTr="00642908">
        <w:trPr>
          <w:trHeight w:val="290"/>
        </w:trPr>
        <w:tc>
          <w:tcPr>
            <w:tcW w:w="1257" w:type="pct"/>
            <w:shd w:val="clear" w:color="auto" w:fill="auto"/>
            <w:noWrap/>
            <w:hideMark/>
          </w:tcPr>
          <w:p w14:paraId="0DA6EBD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had under-5 mortality die due to any illness in the last year</w:t>
            </w:r>
          </w:p>
        </w:tc>
        <w:tc>
          <w:tcPr>
            <w:tcW w:w="3743" w:type="pct"/>
          </w:tcPr>
          <w:p w14:paraId="57B188F7"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Under-5 mortality is a key indicator of child health and reflects the overall health environment and access to healthcare services. High rates of under-5 mortality indicate significant health vulnerabilities and failures in the healthcare system. This indicator directly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aiming to reduce child mortality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health disparities affecting young children.</w:t>
            </w:r>
          </w:p>
        </w:tc>
      </w:tr>
      <w:tr w:rsidR="0030434B" w:rsidRPr="0030434B" w14:paraId="228743DC" w14:textId="77777777" w:rsidTr="00642908">
        <w:trPr>
          <w:trHeight w:val="290"/>
        </w:trPr>
        <w:tc>
          <w:tcPr>
            <w:tcW w:w="1257" w:type="pct"/>
            <w:shd w:val="clear" w:color="auto" w:fill="auto"/>
            <w:noWrap/>
            <w:hideMark/>
          </w:tcPr>
          <w:p w14:paraId="494F4763"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had maternal mortality die during childbirth</w:t>
            </w:r>
          </w:p>
        </w:tc>
        <w:tc>
          <w:tcPr>
            <w:tcW w:w="3743" w:type="pct"/>
          </w:tcPr>
          <w:p w14:paraId="01728C91"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Maternal mortality is a critical indicator of the quality of healthcare services, particularly maternal and reproductive health. High maternal mortality rates signal severe gaps in healthcare access and quality. This indicator aligns with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improving maternal health and supports </w:t>
            </w:r>
            <w:r w:rsidRPr="0030434B">
              <w:rPr>
                <w:rStyle w:val="Strong"/>
                <w:rFonts w:ascii="Times New Roman" w:hAnsi="Times New Roman" w:cs="Times New Roman"/>
                <w:b w:val="0"/>
                <w:bCs w:val="0"/>
                <w:sz w:val="24"/>
                <w:szCs w:val="24"/>
              </w:rPr>
              <w:t>SDG 5</w:t>
            </w:r>
            <w:r w:rsidRPr="0030434B">
              <w:rPr>
                <w:rFonts w:ascii="Times New Roman" w:hAnsi="Times New Roman" w:cs="Times New Roman"/>
                <w:sz w:val="24"/>
                <w:szCs w:val="24"/>
              </w:rPr>
              <w:t xml:space="preserve"> (Gender Equality)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gender and health inequalities.</w:t>
            </w:r>
          </w:p>
        </w:tc>
      </w:tr>
      <w:tr w:rsidR="0030434B" w:rsidRPr="0030434B" w14:paraId="13941185" w14:textId="77777777" w:rsidTr="00642908">
        <w:trPr>
          <w:trHeight w:val="290"/>
        </w:trPr>
        <w:tc>
          <w:tcPr>
            <w:tcW w:w="1257" w:type="pct"/>
            <w:shd w:val="clear" w:color="auto" w:fill="auto"/>
            <w:noWrap/>
            <w:hideMark/>
          </w:tcPr>
          <w:p w14:paraId="3A4316B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usually provide the same priority to both male and female members in the family when receiving healthcare</w:t>
            </w:r>
          </w:p>
        </w:tc>
        <w:tc>
          <w:tcPr>
            <w:tcW w:w="3743" w:type="pct"/>
          </w:tcPr>
          <w:p w14:paraId="3ACADD2E"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Gender equality in healthcare access is essential for reducing health disparities. Ensuring that both male and female members receive equal priority in healthcare decisions reflects progress towards </w:t>
            </w:r>
            <w:r w:rsidRPr="0030434B">
              <w:rPr>
                <w:rStyle w:val="Strong"/>
                <w:rFonts w:ascii="Times New Roman" w:hAnsi="Times New Roman" w:cs="Times New Roman"/>
                <w:b w:val="0"/>
                <w:bCs w:val="0"/>
                <w:sz w:val="24"/>
                <w:szCs w:val="24"/>
              </w:rPr>
              <w:t>SDG 5</w:t>
            </w:r>
            <w:r w:rsidRPr="0030434B">
              <w:rPr>
                <w:rFonts w:ascii="Times New Roman" w:hAnsi="Times New Roman" w:cs="Times New Roman"/>
                <w:sz w:val="24"/>
                <w:szCs w:val="24"/>
              </w:rPr>
              <w:t xml:space="preserve">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This indicator also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promoting equal access to healthcare services, contributing to overall well-being.</w:t>
            </w:r>
          </w:p>
        </w:tc>
      </w:tr>
      <w:tr w:rsidR="0030434B" w:rsidRPr="0030434B" w14:paraId="69D43452" w14:textId="77777777" w:rsidTr="00642908">
        <w:trPr>
          <w:trHeight w:val="290"/>
        </w:trPr>
        <w:tc>
          <w:tcPr>
            <w:tcW w:w="1257" w:type="pct"/>
            <w:shd w:val="clear" w:color="auto" w:fill="auto"/>
            <w:noWrap/>
            <w:hideMark/>
          </w:tcPr>
          <w:p w14:paraId="3270CCB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receive any public or private social safety net support/allowance?</w:t>
            </w:r>
          </w:p>
        </w:tc>
        <w:tc>
          <w:tcPr>
            <w:tcW w:w="3743" w:type="pct"/>
          </w:tcPr>
          <w:p w14:paraId="2C69970A"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social safety nets is crucial for reducing economic vulnerability and ensuring access to essential services, including healthcare. This indicator aligns with </w:t>
            </w:r>
            <w:r w:rsidRPr="0030434B">
              <w:rPr>
                <w:rStyle w:val="Strong"/>
                <w:rFonts w:ascii="Times New Roman" w:hAnsi="Times New Roman" w:cs="Times New Roman"/>
                <w:b w:val="0"/>
                <w:bCs w:val="0"/>
                <w:sz w:val="24"/>
                <w:szCs w:val="24"/>
              </w:rPr>
              <w:t>SDG 1</w:t>
            </w:r>
            <w:r w:rsidRPr="0030434B">
              <w:rPr>
                <w:rFonts w:ascii="Times New Roman" w:hAnsi="Times New Roman" w:cs="Times New Roman"/>
                <w:sz w:val="24"/>
                <w:szCs w:val="24"/>
              </w:rPr>
              <w:t xml:space="preserve"> (No Poverty)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the role of social protection in reducing inequalities and improving health outcomes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15732990" w14:textId="77777777" w:rsidTr="00642908">
        <w:trPr>
          <w:trHeight w:val="290"/>
        </w:trPr>
        <w:tc>
          <w:tcPr>
            <w:tcW w:w="1257" w:type="pct"/>
            <w:shd w:val="clear" w:color="auto" w:fill="auto"/>
            <w:noWrap/>
            <w:hideMark/>
          </w:tcPr>
          <w:p w14:paraId="0CE817E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Primary education facility (classes 1 to 5) is available </w:t>
            </w:r>
          </w:p>
        </w:tc>
        <w:tc>
          <w:tcPr>
            <w:tcW w:w="3743" w:type="pct"/>
          </w:tcPr>
          <w:p w14:paraId="3EE94119"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primary education is foundational for child development and long-term socioeconomic outcomes. This indicator supports </w:t>
            </w:r>
            <w:r w:rsidRPr="0030434B">
              <w:rPr>
                <w:rStyle w:val="Strong"/>
                <w:rFonts w:ascii="Times New Roman" w:hAnsi="Times New Roman" w:cs="Times New Roman"/>
                <w:b w:val="0"/>
                <w:bCs w:val="0"/>
                <w:sz w:val="24"/>
                <w:szCs w:val="24"/>
              </w:rPr>
              <w:t>SDG 4</w:t>
            </w:r>
            <w:r w:rsidRPr="0030434B">
              <w:rPr>
                <w:rFonts w:ascii="Times New Roman" w:hAnsi="Times New Roman" w:cs="Times New Roman"/>
                <w:sz w:val="24"/>
                <w:szCs w:val="24"/>
              </w:rPr>
              <w:t xml:space="preserve"> (Quality Education)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the importance of education in reducing inequalities and breaking the cycle of poverty. It indirectly contributes to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promoting early childhood development and well-being.</w:t>
            </w:r>
          </w:p>
        </w:tc>
      </w:tr>
      <w:tr w:rsidR="0030434B" w:rsidRPr="0030434B" w14:paraId="24E1F7C1" w14:textId="77777777" w:rsidTr="00642908">
        <w:trPr>
          <w:trHeight w:val="290"/>
        </w:trPr>
        <w:tc>
          <w:tcPr>
            <w:tcW w:w="1257" w:type="pct"/>
            <w:shd w:val="clear" w:color="auto" w:fill="auto"/>
            <w:noWrap/>
            <w:hideMark/>
          </w:tcPr>
          <w:p w14:paraId="7E0E25BE"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lastRenderedPageBreak/>
              <w:t xml:space="preserve">Secondary education facility (classes 6 to 10) is available </w:t>
            </w:r>
          </w:p>
        </w:tc>
        <w:tc>
          <w:tcPr>
            <w:tcW w:w="3743" w:type="pct"/>
          </w:tcPr>
          <w:p w14:paraId="7FCADF35"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secondary education is critical for advancing educational attainment and economic opportunities. This indicator supports </w:t>
            </w:r>
            <w:r w:rsidRPr="0030434B">
              <w:rPr>
                <w:rStyle w:val="Strong"/>
                <w:rFonts w:ascii="Times New Roman" w:hAnsi="Times New Roman" w:cs="Times New Roman"/>
                <w:b w:val="0"/>
                <w:bCs w:val="0"/>
                <w:sz w:val="24"/>
                <w:szCs w:val="24"/>
              </w:rPr>
              <w:t>SDG 4</w:t>
            </w:r>
            <w:r w:rsidRPr="0030434B">
              <w:rPr>
                <w:rFonts w:ascii="Times New Roman" w:hAnsi="Times New Roman" w:cs="Times New Roman"/>
                <w:sz w:val="24"/>
                <w:szCs w:val="24"/>
              </w:rPr>
              <w:t xml:space="preserve"> by focusing on continued education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reducing inequalities in educational access, which has long-term implications for health and well-being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0D659CB3" w14:textId="77777777" w:rsidTr="00642908">
        <w:trPr>
          <w:trHeight w:val="290"/>
        </w:trPr>
        <w:tc>
          <w:tcPr>
            <w:tcW w:w="1257" w:type="pct"/>
            <w:shd w:val="clear" w:color="auto" w:fill="auto"/>
            <w:noWrap/>
            <w:hideMark/>
          </w:tcPr>
          <w:p w14:paraId="0BEA7890"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Adult education facilities are available</w:t>
            </w:r>
          </w:p>
        </w:tc>
        <w:tc>
          <w:tcPr>
            <w:tcW w:w="3743" w:type="pct"/>
          </w:tcPr>
          <w:p w14:paraId="3D1FF0CC"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adult education promotes lifelong learning and economic empowerment, which are essential for reducing poverty and inequalities. This indicator aligns with </w:t>
            </w:r>
            <w:r w:rsidRPr="0030434B">
              <w:rPr>
                <w:rStyle w:val="Strong"/>
                <w:rFonts w:ascii="Times New Roman" w:hAnsi="Times New Roman" w:cs="Times New Roman"/>
                <w:b w:val="0"/>
                <w:bCs w:val="0"/>
                <w:sz w:val="24"/>
                <w:szCs w:val="24"/>
              </w:rPr>
              <w:t>SDG 4</w:t>
            </w:r>
            <w:r w:rsidRPr="0030434B">
              <w:rPr>
                <w:rFonts w:ascii="Times New Roman" w:hAnsi="Times New Roman" w:cs="Times New Roman"/>
                <w:sz w:val="24"/>
                <w:szCs w:val="24"/>
              </w:rPr>
              <w:t xml:space="preserve">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the educational needs of adults and enhancing their ability to improve their health and economic status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09434161" w14:textId="77777777" w:rsidTr="00642908">
        <w:trPr>
          <w:trHeight w:val="290"/>
        </w:trPr>
        <w:tc>
          <w:tcPr>
            <w:tcW w:w="1257" w:type="pct"/>
            <w:shd w:val="clear" w:color="auto" w:fill="auto"/>
            <w:noWrap/>
            <w:hideMark/>
          </w:tcPr>
          <w:p w14:paraId="0E3949A9"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Playgrounds or parks for the children are available </w:t>
            </w:r>
          </w:p>
        </w:tc>
        <w:tc>
          <w:tcPr>
            <w:tcW w:w="3743" w:type="pct"/>
          </w:tcPr>
          <w:p w14:paraId="46CB8893"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recreational spaces is crucial for children's physical and mental health. Playgrounds and parks contribute to healthy childhood development, supporting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promoting well-being and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(Sustainable Cities and Communities) by enhancing urban livability and reducing inequalities in access to recreational facilities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w:t>
            </w:r>
          </w:p>
        </w:tc>
      </w:tr>
      <w:tr w:rsidR="0030434B" w:rsidRPr="0030434B" w14:paraId="01833486" w14:textId="77777777" w:rsidTr="00642908">
        <w:trPr>
          <w:trHeight w:val="290"/>
        </w:trPr>
        <w:tc>
          <w:tcPr>
            <w:tcW w:w="1257" w:type="pct"/>
            <w:shd w:val="clear" w:color="auto" w:fill="auto"/>
            <w:noWrap/>
            <w:hideMark/>
          </w:tcPr>
          <w:p w14:paraId="742FCEC6"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Opportunity for recreational activities is available at household </w:t>
            </w:r>
          </w:p>
        </w:tc>
        <w:tc>
          <w:tcPr>
            <w:tcW w:w="3743" w:type="pct"/>
          </w:tcPr>
          <w:p w14:paraId="691C6608"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recreational activities within the household promotes mental and physical well-being.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addressing the importance of leisure and recreation for health and well-being,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inequalities in access to such opportunities.</w:t>
            </w:r>
          </w:p>
        </w:tc>
      </w:tr>
      <w:tr w:rsidR="0030434B" w:rsidRPr="0030434B" w14:paraId="389ACA96" w14:textId="77777777" w:rsidTr="00642908">
        <w:trPr>
          <w:trHeight w:val="290"/>
        </w:trPr>
        <w:tc>
          <w:tcPr>
            <w:tcW w:w="1257" w:type="pct"/>
            <w:shd w:val="clear" w:color="auto" w:fill="auto"/>
            <w:noWrap/>
            <w:hideMark/>
          </w:tcPr>
          <w:p w14:paraId="2182B693"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Crime (e.g.- mugging, stealing, political strife) is a common occurrence </w:t>
            </w:r>
          </w:p>
        </w:tc>
        <w:tc>
          <w:tcPr>
            <w:tcW w:w="3743" w:type="pct"/>
          </w:tcPr>
          <w:p w14:paraId="2EA2DA3B"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High crime rates are indicative of social instability and can exacerbate socioeconomic vulnerabilities. This indicator aligns with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(Peace, Justice, and Strong Institutions) by addressing the need for safe and secure living environments and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the impact of crime on inequalities and health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0EBC9118" w14:textId="77777777" w:rsidTr="00642908">
        <w:trPr>
          <w:trHeight w:val="290"/>
        </w:trPr>
        <w:tc>
          <w:tcPr>
            <w:tcW w:w="1257" w:type="pct"/>
            <w:shd w:val="clear" w:color="auto" w:fill="auto"/>
            <w:noWrap/>
            <w:hideMark/>
          </w:tcPr>
          <w:p w14:paraId="255AA0B7"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Drug dealing and use is a common issue </w:t>
            </w:r>
          </w:p>
        </w:tc>
        <w:tc>
          <w:tcPr>
            <w:tcW w:w="3743" w:type="pct"/>
          </w:tcPr>
          <w:p w14:paraId="20D461E7"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The prevalence of drug-related issues can lead to significant health and social problems, including addiction, violence, and economic instability. This indicator supports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focusing on the health implications of substance abuse and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addressing the need for strong institutions to combat crime and drug abuse. It also highlights inequalities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that may contribute to or result from such issues.</w:t>
            </w:r>
          </w:p>
        </w:tc>
      </w:tr>
      <w:tr w:rsidR="0030434B" w:rsidRPr="0030434B" w14:paraId="7F1532F2" w14:textId="77777777" w:rsidTr="00642908">
        <w:trPr>
          <w:trHeight w:val="290"/>
        </w:trPr>
        <w:tc>
          <w:tcPr>
            <w:tcW w:w="1257" w:type="pct"/>
            <w:shd w:val="clear" w:color="auto" w:fill="auto"/>
            <w:noWrap/>
            <w:hideMark/>
          </w:tcPr>
          <w:p w14:paraId="731705B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Domestic violence is a common occurrence </w:t>
            </w:r>
          </w:p>
        </w:tc>
        <w:tc>
          <w:tcPr>
            <w:tcW w:w="3743" w:type="pct"/>
          </w:tcPr>
          <w:p w14:paraId="5542CF3D"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Domestic violence is a critical issue that affects the physical and mental health of individuals, particularly women and children. This indicator aligns with </w:t>
            </w:r>
            <w:r w:rsidRPr="0030434B">
              <w:rPr>
                <w:rStyle w:val="Strong"/>
                <w:rFonts w:ascii="Times New Roman" w:hAnsi="Times New Roman" w:cs="Times New Roman"/>
                <w:b w:val="0"/>
                <w:bCs w:val="0"/>
                <w:sz w:val="24"/>
                <w:szCs w:val="24"/>
              </w:rPr>
              <w:t>SDG 5</w:t>
            </w:r>
            <w:r w:rsidRPr="0030434B">
              <w:rPr>
                <w:rFonts w:ascii="Times New Roman" w:hAnsi="Times New Roman" w:cs="Times New Roman"/>
                <w:sz w:val="24"/>
                <w:szCs w:val="24"/>
              </w:rPr>
              <w:t xml:space="preserve"> by addressing gender-based violence and supports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promoting peaceful and inclusive societies. It also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inequalities related to gender and family dynamics. </w:t>
            </w:r>
          </w:p>
        </w:tc>
      </w:tr>
      <w:tr w:rsidR="0030434B" w:rsidRPr="0030434B" w14:paraId="189F55F3" w14:textId="77777777" w:rsidTr="00642908">
        <w:trPr>
          <w:trHeight w:val="290"/>
        </w:trPr>
        <w:tc>
          <w:tcPr>
            <w:tcW w:w="1257" w:type="pct"/>
            <w:shd w:val="clear" w:color="auto" w:fill="auto"/>
            <w:noWrap/>
            <w:hideMark/>
          </w:tcPr>
          <w:p w14:paraId="6B505B4F"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Slum is a peaceful area</w:t>
            </w:r>
          </w:p>
        </w:tc>
        <w:tc>
          <w:tcPr>
            <w:tcW w:w="3743" w:type="pct"/>
          </w:tcPr>
          <w:p w14:paraId="04CBC709"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 peaceful living environment is essential for the well-being and security of residents. This indicator supports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promoting peace and reducing violence and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inequalities that contribute to social instability and poor health outcomes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451CA577" w14:textId="77777777" w:rsidTr="00642908">
        <w:trPr>
          <w:trHeight w:val="290"/>
        </w:trPr>
        <w:tc>
          <w:tcPr>
            <w:tcW w:w="1257" w:type="pct"/>
            <w:shd w:val="clear" w:color="auto" w:fill="auto"/>
            <w:noWrap/>
            <w:hideMark/>
          </w:tcPr>
          <w:p w14:paraId="33B10F2A"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Walking alone is safe at night </w:t>
            </w:r>
          </w:p>
        </w:tc>
        <w:tc>
          <w:tcPr>
            <w:tcW w:w="3743" w:type="pct"/>
          </w:tcPr>
          <w:p w14:paraId="2A9F8777"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The ability to walk alone safely at night is a key indicator of public safety and social stability. This indicator aligns with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focusing on the importance of safe and secure environments and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the inequalities that affect public safety and well-being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4AF6C657" w14:textId="77777777" w:rsidTr="00642908">
        <w:trPr>
          <w:trHeight w:val="290"/>
        </w:trPr>
        <w:tc>
          <w:tcPr>
            <w:tcW w:w="1257" w:type="pct"/>
            <w:shd w:val="clear" w:color="auto" w:fill="auto"/>
            <w:noWrap/>
            <w:hideMark/>
          </w:tcPr>
          <w:p w14:paraId="770499C6"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lastRenderedPageBreak/>
              <w:t>Female family members feel safe going out at night</w:t>
            </w:r>
          </w:p>
        </w:tc>
        <w:tc>
          <w:tcPr>
            <w:tcW w:w="3743" w:type="pct"/>
          </w:tcPr>
          <w:p w14:paraId="068C2F14"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Ensuring the safety of women in public spaces is crucial for gender equality and social inclusion. This indicator supports </w:t>
            </w:r>
            <w:r w:rsidRPr="0030434B">
              <w:rPr>
                <w:rStyle w:val="Strong"/>
                <w:rFonts w:ascii="Times New Roman" w:hAnsi="Times New Roman" w:cs="Times New Roman"/>
                <w:b w:val="0"/>
                <w:bCs w:val="0"/>
                <w:sz w:val="24"/>
                <w:szCs w:val="24"/>
              </w:rPr>
              <w:t>SDG 5</w:t>
            </w:r>
            <w:r w:rsidRPr="0030434B">
              <w:rPr>
                <w:rFonts w:ascii="Times New Roman" w:hAnsi="Times New Roman" w:cs="Times New Roman"/>
                <w:sz w:val="24"/>
                <w:szCs w:val="24"/>
              </w:rPr>
              <w:t xml:space="preserve"> by promoting gender equality and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addressing the need for safe environments. It also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the impact of gender-based inequalities on health and well-being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15780A03" w14:textId="77777777" w:rsidTr="00642908">
        <w:trPr>
          <w:trHeight w:val="290"/>
        </w:trPr>
        <w:tc>
          <w:tcPr>
            <w:tcW w:w="1257" w:type="pct"/>
            <w:shd w:val="clear" w:color="auto" w:fill="auto"/>
            <w:noWrap/>
            <w:hideMark/>
          </w:tcPr>
          <w:p w14:paraId="7823DAA8"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Women feel safe staying in their houses during the day</w:t>
            </w:r>
          </w:p>
        </w:tc>
        <w:tc>
          <w:tcPr>
            <w:tcW w:w="3743" w:type="pct"/>
          </w:tcPr>
          <w:p w14:paraId="1288642F"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Safety within the home is essential for mental and physical well-being. This indicator aligns with </w:t>
            </w:r>
            <w:r w:rsidRPr="0030434B">
              <w:rPr>
                <w:rStyle w:val="Strong"/>
                <w:rFonts w:ascii="Times New Roman" w:hAnsi="Times New Roman" w:cs="Times New Roman"/>
                <w:b w:val="0"/>
                <w:bCs w:val="0"/>
                <w:sz w:val="24"/>
                <w:szCs w:val="24"/>
              </w:rPr>
              <w:t>SDG 5</w:t>
            </w:r>
            <w:r w:rsidRPr="0030434B">
              <w:rPr>
                <w:rFonts w:ascii="Times New Roman" w:hAnsi="Times New Roman" w:cs="Times New Roman"/>
                <w:sz w:val="24"/>
                <w:szCs w:val="24"/>
              </w:rPr>
              <w:t xml:space="preserve"> by addressing gender-based violence and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promoting peaceful and inclusive societies. It also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inequalities that affect safety and health outcomes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7E3F093C" w14:textId="77777777" w:rsidTr="00642908">
        <w:trPr>
          <w:trHeight w:val="290"/>
        </w:trPr>
        <w:tc>
          <w:tcPr>
            <w:tcW w:w="1257" w:type="pct"/>
            <w:shd w:val="clear" w:color="auto" w:fill="auto"/>
            <w:noWrap/>
            <w:hideMark/>
          </w:tcPr>
          <w:p w14:paraId="3924CBA3"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was forced or threatened to provide valuable something in the last three years</w:t>
            </w:r>
          </w:p>
        </w:tc>
        <w:tc>
          <w:tcPr>
            <w:tcW w:w="3743" w:type="pct"/>
          </w:tcPr>
          <w:p w14:paraId="53A50F0B"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Coercion and threats are indicators of social instability and can lead to economic and psychological harm. This indicator aligns with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addressing the need for justice and protection against exploitation and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inequalities that may make households more vulnerable to such threats.</w:t>
            </w:r>
          </w:p>
        </w:tc>
      </w:tr>
      <w:tr w:rsidR="0030434B" w:rsidRPr="0030434B" w14:paraId="03A5B648" w14:textId="77777777" w:rsidTr="00642908">
        <w:trPr>
          <w:trHeight w:val="290"/>
        </w:trPr>
        <w:tc>
          <w:tcPr>
            <w:tcW w:w="1257" w:type="pct"/>
            <w:shd w:val="clear" w:color="auto" w:fill="auto"/>
            <w:noWrap/>
            <w:hideMark/>
          </w:tcPr>
          <w:p w14:paraId="535246BF"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got any threat of eviction in the last three years</w:t>
            </w:r>
          </w:p>
        </w:tc>
        <w:tc>
          <w:tcPr>
            <w:tcW w:w="3743" w:type="pct"/>
          </w:tcPr>
          <w:p w14:paraId="1670E249"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The threat of eviction is a significant stressor that can lead to homelessness and exacerbate health and economic vulnerabilities. This indicator supports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addressing the need for secure housing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the inequalities that contribute to housing instability and poor health outcomes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1E51E4B3" w14:textId="77777777" w:rsidTr="00642908">
        <w:trPr>
          <w:trHeight w:val="290"/>
        </w:trPr>
        <w:tc>
          <w:tcPr>
            <w:tcW w:w="1257" w:type="pct"/>
            <w:shd w:val="clear" w:color="auto" w:fill="auto"/>
            <w:noWrap/>
            <w:hideMark/>
          </w:tcPr>
          <w:p w14:paraId="074E9EA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Household can participate or have the right to express their opinion during any decision-making process for the area </w:t>
            </w:r>
          </w:p>
        </w:tc>
        <w:tc>
          <w:tcPr>
            <w:tcW w:w="3743" w:type="pct"/>
          </w:tcPr>
          <w:p w14:paraId="6E286259"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Participation in decision-making processes is essential for social inclusion and empowerment. This indicator aligns with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promoting inclusive societies and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inequalities in access to power and decision-making that can impact health and well-being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03C9E022" w14:textId="77777777" w:rsidTr="00642908">
        <w:trPr>
          <w:trHeight w:val="290"/>
        </w:trPr>
        <w:tc>
          <w:tcPr>
            <w:tcW w:w="1257" w:type="pct"/>
            <w:shd w:val="clear" w:color="auto" w:fill="auto"/>
            <w:noWrap/>
            <w:hideMark/>
          </w:tcPr>
          <w:p w14:paraId="46BF5DF3"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Household voluntarily can take part in any collective action (for instance, cleaning the area, strengthening security, etc.)</w:t>
            </w:r>
          </w:p>
        </w:tc>
        <w:tc>
          <w:tcPr>
            <w:tcW w:w="3743" w:type="pct"/>
          </w:tcPr>
          <w:p w14:paraId="36841296"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Voluntary participation in collective actions is indicative of social cohesion and community resilience. This indicator supports </w:t>
            </w:r>
            <w:r w:rsidRPr="0030434B">
              <w:rPr>
                <w:rStyle w:val="Strong"/>
                <w:rFonts w:ascii="Times New Roman" w:hAnsi="Times New Roman" w:cs="Times New Roman"/>
                <w:b w:val="0"/>
                <w:bCs w:val="0"/>
                <w:sz w:val="24"/>
                <w:szCs w:val="24"/>
              </w:rPr>
              <w:t>SDG 11</w:t>
            </w:r>
            <w:r w:rsidRPr="0030434B">
              <w:rPr>
                <w:rFonts w:ascii="Times New Roman" w:hAnsi="Times New Roman" w:cs="Times New Roman"/>
                <w:sz w:val="24"/>
                <w:szCs w:val="24"/>
              </w:rPr>
              <w:t xml:space="preserve"> by promoting sustainable communities and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fostering inclusive and participatory societies. It also contributes to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inequalities in social participation and its impact on health and well-being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2A078034" w14:textId="77777777" w:rsidTr="00642908">
        <w:trPr>
          <w:trHeight w:val="290"/>
        </w:trPr>
        <w:tc>
          <w:tcPr>
            <w:tcW w:w="1257" w:type="pct"/>
            <w:shd w:val="clear" w:color="auto" w:fill="auto"/>
            <w:noWrap/>
            <w:hideMark/>
          </w:tcPr>
          <w:p w14:paraId="72A83172"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Scope to go and complain to if face any trouble</w:t>
            </w:r>
          </w:p>
        </w:tc>
        <w:tc>
          <w:tcPr>
            <w:tcW w:w="3743" w:type="pct"/>
          </w:tcPr>
          <w:p w14:paraId="397DCBFD"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Access to grievance mechanisms is essential for justice and social protection. This indicator aligns with </w:t>
            </w:r>
            <w:r w:rsidRPr="0030434B">
              <w:rPr>
                <w:rStyle w:val="Strong"/>
                <w:rFonts w:ascii="Times New Roman" w:hAnsi="Times New Roman" w:cs="Times New Roman"/>
                <w:b w:val="0"/>
                <w:bCs w:val="0"/>
                <w:sz w:val="24"/>
                <w:szCs w:val="24"/>
              </w:rPr>
              <w:t>SDG 16</w:t>
            </w:r>
            <w:r w:rsidRPr="0030434B">
              <w:rPr>
                <w:rFonts w:ascii="Times New Roman" w:hAnsi="Times New Roman" w:cs="Times New Roman"/>
                <w:sz w:val="24"/>
                <w:szCs w:val="24"/>
              </w:rPr>
              <w:t xml:space="preserve"> by promoting access to justice and strong institutions and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inequalities in access to such mechanisms, which can impact health and social outcomes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5A962288" w14:textId="77777777" w:rsidTr="00642908">
        <w:trPr>
          <w:trHeight w:val="290"/>
        </w:trPr>
        <w:tc>
          <w:tcPr>
            <w:tcW w:w="1257" w:type="pct"/>
            <w:shd w:val="clear" w:color="auto" w:fill="auto"/>
            <w:noWrap/>
            <w:hideMark/>
          </w:tcPr>
          <w:p w14:paraId="7CCE15D1"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Household members faced any gender-related discrimination or inequality in the last year </w:t>
            </w:r>
          </w:p>
        </w:tc>
        <w:tc>
          <w:tcPr>
            <w:tcW w:w="3743" w:type="pct"/>
          </w:tcPr>
          <w:p w14:paraId="0927E558"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Gender discrimination has significant impacts on health, economic opportunities, and social inclusion. This indicator supports </w:t>
            </w:r>
            <w:r w:rsidRPr="0030434B">
              <w:rPr>
                <w:rStyle w:val="Strong"/>
                <w:rFonts w:ascii="Times New Roman" w:hAnsi="Times New Roman" w:cs="Times New Roman"/>
                <w:b w:val="0"/>
                <w:bCs w:val="0"/>
                <w:sz w:val="24"/>
                <w:szCs w:val="24"/>
              </w:rPr>
              <w:t>SDG 5</w:t>
            </w:r>
            <w:r w:rsidRPr="0030434B">
              <w:rPr>
                <w:rFonts w:ascii="Times New Roman" w:hAnsi="Times New Roman" w:cs="Times New Roman"/>
                <w:sz w:val="24"/>
                <w:szCs w:val="24"/>
              </w:rPr>
              <w:t xml:space="preserve"> by addressing gender equality and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highlighting the impact of gender-based inequalities on health and well-being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w:t>
            </w:r>
          </w:p>
        </w:tc>
      </w:tr>
      <w:tr w:rsidR="0030434B" w:rsidRPr="0030434B" w14:paraId="791597F2" w14:textId="77777777" w:rsidTr="00642908">
        <w:trPr>
          <w:trHeight w:val="290"/>
        </w:trPr>
        <w:tc>
          <w:tcPr>
            <w:tcW w:w="1257" w:type="pct"/>
            <w:shd w:val="clear" w:color="auto" w:fill="auto"/>
            <w:noWrap/>
            <w:hideMark/>
          </w:tcPr>
          <w:p w14:paraId="4CB792C6"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Household members faced any age-related discrimination in the last year </w:t>
            </w:r>
          </w:p>
        </w:tc>
        <w:tc>
          <w:tcPr>
            <w:tcW w:w="3743" w:type="pct"/>
          </w:tcPr>
          <w:p w14:paraId="398687D4"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hAnsi="Times New Roman" w:cs="Times New Roman"/>
                <w:sz w:val="24"/>
                <w:szCs w:val="24"/>
              </w:rPr>
              <w:t xml:space="preserve">Age-related discrimination affects access to resources, opportunities, and healthcare. This indicator supports </w:t>
            </w:r>
            <w:r w:rsidRPr="0030434B">
              <w:rPr>
                <w:rStyle w:val="Strong"/>
                <w:rFonts w:ascii="Times New Roman" w:hAnsi="Times New Roman" w:cs="Times New Roman"/>
                <w:b w:val="0"/>
                <w:bCs w:val="0"/>
                <w:sz w:val="24"/>
                <w:szCs w:val="24"/>
              </w:rPr>
              <w:t>SDG 10</w:t>
            </w:r>
            <w:r w:rsidRPr="0030434B">
              <w:rPr>
                <w:rFonts w:ascii="Times New Roman" w:hAnsi="Times New Roman" w:cs="Times New Roman"/>
                <w:sz w:val="24"/>
                <w:szCs w:val="24"/>
              </w:rPr>
              <w:t xml:space="preserve"> by addressing inequalities related to age and contributes to </w:t>
            </w:r>
            <w:r w:rsidRPr="0030434B">
              <w:rPr>
                <w:rStyle w:val="Strong"/>
                <w:rFonts w:ascii="Times New Roman" w:hAnsi="Times New Roman" w:cs="Times New Roman"/>
                <w:b w:val="0"/>
                <w:bCs w:val="0"/>
                <w:sz w:val="24"/>
                <w:szCs w:val="24"/>
              </w:rPr>
              <w:t>SDG 3</w:t>
            </w:r>
            <w:r w:rsidRPr="0030434B">
              <w:rPr>
                <w:rFonts w:ascii="Times New Roman" w:hAnsi="Times New Roman" w:cs="Times New Roman"/>
                <w:sz w:val="24"/>
                <w:szCs w:val="24"/>
              </w:rPr>
              <w:t xml:space="preserve"> by highlighting the impact of age-based</w:t>
            </w:r>
          </w:p>
        </w:tc>
      </w:tr>
      <w:tr w:rsidR="0030434B" w:rsidRPr="0030434B" w14:paraId="4F91A449" w14:textId="77777777" w:rsidTr="00642908">
        <w:trPr>
          <w:trHeight w:val="50"/>
        </w:trPr>
        <w:tc>
          <w:tcPr>
            <w:tcW w:w="1257" w:type="pct"/>
            <w:shd w:val="clear" w:color="auto" w:fill="auto"/>
            <w:noWrap/>
            <w:hideMark/>
          </w:tcPr>
          <w:p w14:paraId="4C730724" w14:textId="77777777" w:rsidR="0030434B" w:rsidRPr="0030434B" w:rsidRDefault="0030434B" w:rsidP="00642908">
            <w:pPr>
              <w:spacing w:after="0" w:line="240" w:lineRule="auto"/>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lastRenderedPageBreak/>
              <w:t xml:space="preserve">Household members were discriminated due to economic conditions in the last year </w:t>
            </w:r>
          </w:p>
        </w:tc>
        <w:tc>
          <w:tcPr>
            <w:tcW w:w="3743" w:type="pct"/>
          </w:tcPr>
          <w:p w14:paraId="73E5BD07" w14:textId="77777777" w:rsidR="0030434B" w:rsidRPr="0030434B" w:rsidRDefault="0030434B" w:rsidP="00642908">
            <w:pPr>
              <w:spacing w:after="0" w:line="240" w:lineRule="auto"/>
              <w:jc w:val="both"/>
              <w:rPr>
                <w:rFonts w:ascii="Times New Roman" w:eastAsia="Times New Roman" w:hAnsi="Times New Roman" w:cs="Times New Roman"/>
                <w:color w:val="000000"/>
                <w:sz w:val="24"/>
                <w:szCs w:val="24"/>
              </w:rPr>
            </w:pPr>
            <w:r w:rsidRPr="0030434B">
              <w:rPr>
                <w:rFonts w:ascii="Times New Roman" w:eastAsia="Times New Roman" w:hAnsi="Times New Roman" w:cs="Times New Roman"/>
                <w:color w:val="000000"/>
                <w:sz w:val="24"/>
                <w:szCs w:val="24"/>
              </w:rPr>
              <w:t xml:space="preserve">Economic discrimination limits access to essential services and opportunities, exacerbating health and social inequalities. This indicator supports SDG 10 by highlighting the impact of economic disparities on social inclusion and SDG 3 by addressing how economic inequalities affect health outcomes. </w:t>
            </w:r>
          </w:p>
        </w:tc>
      </w:tr>
    </w:tbl>
    <w:p w14:paraId="21587058" w14:textId="77777777" w:rsidR="0030434B" w:rsidRPr="005D3D45" w:rsidRDefault="0030434B" w:rsidP="0030434B">
      <w:pPr>
        <w:spacing w:after="0"/>
        <w:rPr>
          <w:rFonts w:ascii="Times New Roman" w:hAnsi="Times New Roman" w:cs="Times New Roman"/>
          <w:sz w:val="24"/>
          <w:szCs w:val="24"/>
        </w:rPr>
      </w:pPr>
    </w:p>
    <w:p w14:paraId="37282033" w14:textId="77777777" w:rsidR="00060B23" w:rsidRDefault="00060B23"/>
    <w:sectPr w:rsidR="00060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4A"/>
    <w:rsid w:val="00060B23"/>
    <w:rsid w:val="0030434B"/>
    <w:rsid w:val="0067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3043E0"/>
  <w15:chartTrackingRefBased/>
  <w15:docId w15:val="{BF985E63-2AC4-400C-95C5-1E5FDC39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3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43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2978</Words>
  <Characters>17213</Characters>
  <Application>Microsoft Office Word</Application>
  <DocSecurity>0</DocSecurity>
  <Lines>688</Lines>
  <Paragraphs>448</Paragraphs>
  <ScaleCrop>false</ScaleCrop>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2024-10-15T08:19:00Z</dcterms:created>
  <dcterms:modified xsi:type="dcterms:W3CDTF">2024-10-15T08:20:00Z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267429f16d278f0ec76e9ee10cbfabc470e40fd38e264e6d48ba55d3b379d245</vt:lpwstr>
  </property>
</Properties>
</file>