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366" w:rsidRPr="005C0FC6" w:rsidRDefault="005C0FC6" w:rsidP="00107420">
      <w:pPr>
        <w:spacing w:line="36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R</w:t>
      </w:r>
      <w:r w:rsidR="00E17798" w:rsidRPr="00107420">
        <w:rPr>
          <w:rFonts w:ascii="Times New Roman" w:hAnsi="Times New Roman" w:cs="Times New Roman"/>
          <w:sz w:val="24"/>
          <w:szCs w:val="24"/>
        </w:rPr>
        <w:t>isk of bias and quality assessment of included studies using the Newcastle-Ottawa Rating Scale</w:t>
      </w:r>
    </w:p>
    <w:tbl>
      <w:tblPr>
        <w:tblStyle w:val="TableGrid"/>
        <w:tblW w:w="14778" w:type="dxa"/>
        <w:tblLayout w:type="fixed"/>
        <w:tblLook w:val="04A0" w:firstRow="1" w:lastRow="0" w:firstColumn="1" w:lastColumn="0" w:noHBand="0" w:noVBand="1"/>
      </w:tblPr>
      <w:tblGrid>
        <w:gridCol w:w="1638"/>
        <w:gridCol w:w="1440"/>
        <w:gridCol w:w="990"/>
        <w:gridCol w:w="990"/>
        <w:gridCol w:w="1710"/>
        <w:gridCol w:w="1710"/>
        <w:gridCol w:w="1080"/>
        <w:gridCol w:w="1260"/>
        <w:gridCol w:w="990"/>
        <w:gridCol w:w="810"/>
        <w:gridCol w:w="1170"/>
        <w:gridCol w:w="990"/>
      </w:tblGrid>
      <w:tr w:rsidR="002C36C2" w:rsidRPr="00107420" w:rsidTr="002C36C2">
        <w:tc>
          <w:tcPr>
            <w:tcW w:w="6768" w:type="dxa"/>
            <w:gridSpan w:val="5"/>
          </w:tcPr>
          <w:p w:rsidR="00602156" w:rsidRPr="00107420" w:rsidRDefault="00602156"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Selection</w:t>
            </w:r>
          </w:p>
        </w:tc>
        <w:tc>
          <w:tcPr>
            <w:tcW w:w="5040" w:type="dxa"/>
            <w:gridSpan w:val="4"/>
          </w:tcPr>
          <w:p w:rsidR="00602156" w:rsidRPr="00107420" w:rsidRDefault="00602156"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Comparability outcome</w:t>
            </w:r>
          </w:p>
        </w:tc>
        <w:tc>
          <w:tcPr>
            <w:tcW w:w="810" w:type="dxa"/>
          </w:tcPr>
          <w:p w:rsidR="00602156" w:rsidRPr="00107420" w:rsidRDefault="00602156" w:rsidP="00107420">
            <w:pPr>
              <w:spacing w:line="360" w:lineRule="auto"/>
              <w:jc w:val="both"/>
              <w:rPr>
                <w:rFonts w:ascii="Times New Roman" w:hAnsi="Times New Roman" w:cs="Times New Roman"/>
                <w:sz w:val="24"/>
                <w:szCs w:val="24"/>
              </w:rPr>
            </w:pPr>
          </w:p>
        </w:tc>
        <w:tc>
          <w:tcPr>
            <w:tcW w:w="1170" w:type="dxa"/>
          </w:tcPr>
          <w:p w:rsidR="00602156" w:rsidRPr="00107420" w:rsidRDefault="00602156" w:rsidP="00107420">
            <w:pPr>
              <w:spacing w:line="360" w:lineRule="auto"/>
              <w:jc w:val="both"/>
              <w:rPr>
                <w:rFonts w:ascii="Times New Roman" w:hAnsi="Times New Roman" w:cs="Times New Roman"/>
                <w:sz w:val="24"/>
                <w:szCs w:val="24"/>
                <w:vertAlign w:val="superscript"/>
              </w:rPr>
            </w:pPr>
          </w:p>
        </w:tc>
        <w:tc>
          <w:tcPr>
            <w:tcW w:w="990" w:type="dxa"/>
          </w:tcPr>
          <w:p w:rsidR="00602156" w:rsidRPr="00107420" w:rsidRDefault="00602156" w:rsidP="00107420">
            <w:pPr>
              <w:spacing w:line="360" w:lineRule="auto"/>
              <w:jc w:val="both"/>
              <w:rPr>
                <w:rFonts w:ascii="Times New Roman" w:hAnsi="Times New Roman" w:cs="Times New Roman"/>
                <w:sz w:val="24"/>
                <w:szCs w:val="24"/>
                <w:vertAlign w:val="superscript"/>
              </w:rPr>
            </w:pPr>
          </w:p>
        </w:tc>
      </w:tr>
      <w:tr w:rsidR="002C36C2" w:rsidRPr="00107420" w:rsidTr="002C36C2">
        <w:trPr>
          <w:cantSplit/>
          <w:trHeight w:val="2051"/>
        </w:trPr>
        <w:tc>
          <w:tcPr>
            <w:tcW w:w="1638"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Authors (year)</w:t>
            </w:r>
          </w:p>
        </w:tc>
        <w:tc>
          <w:tcPr>
            <w:tcW w:w="144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Representativeness of the exposed cohort</w:t>
            </w:r>
          </w:p>
        </w:tc>
        <w:tc>
          <w:tcPr>
            <w:tcW w:w="99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Selection of non-exposed cohort</w:t>
            </w:r>
          </w:p>
        </w:tc>
        <w:tc>
          <w:tcPr>
            <w:tcW w:w="99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Ascertainment of the exposure</w:t>
            </w:r>
          </w:p>
        </w:tc>
        <w:tc>
          <w:tcPr>
            <w:tcW w:w="1710" w:type="dxa"/>
            <w:textDirection w:val="btLr"/>
          </w:tcPr>
          <w:p w:rsidR="00602156" w:rsidRPr="00107420" w:rsidRDefault="00602156" w:rsidP="00107420">
            <w:pPr>
              <w:spacing w:after="100" w:afterAutospacing="1"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Outcome of interest not present at the start of the study</w:t>
            </w:r>
          </w:p>
        </w:tc>
        <w:tc>
          <w:tcPr>
            <w:tcW w:w="1710" w:type="dxa"/>
            <w:textDirection w:val="btLr"/>
          </w:tcPr>
          <w:p w:rsidR="002C36C2" w:rsidRPr="00107420" w:rsidRDefault="002C36C2" w:rsidP="00107420">
            <w:pPr>
              <w:pStyle w:val="ListParagraph"/>
              <w:numPr>
                <w:ilvl w:val="0"/>
                <w:numId w:val="1"/>
              </w:numPr>
              <w:spacing w:line="360" w:lineRule="auto"/>
              <w:ind w:left="0" w:right="113"/>
              <w:jc w:val="both"/>
              <w:rPr>
                <w:rFonts w:ascii="Times New Roman" w:hAnsi="Times New Roman" w:cs="Times New Roman"/>
                <w:sz w:val="24"/>
                <w:szCs w:val="24"/>
              </w:rPr>
            </w:pPr>
            <w:r w:rsidRPr="00107420">
              <w:rPr>
                <w:rFonts w:ascii="Times New Roman" w:hAnsi="Times New Roman" w:cs="Times New Roman"/>
                <w:sz w:val="24"/>
                <w:szCs w:val="24"/>
              </w:rPr>
              <w:t xml:space="preserve">1. </w:t>
            </w:r>
            <w:r w:rsidR="00602156" w:rsidRPr="00107420">
              <w:rPr>
                <w:rFonts w:ascii="Times New Roman" w:hAnsi="Times New Roman" w:cs="Times New Roman"/>
                <w:sz w:val="24"/>
                <w:szCs w:val="24"/>
              </w:rPr>
              <w:t>(Age or sex) and  weight</w:t>
            </w:r>
          </w:p>
          <w:p w:rsidR="00602156" w:rsidRPr="00107420" w:rsidRDefault="002C36C2" w:rsidP="00107420">
            <w:pPr>
              <w:pStyle w:val="ListParagraph"/>
              <w:numPr>
                <w:ilvl w:val="0"/>
                <w:numId w:val="1"/>
              </w:numPr>
              <w:spacing w:line="360" w:lineRule="auto"/>
              <w:ind w:left="0" w:right="113"/>
              <w:jc w:val="both"/>
              <w:rPr>
                <w:rFonts w:ascii="Times New Roman" w:hAnsi="Times New Roman" w:cs="Times New Roman"/>
                <w:sz w:val="24"/>
                <w:szCs w:val="24"/>
              </w:rPr>
            </w:pPr>
            <w:r w:rsidRPr="00107420">
              <w:rPr>
                <w:rFonts w:ascii="Times New Roman" w:hAnsi="Times New Roman" w:cs="Times New Roman"/>
                <w:sz w:val="24"/>
                <w:szCs w:val="24"/>
              </w:rPr>
              <w:t xml:space="preserve">2. </w:t>
            </w:r>
            <w:r w:rsidR="00602156" w:rsidRPr="00107420">
              <w:rPr>
                <w:rFonts w:ascii="Times New Roman" w:hAnsi="Times New Roman" w:cs="Times New Roman"/>
                <w:sz w:val="24"/>
                <w:szCs w:val="24"/>
              </w:rPr>
              <w:t>infection</w:t>
            </w:r>
          </w:p>
        </w:tc>
        <w:tc>
          <w:tcPr>
            <w:tcW w:w="108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Assessment of outcome</w:t>
            </w:r>
          </w:p>
        </w:tc>
        <w:tc>
          <w:tcPr>
            <w:tcW w:w="126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Adequacy of duration of follow up</w:t>
            </w:r>
          </w:p>
        </w:tc>
        <w:tc>
          <w:tcPr>
            <w:tcW w:w="990" w:type="dxa"/>
            <w:textDirection w:val="btLr"/>
          </w:tcPr>
          <w:p w:rsidR="00602156" w:rsidRPr="00107420" w:rsidRDefault="00602156" w:rsidP="00107420">
            <w:pPr>
              <w:spacing w:line="360" w:lineRule="auto"/>
              <w:ind w:left="113" w:right="113"/>
              <w:jc w:val="both"/>
              <w:rPr>
                <w:rFonts w:ascii="Times New Roman" w:hAnsi="Times New Roman" w:cs="Times New Roman"/>
                <w:sz w:val="24"/>
                <w:szCs w:val="24"/>
              </w:rPr>
            </w:pPr>
            <w:r w:rsidRPr="00107420">
              <w:rPr>
                <w:rFonts w:ascii="Times New Roman" w:hAnsi="Times New Roman" w:cs="Times New Roman"/>
                <w:sz w:val="24"/>
                <w:szCs w:val="24"/>
              </w:rPr>
              <w:t xml:space="preserve">Adequacy of completeness </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Total</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Risk of bias</w:t>
            </w:r>
            <w:r w:rsidRPr="00107420">
              <w:rPr>
                <w:rFonts w:ascii="Times New Roman" w:hAnsi="Times New Roman" w:cs="Times New Roman"/>
                <w:sz w:val="24"/>
                <w:szCs w:val="24"/>
                <w:vertAlign w:val="superscript"/>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Quality</w:t>
            </w:r>
            <w:r w:rsidRPr="00107420">
              <w:rPr>
                <w:rFonts w:ascii="Times New Roman" w:hAnsi="Times New Roman" w:cs="Times New Roman"/>
                <w:sz w:val="24"/>
                <w:szCs w:val="24"/>
                <w:vertAlign w:val="superscript"/>
              </w:rPr>
              <w:t>£</w:t>
            </w:r>
          </w:p>
        </w:tc>
      </w:tr>
      <w:tr w:rsidR="002C36C2" w:rsidRPr="00107420" w:rsidTr="002C36C2">
        <w:tc>
          <w:tcPr>
            <w:tcW w:w="1638" w:type="dxa"/>
          </w:tcPr>
          <w:p w:rsidR="00602156" w:rsidRPr="00107420" w:rsidRDefault="002C36C2"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Mohammed (2023)</w:t>
            </w:r>
          </w:p>
        </w:tc>
        <w:tc>
          <w:tcPr>
            <w:tcW w:w="144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9</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c>
          <w:tcPr>
            <w:tcW w:w="1638" w:type="dxa"/>
          </w:tcPr>
          <w:p w:rsidR="00602156"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Tilahun</w:t>
            </w:r>
            <w:proofErr w:type="spellEnd"/>
            <w:r w:rsidR="00086A0D" w:rsidRPr="00107420">
              <w:rPr>
                <w:rFonts w:ascii="Times New Roman" w:hAnsi="Times New Roman" w:cs="Times New Roman"/>
                <w:sz w:val="24"/>
                <w:szCs w:val="24"/>
              </w:rPr>
              <w:t xml:space="preserve"> (2024)</w:t>
            </w:r>
          </w:p>
        </w:tc>
        <w:tc>
          <w:tcPr>
            <w:tcW w:w="144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8</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c>
          <w:tcPr>
            <w:tcW w:w="1638" w:type="dxa"/>
          </w:tcPr>
          <w:p w:rsidR="00086A0D"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Hailu</w:t>
            </w:r>
            <w:proofErr w:type="spellEnd"/>
          </w:p>
          <w:p w:rsidR="00602156"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 (2019)</w:t>
            </w:r>
          </w:p>
        </w:tc>
        <w:tc>
          <w:tcPr>
            <w:tcW w:w="144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8</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c>
          <w:tcPr>
            <w:tcW w:w="1638" w:type="dxa"/>
          </w:tcPr>
          <w:p w:rsidR="00602156"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Habtam</w:t>
            </w:r>
            <w:proofErr w:type="spellEnd"/>
            <w:r w:rsidR="00086A0D" w:rsidRPr="00107420">
              <w:rPr>
                <w:rFonts w:ascii="Times New Roman" w:hAnsi="Times New Roman" w:cs="Times New Roman"/>
                <w:sz w:val="24"/>
                <w:szCs w:val="24"/>
              </w:rPr>
              <w:t xml:space="preserve"> (2021)</w:t>
            </w:r>
          </w:p>
        </w:tc>
        <w:tc>
          <w:tcPr>
            <w:tcW w:w="144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8</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c>
          <w:tcPr>
            <w:tcW w:w="1638" w:type="dxa"/>
          </w:tcPr>
          <w:p w:rsidR="00086A0D"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Mesfin</w:t>
            </w:r>
            <w:proofErr w:type="spellEnd"/>
            <w:r w:rsidRPr="00107420">
              <w:rPr>
                <w:rFonts w:ascii="Times New Roman" w:hAnsi="Times New Roman" w:cs="Times New Roman"/>
                <w:sz w:val="24"/>
                <w:szCs w:val="24"/>
              </w:rPr>
              <w:t xml:space="preserve"> </w:t>
            </w:r>
          </w:p>
          <w:p w:rsidR="00602156"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(2014)</w:t>
            </w:r>
          </w:p>
        </w:tc>
        <w:tc>
          <w:tcPr>
            <w:tcW w:w="144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995F3F" w:rsidP="00107420">
            <w:pPr>
              <w:spacing w:line="360" w:lineRule="auto"/>
              <w:jc w:val="both"/>
              <w:rPr>
                <w:rFonts w:ascii="Times New Roman" w:hAnsi="Times New Roman" w:cs="Times New Roman"/>
                <w:sz w:val="24"/>
                <w:szCs w:val="24"/>
              </w:rPr>
            </w:pPr>
            <w:r w:rsidRPr="00107420">
              <w:rPr>
                <w:rFonts w:ascii="Times New Roman" w:eastAsia="MS Gothic" w:hAnsi="Times New Roman" w:cs="Times New Roman"/>
                <w:sz w:val="24"/>
                <w:szCs w:val="24"/>
              </w:rPr>
              <w:t>-</w:t>
            </w:r>
          </w:p>
        </w:tc>
        <w:tc>
          <w:tcPr>
            <w:tcW w:w="1080" w:type="dxa"/>
          </w:tcPr>
          <w:p w:rsidR="00602156"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7</w:t>
            </w:r>
          </w:p>
        </w:tc>
        <w:tc>
          <w:tcPr>
            <w:tcW w:w="1170" w:type="dxa"/>
          </w:tcPr>
          <w:p w:rsidR="00602156"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573"/>
        </w:trPr>
        <w:tc>
          <w:tcPr>
            <w:tcW w:w="1638" w:type="dxa"/>
          </w:tcPr>
          <w:p w:rsidR="00602156"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Gashaw</w:t>
            </w:r>
            <w:proofErr w:type="spellEnd"/>
            <w:r w:rsidR="00086A0D" w:rsidRPr="00107420">
              <w:rPr>
                <w:rFonts w:ascii="Times New Roman" w:hAnsi="Times New Roman" w:cs="Times New Roman"/>
                <w:sz w:val="24"/>
                <w:szCs w:val="24"/>
              </w:rPr>
              <w:t xml:space="preserve"> (2021)</w:t>
            </w:r>
          </w:p>
        </w:tc>
        <w:tc>
          <w:tcPr>
            <w:tcW w:w="144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9</w:t>
            </w:r>
          </w:p>
        </w:tc>
        <w:tc>
          <w:tcPr>
            <w:tcW w:w="117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602156"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388"/>
        </w:trPr>
        <w:tc>
          <w:tcPr>
            <w:tcW w:w="1638" w:type="dxa"/>
          </w:tcPr>
          <w:p w:rsidR="002C36C2" w:rsidRPr="00107420" w:rsidRDefault="002C36C2"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Deribachew</w:t>
            </w:r>
            <w:proofErr w:type="spellEnd"/>
            <w:r w:rsidR="00086A0D" w:rsidRPr="00107420">
              <w:rPr>
                <w:rFonts w:ascii="Times New Roman" w:hAnsi="Times New Roman" w:cs="Times New Roman"/>
                <w:sz w:val="24"/>
                <w:szCs w:val="24"/>
              </w:rPr>
              <w:t xml:space="preserve"> (2021)</w:t>
            </w:r>
          </w:p>
        </w:tc>
        <w:tc>
          <w:tcPr>
            <w:tcW w:w="144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w:t>
            </w:r>
          </w:p>
        </w:tc>
        <w:tc>
          <w:tcPr>
            <w:tcW w:w="108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6</w:t>
            </w:r>
          </w:p>
        </w:tc>
        <w:tc>
          <w:tcPr>
            <w:tcW w:w="1170" w:type="dxa"/>
          </w:tcPr>
          <w:p w:rsidR="002C36C2" w:rsidRPr="00107420" w:rsidRDefault="004121AD" w:rsidP="00107420">
            <w:pPr>
              <w:spacing w:line="360" w:lineRule="auto"/>
              <w:jc w:val="both"/>
              <w:rPr>
                <w:rFonts w:ascii="Times New Roman" w:hAnsi="Times New Roman" w:cs="Times New Roman"/>
                <w:sz w:val="24"/>
                <w:szCs w:val="24"/>
              </w:rPr>
            </w:pPr>
            <w:r>
              <w:rPr>
                <w:rFonts w:ascii="Times New Roman" w:hAnsi="Times New Roman" w:cs="Times New Roman"/>
                <w:sz w:val="24"/>
                <w:szCs w:val="24"/>
              </w:rPr>
              <w:t>Fair</w:t>
            </w:r>
          </w:p>
        </w:tc>
        <w:tc>
          <w:tcPr>
            <w:tcW w:w="990" w:type="dxa"/>
          </w:tcPr>
          <w:p w:rsidR="002C36C2" w:rsidRPr="00107420" w:rsidRDefault="00FE505E" w:rsidP="0010742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Good </w:t>
            </w:r>
            <w:r w:rsidR="004121AD">
              <w:rPr>
                <w:rFonts w:ascii="Times New Roman" w:hAnsi="Times New Roman" w:cs="Times New Roman"/>
                <w:sz w:val="24"/>
                <w:szCs w:val="24"/>
              </w:rPr>
              <w:t xml:space="preserve"> </w:t>
            </w:r>
          </w:p>
        </w:tc>
      </w:tr>
      <w:tr w:rsidR="002C36C2" w:rsidRPr="00107420" w:rsidTr="002C36C2">
        <w:trPr>
          <w:trHeight w:val="488"/>
        </w:trPr>
        <w:tc>
          <w:tcPr>
            <w:tcW w:w="1638" w:type="dxa"/>
          </w:tcPr>
          <w:p w:rsidR="002C36C2" w:rsidRPr="00107420" w:rsidRDefault="00086A0D"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Temesgen</w:t>
            </w:r>
            <w:proofErr w:type="spellEnd"/>
            <w:r w:rsidRPr="00107420">
              <w:rPr>
                <w:rFonts w:ascii="Times New Roman" w:hAnsi="Times New Roman" w:cs="Times New Roman"/>
                <w:sz w:val="24"/>
                <w:szCs w:val="24"/>
              </w:rPr>
              <w:t xml:space="preserve"> (2016)</w:t>
            </w:r>
          </w:p>
        </w:tc>
        <w:tc>
          <w:tcPr>
            <w:tcW w:w="144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7</w:t>
            </w:r>
          </w:p>
        </w:tc>
        <w:tc>
          <w:tcPr>
            <w:tcW w:w="117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2C36C2" w:rsidRPr="00107420" w:rsidRDefault="002E34D7"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638"/>
        </w:trPr>
        <w:tc>
          <w:tcPr>
            <w:tcW w:w="1638" w:type="dxa"/>
          </w:tcPr>
          <w:p w:rsidR="002C36C2" w:rsidRPr="00107420" w:rsidRDefault="00086A0D"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Mahilet</w:t>
            </w:r>
            <w:proofErr w:type="spellEnd"/>
            <w:r w:rsidRPr="00107420">
              <w:rPr>
                <w:rFonts w:ascii="Times New Roman" w:hAnsi="Times New Roman" w:cs="Times New Roman"/>
                <w:sz w:val="24"/>
                <w:szCs w:val="24"/>
              </w:rPr>
              <w:t xml:space="preserve"> (2016)</w:t>
            </w:r>
          </w:p>
        </w:tc>
        <w:tc>
          <w:tcPr>
            <w:tcW w:w="144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eastAsia="MS Gothic" w:hAnsi="Times New Roman" w:cs="Times New Roman"/>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7</w:t>
            </w:r>
          </w:p>
        </w:tc>
        <w:tc>
          <w:tcPr>
            <w:tcW w:w="117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551"/>
        </w:trPr>
        <w:tc>
          <w:tcPr>
            <w:tcW w:w="1638" w:type="dxa"/>
          </w:tcPr>
          <w:p w:rsidR="002C36C2" w:rsidRPr="00107420" w:rsidRDefault="00086A0D"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Deginet</w:t>
            </w:r>
            <w:proofErr w:type="spellEnd"/>
            <w:r w:rsidRPr="00107420">
              <w:rPr>
                <w:rFonts w:ascii="Times New Roman" w:hAnsi="Times New Roman" w:cs="Times New Roman"/>
                <w:sz w:val="24"/>
                <w:szCs w:val="24"/>
              </w:rPr>
              <w:t xml:space="preserve"> (2023)</w:t>
            </w:r>
          </w:p>
        </w:tc>
        <w:tc>
          <w:tcPr>
            <w:tcW w:w="144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9</w:t>
            </w:r>
          </w:p>
        </w:tc>
        <w:tc>
          <w:tcPr>
            <w:tcW w:w="117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563"/>
        </w:trPr>
        <w:tc>
          <w:tcPr>
            <w:tcW w:w="1638" w:type="dxa"/>
          </w:tcPr>
          <w:p w:rsidR="00086A0D"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Osman </w:t>
            </w:r>
          </w:p>
          <w:p w:rsidR="002C36C2"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(2022)</w:t>
            </w:r>
          </w:p>
        </w:tc>
        <w:tc>
          <w:tcPr>
            <w:tcW w:w="144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8</w:t>
            </w:r>
          </w:p>
        </w:tc>
        <w:tc>
          <w:tcPr>
            <w:tcW w:w="117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r w:rsidR="002C36C2" w:rsidRPr="00107420" w:rsidTr="002C36C2">
        <w:trPr>
          <w:trHeight w:val="563"/>
        </w:trPr>
        <w:tc>
          <w:tcPr>
            <w:tcW w:w="1638" w:type="dxa"/>
          </w:tcPr>
          <w:p w:rsidR="00086A0D" w:rsidRPr="00107420" w:rsidRDefault="00086A0D" w:rsidP="00107420">
            <w:pPr>
              <w:spacing w:line="360" w:lineRule="auto"/>
              <w:jc w:val="both"/>
              <w:rPr>
                <w:rFonts w:ascii="Times New Roman" w:hAnsi="Times New Roman" w:cs="Times New Roman"/>
                <w:sz w:val="24"/>
                <w:szCs w:val="24"/>
              </w:rPr>
            </w:pPr>
            <w:proofErr w:type="spellStart"/>
            <w:r w:rsidRPr="00107420">
              <w:rPr>
                <w:rFonts w:ascii="Times New Roman" w:hAnsi="Times New Roman" w:cs="Times New Roman"/>
                <w:sz w:val="24"/>
                <w:szCs w:val="24"/>
              </w:rPr>
              <w:t>Adissu</w:t>
            </w:r>
            <w:proofErr w:type="spellEnd"/>
            <w:r w:rsidRPr="00107420">
              <w:rPr>
                <w:rFonts w:ascii="Times New Roman" w:hAnsi="Times New Roman" w:cs="Times New Roman"/>
                <w:sz w:val="24"/>
                <w:szCs w:val="24"/>
              </w:rPr>
              <w:t xml:space="preserve"> </w:t>
            </w:r>
          </w:p>
          <w:p w:rsidR="002C36C2" w:rsidRPr="00107420" w:rsidRDefault="00086A0D"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(2020)</w:t>
            </w:r>
          </w:p>
        </w:tc>
        <w:tc>
          <w:tcPr>
            <w:tcW w:w="144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7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08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126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MS Gothic" w:eastAsia="MS Gothic" w:hAnsi="MS Gothic" w:cs="MS Gothic" w:hint="eastAsia"/>
                <w:sz w:val="24"/>
                <w:szCs w:val="24"/>
              </w:rPr>
              <w:t>★</w:t>
            </w:r>
          </w:p>
        </w:tc>
        <w:tc>
          <w:tcPr>
            <w:tcW w:w="81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9</w:t>
            </w:r>
          </w:p>
        </w:tc>
        <w:tc>
          <w:tcPr>
            <w:tcW w:w="117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Low </w:t>
            </w:r>
          </w:p>
        </w:tc>
        <w:tc>
          <w:tcPr>
            <w:tcW w:w="990" w:type="dxa"/>
          </w:tcPr>
          <w:p w:rsidR="002C36C2" w:rsidRPr="00107420" w:rsidRDefault="00995F3F" w:rsidP="00107420">
            <w:pPr>
              <w:spacing w:line="360" w:lineRule="auto"/>
              <w:jc w:val="both"/>
              <w:rPr>
                <w:rFonts w:ascii="Times New Roman" w:hAnsi="Times New Roman" w:cs="Times New Roman"/>
                <w:sz w:val="24"/>
                <w:szCs w:val="24"/>
              </w:rPr>
            </w:pPr>
            <w:r w:rsidRPr="00107420">
              <w:rPr>
                <w:rFonts w:ascii="Times New Roman" w:hAnsi="Times New Roman" w:cs="Times New Roman"/>
                <w:sz w:val="24"/>
                <w:szCs w:val="24"/>
              </w:rPr>
              <w:t xml:space="preserve">Good </w:t>
            </w:r>
          </w:p>
        </w:tc>
      </w:tr>
    </w:tbl>
    <w:p w:rsidR="00107420" w:rsidRPr="00107420" w:rsidRDefault="00107420" w:rsidP="00107420">
      <w:pPr>
        <w:shd w:val="clear" w:color="auto" w:fill="FFFFFF"/>
        <w:spacing w:after="0" w:line="360" w:lineRule="auto"/>
        <w:jc w:val="both"/>
        <w:rPr>
          <w:rFonts w:ascii="Times New Roman" w:eastAsia="Times New Roman" w:hAnsi="Times New Roman" w:cs="Times New Roman"/>
          <w:color w:val="333333"/>
          <w:sz w:val="24"/>
          <w:szCs w:val="24"/>
        </w:rPr>
      </w:pPr>
      <w:r w:rsidRPr="00107420">
        <w:rPr>
          <w:rFonts w:ascii="MS Gothic" w:eastAsia="MS Gothic" w:hAnsi="MS Gothic" w:cs="MS Gothic" w:hint="eastAsia"/>
          <w:sz w:val="24"/>
          <w:szCs w:val="24"/>
          <w:vertAlign w:val="superscript"/>
        </w:rPr>
        <w:t>★</w:t>
      </w:r>
      <w:r w:rsidRPr="00107420">
        <w:rPr>
          <w:rFonts w:ascii="Times New Roman" w:eastAsia="Times New Roman" w:hAnsi="Times New Roman" w:cs="Times New Roman"/>
          <w:color w:val="333333"/>
          <w:sz w:val="24"/>
          <w:szCs w:val="24"/>
        </w:rPr>
        <w:t>Each satisfied criterion in the Selection and Outcome domains received a maximum of one star. A maximum of 2 stars could be awarded for the Comparability domain: one star could be awarded if the study sufficiently controlled for the composite of weight and age or sex, and an extra star could be awarded if the study sufficiently controlled for the presence or effects of infection.</w:t>
      </w:r>
    </w:p>
    <w:p w:rsidR="00107420" w:rsidRPr="00107420" w:rsidRDefault="00995F3F" w:rsidP="00107420">
      <w:pPr>
        <w:shd w:val="clear" w:color="auto" w:fill="FFFFFF"/>
        <w:spacing w:after="0" w:line="360" w:lineRule="auto"/>
        <w:jc w:val="both"/>
        <w:rPr>
          <w:rFonts w:ascii="Times New Roman" w:eastAsia="Times New Roman" w:hAnsi="Times New Roman" w:cs="Times New Roman"/>
          <w:color w:val="333333"/>
          <w:sz w:val="24"/>
          <w:szCs w:val="24"/>
        </w:rPr>
      </w:pPr>
      <w:r w:rsidRPr="00107420">
        <w:rPr>
          <w:rFonts w:ascii="Times New Roman" w:hAnsi="Times New Roman" w:cs="Times New Roman"/>
          <w:sz w:val="24"/>
          <w:szCs w:val="24"/>
          <w:vertAlign w:val="superscript"/>
        </w:rPr>
        <w:t>¥</w:t>
      </w:r>
      <w:r w:rsidR="00107420" w:rsidRPr="00107420">
        <w:rPr>
          <w:rFonts w:ascii="Times New Roman" w:eastAsia="Times New Roman" w:hAnsi="Times New Roman" w:cs="Times New Roman"/>
          <w:color w:val="333333"/>
          <w:sz w:val="24"/>
          <w:szCs w:val="24"/>
        </w:rPr>
        <w:t>A lo</w:t>
      </w:r>
      <w:r w:rsidR="00FE505E">
        <w:rPr>
          <w:rFonts w:ascii="Times New Roman" w:eastAsia="Times New Roman" w:hAnsi="Times New Roman" w:cs="Times New Roman"/>
          <w:color w:val="333333"/>
          <w:sz w:val="24"/>
          <w:szCs w:val="24"/>
        </w:rPr>
        <w:t>w risk of bias criteria of six</w:t>
      </w:r>
      <w:r w:rsidR="00107420" w:rsidRPr="00107420">
        <w:rPr>
          <w:rFonts w:ascii="Times New Roman" w:eastAsia="Times New Roman" w:hAnsi="Times New Roman" w:cs="Times New Roman"/>
          <w:color w:val="333333"/>
          <w:sz w:val="24"/>
          <w:szCs w:val="24"/>
        </w:rPr>
        <w:t xml:space="preserve"> stars or higher was applied to categorize studies.</w:t>
      </w:r>
    </w:p>
    <w:p w:rsidR="00FE505E" w:rsidRDefault="00995F3F" w:rsidP="00107420">
      <w:pPr>
        <w:shd w:val="clear" w:color="auto" w:fill="FFFFFF"/>
        <w:spacing w:after="0" w:line="360" w:lineRule="auto"/>
        <w:jc w:val="both"/>
        <w:rPr>
          <w:rFonts w:ascii="Times New Roman" w:eastAsia="Times New Roman" w:hAnsi="Times New Roman" w:cs="Times New Roman"/>
          <w:color w:val="333333"/>
          <w:sz w:val="24"/>
          <w:szCs w:val="24"/>
        </w:rPr>
      </w:pPr>
      <w:r w:rsidRPr="00107420">
        <w:rPr>
          <w:rFonts w:ascii="Times New Roman" w:hAnsi="Times New Roman" w:cs="Times New Roman"/>
          <w:sz w:val="24"/>
          <w:szCs w:val="24"/>
          <w:vertAlign w:val="superscript"/>
        </w:rPr>
        <w:t>£</w:t>
      </w:r>
      <w:r w:rsidR="00107420" w:rsidRPr="00107420">
        <w:rPr>
          <w:rFonts w:ascii="Times New Roman" w:eastAsia="Times New Roman" w:hAnsi="Times New Roman" w:cs="Times New Roman"/>
          <w:color w:val="333333"/>
          <w:sz w:val="24"/>
          <w:szCs w:val="24"/>
        </w:rPr>
        <w:t>Using the Newcastle-Ottawa scale threshold values</w:t>
      </w:r>
      <w:r w:rsidR="00FE505E">
        <w:rPr>
          <w:rFonts w:ascii="Times New Roman" w:eastAsia="Times New Roman" w:hAnsi="Times New Roman" w:cs="Times New Roman"/>
          <w:color w:val="333333"/>
          <w:sz w:val="24"/>
          <w:szCs w:val="24"/>
        </w:rPr>
        <w:fldChar w:fldCharType="begin"/>
      </w:r>
      <w:r w:rsidR="00FE505E">
        <w:rPr>
          <w:rFonts w:ascii="Times New Roman" w:eastAsia="Times New Roman" w:hAnsi="Times New Roman" w:cs="Times New Roman"/>
          <w:color w:val="333333"/>
          <w:sz w:val="24"/>
          <w:szCs w:val="24"/>
        </w:rPr>
        <w:instrText xml:space="preserve"> ADDIN EN.CITE &lt;EndNote&gt;&lt;Cite&gt;&lt;Author&gt;Wells&lt;/Author&gt;&lt;Year&gt;2000&lt;/Year&gt;&lt;RecNum&gt;2459&lt;/RecNum&gt;&lt;DisplayText&gt;(1)&lt;/DisplayText&gt;&lt;record&gt;&lt;rec-number&gt;2459&lt;/rec-number&gt;&lt;foreign-keys&gt;&lt;key app="EN" db-id="50wxdpzd9vd5r7e9t5b595djrfpttrxw9avp" timestamp="1721651308"&gt;2459&lt;/key&gt;&lt;/foreign-keys&gt;&lt;ref-type name="Journal Article"&gt;17&lt;/ref-type&gt;&lt;contributors&gt;&lt;authors&gt;&lt;author&gt;Wells, George A&lt;/author&gt;&lt;author&gt;Shea, Beverley&lt;/author&gt;&lt;author&gt;O’Connell, Dianne&lt;/author&gt;&lt;author&gt;Peterson, Joan&lt;/author&gt;&lt;author&gt;Welch, Vivian&lt;/author&gt;&lt;author&gt;Losos, Michelle&lt;/author&gt;&lt;author&gt;Tugwell, Peter&lt;/author&gt;&lt;/authors&gt;&lt;/contributors&gt;&lt;titles&gt;&lt;title&gt;The Newcastle-Ottawa Scale (NOS) for assessing the quality of nonrandomised studies in meta-analyses&lt;/title&gt;&lt;/titles&gt;&lt;dates&gt;&lt;year&gt;2000&lt;/year&gt;&lt;/dates&gt;&lt;urls&gt;&lt;/urls&gt;&lt;/record&gt;&lt;/Cite&gt;&lt;/EndNote&gt;</w:instrText>
      </w:r>
      <w:r w:rsidR="00FE505E">
        <w:rPr>
          <w:rFonts w:ascii="Times New Roman" w:eastAsia="Times New Roman" w:hAnsi="Times New Roman" w:cs="Times New Roman"/>
          <w:color w:val="333333"/>
          <w:sz w:val="24"/>
          <w:szCs w:val="24"/>
        </w:rPr>
        <w:fldChar w:fldCharType="separate"/>
      </w:r>
      <w:r w:rsidR="00FE505E">
        <w:rPr>
          <w:rFonts w:ascii="Times New Roman" w:eastAsia="Times New Roman" w:hAnsi="Times New Roman" w:cs="Times New Roman"/>
          <w:noProof/>
          <w:color w:val="333333"/>
          <w:sz w:val="24"/>
          <w:szCs w:val="24"/>
        </w:rPr>
        <w:t>(1)</w:t>
      </w:r>
      <w:r w:rsidR="00FE505E">
        <w:rPr>
          <w:rFonts w:ascii="Times New Roman" w:eastAsia="Times New Roman" w:hAnsi="Times New Roman" w:cs="Times New Roman"/>
          <w:color w:val="333333"/>
          <w:sz w:val="24"/>
          <w:szCs w:val="24"/>
        </w:rPr>
        <w:fldChar w:fldCharType="end"/>
      </w:r>
      <w:r w:rsidR="00107420" w:rsidRPr="00107420">
        <w:rPr>
          <w:rFonts w:ascii="Times New Roman" w:eastAsia="Times New Roman" w:hAnsi="Times New Roman" w:cs="Times New Roman"/>
          <w:color w:val="333333"/>
          <w:sz w:val="24"/>
          <w:szCs w:val="24"/>
        </w:rPr>
        <w:t>, an assessment of the studies' overall quality was done in accordance with Agency for Health Research and Quality guidelines</w:t>
      </w:r>
      <w:r w:rsidR="00FE505E">
        <w:rPr>
          <w:rFonts w:ascii="Times New Roman" w:eastAsia="Times New Roman" w:hAnsi="Times New Roman" w:cs="Times New Roman"/>
          <w:color w:val="333333"/>
          <w:sz w:val="24"/>
          <w:szCs w:val="24"/>
        </w:rPr>
        <w:fldChar w:fldCharType="begin"/>
      </w:r>
      <w:r w:rsidR="00FE505E">
        <w:rPr>
          <w:rFonts w:ascii="Times New Roman" w:eastAsia="Times New Roman" w:hAnsi="Times New Roman" w:cs="Times New Roman"/>
          <w:color w:val="333333"/>
          <w:sz w:val="24"/>
          <w:szCs w:val="24"/>
        </w:rPr>
        <w:instrText xml:space="preserve"> ADDIN EN.CITE &lt;EndNote&gt;&lt;Cite&gt;&lt;Author&gt;McPheeters&lt;/Author&gt;&lt;Year&gt;2012&lt;/Year&gt;&lt;RecNum&gt;2457&lt;/RecNum&gt;&lt;DisplayText&gt;(2)&lt;/DisplayText&gt;&lt;record&gt;&lt;rec-number&gt;2457&lt;/rec-number&gt;&lt;foreign-keys&gt;&lt;key app="EN" db-id="50wxdpzd9vd5r7e9t5b595djrfpttrxw9avp" timestamp="1721651006"&gt;2457&lt;/key&gt;&lt;/foreign-keys&gt;&lt;ref-type name="Journal Article"&gt;17&lt;/ref-type&gt;&lt;contributors&gt;&lt;authors&gt;&lt;author&gt;McPheeters, Melissa L&lt;/author&gt;&lt;author&gt;Kripalani, Sunil&lt;/author&gt;&lt;author&gt;Peterson, Neeraja B&lt;/author&gt;&lt;author&gt;Idowu, Rachel T&lt;/author&gt;&lt;author&gt;Jerome, Rebecca N&lt;/author&gt;&lt;author&gt;Potter, Shannon A&lt;/author&gt;&lt;author&gt;Andrews, Jeffrey C&lt;/author&gt;&lt;/authors&gt;&lt;/contributors&gt;&lt;titles&gt;&lt;title&gt;Closing the quality gap: revisiting the state of the science (vol. 3: quality improvement interventions to address health disparities)&lt;/title&gt;&lt;secondary-title&gt;Evidence report/technology assessment&lt;/secondary-title&gt;&lt;/titles&gt;&lt;periodical&gt;&lt;full-title&gt;Evidence report/technology assessment&lt;/full-title&gt;&lt;/periodical&gt;&lt;pages&gt;1-475&lt;/pages&gt;&lt;number&gt;208.3&lt;/number&gt;&lt;dates&gt;&lt;year&gt;2012&lt;/year&gt;&lt;/dates&gt;&lt;isbn&gt;1530-4396&lt;/isbn&gt;&lt;urls&gt;&lt;/urls&gt;&lt;/record&gt;&lt;/Cite&gt;&lt;/EndNote&gt;</w:instrText>
      </w:r>
      <w:r w:rsidR="00FE505E">
        <w:rPr>
          <w:rFonts w:ascii="Times New Roman" w:eastAsia="Times New Roman" w:hAnsi="Times New Roman" w:cs="Times New Roman"/>
          <w:color w:val="333333"/>
          <w:sz w:val="24"/>
          <w:szCs w:val="24"/>
        </w:rPr>
        <w:fldChar w:fldCharType="separate"/>
      </w:r>
      <w:r w:rsidR="00FE505E">
        <w:rPr>
          <w:rFonts w:ascii="Times New Roman" w:eastAsia="Times New Roman" w:hAnsi="Times New Roman" w:cs="Times New Roman"/>
          <w:noProof/>
          <w:color w:val="333333"/>
          <w:sz w:val="24"/>
          <w:szCs w:val="24"/>
        </w:rPr>
        <w:t>(2)</w:t>
      </w:r>
      <w:r w:rsidR="00FE505E">
        <w:rPr>
          <w:rFonts w:ascii="Times New Roman" w:eastAsia="Times New Roman" w:hAnsi="Times New Roman" w:cs="Times New Roman"/>
          <w:color w:val="333333"/>
          <w:sz w:val="24"/>
          <w:szCs w:val="24"/>
        </w:rPr>
        <w:fldChar w:fldCharType="end"/>
      </w:r>
      <w:r w:rsidR="00107420" w:rsidRPr="00107420">
        <w:rPr>
          <w:rFonts w:ascii="Times New Roman" w:eastAsia="Times New Roman" w:hAnsi="Times New Roman" w:cs="Times New Roman"/>
          <w:color w:val="333333"/>
          <w:sz w:val="24"/>
          <w:szCs w:val="24"/>
        </w:rPr>
        <w:t>.</w:t>
      </w:r>
    </w:p>
    <w:p w:rsidR="00FE505E" w:rsidRDefault="00FE505E" w:rsidP="00107420">
      <w:pPr>
        <w:shd w:val="clear" w:color="auto" w:fill="FFFFFF"/>
        <w:spacing w:after="0" w:line="360" w:lineRule="auto"/>
        <w:jc w:val="both"/>
        <w:rPr>
          <w:rFonts w:ascii="Times New Roman" w:eastAsia="Times New Roman" w:hAnsi="Times New Roman" w:cs="Times New Roman"/>
          <w:color w:val="333333"/>
          <w:sz w:val="24"/>
          <w:szCs w:val="24"/>
        </w:rPr>
      </w:pPr>
    </w:p>
    <w:p w:rsidR="00FE505E" w:rsidRPr="00FE505E" w:rsidRDefault="00FE505E" w:rsidP="00FE505E">
      <w:pPr>
        <w:pStyle w:val="EndNoteBibliography"/>
        <w:spacing w:after="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Pr="00FE505E">
        <w:t>1.</w:t>
      </w:r>
      <w:r w:rsidRPr="00FE505E">
        <w:tab/>
        <w:t>Wells GA, Shea B, O’Connell D, Peterson J, Welch V, Losos M, et al. The Newcastle-Ottawa Scale (NOS) for assessing the quality of nonrandomised studies in meta-analyses. 2000.</w:t>
      </w:r>
    </w:p>
    <w:p w:rsidR="00FE505E" w:rsidRPr="00FE505E" w:rsidRDefault="00FE505E" w:rsidP="00FE505E">
      <w:pPr>
        <w:pStyle w:val="EndNoteBibliography"/>
      </w:pPr>
      <w:r w:rsidRPr="00FE505E">
        <w:t>2.</w:t>
      </w:r>
      <w:r w:rsidRPr="00FE505E">
        <w:tab/>
        <w:t>McPheeters ML, Kripalani S, Peterson NB, Idowu RT, Jerome RN, Potter SA, et al. Closing the quality gap: revisiting the state of the science (vol. 3: quality improvement interventions to address health disparities). Evidence report/technology assessment. 2012(208.3):1-475.</w:t>
      </w:r>
    </w:p>
    <w:p w:rsidR="00E17798" w:rsidRPr="00107420" w:rsidRDefault="00FE505E" w:rsidP="00107420">
      <w:pPr>
        <w:shd w:val="clear" w:color="auto" w:fill="FFFFFF"/>
        <w:spacing w:after="0"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E17798" w:rsidRPr="00107420" w:rsidSect="00602156">
      <w:pgSz w:w="16839" w:h="23814" w:code="8"/>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963546"/>
    <w:multiLevelType w:val="hybridMultilevel"/>
    <w:tmpl w:val="69C2B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457&lt;/item&gt;&lt;item&gt;2459&lt;/item&gt;&lt;/record-ids&gt;&lt;/item&gt;&lt;/Libraries&gt;"/>
  </w:docVars>
  <w:rsids>
    <w:rsidRoot w:val="00E17798"/>
    <w:rsid w:val="00086A0D"/>
    <w:rsid w:val="00107420"/>
    <w:rsid w:val="002C36C2"/>
    <w:rsid w:val="002E34D7"/>
    <w:rsid w:val="004121AD"/>
    <w:rsid w:val="005C0FC6"/>
    <w:rsid w:val="00602156"/>
    <w:rsid w:val="00944B2A"/>
    <w:rsid w:val="00995F3F"/>
    <w:rsid w:val="00E17798"/>
    <w:rsid w:val="00EC1366"/>
    <w:rsid w:val="00F00B18"/>
    <w:rsid w:val="00FE5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0B18"/>
    <w:pPr>
      <w:ind w:left="720"/>
      <w:contextualSpacing/>
    </w:pPr>
  </w:style>
  <w:style w:type="paragraph" w:customStyle="1" w:styleId="EndNoteBibliographyTitle">
    <w:name w:val="EndNote Bibliography Title"/>
    <w:basedOn w:val="Normal"/>
    <w:link w:val="EndNoteBibliographyTitleChar"/>
    <w:rsid w:val="00FE505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E505E"/>
    <w:rPr>
      <w:rFonts w:ascii="Calibri" w:hAnsi="Calibri" w:cs="Calibri"/>
      <w:noProof/>
    </w:rPr>
  </w:style>
  <w:style w:type="paragraph" w:customStyle="1" w:styleId="EndNoteBibliography">
    <w:name w:val="EndNote Bibliography"/>
    <w:basedOn w:val="Normal"/>
    <w:link w:val="EndNoteBibliographyChar"/>
    <w:rsid w:val="00FE505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E505E"/>
    <w:rPr>
      <w:rFonts w:ascii="Calibri" w:hAnsi="Calibri" w:cs="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77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0B18"/>
    <w:pPr>
      <w:ind w:left="720"/>
      <w:contextualSpacing/>
    </w:pPr>
  </w:style>
  <w:style w:type="paragraph" w:customStyle="1" w:styleId="EndNoteBibliographyTitle">
    <w:name w:val="EndNote Bibliography Title"/>
    <w:basedOn w:val="Normal"/>
    <w:link w:val="EndNoteBibliographyTitleChar"/>
    <w:rsid w:val="00FE505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FE505E"/>
    <w:rPr>
      <w:rFonts w:ascii="Calibri" w:hAnsi="Calibri" w:cs="Calibri"/>
      <w:noProof/>
    </w:rPr>
  </w:style>
  <w:style w:type="paragraph" w:customStyle="1" w:styleId="EndNoteBibliography">
    <w:name w:val="EndNote Bibliography"/>
    <w:basedOn w:val="Normal"/>
    <w:link w:val="EndNoteBibliographyChar"/>
    <w:rsid w:val="00FE505E"/>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FE505E"/>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63301">
      <w:bodyDiv w:val="1"/>
      <w:marLeft w:val="0"/>
      <w:marRight w:val="0"/>
      <w:marTop w:val="0"/>
      <w:marBottom w:val="0"/>
      <w:divBdr>
        <w:top w:val="none" w:sz="0" w:space="0" w:color="auto"/>
        <w:left w:val="none" w:sz="0" w:space="0" w:color="auto"/>
        <w:bottom w:val="none" w:sz="0" w:space="0" w:color="auto"/>
        <w:right w:val="none" w:sz="0" w:space="0" w:color="auto"/>
      </w:divBdr>
    </w:div>
    <w:div w:id="595556315">
      <w:bodyDiv w:val="1"/>
      <w:marLeft w:val="0"/>
      <w:marRight w:val="0"/>
      <w:marTop w:val="0"/>
      <w:marBottom w:val="0"/>
      <w:divBdr>
        <w:top w:val="none" w:sz="0" w:space="0" w:color="auto"/>
        <w:left w:val="none" w:sz="0" w:space="0" w:color="auto"/>
        <w:bottom w:val="none" w:sz="0" w:space="0" w:color="auto"/>
        <w:right w:val="none" w:sz="0" w:space="0" w:color="auto"/>
      </w:divBdr>
    </w:div>
    <w:div w:id="663359045">
      <w:bodyDiv w:val="1"/>
      <w:marLeft w:val="0"/>
      <w:marRight w:val="0"/>
      <w:marTop w:val="0"/>
      <w:marBottom w:val="0"/>
      <w:divBdr>
        <w:top w:val="none" w:sz="0" w:space="0" w:color="auto"/>
        <w:left w:val="none" w:sz="0" w:space="0" w:color="auto"/>
        <w:bottom w:val="none" w:sz="0" w:space="0" w:color="auto"/>
        <w:right w:val="none" w:sz="0" w:space="0" w:color="auto"/>
      </w:divBdr>
    </w:div>
    <w:div w:id="2098867584">
      <w:bodyDiv w:val="1"/>
      <w:marLeft w:val="0"/>
      <w:marRight w:val="0"/>
      <w:marTop w:val="0"/>
      <w:marBottom w:val="0"/>
      <w:divBdr>
        <w:top w:val="none" w:sz="0" w:space="0" w:color="auto"/>
        <w:left w:val="none" w:sz="0" w:space="0" w:color="auto"/>
        <w:bottom w:val="none" w:sz="0" w:space="0" w:color="auto"/>
        <w:right w:val="none" w:sz="0" w:space="0" w:color="auto"/>
      </w:divBdr>
      <w:divsChild>
        <w:div w:id="1414618055">
          <w:marLeft w:val="0"/>
          <w:marRight w:val="0"/>
          <w:marTop w:val="0"/>
          <w:marBottom w:val="0"/>
          <w:divBdr>
            <w:top w:val="none" w:sz="0" w:space="0" w:color="auto"/>
            <w:left w:val="none" w:sz="0" w:space="0" w:color="auto"/>
            <w:bottom w:val="none" w:sz="0" w:space="0" w:color="auto"/>
            <w:right w:val="none" w:sz="0" w:space="0" w:color="auto"/>
          </w:divBdr>
        </w:div>
        <w:div w:id="361130370">
          <w:marLeft w:val="0"/>
          <w:marRight w:val="0"/>
          <w:marTop w:val="0"/>
          <w:marBottom w:val="0"/>
          <w:divBdr>
            <w:top w:val="none" w:sz="0" w:space="0" w:color="auto"/>
            <w:left w:val="none" w:sz="0" w:space="0" w:color="auto"/>
            <w:bottom w:val="none" w:sz="0" w:space="0" w:color="auto"/>
            <w:right w:val="none" w:sz="0" w:space="0" w:color="auto"/>
          </w:divBdr>
        </w:div>
        <w:div w:id="1304849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600</Words>
  <Characters>3424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Gebre</dc:creator>
  <cp:lastModifiedBy>Gebre</cp:lastModifiedBy>
  <cp:revision>2</cp:revision>
  <dcterms:created xsi:type="dcterms:W3CDTF">2024-10-16T14:42:00Z</dcterms:created>
  <dcterms:modified xsi:type="dcterms:W3CDTF">2024-10-16T14:42:00Z</dcterms:modified>
</cp:coreProperties>
</file>