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9B0FEF">
      <w:pPr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jc w:val="both"/>
        <w:rPr>
          <w:rFonts w:hint="default" w:ascii="Times New Roman" w:hAnsi="Times New Roman" w:cs="Times New Roman"/>
          <w:highlight w:val="none"/>
          <w:lang w:val="en-US" w:eastAsia="zh-CN"/>
        </w:rPr>
      </w:pPr>
    </w:p>
    <w:p w14:paraId="1D3BCFFE">
      <w:pPr>
        <w:jc w:val="center"/>
        <w:rPr>
          <w:rFonts w:hint="default" w:ascii="Times New Roman" w:hAnsi="Times New Roman" w:cs="Times New Roman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highlight w:val="none"/>
          <w:lang w:val="en-US" w:eastAsia="zh-CN"/>
        </w:rPr>
        <w:t>Table 1S. Characteristics of participants by category of dietary iron intake (weighted)</w:t>
      </w:r>
    </w:p>
    <w:tbl>
      <w:tblPr>
        <w:tblStyle w:val="2"/>
        <w:tblW w:w="8640" w:type="dxa"/>
        <w:jc w:val="center"/>
        <w:tblBorders>
          <w:top w:val="single" w:color="000000" w:sz="12" w:space="0"/>
          <w:left w:val="none" w:color="auto" w:sz="0" w:space="0"/>
          <w:bottom w:val="single" w:color="000000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080"/>
        <w:gridCol w:w="1080"/>
        <w:gridCol w:w="1080"/>
        <w:gridCol w:w="1080"/>
        <w:gridCol w:w="1080"/>
        <w:gridCol w:w="1080"/>
        <w:gridCol w:w="1080"/>
      </w:tblGrid>
      <w:tr w14:paraId="1308A43E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08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75FB6EA0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Variables</w:t>
            </w:r>
          </w:p>
        </w:tc>
        <w:tc>
          <w:tcPr>
            <w:tcW w:w="7560" w:type="dxa"/>
            <w:gridSpan w:val="7"/>
            <w:tcBorders>
              <w:bottom w:val="single" w:color="000000" w:sz="8" w:space="0"/>
              <w:tl2br w:val="nil"/>
              <w:tr2bl w:val="nil"/>
            </w:tcBorders>
            <w:noWrap w:val="0"/>
            <w:vAlign w:val="center"/>
          </w:tcPr>
          <w:p w14:paraId="078AE132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Dietary Iron Intake,mg/day</w:t>
            </w:r>
          </w:p>
        </w:tc>
      </w:tr>
      <w:tr w14:paraId="06990A41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080" w:type="dxa"/>
            <w:vMerge w:val="continue"/>
            <w:tcBorders>
              <w:bottom w:val="single" w:color="000000" w:sz="8" w:space="0"/>
              <w:tl2br w:val="nil"/>
              <w:tr2bl w:val="nil"/>
            </w:tcBorders>
            <w:noWrap w:val="0"/>
            <w:vAlign w:val="center"/>
          </w:tcPr>
          <w:p w14:paraId="42237BA2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080" w:type="dxa"/>
            <w:tcBorders>
              <w:top w:val="single" w:color="000000" w:sz="8" w:space="0"/>
              <w:bottom w:val="single" w:color="000000" w:sz="8" w:space="0"/>
              <w:tl2br w:val="nil"/>
              <w:tr2bl w:val="nil"/>
            </w:tcBorders>
            <w:noWrap w:val="0"/>
            <w:vAlign w:val="center"/>
          </w:tcPr>
          <w:p w14:paraId="6E1C9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Total</w:t>
            </w:r>
          </w:p>
        </w:tc>
        <w:tc>
          <w:tcPr>
            <w:tcW w:w="1080" w:type="dxa"/>
            <w:tcBorders>
              <w:top w:val="single" w:color="000000" w:sz="8" w:space="0"/>
              <w:bottom w:val="single" w:color="000000" w:sz="8" w:space="0"/>
              <w:tl2br w:val="nil"/>
              <w:tr2bl w:val="nil"/>
            </w:tcBorders>
            <w:noWrap w:val="0"/>
            <w:vAlign w:val="center"/>
          </w:tcPr>
          <w:p w14:paraId="0CE01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Q1(&lt; 8.04)</w:t>
            </w:r>
          </w:p>
        </w:tc>
        <w:tc>
          <w:tcPr>
            <w:tcW w:w="1080" w:type="dxa"/>
            <w:tcBorders>
              <w:top w:val="single" w:color="000000" w:sz="8" w:space="0"/>
              <w:bottom w:val="single" w:color="000000" w:sz="8" w:space="0"/>
              <w:tl2br w:val="nil"/>
              <w:tr2bl w:val="nil"/>
            </w:tcBorders>
            <w:noWrap w:val="0"/>
            <w:vAlign w:val="center"/>
          </w:tcPr>
          <w:p w14:paraId="09650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Q2(8.04~11.07)</w:t>
            </w:r>
          </w:p>
        </w:tc>
        <w:tc>
          <w:tcPr>
            <w:tcW w:w="1080" w:type="dxa"/>
            <w:tcBorders>
              <w:top w:val="single" w:color="000000" w:sz="8" w:space="0"/>
              <w:bottom w:val="single" w:color="000000" w:sz="8" w:space="0"/>
              <w:tl2br w:val="nil"/>
              <w:tr2bl w:val="nil"/>
            </w:tcBorders>
            <w:noWrap w:val="0"/>
            <w:vAlign w:val="center"/>
          </w:tcPr>
          <w:p w14:paraId="3D6B6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Q3(11.08~14.27)</w:t>
            </w:r>
          </w:p>
        </w:tc>
        <w:tc>
          <w:tcPr>
            <w:tcW w:w="1080" w:type="dxa"/>
            <w:tcBorders>
              <w:top w:val="single" w:color="000000" w:sz="8" w:space="0"/>
              <w:bottom w:val="single" w:color="000000" w:sz="8" w:space="0"/>
              <w:tl2br w:val="nil"/>
              <w:tr2bl w:val="nil"/>
            </w:tcBorders>
            <w:noWrap w:val="0"/>
            <w:vAlign w:val="center"/>
          </w:tcPr>
          <w:p w14:paraId="7E477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Q4(14.28~19.33)</w:t>
            </w:r>
          </w:p>
        </w:tc>
        <w:tc>
          <w:tcPr>
            <w:tcW w:w="1080" w:type="dxa"/>
            <w:tcBorders>
              <w:top w:val="single" w:color="000000" w:sz="8" w:space="0"/>
              <w:bottom w:val="single" w:color="000000" w:sz="8" w:space="0"/>
              <w:tl2br w:val="nil"/>
              <w:tr2bl w:val="nil"/>
            </w:tcBorders>
            <w:noWrap w:val="0"/>
            <w:vAlign w:val="center"/>
          </w:tcPr>
          <w:p w14:paraId="6E9F8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Q5(≥19.34）</w:t>
            </w:r>
          </w:p>
        </w:tc>
        <w:tc>
          <w:tcPr>
            <w:tcW w:w="1080" w:type="dxa"/>
            <w:tcBorders>
              <w:top w:val="single" w:color="000000" w:sz="8" w:space="0"/>
              <w:bottom w:val="single" w:color="000000" w:sz="8" w:space="0"/>
              <w:tl2br w:val="nil"/>
              <w:tr2bl w:val="nil"/>
            </w:tcBorders>
            <w:noWrap w:val="0"/>
            <w:vAlign w:val="center"/>
          </w:tcPr>
          <w:p w14:paraId="30E71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</w:t>
            </w:r>
          </w:p>
        </w:tc>
      </w:tr>
      <w:tr w14:paraId="5A7DA7EB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080" w:type="dxa"/>
            <w:tcBorders>
              <w:top w:val="single" w:color="000000" w:sz="8" w:space="0"/>
              <w:tl2br w:val="nil"/>
              <w:tr2bl w:val="nil"/>
            </w:tcBorders>
            <w:noWrap w:val="0"/>
            <w:vAlign w:val="center"/>
          </w:tcPr>
          <w:p w14:paraId="1F476230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Number</w:t>
            </w:r>
          </w:p>
        </w:tc>
        <w:tc>
          <w:tcPr>
            <w:tcW w:w="1080" w:type="dxa"/>
            <w:tcBorders>
              <w:top w:val="single" w:color="000000" w:sz="8" w:space="0"/>
              <w:tl2br w:val="nil"/>
              <w:tr2bl w:val="nil"/>
            </w:tcBorders>
            <w:noWrap w:val="0"/>
            <w:vAlign w:val="center"/>
          </w:tcPr>
          <w:p w14:paraId="00FDD2C3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123594215.7</w:t>
            </w:r>
          </w:p>
        </w:tc>
        <w:tc>
          <w:tcPr>
            <w:tcW w:w="1080" w:type="dxa"/>
            <w:tcBorders>
              <w:top w:val="single" w:color="000000" w:sz="8" w:space="0"/>
              <w:tl2br w:val="nil"/>
              <w:tr2bl w:val="nil"/>
            </w:tcBorders>
            <w:noWrap w:val="0"/>
            <w:vAlign w:val="center"/>
          </w:tcPr>
          <w:p w14:paraId="08C19A85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22721040.44</w:t>
            </w:r>
          </w:p>
        </w:tc>
        <w:tc>
          <w:tcPr>
            <w:tcW w:w="1080" w:type="dxa"/>
            <w:tcBorders>
              <w:top w:val="single" w:color="000000" w:sz="8" w:space="0"/>
              <w:tl2br w:val="nil"/>
              <w:tr2bl w:val="nil"/>
            </w:tcBorders>
            <w:noWrap w:val="0"/>
            <w:vAlign w:val="center"/>
          </w:tcPr>
          <w:p w14:paraId="22963854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24239548.65</w:t>
            </w:r>
          </w:p>
        </w:tc>
        <w:tc>
          <w:tcPr>
            <w:tcW w:w="1080" w:type="dxa"/>
            <w:tcBorders>
              <w:top w:val="single" w:color="000000" w:sz="8" w:space="0"/>
              <w:tl2br w:val="nil"/>
              <w:tr2bl w:val="nil"/>
            </w:tcBorders>
            <w:noWrap w:val="0"/>
            <w:vAlign w:val="center"/>
          </w:tcPr>
          <w:p w14:paraId="1ADB2B8A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24985695.28</w:t>
            </w:r>
          </w:p>
        </w:tc>
        <w:tc>
          <w:tcPr>
            <w:tcW w:w="1080" w:type="dxa"/>
            <w:tcBorders>
              <w:top w:val="single" w:color="000000" w:sz="8" w:space="0"/>
              <w:tl2br w:val="nil"/>
              <w:tr2bl w:val="nil"/>
            </w:tcBorders>
            <w:noWrap w:val="0"/>
            <w:vAlign w:val="center"/>
          </w:tcPr>
          <w:p w14:paraId="17ABF2B9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25879424.44</w:t>
            </w:r>
          </w:p>
        </w:tc>
        <w:tc>
          <w:tcPr>
            <w:tcW w:w="1080" w:type="dxa"/>
            <w:tcBorders>
              <w:top w:val="single" w:color="000000" w:sz="8" w:space="0"/>
              <w:tl2br w:val="nil"/>
              <w:tr2bl w:val="nil"/>
            </w:tcBorders>
            <w:noWrap w:val="0"/>
            <w:vAlign w:val="center"/>
          </w:tcPr>
          <w:p w14:paraId="4C223647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25768506.87</w:t>
            </w:r>
          </w:p>
        </w:tc>
        <w:tc>
          <w:tcPr>
            <w:tcW w:w="1080" w:type="dxa"/>
            <w:tcBorders>
              <w:top w:val="single" w:color="000000" w:sz="8" w:space="0"/>
              <w:tl2br w:val="nil"/>
              <w:tr2bl w:val="nil"/>
            </w:tcBorders>
            <w:noWrap w:val="0"/>
            <w:vAlign w:val="center"/>
          </w:tcPr>
          <w:p w14:paraId="7F722ECB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14:paraId="0C2BFEAA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3AFFF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Gender, n (%)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67CE033A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7CABB2A4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45F45ABC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3BCD8A1B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2B6D2737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6A34B646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0FC37B89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&lt;0.0001</w:t>
            </w:r>
          </w:p>
        </w:tc>
      </w:tr>
      <w:tr w14:paraId="20315A60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614A8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Male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35EBB1E9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63351103.97 (51.26)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6473CDFB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7491469.59 (32.97)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5698562C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10125998.56 (41.77)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2C38C1C4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12679315.12 (50.75)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79377BDB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15603090.55 (60.29)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72ABA18A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17451230.14 (67.72)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5922B5D0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14:paraId="0DF4F705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31E2D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Female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64209BB3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60243111.72 (48.74)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049F39BB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15229570.84 (67.03)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7931F749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14113550.09 (58.23)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1B92D05F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12306380.16 (49.25)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2BBE181A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10276333.89 (39.71)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110129DC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8317276.73 (32.28)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1FB7226E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14:paraId="5B38473D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07B69315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Age(year), Mean(SD)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52915DD6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42.778 (15.377)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3973E646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43.007 (15.844)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6641B9DF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42.881 (15.676)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336A3044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43.256 (15.415)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2BF08C62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42.913 (14.838)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79A530F9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41.880 (15.147)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27FBB253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0.4022</w:t>
            </w:r>
          </w:p>
        </w:tc>
      </w:tr>
      <w:tr w14:paraId="346BF787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0A16E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Race, n (%)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1D4DFF80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7D6A9652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5910BAC1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5503080D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56630CA7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20133FAD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6B8F181F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&lt;0.0001</w:t>
            </w:r>
          </w:p>
        </w:tc>
      </w:tr>
      <w:tr w14:paraId="7DADE0A5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0D33C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Non-Hispanic white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5236C79D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76398855.12 (61.81)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5ED67230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13654081.08 (60.09)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2A55B861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14734456.48 (60.79)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54914B75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15484150.32 (61.97)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6F10C0F6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16485223.94 (63.70)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6CA82443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16040943.31 (62.25)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496AA793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14:paraId="4594CCCC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7E508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Non-Hispanic black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13F75367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13706305.40 (11.09)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6F5DB4D4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3391651.88 (14.93)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3B34F132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2879208.64 (11.88)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6EEBAC57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2575575.32 (10.31)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622CC9C3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2373074.40 ( 9.17)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488DBBDE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2486795.16 ( 9.65)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5F6483C8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14:paraId="2CB75393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16FF1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Mexican American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1A0FFFD9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12260281.96 ( 9.92)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4C0018EC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1648306.59 ( 7.25)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2421F519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2241129.46 ( 9.25)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580968F9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2249447.62 ( 9.00)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6BA90A6D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2743571.49 (10.60)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35C94539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3377826.80 (13.11)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6B42AC0B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14:paraId="7F85C3DF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29256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Other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471E19B8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21228773.20 (17.18)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3B0E1050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4027000.89 (17.72)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27AEB6B4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4384754.07 (18.09)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3ED6B945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4676522.01 (18.72)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3813AFA7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4277554.62 (16.53)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1E60BEA8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3862941.61 (14.99)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0A3656FF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14:paraId="041F3BD6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3091E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Education, n (%)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4C369A13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40ACF4ED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362CCA87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2227F849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2090D135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319E424D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7208FD68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0.0002</w:t>
            </w:r>
          </w:p>
        </w:tc>
      </w:tr>
      <w:tr w14:paraId="02FE79D3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250A2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Above high School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4958367C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79140692.90 (64.03)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6CA7A7E5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12928958.78 (56.90)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4924C314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15881518.90 (65.52)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064CB633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16344341.43 (65.41)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3B833611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17143292.09 (66.24)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4B46FEC3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16842581.71 (65.36)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30B42C0A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14:paraId="7947A24D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6DD8A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High school or GED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205AB012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29118347.78 (23.56)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0889D9FC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6705093.33 (29.51)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21169ADF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5440330.52 (22.44)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33BC2BFE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5711722.76 (22.86)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248D2EB1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5637208.71 (21.78)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23662AB3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5623992.47 (21.83)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0186C96C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14:paraId="585AD6D9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783E5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Less than high School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3077B71E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15335175.00 (12.41)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043B7208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3086988.33 (13.59)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6763AE92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2917699.24 (12.04)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1EC95D32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2929631.09 (11.73)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4F5FFBC2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3098923.64 (11.97)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07B31FBA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3301932.69 (12.81)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0C74CAEE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14:paraId="5F2C9A84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35CD0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Marital status, n (%)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21261FC5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64D1B1FF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1416980F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5E8A82CA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735E87B2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7D1381EA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665644B9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&lt;0.0001</w:t>
            </w:r>
          </w:p>
        </w:tc>
      </w:tr>
      <w:tr w14:paraId="50E2EE3E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210E562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URWPalladioL-Roma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Married or living with a partner</w:t>
            </w:r>
          </w:p>
          <w:p w14:paraId="1A586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1605FB8F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75904311.50 (61.41)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65E31694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12642841.30 (55.64)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5BB7EAFD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14235384.44 (58.73)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2608DFFD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15644918.09 (62.62)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49812DBB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17506825.90 (67.65)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0964F262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15874341.77 (61.60)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1399000B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14:paraId="1C9D55EC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1BC9C73B">
            <w:pPr>
              <w:keepNext w:val="0"/>
              <w:keepLines w:val="0"/>
              <w:widowControl/>
              <w:suppressLineNumbers w:val="0"/>
              <w:ind w:left="210" w:hanging="210" w:hangingChars="100"/>
              <w:jc w:val="center"/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URWPalladioL-Roma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Living alone</w:t>
            </w:r>
          </w:p>
          <w:p w14:paraId="173A9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0259E7B8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47689904.19 (38.59)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01500731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10078199.14 (44.36)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5E769305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10004164.21 (41.27)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2FA59F2D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9340777.19 (37.38)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5A33AA6C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8372598.54 (32.35)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41983A5A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9894165.11 (38.40)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2BCECFE3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14:paraId="49EEC090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186C6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PIR, n (%)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62246024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0FA27D81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3C1DC358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42909F5D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3144C8C8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34EAB38C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52175BA2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0.0005</w:t>
            </w:r>
          </w:p>
        </w:tc>
      </w:tr>
      <w:tr w14:paraId="7F0FA2A0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7DE5A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&lt;1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2A7F553D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19474974.88 (15.76)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4F88BD19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4525807.84 (19.92)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1A5E95F0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3844473.05 (15.86)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6C92F2B3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3727634.04 (14.92)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0488F42E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3621568.18 (13.99)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51ECE710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3755491.77 (14.57)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604A0BD4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14:paraId="670892B0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0950E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≥1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069ED700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104119240.80 (84.24)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2E72FC45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18195232.59 (80.08)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606B4E7B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20395075.60 (84.14)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6719C0F9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21258061.24 (85.08)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6DDFE905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22257856.27 (86.01)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042D0676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22013015.10 (85.43)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356053CC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14:paraId="0F7E10EB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6F54C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Smoking status, n (%)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785198E8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0B1751E9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79980B6B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41946318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63B5E667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4E4BFA8C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59E94711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&lt;0.0001</w:t>
            </w:r>
          </w:p>
        </w:tc>
      </w:tr>
      <w:tr w14:paraId="63667BA6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7AC47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Never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5AE9CE19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73275237.60 (59.29)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1AEBF494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12845325.69 (56.53)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25811B93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14367714.97 (59.27)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6333DE9D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14797555.17 (59.22)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5B1AC80A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15982345.57 (61.76)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37FF22D7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15282296.20 (59.31)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4DC7087A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14:paraId="47E6A864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7C0D2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Current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6CC80A3D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26192589.78 (21.19)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15266A3F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3768561.70 (16.59)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7A6487EE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5116270.55 (21.11)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658E539E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5871346.30 (23.50)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16AE05C4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5248944.85 (20.28)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77848BC8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6187466.37 (24.01)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02D674B7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14:paraId="4FB1CD55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1C794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Former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4B4222B5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24126388.31 (19.52)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7CCAD304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6107153.04 (26.88)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7A814A4C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4755563.12 (19.62)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2A74F959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4316793.81 (17.28)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064DEC0A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4648134.02 (17.96)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689F5A57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4298744.31 (16.68)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23C1423A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14:paraId="65F4FC16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4B1F9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Work activity, n (%)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20D7C5C5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084FF811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41776D43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3AF6A19A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06BB30A4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38AA483D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06A9AA2C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0.1092</w:t>
            </w:r>
          </w:p>
        </w:tc>
      </w:tr>
      <w:tr w14:paraId="29903B8C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0C472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Sedentary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531BD50D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62528620.59 (50.59)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6D896FBA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12117378.11 (53.33)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6C4F4EAD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12803592.92 (52.82)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35857A88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12536274.08 (50.17)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6DD44567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12959120.60 (50.07)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4AAA769C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12112254.88 (47.00)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676BE748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14:paraId="4B2BB074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37CF9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Moderate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4B753D30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29232738.75 (23.65)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70690DF2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4863603.13 (21.41)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783D5D74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5887252.78 (24.29)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0F70774F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5758106.87 (23.05)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7A00EB5B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6133963.39 (23.70)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7E2BB050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6589812.58 (25.57)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5397EF55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14:paraId="4D1CC68D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557F4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Vigorous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78B726F5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31832856.34 (25.76)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1937EA0F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5740059.19 (25.26)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4969F9BC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5548702.95 (22.89)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194FF12D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6691314.33 (26.78)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7EC0F66C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6786340.46 (26.22)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120478B1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7066439.42 (27.42)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3F2C19B1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14:paraId="0E87FA18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54F0F8A1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Diabetes,n (%)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00BB89C1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5169765.26 ( 4.18)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07D225C6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1110717.46 ( 4.89)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78082413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950101.96 ( 3.92)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07ED704A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936493.11 ( 3.75)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11A8650F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1268016.75 ( 4.90)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14DD59B3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904435.99 ( 3.51)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3870D7E9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0.3111</w:t>
            </w:r>
          </w:p>
        </w:tc>
      </w:tr>
      <w:tr w14:paraId="530E2734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7E0F3E1F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Hypertension，n (%)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4952A602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28126893.84 (22.76)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427A5148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5056462.13 (22.25)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20D6453A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5695622.25 (23.50)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67CC4998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5856178.17 (23.44)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651E44F3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5576463.06 (21.55)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7B465AD0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5942168.24 (23.06)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253808DD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0.7169</w:t>
            </w:r>
          </w:p>
        </w:tc>
      </w:tr>
      <w:tr w14:paraId="58CE879A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49791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Drinking status,n (%)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7F1CD771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5B0864C1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4B143ECB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4C47369C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233AE157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3AC1525A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199F4BA3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0.0001</w:t>
            </w:r>
          </w:p>
        </w:tc>
      </w:tr>
      <w:tr w14:paraId="51E26B35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3EBCB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Never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67C0B2E1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29584568.60 (23.94)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2121E02C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5712444.38 (25.14)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6E629935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5664016.91 (23.37)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37442404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5826950.85 (23.32)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7CC7F159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5904450.95 (22.82)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6503C870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6476705.51 (25.13)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6F439805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14:paraId="2AF55900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60D50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Mild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4F078735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10936663.90 ( 8.85)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400BFCD1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1179435.17 ( 5.19)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4AE2F1C1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1994643.40 ( 8.23)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28EEA68F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2124827.10 ( 8.50)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2521393F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2585484.67 ( 9.99)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148F333F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3052273.56 (11.84)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2BCCAE5B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14:paraId="5C3AB1E1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5FB29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Moderate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6EB34A64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60602084.73 (49.03)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14181E25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11001990.96 (48.42)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3B7991C8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12606324.64 (52.01)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403FB197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12561601.83 (50.28)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376347FB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12354891.23 (47.74)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086FDCDD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12077276.08 (46.87)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4163DEF6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14:paraId="6981E0AA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3469A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Severe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27EA5FEA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22470898.44 (18.18)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08805F32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4827169.92 (21.25)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608B1813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3974563.70 (16.40)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09CC8BB9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4472315.50 (17.90)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33542F3C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5034597.60 (19.45)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2A77BC5E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4162251.73 (16.15)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2950B044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14:paraId="114CFA7E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2A07EAAD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Hyperuricemia, n (%)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13487A38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18654340.51 (15.09)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2F207F1A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3761906.68 (16.56)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3AB2C477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4027530.32 (16.62)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63BF4D75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3672253.34 (14.70)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18FC81DD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3663237.86 (14.16)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56C7B492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3529412.31 (13.70)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6B95428D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0.1748</w:t>
            </w:r>
          </w:p>
        </w:tc>
      </w:tr>
      <w:tr w14:paraId="194F86FA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0238D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BMI, Mean(SD)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100261FA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28.464 (6.605)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6A949BAD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28.522 (6.805)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434889E5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28.683 (6.704)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7075B062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28.524 (6.679)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0BECA444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28.582 (6.545)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0DA77E42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28.032 (6.299)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65856AE7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0.1077</w:t>
            </w:r>
          </w:p>
        </w:tc>
      </w:tr>
      <w:tr w14:paraId="4C050656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56B0A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Energy intake (kcal/day), Median (IQR)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1100786B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2080.000 [1584.000, 2706.000]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230240D4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1301.424 [1019.000, 1656.040]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2745045B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1745.000 [1475.384, 2105.000]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238D7F0D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2120.000 [1789.000, 2510.481]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532066A8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2491.000 [2068.000, 2944.000]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43BEE3F9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2891.302 [2280.703, 3563.000]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4245FF6E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&lt;0.0001</w:t>
            </w:r>
          </w:p>
        </w:tc>
      </w:tr>
      <w:tr w14:paraId="0FCAC17B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64CC7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Protein intake (g/day), Median (IQR)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7AD8F90A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77.700 [56.395, 104.428]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7399AB0F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45.890 [33.363, 61.002]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6C5A4236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64.286 [52.336, 80.930]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3F30AEA5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80.377 [65.343, 98.450]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2CF29FF4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93.622 [73.023, 116.293]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08814925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109.710 [84.019, 139.399]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02003F05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&lt;0.0001</w:t>
            </w:r>
          </w:p>
        </w:tc>
      </w:tr>
      <w:tr w14:paraId="6EA9E7C7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08B98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Carbohydrate intake (g/day), Median (IQR)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1AEE565F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241.546 [177.035, 322.680]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3DEAC6EB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151.482 [112.893, 204.001]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3F283706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195.685 [157.383, 249.930]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7A583C9B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240.288 [198.316, 298.536]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6EC2DDBC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283.732 [229.150, 345.526]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5D548D75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345.697 [270.609, 431.508]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66B022A2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&lt;0.0001</w:t>
            </w:r>
          </w:p>
        </w:tc>
      </w:tr>
      <w:tr w14:paraId="76ACBDD8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29C41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dietary fiber intake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(g/day)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, Median (IQR)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55CC883F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15.200 [10.100, 22.200]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00CFC055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8.000 [5.400, 11.300]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5484B8C3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12.000 [8.900, 16.600]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1D18AC63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15.342 [11.500, 20.500]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710D34A3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18.200 [13.900, 25.200]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249DA202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23.400 [17.300, 32.914]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0EB6470F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&lt;0.0001</w:t>
            </w:r>
          </w:p>
        </w:tc>
      </w:tr>
      <w:tr w14:paraId="1437297E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29D15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Total saturated fatty acids intake 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(g/day)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, Median (IQR)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164C4A37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25.280 [16.541, 36.903]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5319DAAB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14.744 [10.055, 20.236]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0D62E747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21.787 [15.588, 29.970]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33289D67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26.761 [19.334, 35.275]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0D1F8934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31.054 [21.251, 42.204]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2BD26BBE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35.678 [23.586, 47.663]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34F445E1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&lt;0.0001</w:t>
            </w:r>
          </w:p>
        </w:tc>
      </w:tr>
      <w:tr w14:paraId="052B92B6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0AF40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Vitamin K intake 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(mg/day)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, Median (IQR)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64985FA8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0.000 [0.000, 0.000]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6F7BD1A4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0.000 [0.000, 0.000]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285186B6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0.000 [0.000, 0.000]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422126E5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0.000 [0.000, 0.000]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4AC55F34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0.000 [0.000, 0.000]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07FA037F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0.000 [0.000, 0.000]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0EB2E24C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&lt;0.0001</w:t>
            </w:r>
          </w:p>
        </w:tc>
      </w:tr>
      <w:tr w14:paraId="3BBE25C9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77BD9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Vitamin C intake 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(mg/day)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, Median (IQR)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7381FE89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48.200 [19.400, 107.400]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6EB428D6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25.448 [9.300, 65.800]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09E6D0E8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37.021 [15.000, 91.936]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6C6ACF77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50.613 [21.900, 106.918]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76FA07DE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59.000 [25.300, 122.071]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72565DEC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71.978 [30.799, 138.122]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6B3A80E6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&lt;0.0001</w:t>
            </w:r>
          </w:p>
        </w:tc>
      </w:tr>
      <w:tr w14:paraId="0B2D7779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75EC2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Zinc intake 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(mg/day)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, Median (IQR)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6A3F4160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10.020 [6.870, 14.120]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3A84A4AA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5.220 [3.838, 6.830]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484B1A14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7.920 [6.250, 10.070]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2F224913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10.210 [8.030, 12.762]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47E1FE62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12.277 [9.653, 15.590]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4994C569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16.140 [12.138, 21.029]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0A808D65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&lt;0.0001</w:t>
            </w:r>
          </w:p>
        </w:tc>
      </w:tr>
      <w:tr w14:paraId="74C86BC2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4582E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Copper intake 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(mg/day)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, Median (IQR)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458C4D59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1.107 [0.805, 1.513]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6118D9F8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0.656 [0.500, 0.858]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7EE1D4AF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0.919 [0.723, 1.177]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0B0BBD73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1.134 [0.913, 1.414]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17C5D15B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1.303 [1.040, 1.647]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59243D49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1.607 [1.228, 2.118]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5A740BFE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&lt;0.0001</w:t>
            </w:r>
          </w:p>
        </w:tc>
      </w:tr>
      <w:tr w14:paraId="721FC0C3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3B49A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Sodium intake 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(mg/day)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, Median (IQR)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69576502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3344.000 [2447.000, 4500.980]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0D9DE89E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2031.000 [1489.000, 2638.000]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6D371FEE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2871.406 [2286.000, 3539.224]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267854FA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3485.000 [2816.403, 4301.000]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0D7DD44D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4102.183 [3164.956, 4988.109]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432638E9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4680.679 [3486.774, 6053.000]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78E47A5A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&lt;0.0001</w:t>
            </w:r>
          </w:p>
        </w:tc>
      </w:tr>
      <w:tr w14:paraId="597AA585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608FC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Selenium intake 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(mg/day)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, Median (IQR)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26B10FB5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107.200 [75.100, 145.500]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3CD84953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63.300 [44.700, 83.209]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615DD191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89.900 [69.900, 113.822]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45E39DF0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112.376 [87.900, 140.382]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485D4382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129.600 [102.600, 165.600]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36DE8291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151.371 [112.600, 200.870]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017AF3C1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&lt;0.0001</w:t>
            </w:r>
          </w:p>
        </w:tc>
      </w:tr>
      <w:tr w14:paraId="0712B5D0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2D294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Tot</w:t>
            </w:r>
            <w:bookmarkStart w:id="0" w:name="_GoBack"/>
            <w:bookmarkEnd w:id="0"/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al sugars intake (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g/day)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, Median (IQR)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1C951B52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97.464 [61.468, 146.545]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6A2F4CD8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69.652 [42.043, 107.017]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3AB35B03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82.476 [53.122, 119.833]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3705D5DB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96.686 [63.504, 140.864]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5A9E6D62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110.255 [74.050, 158.454]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32EDF92D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131.923 [87.736, 187.780]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15D2EB55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&lt;0.0001</w:t>
            </w:r>
          </w:p>
        </w:tc>
      </w:tr>
    </w:tbl>
    <w:p w14:paraId="610AF083">
      <w:pPr>
        <w:rPr>
          <w:rFonts w:hint="default" w:ascii="Times New Roman" w:hAnsi="Times New Roman" w:cs="Times New Roman" w:eastAsiaTheme="minorEastAsia"/>
          <w:highlight w:val="none"/>
          <w:lang w:val="en-US" w:eastAsia="zh-CN"/>
        </w:rPr>
      </w:pPr>
      <w:r>
        <w:rPr>
          <w:rFonts w:hint="default" w:ascii="Times New Roman" w:hAnsi="Times New Roman" w:eastAsia="URWPalladioL-Roma" w:cs="Times New Roman"/>
          <w:color w:val="000000"/>
          <w:kern w:val="0"/>
          <w:sz w:val="21"/>
          <w:szCs w:val="21"/>
          <w:highlight w:val="none"/>
          <w:lang w:val="en-US" w:eastAsia="zh-CN" w:bidi="ar"/>
        </w:rPr>
        <w:t>Q, quartiles</w:t>
      </w:r>
      <w:r>
        <w:rPr>
          <w:rFonts w:hint="eastAsia" w:ascii="Times New Roman" w:hAnsi="Times New Roman" w:eastAsia="URWPalladioL-Roma" w:cs="Times New Roman"/>
          <w:color w:val="000000"/>
          <w:kern w:val="0"/>
          <w:sz w:val="21"/>
          <w:szCs w:val="21"/>
          <w:highlight w:val="none"/>
          <w:lang w:val="en-US" w:eastAsia="zh-CN" w:bidi="ar"/>
        </w:rPr>
        <w:t xml:space="preserve">; </w:t>
      </w:r>
      <w:r>
        <w:rPr>
          <w:rFonts w:hint="eastAsia" w:ascii="Times New Roman" w:hAnsi="Times New Roman" w:cs="Times New Roman"/>
          <w:highlight w:val="none"/>
          <w:lang w:val="en-US" w:eastAsia="zh-CN"/>
        </w:rPr>
        <w:t>BMI: body mass index.</w:t>
      </w:r>
    </w:p>
    <w:p w14:paraId="2907B09E">
      <w:pPr>
        <w:rPr>
          <w:rFonts w:hint="eastAsia" w:ascii="Times New Roman" w:hAnsi="Times New Roman" w:cs="Times New Roman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highlight w:val="none"/>
          <w:lang w:val="en-US" w:eastAsia="zh-CN"/>
        </w:rPr>
        <w:br w:type="page"/>
      </w:r>
    </w:p>
    <w:p w14:paraId="082F8D8A">
      <w:pPr>
        <w:jc w:val="both"/>
        <w:rPr>
          <w:rFonts w:hint="default" w:ascii="Times New Roman" w:hAnsi="Times New Roman" w:cs="Times New Roman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highlight w:val="none"/>
          <w:lang w:val="en-US" w:eastAsia="zh-CN"/>
        </w:rPr>
        <w:t xml:space="preserve">Table </w:t>
      </w:r>
      <w:r>
        <w:rPr>
          <w:rFonts w:hint="eastAsia" w:ascii="Times New Roman" w:hAnsi="Times New Roman" w:cs="Times New Roman"/>
          <w:highlight w:val="none"/>
          <w:lang w:val="en-US" w:eastAsia="zh-CN"/>
        </w:rPr>
        <w:t>2S</w:t>
      </w:r>
      <w:r>
        <w:rPr>
          <w:rFonts w:hint="default" w:ascii="Times New Roman" w:hAnsi="Times New Roman" w:cs="Times New Roman"/>
          <w:highlight w:val="none"/>
          <w:lang w:val="en-US" w:eastAsia="zh-CN"/>
        </w:rPr>
        <w:t>. The multifactorial logistic regression analysis between dietary iron intake and hyperuricemia does not include patients with diabetes and hypertension</w:t>
      </w: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2"/>
        <w:gridCol w:w="1166"/>
        <w:gridCol w:w="690"/>
        <w:gridCol w:w="1167"/>
        <w:gridCol w:w="691"/>
        <w:gridCol w:w="1167"/>
        <w:gridCol w:w="691"/>
        <w:gridCol w:w="1167"/>
        <w:gridCol w:w="691"/>
      </w:tblGrid>
      <w:tr w14:paraId="72E76A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2" w:type="dxa"/>
            <w:vMerge w:val="restart"/>
            <w:tcBorders>
              <w:top w:val="single" w:color="000000" w:sz="12" w:space="0"/>
            </w:tcBorders>
            <w:vAlign w:val="center"/>
          </w:tcPr>
          <w:p w14:paraId="62DDB3BB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vertAlign w:val="baseline"/>
                <w:lang w:val="en-US" w:eastAsia="zh-CN"/>
              </w:rPr>
              <w:t>Variable</w:t>
            </w:r>
          </w:p>
        </w:tc>
        <w:tc>
          <w:tcPr>
            <w:tcW w:w="1856" w:type="dxa"/>
            <w:gridSpan w:val="2"/>
            <w:tcBorders>
              <w:top w:val="single" w:color="000000" w:sz="12" w:space="0"/>
              <w:bottom w:val="single" w:color="000000" w:sz="8" w:space="0"/>
            </w:tcBorders>
            <w:vAlign w:val="center"/>
          </w:tcPr>
          <w:p w14:paraId="692DFEB4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vertAlign w:val="baseline"/>
                <w:lang w:val="en-US" w:eastAsia="zh-CN"/>
              </w:rPr>
              <w:t>Non-adjusted</w:t>
            </w:r>
          </w:p>
        </w:tc>
        <w:tc>
          <w:tcPr>
            <w:tcW w:w="1858" w:type="dxa"/>
            <w:gridSpan w:val="2"/>
            <w:tcBorders>
              <w:top w:val="single" w:color="000000" w:sz="12" w:space="0"/>
              <w:bottom w:val="single" w:color="000000" w:sz="8" w:space="0"/>
            </w:tcBorders>
            <w:vAlign w:val="center"/>
          </w:tcPr>
          <w:p w14:paraId="6734616A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vertAlign w:val="baseline"/>
                <w:lang w:val="en-US" w:eastAsia="zh-CN"/>
              </w:rPr>
              <w:t>Model I</w:t>
            </w:r>
          </w:p>
        </w:tc>
        <w:tc>
          <w:tcPr>
            <w:tcW w:w="1858" w:type="dxa"/>
            <w:gridSpan w:val="2"/>
            <w:tcBorders>
              <w:top w:val="single" w:color="000000" w:sz="12" w:space="0"/>
              <w:bottom w:val="single" w:color="000000" w:sz="8" w:space="0"/>
            </w:tcBorders>
            <w:vAlign w:val="center"/>
          </w:tcPr>
          <w:p w14:paraId="7D839A84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vertAlign w:val="baseline"/>
                <w:lang w:val="en-US" w:eastAsia="zh-CN"/>
              </w:rPr>
              <w:t>Model II</w:t>
            </w:r>
          </w:p>
        </w:tc>
        <w:tc>
          <w:tcPr>
            <w:tcW w:w="1858" w:type="dxa"/>
            <w:gridSpan w:val="2"/>
            <w:tcBorders>
              <w:top w:val="single" w:color="000000" w:sz="12" w:space="0"/>
              <w:bottom w:val="single" w:color="000000" w:sz="8" w:space="0"/>
            </w:tcBorders>
            <w:vAlign w:val="center"/>
          </w:tcPr>
          <w:p w14:paraId="4A5EA2A4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vertAlign w:val="baseline"/>
                <w:lang w:val="en-US" w:eastAsia="zh-CN"/>
              </w:rPr>
              <w:t>Model III</w:t>
            </w:r>
          </w:p>
        </w:tc>
      </w:tr>
      <w:tr w14:paraId="03C26A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2" w:type="dxa"/>
            <w:vMerge w:val="continue"/>
            <w:tcBorders>
              <w:bottom w:val="single" w:color="000000" w:sz="8" w:space="0"/>
            </w:tcBorders>
            <w:vAlign w:val="center"/>
          </w:tcPr>
          <w:p w14:paraId="2E4694D5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b/>
                <w:bCs/>
                <w:vertAlign w:val="baseline"/>
                <w:lang w:val="en-US" w:eastAsia="zh-CN"/>
              </w:rPr>
            </w:pPr>
          </w:p>
        </w:tc>
        <w:tc>
          <w:tcPr>
            <w:tcW w:w="1166" w:type="dxa"/>
            <w:tcBorders>
              <w:top w:val="single" w:color="000000" w:sz="8" w:space="0"/>
              <w:bottom w:val="single" w:color="000000" w:sz="8" w:space="0"/>
            </w:tcBorders>
            <w:vAlign w:val="center"/>
          </w:tcPr>
          <w:p w14:paraId="59504B2C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vertAlign w:val="baseline"/>
                <w:lang w:val="en-US" w:eastAsia="zh-CN"/>
              </w:rPr>
              <w:t>OR(95%CI)</w:t>
            </w:r>
          </w:p>
        </w:tc>
        <w:tc>
          <w:tcPr>
            <w:tcW w:w="690" w:type="dxa"/>
            <w:tcBorders>
              <w:top w:val="single" w:color="000000" w:sz="8" w:space="0"/>
              <w:bottom w:val="single" w:color="000000" w:sz="8" w:space="0"/>
            </w:tcBorders>
            <w:vAlign w:val="center"/>
          </w:tcPr>
          <w:p w14:paraId="6922CEC0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P-value</w:t>
            </w:r>
          </w:p>
        </w:tc>
        <w:tc>
          <w:tcPr>
            <w:tcW w:w="1167" w:type="dxa"/>
            <w:tcBorders>
              <w:top w:val="single" w:color="000000" w:sz="8" w:space="0"/>
              <w:bottom w:val="single" w:color="000000" w:sz="8" w:space="0"/>
            </w:tcBorders>
            <w:shd w:val="clear" w:color="auto" w:fill="auto"/>
            <w:vAlign w:val="center"/>
          </w:tcPr>
          <w:p w14:paraId="161716C7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vertAlign w:val="baseline"/>
                <w:lang w:val="en-US" w:eastAsia="zh-CN"/>
              </w:rPr>
              <w:t>OR(95%CI)</w:t>
            </w:r>
          </w:p>
        </w:tc>
        <w:tc>
          <w:tcPr>
            <w:tcW w:w="691" w:type="dxa"/>
            <w:tcBorders>
              <w:top w:val="single" w:color="000000" w:sz="8" w:space="0"/>
              <w:bottom w:val="single" w:color="000000" w:sz="8" w:space="0"/>
            </w:tcBorders>
            <w:shd w:val="clear" w:color="auto" w:fill="auto"/>
            <w:vAlign w:val="center"/>
          </w:tcPr>
          <w:p w14:paraId="7C32197F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P-value</w:t>
            </w:r>
          </w:p>
        </w:tc>
        <w:tc>
          <w:tcPr>
            <w:tcW w:w="1167" w:type="dxa"/>
            <w:tcBorders>
              <w:top w:val="single" w:color="000000" w:sz="8" w:space="0"/>
              <w:bottom w:val="single" w:color="000000" w:sz="8" w:space="0"/>
            </w:tcBorders>
            <w:shd w:val="clear" w:color="auto" w:fill="auto"/>
            <w:vAlign w:val="center"/>
          </w:tcPr>
          <w:p w14:paraId="05B65EC3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vertAlign w:val="baseline"/>
                <w:lang w:val="en-US" w:eastAsia="zh-CN"/>
              </w:rPr>
              <w:t>OR(95%CI)</w:t>
            </w:r>
          </w:p>
        </w:tc>
        <w:tc>
          <w:tcPr>
            <w:tcW w:w="691" w:type="dxa"/>
            <w:tcBorders>
              <w:top w:val="single" w:color="000000" w:sz="8" w:space="0"/>
              <w:bottom w:val="single" w:color="000000" w:sz="8" w:space="0"/>
            </w:tcBorders>
            <w:shd w:val="clear" w:color="auto" w:fill="auto"/>
            <w:vAlign w:val="center"/>
          </w:tcPr>
          <w:p w14:paraId="0772A005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P-value</w:t>
            </w:r>
          </w:p>
        </w:tc>
        <w:tc>
          <w:tcPr>
            <w:tcW w:w="1167" w:type="dxa"/>
            <w:tcBorders>
              <w:top w:val="single" w:color="000000" w:sz="8" w:space="0"/>
              <w:bottom w:val="single" w:color="000000" w:sz="8" w:space="0"/>
            </w:tcBorders>
            <w:shd w:val="clear" w:color="auto" w:fill="auto"/>
            <w:vAlign w:val="center"/>
          </w:tcPr>
          <w:p w14:paraId="4A54A373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vertAlign w:val="baseline"/>
                <w:lang w:val="en-US" w:eastAsia="zh-CN"/>
              </w:rPr>
              <w:t>OR(95%CI)</w:t>
            </w:r>
          </w:p>
        </w:tc>
        <w:tc>
          <w:tcPr>
            <w:tcW w:w="691" w:type="dxa"/>
            <w:tcBorders>
              <w:top w:val="single" w:color="000000" w:sz="8" w:space="0"/>
              <w:bottom w:val="single" w:color="000000" w:sz="8" w:space="0"/>
            </w:tcBorders>
            <w:shd w:val="clear" w:color="auto" w:fill="auto"/>
            <w:vAlign w:val="center"/>
          </w:tcPr>
          <w:p w14:paraId="78E42BD7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P-value</w:t>
            </w:r>
          </w:p>
        </w:tc>
      </w:tr>
      <w:tr w14:paraId="51448E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2" w:type="dxa"/>
            <w:vAlign w:val="center"/>
          </w:tcPr>
          <w:p w14:paraId="6363933C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Dietary iron(mg/day)</w:t>
            </w:r>
          </w:p>
        </w:tc>
        <w:tc>
          <w:tcPr>
            <w:tcW w:w="1166" w:type="dxa"/>
            <w:vAlign w:val="center"/>
          </w:tcPr>
          <w:p w14:paraId="03956071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690" w:type="dxa"/>
            <w:vAlign w:val="center"/>
          </w:tcPr>
          <w:p w14:paraId="53BF246A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1167" w:type="dxa"/>
            <w:vAlign w:val="center"/>
          </w:tcPr>
          <w:p w14:paraId="09B689BB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691" w:type="dxa"/>
            <w:vAlign w:val="center"/>
          </w:tcPr>
          <w:p w14:paraId="2E7F7B4D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1167" w:type="dxa"/>
            <w:vAlign w:val="center"/>
          </w:tcPr>
          <w:p w14:paraId="2AF6CCEC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691" w:type="dxa"/>
            <w:vAlign w:val="center"/>
          </w:tcPr>
          <w:p w14:paraId="6C8B9E27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1167" w:type="dxa"/>
            <w:shd w:val="clear" w:color="auto" w:fill="auto"/>
            <w:vAlign w:val="center"/>
          </w:tcPr>
          <w:p w14:paraId="22651F14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691" w:type="dxa"/>
            <w:shd w:val="clear" w:color="auto" w:fill="auto"/>
            <w:vAlign w:val="center"/>
          </w:tcPr>
          <w:p w14:paraId="363B5087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 w14:paraId="2F20C6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2" w:type="dxa"/>
            <w:vAlign w:val="center"/>
          </w:tcPr>
          <w:p w14:paraId="4B5A9DEE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vertAlign w:val="baseline"/>
                <w:lang w:val="en-US" w:eastAsia="zh-CN"/>
              </w:rPr>
              <w:t xml:space="preserve">Q1 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(&gt;8.04)</w:t>
            </w:r>
          </w:p>
        </w:tc>
        <w:tc>
          <w:tcPr>
            <w:tcW w:w="1166" w:type="dxa"/>
            <w:vAlign w:val="center"/>
          </w:tcPr>
          <w:p w14:paraId="5422E35F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Ref.</w:t>
            </w:r>
          </w:p>
        </w:tc>
        <w:tc>
          <w:tcPr>
            <w:tcW w:w="690" w:type="dxa"/>
            <w:vAlign w:val="center"/>
          </w:tcPr>
          <w:p w14:paraId="46DFA115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1167" w:type="dxa"/>
            <w:vAlign w:val="center"/>
          </w:tcPr>
          <w:p w14:paraId="6F24A37E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Ref.</w:t>
            </w:r>
          </w:p>
        </w:tc>
        <w:tc>
          <w:tcPr>
            <w:tcW w:w="691" w:type="dxa"/>
            <w:vAlign w:val="center"/>
          </w:tcPr>
          <w:p w14:paraId="227271D4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1167" w:type="dxa"/>
            <w:vAlign w:val="center"/>
          </w:tcPr>
          <w:p w14:paraId="7C849AEC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Ref.</w:t>
            </w:r>
          </w:p>
        </w:tc>
        <w:tc>
          <w:tcPr>
            <w:tcW w:w="691" w:type="dxa"/>
            <w:vAlign w:val="center"/>
          </w:tcPr>
          <w:p w14:paraId="2566CDDB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1167" w:type="dxa"/>
            <w:shd w:val="clear" w:color="auto" w:fill="auto"/>
            <w:vAlign w:val="center"/>
          </w:tcPr>
          <w:p w14:paraId="2CCDBCDD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Ref.</w:t>
            </w:r>
          </w:p>
        </w:tc>
        <w:tc>
          <w:tcPr>
            <w:tcW w:w="691" w:type="dxa"/>
            <w:shd w:val="clear" w:color="auto" w:fill="auto"/>
            <w:vAlign w:val="center"/>
          </w:tcPr>
          <w:p w14:paraId="475A14FA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 w14:paraId="008F68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2" w:type="dxa"/>
            <w:vAlign w:val="center"/>
          </w:tcPr>
          <w:p w14:paraId="030EC0AB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vertAlign w:val="baseline"/>
                <w:lang w:val="en-US" w:eastAsia="zh-CN"/>
              </w:rPr>
              <w:t xml:space="preserve">Q2 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(8.04~11.07)</w:t>
            </w:r>
          </w:p>
        </w:tc>
        <w:tc>
          <w:tcPr>
            <w:tcW w:w="1166" w:type="dxa"/>
            <w:vAlign w:val="center"/>
          </w:tcPr>
          <w:p w14:paraId="14EBF4D5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1.08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(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0.79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~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1.47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)</w:t>
            </w:r>
          </w:p>
        </w:tc>
        <w:tc>
          <w:tcPr>
            <w:tcW w:w="690" w:type="dxa"/>
            <w:vAlign w:val="center"/>
          </w:tcPr>
          <w:p w14:paraId="3718AF38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0.629</w:t>
            </w:r>
          </w:p>
        </w:tc>
        <w:tc>
          <w:tcPr>
            <w:tcW w:w="1167" w:type="dxa"/>
            <w:vAlign w:val="center"/>
          </w:tcPr>
          <w:p w14:paraId="19BD8446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.21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(0.8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~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1.65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)</w:t>
            </w:r>
          </w:p>
        </w:tc>
        <w:tc>
          <w:tcPr>
            <w:tcW w:w="691" w:type="dxa"/>
            <w:vAlign w:val="center"/>
          </w:tcPr>
          <w:p w14:paraId="51A61133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0.221</w:t>
            </w:r>
          </w:p>
        </w:tc>
        <w:tc>
          <w:tcPr>
            <w:tcW w:w="1167" w:type="dxa"/>
            <w:vAlign w:val="center"/>
          </w:tcPr>
          <w:p w14:paraId="14E213CF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1.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18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(0.8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4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~1.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66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)</w:t>
            </w:r>
          </w:p>
        </w:tc>
        <w:tc>
          <w:tcPr>
            <w:tcW w:w="691" w:type="dxa"/>
            <w:vAlign w:val="center"/>
          </w:tcPr>
          <w:p w14:paraId="5DEF1BCA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0.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331</w:t>
            </w:r>
          </w:p>
        </w:tc>
        <w:tc>
          <w:tcPr>
            <w:tcW w:w="1167" w:type="dxa"/>
            <w:shd w:val="clear" w:color="auto" w:fill="auto"/>
            <w:vAlign w:val="center"/>
          </w:tcPr>
          <w:p w14:paraId="7B42047D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1.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19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(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0.85~1.67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)</w:t>
            </w:r>
          </w:p>
        </w:tc>
        <w:tc>
          <w:tcPr>
            <w:tcW w:w="691" w:type="dxa"/>
            <w:shd w:val="clear" w:color="auto" w:fill="auto"/>
            <w:vAlign w:val="center"/>
          </w:tcPr>
          <w:p w14:paraId="0DC64067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  <w:t>0.305</w:t>
            </w:r>
          </w:p>
        </w:tc>
      </w:tr>
      <w:tr w14:paraId="45A0C4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2" w:type="dxa"/>
            <w:tcBorders>
              <w:bottom w:val="nil"/>
            </w:tcBorders>
            <w:vAlign w:val="center"/>
          </w:tcPr>
          <w:p w14:paraId="485EAEAF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vertAlign w:val="baseline"/>
                <w:lang w:val="en-US" w:eastAsia="zh-CN"/>
              </w:rPr>
              <w:t xml:space="preserve">Q3 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(11.08~14.27)</w:t>
            </w:r>
          </w:p>
        </w:tc>
        <w:tc>
          <w:tcPr>
            <w:tcW w:w="1166" w:type="dxa"/>
            <w:tcBorders>
              <w:bottom w:val="nil"/>
            </w:tcBorders>
            <w:vAlign w:val="center"/>
          </w:tcPr>
          <w:p w14:paraId="1025D95A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1.1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7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(0.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89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~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1.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54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)</w:t>
            </w:r>
          </w:p>
        </w:tc>
        <w:tc>
          <w:tcPr>
            <w:tcW w:w="690" w:type="dxa"/>
            <w:tcBorders>
              <w:bottom w:val="nil"/>
            </w:tcBorders>
            <w:vAlign w:val="center"/>
          </w:tcPr>
          <w:p w14:paraId="59542FB6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0.247</w:t>
            </w:r>
          </w:p>
        </w:tc>
        <w:tc>
          <w:tcPr>
            <w:tcW w:w="1167" w:type="dxa"/>
            <w:tcBorders>
              <w:bottom w:val="nil"/>
            </w:tcBorders>
            <w:vAlign w:val="center"/>
          </w:tcPr>
          <w:p w14:paraId="267AF69B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1.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40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(1.0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~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1.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89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)</w:t>
            </w:r>
          </w:p>
        </w:tc>
        <w:tc>
          <w:tcPr>
            <w:tcW w:w="691" w:type="dxa"/>
            <w:tcBorders>
              <w:bottom w:val="nil"/>
            </w:tcBorders>
            <w:vAlign w:val="center"/>
          </w:tcPr>
          <w:p w14:paraId="652CCFFE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0.0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25</w:t>
            </w:r>
          </w:p>
        </w:tc>
        <w:tc>
          <w:tcPr>
            <w:tcW w:w="1167" w:type="dxa"/>
            <w:tcBorders>
              <w:bottom w:val="nil"/>
            </w:tcBorders>
            <w:vAlign w:val="center"/>
          </w:tcPr>
          <w:p w14:paraId="5F75E7A5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1.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27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(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0.93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~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1.7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)</w:t>
            </w:r>
          </w:p>
        </w:tc>
        <w:tc>
          <w:tcPr>
            <w:tcW w:w="691" w:type="dxa"/>
            <w:tcBorders>
              <w:bottom w:val="nil"/>
            </w:tcBorders>
            <w:vAlign w:val="center"/>
          </w:tcPr>
          <w:p w14:paraId="28836A90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0.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129</w:t>
            </w:r>
          </w:p>
        </w:tc>
        <w:tc>
          <w:tcPr>
            <w:tcW w:w="1167" w:type="dxa"/>
            <w:tcBorders>
              <w:bottom w:val="nil"/>
            </w:tcBorders>
            <w:shd w:val="clear" w:color="auto" w:fill="auto"/>
            <w:vAlign w:val="center"/>
          </w:tcPr>
          <w:p w14:paraId="72ED7BB1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1.36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(0.9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8~1.87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)</w:t>
            </w:r>
          </w:p>
        </w:tc>
        <w:tc>
          <w:tcPr>
            <w:tcW w:w="691" w:type="dxa"/>
            <w:tcBorders>
              <w:bottom w:val="nil"/>
            </w:tcBorders>
            <w:shd w:val="clear" w:color="auto" w:fill="auto"/>
            <w:vAlign w:val="center"/>
          </w:tcPr>
          <w:p w14:paraId="07D1A074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  <w:t>0.065</w:t>
            </w:r>
          </w:p>
        </w:tc>
      </w:tr>
      <w:tr w14:paraId="4C047F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2" w:type="dxa"/>
            <w:tcBorders>
              <w:bottom w:val="nil"/>
            </w:tcBorders>
            <w:vAlign w:val="center"/>
          </w:tcPr>
          <w:p w14:paraId="7B948056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vertAlign w:val="baseline"/>
                <w:lang w:val="en-US" w:eastAsia="zh-CN"/>
              </w:rPr>
              <w:t xml:space="preserve">Q4 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(14.28~19.33)</w:t>
            </w:r>
          </w:p>
        </w:tc>
        <w:tc>
          <w:tcPr>
            <w:tcW w:w="1166" w:type="dxa"/>
            <w:tcBorders>
              <w:bottom w:val="nil"/>
            </w:tcBorders>
            <w:vAlign w:val="center"/>
          </w:tcPr>
          <w:p w14:paraId="2DDCDBDC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1.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21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(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0.87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~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1.67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)</w:t>
            </w:r>
          </w:p>
        </w:tc>
        <w:tc>
          <w:tcPr>
            <w:tcW w:w="690" w:type="dxa"/>
            <w:tcBorders>
              <w:bottom w:val="nil"/>
            </w:tcBorders>
            <w:vAlign w:val="center"/>
          </w:tcPr>
          <w:p w14:paraId="7232C2C4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0.263</w:t>
            </w:r>
          </w:p>
        </w:tc>
        <w:tc>
          <w:tcPr>
            <w:tcW w:w="1167" w:type="dxa"/>
            <w:tcBorders>
              <w:bottom w:val="nil"/>
            </w:tcBorders>
            <w:vAlign w:val="center"/>
          </w:tcPr>
          <w:p w14:paraId="487C392D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1.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61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(1.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~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2.26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)</w:t>
            </w:r>
          </w:p>
        </w:tc>
        <w:tc>
          <w:tcPr>
            <w:tcW w:w="691" w:type="dxa"/>
            <w:tcBorders>
              <w:bottom w:val="nil"/>
            </w:tcBorders>
            <w:vAlign w:val="center"/>
          </w:tcPr>
          <w:p w14:paraId="77CF9DDD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0.006</w:t>
            </w:r>
          </w:p>
        </w:tc>
        <w:tc>
          <w:tcPr>
            <w:tcW w:w="1167" w:type="dxa"/>
            <w:tcBorders>
              <w:bottom w:val="nil"/>
            </w:tcBorders>
            <w:vAlign w:val="center"/>
          </w:tcPr>
          <w:p w14:paraId="19FFA80E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1.4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4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(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0.98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~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2.11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)</w:t>
            </w:r>
          </w:p>
        </w:tc>
        <w:tc>
          <w:tcPr>
            <w:tcW w:w="691" w:type="dxa"/>
            <w:tcBorders>
              <w:bottom w:val="nil"/>
            </w:tcBorders>
            <w:vAlign w:val="center"/>
          </w:tcPr>
          <w:p w14:paraId="242F4953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0.0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6</w:t>
            </w:r>
          </w:p>
        </w:tc>
        <w:tc>
          <w:tcPr>
            <w:tcW w:w="1167" w:type="dxa"/>
            <w:tcBorders>
              <w:bottom w:val="nil"/>
            </w:tcBorders>
            <w:shd w:val="clear" w:color="auto" w:fill="auto"/>
            <w:vAlign w:val="center"/>
          </w:tcPr>
          <w:p w14:paraId="6A4C9A0F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1.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50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(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1.02~2.20)</w:t>
            </w:r>
          </w:p>
        </w:tc>
        <w:tc>
          <w:tcPr>
            <w:tcW w:w="691" w:type="dxa"/>
            <w:tcBorders>
              <w:bottom w:val="nil"/>
            </w:tcBorders>
            <w:shd w:val="clear" w:color="auto" w:fill="auto"/>
            <w:vAlign w:val="center"/>
          </w:tcPr>
          <w:p w14:paraId="74B82B7A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0.04</w:t>
            </w:r>
          </w:p>
        </w:tc>
      </w:tr>
      <w:tr w14:paraId="4AD639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2" w:type="dxa"/>
            <w:tcBorders>
              <w:bottom w:val="nil"/>
            </w:tcBorders>
            <w:vAlign w:val="center"/>
          </w:tcPr>
          <w:p w14:paraId="4E9BDECA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vertAlign w:val="baseline"/>
                <w:lang w:val="en-US" w:eastAsia="zh-CN"/>
              </w:rPr>
              <w:t>Q5   (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≥19.34</w:t>
            </w:r>
          </w:p>
        </w:tc>
        <w:tc>
          <w:tcPr>
            <w:tcW w:w="1166" w:type="dxa"/>
            <w:tcBorders>
              <w:bottom w:val="nil"/>
            </w:tcBorders>
            <w:vAlign w:val="center"/>
          </w:tcPr>
          <w:p w14:paraId="6B807A95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1.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32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(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0.94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~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1.85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)</w:t>
            </w:r>
          </w:p>
        </w:tc>
        <w:tc>
          <w:tcPr>
            <w:tcW w:w="690" w:type="dxa"/>
            <w:tcBorders>
              <w:bottom w:val="nil"/>
            </w:tcBorders>
            <w:vAlign w:val="center"/>
          </w:tcPr>
          <w:p w14:paraId="136F78F2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0.105</w:t>
            </w:r>
          </w:p>
        </w:tc>
        <w:tc>
          <w:tcPr>
            <w:tcW w:w="1167" w:type="dxa"/>
            <w:tcBorders>
              <w:bottom w:val="nil"/>
            </w:tcBorders>
            <w:vAlign w:val="center"/>
          </w:tcPr>
          <w:p w14:paraId="3646D020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1.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92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(1.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32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~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2.79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)</w:t>
            </w:r>
          </w:p>
        </w:tc>
        <w:tc>
          <w:tcPr>
            <w:tcW w:w="691" w:type="dxa"/>
            <w:tcBorders>
              <w:bottom w:val="nil"/>
            </w:tcBorders>
            <w:vAlign w:val="center"/>
          </w:tcPr>
          <w:p w14:paraId="45EBA7CF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&lt;0.001</w:t>
            </w:r>
          </w:p>
        </w:tc>
        <w:tc>
          <w:tcPr>
            <w:tcW w:w="1167" w:type="dxa"/>
            <w:tcBorders>
              <w:bottom w:val="nil"/>
            </w:tcBorders>
            <w:vAlign w:val="center"/>
          </w:tcPr>
          <w:p w14:paraId="0AAF45D5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1.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49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(0.9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~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2.38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)</w:t>
            </w:r>
          </w:p>
        </w:tc>
        <w:tc>
          <w:tcPr>
            <w:tcW w:w="691" w:type="dxa"/>
            <w:tcBorders>
              <w:bottom w:val="nil"/>
            </w:tcBorders>
            <w:vAlign w:val="center"/>
          </w:tcPr>
          <w:p w14:paraId="7387B4FB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0.0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97</w:t>
            </w:r>
          </w:p>
        </w:tc>
        <w:tc>
          <w:tcPr>
            <w:tcW w:w="1167" w:type="dxa"/>
            <w:tcBorders>
              <w:bottom w:val="nil"/>
            </w:tcBorders>
            <w:shd w:val="clear" w:color="auto" w:fill="auto"/>
            <w:vAlign w:val="center"/>
          </w:tcPr>
          <w:p w14:paraId="7AB857FD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1.59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(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0.96~2.62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)</w:t>
            </w:r>
          </w:p>
        </w:tc>
        <w:tc>
          <w:tcPr>
            <w:tcW w:w="691" w:type="dxa"/>
            <w:tcBorders>
              <w:bottom w:val="nil"/>
            </w:tcBorders>
            <w:shd w:val="clear" w:color="auto" w:fill="auto"/>
            <w:vAlign w:val="center"/>
          </w:tcPr>
          <w:p w14:paraId="461A8D25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0.071</w:t>
            </w:r>
          </w:p>
        </w:tc>
      </w:tr>
      <w:tr w14:paraId="4CE348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2" w:type="dxa"/>
            <w:tcBorders>
              <w:top w:val="nil"/>
              <w:bottom w:val="single" w:color="000000" w:sz="12" w:space="0"/>
            </w:tcBorders>
            <w:vAlign w:val="center"/>
          </w:tcPr>
          <w:p w14:paraId="12C7272A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vertAlign w:val="baseline"/>
                <w:lang w:val="en-US" w:eastAsia="zh-CN"/>
              </w:rPr>
              <w:t>P for Trend</w:t>
            </w:r>
          </w:p>
        </w:tc>
        <w:tc>
          <w:tcPr>
            <w:tcW w:w="1166" w:type="dxa"/>
            <w:tcBorders>
              <w:top w:val="nil"/>
              <w:bottom w:val="single" w:color="000000" w:sz="12" w:space="0"/>
            </w:tcBorders>
            <w:vAlign w:val="center"/>
          </w:tcPr>
          <w:p w14:paraId="1FDC94EF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690" w:type="dxa"/>
            <w:tcBorders>
              <w:top w:val="nil"/>
              <w:bottom w:val="single" w:color="000000" w:sz="12" w:space="0"/>
            </w:tcBorders>
            <w:vAlign w:val="center"/>
          </w:tcPr>
          <w:p w14:paraId="11C2F338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0.075</w:t>
            </w:r>
          </w:p>
        </w:tc>
        <w:tc>
          <w:tcPr>
            <w:tcW w:w="1167" w:type="dxa"/>
            <w:tcBorders>
              <w:top w:val="nil"/>
              <w:bottom w:val="single" w:color="000000" w:sz="12" w:space="0"/>
            </w:tcBorders>
            <w:vAlign w:val="center"/>
          </w:tcPr>
          <w:p w14:paraId="13D07C29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691" w:type="dxa"/>
            <w:tcBorders>
              <w:top w:val="nil"/>
              <w:bottom w:val="single" w:color="000000" w:sz="12" w:space="0"/>
            </w:tcBorders>
            <w:vAlign w:val="center"/>
          </w:tcPr>
          <w:p w14:paraId="55F5544B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&lt;0.001</w:t>
            </w:r>
          </w:p>
        </w:tc>
        <w:tc>
          <w:tcPr>
            <w:tcW w:w="1167" w:type="dxa"/>
            <w:tcBorders>
              <w:top w:val="nil"/>
              <w:bottom w:val="single" w:color="000000" w:sz="12" w:space="0"/>
            </w:tcBorders>
            <w:vAlign w:val="center"/>
          </w:tcPr>
          <w:p w14:paraId="685CFBF5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691" w:type="dxa"/>
            <w:tcBorders>
              <w:top w:val="nil"/>
              <w:bottom w:val="single" w:color="000000" w:sz="12" w:space="0"/>
            </w:tcBorders>
            <w:vAlign w:val="center"/>
          </w:tcPr>
          <w:p w14:paraId="4272B9DE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0.0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61</w:t>
            </w:r>
          </w:p>
        </w:tc>
        <w:tc>
          <w:tcPr>
            <w:tcW w:w="1167" w:type="dxa"/>
            <w:tcBorders>
              <w:top w:val="nil"/>
              <w:bottom w:val="single" w:color="000000" w:sz="12" w:space="0"/>
            </w:tcBorders>
            <w:shd w:val="clear" w:color="auto" w:fill="auto"/>
            <w:vAlign w:val="center"/>
          </w:tcPr>
          <w:p w14:paraId="239C209B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691" w:type="dxa"/>
            <w:tcBorders>
              <w:top w:val="nil"/>
              <w:bottom w:val="single" w:color="000000" w:sz="12" w:space="0"/>
            </w:tcBorders>
            <w:shd w:val="clear" w:color="auto" w:fill="auto"/>
            <w:vAlign w:val="center"/>
          </w:tcPr>
          <w:p w14:paraId="6CAB8CA4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0.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036</w:t>
            </w:r>
          </w:p>
        </w:tc>
      </w:tr>
    </w:tbl>
    <w:p w14:paraId="68B7267A">
      <w:pPr>
        <w:rPr>
          <w:rFonts w:hint="default" w:ascii="Times New Roman" w:hAnsi="Times New Roman" w:cs="Times New Roman"/>
          <w:highlight w:val="none"/>
          <w:lang w:val="en-US" w:eastAsia="zh-CN"/>
        </w:rPr>
      </w:pPr>
    </w:p>
    <w:p w14:paraId="3B700FC2"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Times New Roman" w:hAnsi="Times New Roman" w:eastAsia="URWPalladioL-Roma" w:cs="Times New Roman"/>
          <w:color w:val="000000"/>
          <w:kern w:val="0"/>
          <w:sz w:val="21"/>
          <w:szCs w:val="21"/>
          <w:highlight w:val="none"/>
          <w:lang w:val="en-US" w:eastAsia="zh-CN" w:bidi="ar"/>
        </w:rPr>
      </w:pPr>
      <w:r>
        <w:rPr>
          <w:rFonts w:hint="default" w:ascii="Times New Roman" w:hAnsi="Times New Roman" w:eastAsia="URWPalladioL-Roma" w:cs="Times New Roman"/>
          <w:color w:val="000000"/>
          <w:kern w:val="0"/>
          <w:sz w:val="21"/>
          <w:szCs w:val="21"/>
          <w:highlight w:val="none"/>
          <w:lang w:val="en-US" w:eastAsia="zh-CN" w:bidi="ar"/>
        </w:rPr>
        <w:t>Q</w:t>
      </w:r>
      <w:r>
        <w:rPr>
          <w:rFonts w:hint="eastAsia" w:ascii="Times New Roman" w:hAnsi="Times New Roman" w:eastAsia="URWPalladioL-Roma" w:cs="Times New Roman"/>
          <w:color w:val="000000"/>
          <w:kern w:val="0"/>
          <w:sz w:val="21"/>
          <w:szCs w:val="21"/>
          <w:highlight w:val="none"/>
          <w:lang w:val="en-US" w:eastAsia="zh-CN" w:bidi="ar"/>
        </w:rPr>
        <w:t xml:space="preserve">: </w:t>
      </w:r>
      <w:r>
        <w:rPr>
          <w:rFonts w:hint="default" w:ascii="Times New Roman" w:hAnsi="Times New Roman" w:eastAsia="URWPalladioL-Roma" w:cs="Times New Roman"/>
          <w:color w:val="000000"/>
          <w:kern w:val="0"/>
          <w:sz w:val="21"/>
          <w:szCs w:val="21"/>
          <w:highlight w:val="none"/>
          <w:lang w:val="en-US" w:eastAsia="zh-CN" w:bidi="ar"/>
        </w:rPr>
        <w:t>quartiles; OR</w:t>
      </w:r>
      <w:r>
        <w:rPr>
          <w:rFonts w:hint="eastAsia" w:ascii="Times New Roman" w:hAnsi="Times New Roman" w:eastAsia="URWPalladioL-Roma" w:cs="Times New Roman"/>
          <w:color w:val="000000"/>
          <w:kern w:val="0"/>
          <w:sz w:val="21"/>
          <w:szCs w:val="21"/>
          <w:highlight w:val="none"/>
          <w:lang w:val="en-US" w:eastAsia="zh-CN" w:bidi="ar"/>
        </w:rPr>
        <w:t>:</w:t>
      </w:r>
      <w:r>
        <w:rPr>
          <w:rFonts w:hint="default" w:ascii="Times New Roman" w:hAnsi="Times New Roman" w:eastAsia="URWPalladioL-Roma" w:cs="Times New Roman"/>
          <w:color w:val="000000"/>
          <w:kern w:val="0"/>
          <w:sz w:val="21"/>
          <w:szCs w:val="21"/>
          <w:highlight w:val="none"/>
          <w:lang w:val="en-US" w:eastAsia="zh-CN" w:bidi="ar"/>
        </w:rPr>
        <w:t xml:space="preserve"> odds ratio; CI</w:t>
      </w:r>
      <w:r>
        <w:rPr>
          <w:rFonts w:hint="eastAsia" w:ascii="Times New Roman" w:hAnsi="Times New Roman" w:eastAsia="URWPalladioL-Roma" w:cs="Times New Roman"/>
          <w:color w:val="000000"/>
          <w:kern w:val="0"/>
          <w:sz w:val="21"/>
          <w:szCs w:val="21"/>
          <w:highlight w:val="none"/>
          <w:lang w:val="en-US" w:eastAsia="zh-CN" w:bidi="ar"/>
        </w:rPr>
        <w:t xml:space="preserve">: </w:t>
      </w:r>
      <w:r>
        <w:rPr>
          <w:rFonts w:hint="default" w:ascii="Times New Roman" w:hAnsi="Times New Roman" w:eastAsia="URWPalladioL-Roma" w:cs="Times New Roman"/>
          <w:color w:val="000000"/>
          <w:kern w:val="0"/>
          <w:sz w:val="21"/>
          <w:szCs w:val="21"/>
          <w:highlight w:val="none"/>
          <w:lang w:val="en-US" w:eastAsia="zh-CN" w:bidi="ar"/>
        </w:rPr>
        <w:t xml:space="preserve">confidence interval; Ref: reference. </w:t>
      </w:r>
    </w:p>
    <w:p w14:paraId="590BD68C">
      <w:pPr>
        <w:numPr>
          <w:ilvl w:val="0"/>
          <w:numId w:val="0"/>
        </w:numPr>
        <w:spacing w:line="360" w:lineRule="auto"/>
        <w:rPr>
          <w:rFonts w:hint="default" w:ascii="Times New Roman" w:hAnsi="Times New Roman" w:cs="Times New Roman"/>
          <w:b w:val="0"/>
          <w:bCs w:val="0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highlight w:val="none"/>
          <w:lang w:val="en-US" w:eastAsia="zh-CN"/>
        </w:rPr>
        <w:t>Model I:</w:t>
      </w:r>
      <w:r>
        <w:rPr>
          <w:rFonts w:hint="eastAsia" w:ascii="Times New Roman" w:hAnsi="Times New Roman" w:cs="Times New Roman"/>
          <w:b w:val="0"/>
          <w:bCs w:val="0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highlight w:val="none"/>
          <w:lang w:val="en-US" w:eastAsia="zh-CN"/>
        </w:rPr>
        <w:t>adjusted for age+gender+race</w:t>
      </w:r>
    </w:p>
    <w:p w14:paraId="397EEC58">
      <w:pPr>
        <w:numPr>
          <w:ilvl w:val="0"/>
          <w:numId w:val="0"/>
        </w:numPr>
        <w:spacing w:line="360" w:lineRule="auto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highlight w:val="none"/>
          <w:u w:val="none"/>
          <w:lang w:val="en-US" w:eastAsia="zh-CN" w:bidi="ar"/>
        </w:rPr>
      </w:pPr>
      <w:r>
        <w:rPr>
          <w:rFonts w:hint="default" w:ascii="Times New Roman" w:hAnsi="Times New Roman" w:cs="Times New Roman"/>
          <w:b w:val="0"/>
          <w:bCs w:val="0"/>
          <w:highlight w:val="none"/>
          <w:lang w:val="en-US" w:eastAsia="zh-CN"/>
        </w:rPr>
        <w:t>Model II:</w:t>
      </w:r>
      <w:r>
        <w:rPr>
          <w:rFonts w:hint="eastAsia" w:ascii="Times New Roman" w:hAnsi="Times New Roman" w:cs="Times New Roman"/>
          <w:b w:val="0"/>
          <w:bCs w:val="0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highlight w:val="none"/>
          <w:lang w:val="en-US" w:eastAsia="zh-CN"/>
        </w:rPr>
        <w:t>Model I+adjusted for education +BMI+hypertension+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highlight w:val="none"/>
          <w:u w:val="none"/>
          <w:lang w:val="en-US" w:eastAsia="zh-CN" w:bidi="ar"/>
        </w:rPr>
        <w:t>c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highlight w:val="none"/>
          <w:u w:val="none"/>
          <w:lang w:val="en-US" w:eastAsia="zh-CN" w:bidi="ar"/>
        </w:rPr>
        <w:t>arbohydrate intake</w:t>
      </w:r>
      <w:r>
        <w:rPr>
          <w:rFonts w:hint="default" w:ascii="Times New Roman" w:hAnsi="Times New Roman" w:cs="Times New Roman"/>
          <w:b w:val="0"/>
          <w:bCs w:val="0"/>
          <w:highlight w:val="none"/>
          <w:lang w:val="en-US" w:eastAsia="zh-CN"/>
        </w:rPr>
        <w:t>+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highlight w:val="none"/>
          <w:u w:val="none"/>
          <w:lang w:val="en-US" w:eastAsia="zh-CN" w:bidi="ar"/>
        </w:rPr>
        <w:t>dietary fiber intake</w:t>
      </w:r>
      <w:r>
        <w:rPr>
          <w:rFonts w:hint="default" w:ascii="Times New Roman" w:hAnsi="Times New Roman" w:cs="Times New Roman"/>
          <w:b w:val="0"/>
          <w:bCs w:val="0"/>
          <w:highlight w:val="none"/>
          <w:lang w:val="en-US" w:eastAsia="zh-CN"/>
        </w:rPr>
        <w:t>+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highlight w:val="none"/>
          <w:u w:val="none"/>
          <w:lang w:val="en-US" w:eastAsia="zh-CN" w:bidi="ar"/>
        </w:rPr>
        <w:t>t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highlight w:val="none"/>
          <w:u w:val="none"/>
          <w:lang w:val="en-US" w:eastAsia="zh-CN" w:bidi="ar"/>
        </w:rPr>
        <w:t>otal saturated fatty acids intake</w:t>
      </w:r>
      <w:r>
        <w:rPr>
          <w:rFonts w:hint="default" w:ascii="Times New Roman" w:hAnsi="Times New Roman" w:cs="Times New Roman"/>
          <w:b w:val="0"/>
          <w:bCs w:val="0"/>
          <w:highlight w:val="none"/>
          <w:lang w:val="en-US" w:eastAsia="zh-CN"/>
        </w:rPr>
        <w:t>+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highlight w:val="none"/>
          <w:u w:val="none"/>
          <w:lang w:val="en-US" w:eastAsia="zh-CN" w:bidi="ar"/>
        </w:rPr>
        <w:t>v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highlight w:val="none"/>
          <w:u w:val="none"/>
          <w:lang w:val="en-US" w:eastAsia="zh-CN" w:bidi="ar"/>
        </w:rPr>
        <w:t>itamin K intake</w:t>
      </w:r>
      <w:r>
        <w:rPr>
          <w:rFonts w:hint="default" w:ascii="Times New Roman" w:hAnsi="Times New Roman" w:cs="Times New Roman"/>
          <w:b w:val="0"/>
          <w:bCs w:val="0"/>
          <w:highlight w:val="none"/>
          <w:lang w:val="en-US" w:eastAsia="zh-CN"/>
        </w:rPr>
        <w:t>+</w:t>
      </w:r>
      <w:r>
        <w:rPr>
          <w:rFonts w:hint="eastAsia" w:ascii="Times New Roman" w:hAnsi="Times New Roman" w:cs="Times New Roman"/>
          <w:b w:val="0"/>
          <w:bCs w:val="0"/>
          <w:highlight w:val="none"/>
          <w:lang w:val="en-US" w:eastAsia="zh-CN"/>
        </w:rPr>
        <w:t>v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highlight w:val="none"/>
          <w:u w:val="none"/>
          <w:lang w:val="en-US" w:eastAsia="zh-CN" w:bidi="ar"/>
        </w:rPr>
        <w:t>itamin C intake.</w:t>
      </w:r>
    </w:p>
    <w:p w14:paraId="257DAA17">
      <w:pPr>
        <w:numPr>
          <w:ilvl w:val="0"/>
          <w:numId w:val="0"/>
        </w:numPr>
        <w:spacing w:line="360" w:lineRule="auto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highlight w:val="none"/>
          <w:u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highlight w:val="none"/>
          <w:u w:val="none"/>
          <w:lang w:val="en-US" w:eastAsia="zh-CN" w:bidi="ar"/>
        </w:rPr>
        <w:t>Model III: Model II + adjusted for marital status + PIR +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highlight w:val="none"/>
          <w:u w:val="none"/>
          <w:lang w:val="en-US" w:eastAsia="zh-CN" w:bidi="ar"/>
        </w:rPr>
        <w:t xml:space="preserve"> smoking status +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highlight w:val="none"/>
          <w:u w:val="none"/>
          <w:lang w:val="en-US" w:eastAsia="zh-CN" w:bidi="ar"/>
        </w:rPr>
        <w:t xml:space="preserve"> drinking status + 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highlight w:val="none"/>
          <w:u w:val="none"/>
          <w:lang w:val="en-US" w:eastAsia="zh-CN" w:bidi="ar"/>
        </w:rPr>
        <w:t>w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highlight w:val="none"/>
          <w:u w:val="none"/>
          <w:lang w:val="en-US" w:eastAsia="zh-CN" w:bidi="ar"/>
        </w:rPr>
        <w:t xml:space="preserve">ork activity + 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060607"/>
          <w:spacing w:val="3"/>
          <w:sz w:val="21"/>
          <w:szCs w:val="21"/>
          <w:highlight w:val="none"/>
          <w:shd w:val="clear" w:fill="FFFFFF"/>
          <w:lang w:val="en-US" w:eastAsia="zh-CN"/>
        </w:rPr>
        <w:t>d</w:t>
      </w:r>
      <w:r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060607"/>
          <w:spacing w:val="3"/>
          <w:sz w:val="21"/>
          <w:szCs w:val="21"/>
          <w:highlight w:val="none"/>
          <w:shd w:val="clear" w:fill="FFFFFF"/>
        </w:rPr>
        <w:t>iabetes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color w:val="060607"/>
          <w:spacing w:val="3"/>
          <w:sz w:val="21"/>
          <w:szCs w:val="21"/>
          <w:highlight w:val="none"/>
          <w:shd w:val="clear" w:fill="FFFFFF"/>
          <w:lang w:val="en-US" w:eastAsia="zh-CN"/>
        </w:rPr>
        <w:t xml:space="preserve"> + 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highlight w:val="none"/>
          <w:u w:val="none"/>
          <w:lang w:val="en-US" w:eastAsia="zh-CN" w:bidi="ar"/>
        </w:rPr>
        <w:t>s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highlight w:val="none"/>
          <w:u w:val="none"/>
          <w:lang w:val="en-US" w:eastAsia="zh-CN" w:bidi="ar"/>
        </w:rPr>
        <w:t>odium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highlight w:val="none"/>
          <w:u w:val="none"/>
          <w:lang w:val="en-US" w:eastAsia="zh-CN" w:bidi="ar"/>
        </w:rPr>
        <w:t xml:space="preserve"> intake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highlight w:val="none"/>
          <w:u w:val="none"/>
          <w:lang w:val="en-US" w:eastAsia="zh-CN" w:bidi="ar"/>
        </w:rPr>
        <w:t xml:space="preserve"> + 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highlight w:val="none"/>
          <w:u w:val="none"/>
          <w:lang w:val="en-US" w:eastAsia="zh-CN" w:bidi="ar"/>
        </w:rPr>
        <w:t>e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highlight w:val="none"/>
          <w:u w:val="none"/>
          <w:lang w:val="en-US" w:eastAsia="zh-CN" w:bidi="ar"/>
        </w:rPr>
        <w:t xml:space="preserve">nergy intake + 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highlight w:val="none"/>
          <w:u w:val="none"/>
          <w:lang w:val="en-US" w:eastAsia="zh-CN" w:bidi="ar"/>
        </w:rPr>
        <w:t>p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highlight w:val="none"/>
          <w:u w:val="none"/>
          <w:lang w:val="en-US" w:eastAsia="zh-CN" w:bidi="ar"/>
        </w:rPr>
        <w:t xml:space="preserve">rotein intake + 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highlight w:val="none"/>
          <w:u w:val="none"/>
          <w:lang w:val="en-US" w:eastAsia="zh-CN" w:bidi="ar"/>
        </w:rPr>
        <w:t>z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highlight w:val="none"/>
          <w:u w:val="none"/>
          <w:lang w:val="en-US" w:eastAsia="zh-CN" w:bidi="ar"/>
        </w:rPr>
        <w:t xml:space="preserve">inc intake + 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highlight w:val="none"/>
          <w:u w:val="none"/>
          <w:lang w:val="en-US" w:eastAsia="zh-CN" w:bidi="ar"/>
        </w:rPr>
        <w:t>c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highlight w:val="none"/>
          <w:u w:val="none"/>
          <w:lang w:val="en-US" w:eastAsia="zh-CN" w:bidi="ar"/>
        </w:rPr>
        <w:t xml:space="preserve">opper intake + 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highlight w:val="none"/>
          <w:u w:val="none"/>
          <w:lang w:val="en-US" w:eastAsia="zh-CN" w:bidi="ar"/>
        </w:rPr>
        <w:t>s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highlight w:val="none"/>
          <w:u w:val="none"/>
          <w:lang w:val="en-US" w:eastAsia="zh-CN" w:bidi="ar"/>
        </w:rPr>
        <w:t xml:space="preserve">elenium intake + 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highlight w:val="none"/>
          <w:u w:val="none"/>
          <w:lang w:val="en-US" w:eastAsia="zh-CN" w:bidi="ar"/>
        </w:rPr>
        <w:t>t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highlight w:val="none"/>
          <w:u w:val="none"/>
          <w:lang w:val="en-US" w:eastAsia="zh-CN" w:bidi="ar"/>
        </w:rPr>
        <w:t>otal sugars intake.</w:t>
      </w:r>
    </w:p>
    <w:p w14:paraId="5E5D6C09">
      <w:pPr>
        <w:rPr>
          <w:rFonts w:hint="default" w:ascii="Times New Roman" w:hAnsi="Times New Roman" w:cs="Times New Roman"/>
          <w:highlight w:val="no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URWPalladioL-Roma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elvetica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A0OGJjNTJiMDA2OGU0MGZlMTcyMzRlNDIwOTAyNDIifQ=="/>
  </w:docVars>
  <w:rsids>
    <w:rsidRoot w:val="4DDF0E13"/>
    <w:rsid w:val="135A2CE6"/>
    <w:rsid w:val="208D5903"/>
    <w:rsid w:val="2E19376C"/>
    <w:rsid w:val="44CF38D3"/>
    <w:rsid w:val="48404327"/>
    <w:rsid w:val="4DDF0E13"/>
    <w:rsid w:val="5341541F"/>
    <w:rsid w:val="781B3C9C"/>
    <w:rsid w:val="7BF66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1041</Words>
  <Characters>7515</Characters>
  <Lines>0</Lines>
  <Paragraphs>0</Paragraphs>
  <TotalTime>1</TotalTime>
  <ScaleCrop>false</ScaleCrop>
  <LinksUpToDate>false</LinksUpToDate>
  <CharactersWithSpaces>8128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2024-09-23T14:45:00Z</dcterms:created>
  <dc:creator>格桑花</dc:creator>
  <cp:lastModifiedBy>格桑花</cp:lastModifiedBy>
  <dcterms:modified xsi:type="dcterms:W3CDTF">2024-10-28T14:27:40Z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5CC95A6BDF13477D85088985E29162AA_13</vt:lpwstr>
  </property>
</Properties>
</file>