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0C66" w14:textId="4E142D00" w:rsidR="009404C6" w:rsidRDefault="009404C6" w:rsidP="00874C4C">
      <w:pPr>
        <w:ind w:firstLineChars="1300" w:firstLine="3132"/>
        <w:rPr>
          <w:b/>
          <w:bCs/>
        </w:rPr>
      </w:pPr>
      <w:r w:rsidRPr="009404C6">
        <w:rPr>
          <w:b/>
          <w:bCs/>
        </w:rPr>
        <w:t xml:space="preserve">Research </w:t>
      </w:r>
      <w:r w:rsidR="00874C4C">
        <w:rPr>
          <w:rFonts w:hint="eastAsia"/>
          <w:b/>
          <w:bCs/>
        </w:rPr>
        <w:t>Protocol</w:t>
      </w:r>
    </w:p>
    <w:p w14:paraId="336F124C" w14:textId="77777777" w:rsidR="009404C6" w:rsidRPr="009404C6" w:rsidRDefault="009404C6" w:rsidP="009404C6"/>
    <w:p w14:paraId="4ED8EBCB" w14:textId="0FCF4E93" w:rsidR="009404C6" w:rsidRDefault="009404C6" w:rsidP="009404C6">
      <w:pPr>
        <w:rPr>
          <w:b/>
          <w:bCs/>
        </w:rPr>
      </w:pPr>
      <w:r w:rsidRPr="009404C6">
        <w:rPr>
          <w:b/>
          <w:bCs/>
        </w:rPr>
        <w:t>1 Research Subjects</w:t>
      </w:r>
      <w:r w:rsidRPr="009404C6">
        <w:t xml:space="preserve"> </w:t>
      </w:r>
    </w:p>
    <w:p w14:paraId="47DC7DB2" w14:textId="60A4B91A" w:rsidR="009404C6" w:rsidRPr="009404C6" w:rsidRDefault="009404C6" w:rsidP="009404C6">
      <w:pPr>
        <w:rPr>
          <w:b/>
          <w:bCs/>
        </w:rPr>
      </w:pPr>
      <w:r>
        <w:rPr>
          <w:rFonts w:hint="eastAsia"/>
          <w:b/>
          <w:bCs/>
        </w:rPr>
        <w:t xml:space="preserve">1.1 </w:t>
      </w:r>
      <w:r w:rsidRPr="009404C6">
        <w:rPr>
          <w:b/>
          <w:bCs/>
        </w:rPr>
        <w:t>Source of Population Collection</w:t>
      </w:r>
      <w:r w:rsidRPr="009404C6">
        <w:t xml:space="preserve"> Patients admitted to </w:t>
      </w:r>
      <w:r w:rsidR="006534A9">
        <w:rPr>
          <w:rFonts w:hint="eastAsia"/>
        </w:rPr>
        <w:t xml:space="preserve">the Department of Critical Care Medicine </w:t>
      </w:r>
      <w:r w:rsidRPr="009404C6">
        <w:t>of the First Affiliated Hospital of Sun Yat-sen University from August 2021 to August 2022 were selected as the research subjects.</w:t>
      </w:r>
    </w:p>
    <w:p w14:paraId="70CEEAEE" w14:textId="41E4B994" w:rsidR="009404C6" w:rsidRPr="009404C6" w:rsidRDefault="009404C6" w:rsidP="009404C6">
      <w:r w:rsidRPr="009404C6">
        <w:rPr>
          <w:b/>
          <w:bCs/>
        </w:rPr>
        <w:t>1.2 Inclusion Criteria</w:t>
      </w:r>
    </w:p>
    <w:p w14:paraId="4D17A16C" w14:textId="77777777" w:rsidR="009404C6" w:rsidRPr="009404C6" w:rsidRDefault="009404C6" w:rsidP="009404C6">
      <w:pPr>
        <w:numPr>
          <w:ilvl w:val="0"/>
          <w:numId w:val="1"/>
        </w:numPr>
      </w:pPr>
      <w:r w:rsidRPr="009404C6">
        <w:t>Age ≥ 18 years;</w:t>
      </w:r>
    </w:p>
    <w:p w14:paraId="1E989AE8" w14:textId="77777777" w:rsidR="009404C6" w:rsidRPr="009404C6" w:rsidRDefault="009404C6" w:rsidP="009404C6">
      <w:pPr>
        <w:numPr>
          <w:ilvl w:val="0"/>
          <w:numId w:val="1"/>
        </w:numPr>
      </w:pPr>
      <w:r w:rsidRPr="009404C6">
        <w:t>ICU stay ≥ 48 hours;</w:t>
      </w:r>
    </w:p>
    <w:p w14:paraId="5F7B749F" w14:textId="77777777" w:rsidR="009404C6" w:rsidRDefault="009404C6" w:rsidP="009404C6">
      <w:pPr>
        <w:numPr>
          <w:ilvl w:val="0"/>
          <w:numId w:val="1"/>
        </w:numPr>
      </w:pPr>
      <w:r w:rsidRPr="009404C6">
        <w:t>APACHE II score ≥ 12 points;</w:t>
      </w:r>
    </w:p>
    <w:p w14:paraId="62EADB37" w14:textId="2A8166CF" w:rsidR="003B3054" w:rsidRPr="009404C6" w:rsidRDefault="003B3054" w:rsidP="009404C6">
      <w:pPr>
        <w:numPr>
          <w:ilvl w:val="0"/>
          <w:numId w:val="1"/>
        </w:numPr>
      </w:pPr>
      <w:r>
        <w:rPr>
          <w:rFonts w:hint="eastAsia"/>
          <w:sz w:val="22"/>
        </w:rPr>
        <w:t>R</w:t>
      </w:r>
      <w:r w:rsidRPr="008B5FF2">
        <w:rPr>
          <w:sz w:val="22"/>
        </w:rPr>
        <w:t>equire ICU monitoring and treatment</w:t>
      </w:r>
      <w:r>
        <w:rPr>
          <w:rFonts w:hint="eastAsia"/>
          <w:sz w:val="22"/>
        </w:rPr>
        <w:t xml:space="preserve"> a</w:t>
      </w:r>
      <w:r w:rsidRPr="008B5FF2">
        <w:rPr>
          <w:sz w:val="22"/>
        </w:rPr>
        <w:t>fter surgical</w:t>
      </w:r>
      <w:r>
        <w:rPr>
          <w:rFonts w:hint="eastAsia"/>
          <w:sz w:val="22"/>
        </w:rPr>
        <w:t xml:space="preserve"> operation</w:t>
      </w:r>
    </w:p>
    <w:p w14:paraId="1E35D666" w14:textId="77777777" w:rsidR="009404C6" w:rsidRPr="009404C6" w:rsidRDefault="009404C6" w:rsidP="009404C6">
      <w:pPr>
        <w:numPr>
          <w:ilvl w:val="0"/>
          <w:numId w:val="1"/>
        </w:numPr>
      </w:pPr>
      <w:r w:rsidRPr="009404C6">
        <w:t>Willingness to participate in the study.</w:t>
      </w:r>
    </w:p>
    <w:p w14:paraId="126ECA58" w14:textId="4A0EF81C" w:rsidR="009404C6" w:rsidRPr="009404C6" w:rsidRDefault="009404C6" w:rsidP="009404C6">
      <w:r w:rsidRPr="009404C6">
        <w:rPr>
          <w:b/>
          <w:bCs/>
        </w:rPr>
        <w:t>1.3 Exclusion Criteria</w:t>
      </w:r>
    </w:p>
    <w:p w14:paraId="3F5549CA" w14:textId="77777777" w:rsidR="009404C6" w:rsidRPr="009404C6" w:rsidRDefault="009404C6" w:rsidP="009404C6">
      <w:pPr>
        <w:numPr>
          <w:ilvl w:val="0"/>
          <w:numId w:val="2"/>
        </w:numPr>
      </w:pPr>
      <w:r w:rsidRPr="009404C6">
        <w:t>History of psychiatric or psychological disorders, chronic dementia, intellectual disability, or communication difficulties;</w:t>
      </w:r>
    </w:p>
    <w:p w14:paraId="45FCB096" w14:textId="77777777" w:rsidR="009404C6" w:rsidRPr="009404C6" w:rsidRDefault="009404C6" w:rsidP="009404C6">
      <w:pPr>
        <w:numPr>
          <w:ilvl w:val="0"/>
          <w:numId w:val="2"/>
        </w:numPr>
      </w:pPr>
      <w:r w:rsidRPr="009404C6">
        <w:t>Multiple ICU admissions during the study period;</w:t>
      </w:r>
    </w:p>
    <w:p w14:paraId="0A0F3B0B" w14:textId="77777777" w:rsidR="009404C6" w:rsidRPr="009404C6" w:rsidRDefault="009404C6" w:rsidP="009404C6">
      <w:pPr>
        <w:numPr>
          <w:ilvl w:val="0"/>
          <w:numId w:val="2"/>
        </w:numPr>
      </w:pPr>
      <w:r w:rsidRPr="009404C6">
        <w:t>Death in the ICU, withdrawal from treatment, or discharge against medical advice;</w:t>
      </w:r>
    </w:p>
    <w:p w14:paraId="0558D297" w14:textId="77777777" w:rsidR="009404C6" w:rsidRPr="009404C6" w:rsidRDefault="009404C6" w:rsidP="009404C6">
      <w:pPr>
        <w:numPr>
          <w:ilvl w:val="0"/>
          <w:numId w:val="2"/>
        </w:numPr>
      </w:pPr>
      <w:r w:rsidRPr="009404C6">
        <w:t>Death during the study period.</w:t>
      </w:r>
    </w:p>
    <w:p w14:paraId="3EEF911B" w14:textId="77777777" w:rsidR="009404C6" w:rsidRDefault="009404C6" w:rsidP="009404C6">
      <w:pPr>
        <w:rPr>
          <w:b/>
          <w:bCs/>
        </w:rPr>
      </w:pPr>
    </w:p>
    <w:p w14:paraId="25298089" w14:textId="77777777" w:rsidR="006534A9" w:rsidRDefault="009404C6" w:rsidP="009404C6">
      <w:r w:rsidRPr="009404C6">
        <w:rPr>
          <w:b/>
          <w:bCs/>
        </w:rPr>
        <w:t>2 Research Indicators</w:t>
      </w:r>
      <w:r w:rsidRPr="009404C6">
        <w:t xml:space="preserve"> </w:t>
      </w:r>
      <w:r w:rsidR="006534A9">
        <w:rPr>
          <w:rFonts w:hint="eastAsia"/>
        </w:rPr>
        <w:t xml:space="preserve"> </w:t>
      </w:r>
    </w:p>
    <w:p w14:paraId="0C6DA1EA" w14:textId="2E6CF616" w:rsidR="009404C6" w:rsidRDefault="006534A9" w:rsidP="009404C6">
      <w:pPr>
        <w:rPr>
          <w:b/>
          <w:bCs/>
        </w:rPr>
      </w:pPr>
      <w:r w:rsidRPr="006534A9">
        <w:t>The risk factors for PICS involves the patient’s baseline conditions and pre-existing factors (including age, marital status, educational background, and work-life situation) and the second aspect involves the disease and ICU treatment conditions (such as disease severity and treatment measures)</w:t>
      </w:r>
    </w:p>
    <w:p w14:paraId="3B93AA2C" w14:textId="56A4D434" w:rsidR="009404C6" w:rsidRPr="009404C6" w:rsidRDefault="009404C6" w:rsidP="009404C6">
      <w:r w:rsidRPr="009404C6">
        <w:rPr>
          <w:b/>
          <w:bCs/>
        </w:rPr>
        <w:t>2.1 Demographic Data and Disease-Related Information</w:t>
      </w:r>
      <w:r w:rsidRPr="009404C6">
        <w:t xml:space="preserve"> This includes demographic and sociological data (gender, age, BMI, marital status, education level, living situation after ICU discharge, occupation, etc.), disease-related information (diagnosis at ICU discharge, liver enzyme levels at ICU admission and discharge, bilirubin levels at ICU admission and discharge, creatinine levels at ICU admission and discharge, Sequential Organ Failure Assessment scores, Acute Physiology and Chronic Health Evaluation scores, length of ICU stay, total hospital stay, mechanical ventilation treatment, hemodialysis treatment, sedation and analgesia medication and dosage, etc.).</w:t>
      </w:r>
    </w:p>
    <w:p w14:paraId="1F7B5E99" w14:textId="77777777" w:rsidR="009404C6" w:rsidRDefault="009404C6" w:rsidP="009404C6">
      <w:pPr>
        <w:rPr>
          <w:b/>
          <w:bCs/>
        </w:rPr>
      </w:pPr>
    </w:p>
    <w:p w14:paraId="2AF4201E" w14:textId="204F5BA4" w:rsidR="009404C6" w:rsidRPr="009404C6" w:rsidRDefault="009404C6" w:rsidP="009404C6">
      <w:r w:rsidRPr="009404C6">
        <w:rPr>
          <w:b/>
          <w:bCs/>
        </w:rPr>
        <w:lastRenderedPageBreak/>
        <w:t>2</w:t>
      </w:r>
      <w:r>
        <w:rPr>
          <w:rFonts w:hint="eastAsia"/>
          <w:b/>
          <w:bCs/>
        </w:rPr>
        <w:t>.</w:t>
      </w:r>
      <w:r w:rsidRPr="009404C6">
        <w:rPr>
          <w:b/>
          <w:bCs/>
        </w:rPr>
        <w:t>2 Scale Assessment</w:t>
      </w:r>
      <w:r w:rsidRPr="009404C6">
        <w:t xml:space="preserve"> Currently, there is no unified diagnostic tool for PICS. Instead, it is diagnosed by assessing the presence of cognitive, psychological, and physical impairments. If any of these impairments are present, PICS is diagnosed. In this study, we use the Chinese versions of the SF-36 (The 36-Item Short Form Health Survey) and the Short-Memory Questionnaire (SMQ) to assess the patients' conditions.</w:t>
      </w:r>
    </w:p>
    <w:p w14:paraId="4C883468" w14:textId="77777777" w:rsidR="009404C6" w:rsidRDefault="009404C6" w:rsidP="009404C6">
      <w:pPr>
        <w:rPr>
          <w:b/>
          <w:bCs/>
        </w:rPr>
      </w:pPr>
    </w:p>
    <w:p w14:paraId="1EC040D3" w14:textId="20112369" w:rsidR="009404C6" w:rsidRDefault="009404C6" w:rsidP="009404C6">
      <w:pPr>
        <w:rPr>
          <w:b/>
          <w:bCs/>
        </w:rPr>
      </w:pPr>
      <w:r>
        <w:rPr>
          <w:rFonts w:hint="eastAsia"/>
          <w:b/>
          <w:bCs/>
        </w:rPr>
        <w:t>3</w:t>
      </w:r>
      <w:r w:rsidRPr="009404C6">
        <w:rPr>
          <w:b/>
          <w:bCs/>
        </w:rPr>
        <w:t xml:space="preserve"> Data Collection and Assessment Tools</w:t>
      </w:r>
      <w:r w:rsidRPr="009404C6">
        <w:t xml:space="preserve"> </w:t>
      </w:r>
    </w:p>
    <w:p w14:paraId="7280F956" w14:textId="2AF1F13B" w:rsidR="009404C6" w:rsidRPr="009404C6" w:rsidRDefault="009404C6" w:rsidP="009404C6">
      <w:r w:rsidRPr="009404C6">
        <w:rPr>
          <w:b/>
          <w:bCs/>
        </w:rPr>
        <w:t>3.1 Electronic Medical Records System and Critical Care Nursing System</w:t>
      </w:r>
      <w:r w:rsidRPr="009404C6">
        <w:t xml:space="preserve"> Patient disease data and some personal information can be obtained through the electronic medical records system and the critical care nursing system in our hospital. This ensures the authenticity and objectivity of the data.</w:t>
      </w:r>
    </w:p>
    <w:p w14:paraId="6B0E5649" w14:textId="77777777" w:rsidR="009404C6" w:rsidRDefault="009404C6" w:rsidP="009404C6">
      <w:pPr>
        <w:rPr>
          <w:b/>
          <w:bCs/>
        </w:rPr>
      </w:pPr>
    </w:p>
    <w:p w14:paraId="58EA3B4C" w14:textId="3F0CD9DA" w:rsidR="009404C6" w:rsidRPr="009404C6" w:rsidRDefault="009404C6" w:rsidP="009404C6">
      <w:r w:rsidRPr="009404C6">
        <w:rPr>
          <w:b/>
          <w:bCs/>
        </w:rPr>
        <w:t>3.2 Assessment of Post-ICU Syndrome</w:t>
      </w:r>
      <w:r w:rsidRPr="009404C6">
        <w:t xml:space="preserve"> </w:t>
      </w:r>
      <w:r w:rsidRPr="009404C6">
        <w:rPr>
          <w:b/>
          <w:bCs/>
        </w:rPr>
        <w:t>Post-ICU Syndrome Diagnosis Criteria:</w:t>
      </w:r>
      <w:r w:rsidRPr="009404C6">
        <w:t xml:space="preserve"> Patients are diagnosed with post-ICU syndrome if they exhibit any one of the following: physical, psychological, or cognitive dysfunction.</w:t>
      </w:r>
    </w:p>
    <w:p w14:paraId="0A5020F4" w14:textId="77777777" w:rsidR="009404C6" w:rsidRDefault="009404C6" w:rsidP="009404C6">
      <w:pPr>
        <w:rPr>
          <w:b/>
          <w:bCs/>
        </w:rPr>
      </w:pPr>
    </w:p>
    <w:p w14:paraId="2CF1B18C" w14:textId="4ACBDFA9" w:rsidR="009404C6" w:rsidRPr="009404C6" w:rsidRDefault="009404C6" w:rsidP="009404C6">
      <w:r w:rsidRPr="009404C6">
        <w:rPr>
          <w:b/>
          <w:bCs/>
        </w:rPr>
        <w:t>Physiological and Psychological Function Assessment:</w:t>
      </w:r>
      <w:r w:rsidRPr="009404C6">
        <w:t xml:space="preserve"> The Chinese version of the SF-36 (Short Form 36 Health Survey Questionnaire) is a widely used standardized scale for evaluating health-related quality of life. It was developed by the Health Institute at the New England Medical Center in Boston, USA, in 1988. The scale comprehensively and objectively assesses health status, including 36 items across 8 health dimensions: physical functioning, role limitations due to physical health, bodily pain, general health perceptions, vitality, social functioning, role limitations due to emotional problems, and mental health. The total score ranges from 0 to 100, with higher scores indicating better health status. The SF-36 scores can be summarized into the Physical Component Scores (PCS) and the Mental Component Scores (MCS). Higher scores indicate better quality of life. In this study, a decrease in PCS score by more than 10 points indicates physical dysfunction, and a decrease in MCS score by more than 10 points indicates psychological dysfunction.</w:t>
      </w:r>
    </w:p>
    <w:p w14:paraId="4F3500A8" w14:textId="77777777" w:rsidR="009404C6" w:rsidRPr="009404C6" w:rsidRDefault="009404C6" w:rsidP="009404C6">
      <w:r w:rsidRPr="009404C6">
        <w:rPr>
          <w:b/>
          <w:bCs/>
        </w:rPr>
        <w:t>Cognitive Function Assessment:</w:t>
      </w:r>
      <w:r w:rsidRPr="009404C6">
        <w:t xml:space="preserve"> The Short-Memory Questionnaire (SMQ) is chosen for cognitive function assessment. While the MMSE is commonly used, it poses significant challenges for non-face-to-face follow-ups, especially for elderly patients, and some questions cannot be remotely assessed. The MoCA, although used in some studies, is too complex for telephone follow-ups. The SMQ, on the other hand, is simple and objective. Previous studies have shown that the SMQ has good specificity and </w:t>
      </w:r>
      <w:r w:rsidRPr="009404C6">
        <w:lastRenderedPageBreak/>
        <w:t>sensitivity in detecting cognitive impairments and correlates well with the MMSE. Furthermore, it has good inter-rater reliability among professionals from various fields (including neuropsychiatrists, nurses, clinical psychologists, occupational therapists, and neurologists). Therefore, we use the SMQ for follow-up and data collection, with a total score of 46. A score drop below 40 indicates cognitive impairment.</w:t>
      </w:r>
    </w:p>
    <w:p w14:paraId="5A518255" w14:textId="77777777" w:rsidR="009404C6" w:rsidRDefault="009404C6" w:rsidP="009404C6">
      <w:pPr>
        <w:rPr>
          <w:b/>
          <w:bCs/>
        </w:rPr>
      </w:pPr>
    </w:p>
    <w:p w14:paraId="3F66FABB" w14:textId="3A39E6A1" w:rsidR="009404C6" w:rsidRPr="009404C6" w:rsidRDefault="009404C6" w:rsidP="009404C6">
      <w:r w:rsidRPr="009404C6">
        <w:rPr>
          <w:b/>
          <w:bCs/>
        </w:rPr>
        <w:t>4 Research Steps</w:t>
      </w:r>
      <w:r w:rsidRPr="009404C6">
        <w:t xml:space="preserve"> General and disease-related data of patients are obtained by the researchers through reviewing the electronic medical records and nursing systems. Additionally, at 1 month, 3 months, and 6 months after ICU discharge, researchers conduct interviews, telephone calls, and WeChat follow-ups to complete the SF-36 and SMQ assessments. In addition to traditional paper questionnaires, we also created electronic versions for convenient follow-up and to track patient survival status. If the patient is unable to complete the questionnaire, a close family member who lives with the patient can fill it out on their behalf. The follow-up questionnaires include an option to indicate whether they were filled out by the patient or by a proxy.</w:t>
      </w:r>
    </w:p>
    <w:p w14:paraId="2CFB19C2" w14:textId="77777777" w:rsidR="009404C6" w:rsidRDefault="009404C6" w:rsidP="009404C6">
      <w:pPr>
        <w:rPr>
          <w:b/>
          <w:bCs/>
        </w:rPr>
      </w:pPr>
    </w:p>
    <w:p w14:paraId="64BE9E5B" w14:textId="77777777" w:rsidR="006534A9" w:rsidRPr="006534A9" w:rsidRDefault="009404C6" w:rsidP="006534A9">
      <w:pPr>
        <w:spacing w:line="360" w:lineRule="auto"/>
        <w:ind w:firstLineChars="150" w:firstLine="361"/>
      </w:pPr>
      <w:r w:rsidRPr="009404C6">
        <w:rPr>
          <w:b/>
          <w:bCs/>
        </w:rPr>
        <w:t>5 Statistical Methods and Data Management</w:t>
      </w:r>
      <w:r w:rsidRPr="009404C6">
        <w:t xml:space="preserve"> </w:t>
      </w:r>
      <w:r w:rsidR="006534A9" w:rsidRPr="006534A9">
        <w:t xml:space="preserve">Continuous data with a normal distribution are presented as mean (standard deviation), while continuous data without a normal distribution are presented as median and interquartile range. Categorical data are presented as frequency and percentage. For group comparisons, continuous data with a normal distribution were analyzed using the independent samples t-test, while continuous data without a normal distribution were analyzed using the Mann-Whitney U test. Categorical data were analyzed using the chi-square test. To further explore the risk factors for PICS, variables with a p-value less than 0.1 in the univariate analysis, as well as variables considered potentially relevant to PICS based on clinical experience and previous research by two clinicians, were included in the multivariate regression model. The risk of PICS is presented as odds ratio (OR) and 95% confidence interval (CI). Additionally, to determine whether ICU length of stay could serve as an indicator for identifying PICS, we used Receiver Operating Characteristic (ROC) curve analysis. The area under the ROC curve (AUC) was calculated to quantify the overall ability of the variable to discriminate between patients with and without PICS. An AUC value closer to 1 indicates better discriminative ability, while a value closer to 0.5 indicates </w:t>
      </w:r>
      <w:r w:rsidR="006534A9" w:rsidRPr="006534A9">
        <w:lastRenderedPageBreak/>
        <w:t>no discriminative ability. Sensitivity and specificity values were determined at various thresholds to identify the optimal cutoff point for predicting PICS.</w:t>
      </w:r>
      <w:r w:rsidR="006534A9" w:rsidRPr="006534A9">
        <w:rPr>
          <w:rFonts w:hint="eastAsia"/>
        </w:rPr>
        <w:t xml:space="preserve"> </w:t>
      </w:r>
      <w:r w:rsidR="006534A9" w:rsidRPr="006534A9">
        <w:t xml:space="preserve">The above content has been refined and included in the statistical methods section. </w:t>
      </w:r>
      <w:r w:rsidR="006534A9" w:rsidRPr="009F1BAB">
        <w:t>Data analysis was performed using R (version R-4.1.2) and GraphPad Prism (version 9.5).</w:t>
      </w:r>
      <w:r w:rsidR="006534A9">
        <w:rPr>
          <w:rFonts w:hint="eastAsia"/>
        </w:rPr>
        <w:t xml:space="preserve"> </w:t>
      </w:r>
      <w:r w:rsidR="006534A9" w:rsidRPr="006534A9">
        <w:t>The differences with P value less than 0.05 (two-sided) were considered statistically significant.</w:t>
      </w:r>
    </w:p>
    <w:p w14:paraId="6CADBFA2" w14:textId="7FCDED4F" w:rsidR="009404C6" w:rsidRPr="009404C6" w:rsidRDefault="009404C6" w:rsidP="009404C6"/>
    <w:p w14:paraId="7A84916C" w14:textId="77777777" w:rsidR="009404C6" w:rsidRDefault="009404C6" w:rsidP="009404C6">
      <w:pPr>
        <w:rPr>
          <w:b/>
          <w:bCs/>
        </w:rPr>
      </w:pPr>
    </w:p>
    <w:p w14:paraId="609D92AD" w14:textId="14CC3E73" w:rsidR="009404C6" w:rsidRPr="009404C6" w:rsidRDefault="009404C6" w:rsidP="009404C6">
      <w:r w:rsidRPr="009404C6">
        <w:rPr>
          <w:b/>
          <w:bCs/>
        </w:rPr>
        <w:t>6 Quality Control</w:t>
      </w:r>
      <w:r w:rsidRPr="009404C6">
        <w:t xml:space="preserve"> In the preliminary stage, relevant domestic and international research literature was extensively reviewed to understand the current research status. The study design ensures rationality and scientific validity. A pre-experiment was conducted before the formal study to ensure smooth implementation of each step. During the data collection phase, strict inclusion and exclusion criteria were followed. Double data entry was employed, with two researchers independently entering the same data and then comparing for consistency. Discrepancies were checked, and any data changes and entries were recorded for traceability in case of data issues. During the statistical analysis phase, professional statisticians were consulted in real-time, and scientific and reasonable statistical methods were used for data analysis.</w:t>
      </w:r>
    </w:p>
    <w:p w14:paraId="44DFEF21" w14:textId="77777777" w:rsidR="00F447AF" w:rsidRPr="009404C6" w:rsidRDefault="00F447AF"/>
    <w:sectPr w:rsidR="00F447AF" w:rsidRPr="009404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30B4E" w14:textId="77777777" w:rsidR="00B220C2" w:rsidRDefault="00B220C2" w:rsidP="003B3054">
      <w:pPr>
        <w:spacing w:line="240" w:lineRule="auto"/>
      </w:pPr>
      <w:r>
        <w:separator/>
      </w:r>
    </w:p>
  </w:endnote>
  <w:endnote w:type="continuationSeparator" w:id="0">
    <w:p w14:paraId="76E3A4DA" w14:textId="77777777" w:rsidR="00B220C2" w:rsidRDefault="00B220C2" w:rsidP="003B30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F05F1" w14:textId="77777777" w:rsidR="00B220C2" w:rsidRDefault="00B220C2" w:rsidP="003B3054">
      <w:pPr>
        <w:spacing w:line="240" w:lineRule="auto"/>
      </w:pPr>
      <w:r>
        <w:separator/>
      </w:r>
    </w:p>
  </w:footnote>
  <w:footnote w:type="continuationSeparator" w:id="0">
    <w:p w14:paraId="7EEBF260" w14:textId="77777777" w:rsidR="00B220C2" w:rsidRDefault="00B220C2" w:rsidP="003B30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20198"/>
    <w:multiLevelType w:val="multilevel"/>
    <w:tmpl w:val="9F506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715E5"/>
    <w:multiLevelType w:val="multilevel"/>
    <w:tmpl w:val="52D8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2477723">
    <w:abstractNumId w:val="0"/>
  </w:num>
  <w:num w:numId="2" w16cid:durableId="1119835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C6"/>
    <w:rsid w:val="003B3054"/>
    <w:rsid w:val="006534A9"/>
    <w:rsid w:val="00874C4C"/>
    <w:rsid w:val="00921B06"/>
    <w:rsid w:val="009404C6"/>
    <w:rsid w:val="00B220C2"/>
    <w:rsid w:val="00C004FE"/>
    <w:rsid w:val="00D90A2E"/>
    <w:rsid w:val="00E42840"/>
    <w:rsid w:val="00F44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F65EC"/>
  <w15:chartTrackingRefBased/>
  <w15:docId w15:val="{AC9E18F0-A621-49F6-87AC-44718777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4C6"/>
    <w:pPr>
      <w:tabs>
        <w:tab w:val="left" w:pos="377"/>
      </w:tabs>
      <w:spacing w:line="300" w:lineRule="auto"/>
      <w:jc w:val="both"/>
    </w:pPr>
    <w:rPr>
      <w:rFonts w:ascii="Times New Roman" w:eastAsia="宋体" w:hAnsi="Times New Roman" w:cs="Times New Roman"/>
      <w:kern w:val="0"/>
      <w:sz w:val="24"/>
      <w:szCs w:val="24"/>
      <w14:ligatures w14:val="none"/>
    </w:rPr>
  </w:style>
  <w:style w:type="paragraph" w:styleId="1">
    <w:name w:val="heading 1"/>
    <w:basedOn w:val="a"/>
    <w:next w:val="a"/>
    <w:link w:val="10"/>
    <w:qFormat/>
    <w:rsid w:val="009404C6"/>
    <w:pPr>
      <w:keepNext/>
      <w:keepLines/>
      <w:spacing w:after="220" w:line="360" w:lineRule="auto"/>
      <w:outlineLvl w:val="0"/>
    </w:pPr>
    <w:rPr>
      <w:rFonts w:ascii="黑体" w:eastAsia="黑体"/>
      <w:bCs/>
      <w:kern w:val="44"/>
      <w:sz w:val="30"/>
      <w:szCs w:val="30"/>
    </w:rPr>
  </w:style>
  <w:style w:type="paragraph" w:styleId="2">
    <w:name w:val="heading 2"/>
    <w:basedOn w:val="a"/>
    <w:next w:val="a"/>
    <w:link w:val="20"/>
    <w:qFormat/>
    <w:rsid w:val="009404C6"/>
    <w:pPr>
      <w:keepNext/>
      <w:keepLines/>
      <w:spacing w:beforeLines="50" w:before="50" w:line="360" w:lineRule="auto"/>
      <w:outlineLvl w:val="1"/>
    </w:pPr>
    <w:rPr>
      <w:rFonts w:ascii="黑体" w:eastAsia="黑体"/>
      <w:bCs/>
      <w:sz w:val="28"/>
      <w:szCs w:val="28"/>
    </w:rPr>
  </w:style>
  <w:style w:type="paragraph" w:styleId="3">
    <w:name w:val="heading 3"/>
    <w:basedOn w:val="a"/>
    <w:next w:val="a"/>
    <w:link w:val="30"/>
    <w:qFormat/>
    <w:rsid w:val="009404C6"/>
    <w:pPr>
      <w:keepNext/>
      <w:keepLines/>
      <w:spacing w:beforeLines="50" w:before="50" w:line="360" w:lineRule="auto"/>
      <w:outlineLvl w:val="2"/>
    </w:pPr>
    <w:rPr>
      <w:rFonts w:ascii="黑体" w:eastAsia="黑体"/>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9404C6"/>
    <w:rPr>
      <w:rFonts w:ascii="黑体" w:eastAsia="黑体" w:hAnsi="Times New Roman" w:cs="Times New Roman"/>
      <w:bCs/>
      <w:kern w:val="44"/>
      <w:sz w:val="30"/>
      <w:szCs w:val="30"/>
      <w14:ligatures w14:val="none"/>
    </w:rPr>
  </w:style>
  <w:style w:type="character" w:customStyle="1" w:styleId="20">
    <w:name w:val="标题 2 字符"/>
    <w:basedOn w:val="a0"/>
    <w:link w:val="2"/>
    <w:rsid w:val="009404C6"/>
    <w:rPr>
      <w:rFonts w:ascii="黑体" w:eastAsia="黑体" w:hAnsi="Times New Roman" w:cs="Times New Roman"/>
      <w:bCs/>
      <w:kern w:val="0"/>
      <w:sz w:val="28"/>
      <w:szCs w:val="28"/>
      <w14:ligatures w14:val="none"/>
    </w:rPr>
  </w:style>
  <w:style w:type="character" w:customStyle="1" w:styleId="30">
    <w:name w:val="标题 3 字符"/>
    <w:basedOn w:val="a0"/>
    <w:link w:val="3"/>
    <w:rsid w:val="009404C6"/>
    <w:rPr>
      <w:rFonts w:ascii="黑体" w:eastAsia="黑体" w:hAnsi="Times New Roman" w:cs="Times New Roman"/>
      <w:bCs/>
      <w:kern w:val="0"/>
      <w:sz w:val="24"/>
      <w:szCs w:val="32"/>
      <w14:ligatures w14:val="none"/>
    </w:rPr>
  </w:style>
  <w:style w:type="paragraph" w:styleId="a3">
    <w:name w:val="List Paragraph"/>
    <w:basedOn w:val="a"/>
    <w:uiPriority w:val="34"/>
    <w:qFormat/>
    <w:rsid w:val="009404C6"/>
    <w:pPr>
      <w:tabs>
        <w:tab w:val="clear" w:pos="377"/>
      </w:tabs>
      <w:spacing w:line="240" w:lineRule="auto"/>
      <w:ind w:firstLineChars="200" w:firstLine="420"/>
      <w:jc w:val="left"/>
    </w:pPr>
    <w:rPr>
      <w:rFonts w:eastAsia="等线"/>
    </w:rPr>
  </w:style>
  <w:style w:type="paragraph" w:styleId="a4">
    <w:name w:val="header"/>
    <w:basedOn w:val="a"/>
    <w:link w:val="a5"/>
    <w:uiPriority w:val="99"/>
    <w:unhideWhenUsed/>
    <w:rsid w:val="003B3054"/>
    <w:pPr>
      <w:tabs>
        <w:tab w:val="clear" w:pos="377"/>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3B3054"/>
    <w:rPr>
      <w:rFonts w:ascii="Times New Roman" w:eastAsia="宋体" w:hAnsi="Times New Roman" w:cs="Times New Roman"/>
      <w:kern w:val="0"/>
      <w:sz w:val="18"/>
      <w:szCs w:val="18"/>
      <w14:ligatures w14:val="none"/>
    </w:rPr>
  </w:style>
  <w:style w:type="paragraph" w:styleId="a6">
    <w:name w:val="footer"/>
    <w:basedOn w:val="a"/>
    <w:link w:val="a7"/>
    <w:uiPriority w:val="99"/>
    <w:unhideWhenUsed/>
    <w:rsid w:val="003B3054"/>
    <w:pPr>
      <w:tabs>
        <w:tab w:val="clear" w:pos="377"/>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3B3054"/>
    <w:rPr>
      <w:rFonts w:ascii="Times New Roman" w:eastAsia="宋体"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94492">
      <w:bodyDiv w:val="1"/>
      <w:marLeft w:val="0"/>
      <w:marRight w:val="0"/>
      <w:marTop w:val="0"/>
      <w:marBottom w:val="0"/>
      <w:divBdr>
        <w:top w:val="none" w:sz="0" w:space="0" w:color="auto"/>
        <w:left w:val="none" w:sz="0" w:space="0" w:color="auto"/>
        <w:bottom w:val="none" w:sz="0" w:space="0" w:color="auto"/>
        <w:right w:val="none" w:sz="0" w:space="0" w:color="auto"/>
      </w:divBdr>
      <w:divsChild>
        <w:div w:id="85925036">
          <w:marLeft w:val="0"/>
          <w:marRight w:val="0"/>
          <w:marTop w:val="0"/>
          <w:marBottom w:val="0"/>
          <w:divBdr>
            <w:top w:val="none" w:sz="0" w:space="0" w:color="auto"/>
            <w:left w:val="none" w:sz="0" w:space="0" w:color="auto"/>
            <w:bottom w:val="none" w:sz="0" w:space="0" w:color="auto"/>
            <w:right w:val="none" w:sz="0" w:space="0" w:color="auto"/>
          </w:divBdr>
          <w:divsChild>
            <w:div w:id="344207924">
              <w:marLeft w:val="0"/>
              <w:marRight w:val="0"/>
              <w:marTop w:val="0"/>
              <w:marBottom w:val="0"/>
              <w:divBdr>
                <w:top w:val="none" w:sz="0" w:space="0" w:color="auto"/>
                <w:left w:val="none" w:sz="0" w:space="0" w:color="auto"/>
                <w:bottom w:val="none" w:sz="0" w:space="0" w:color="auto"/>
                <w:right w:val="none" w:sz="0" w:space="0" w:color="auto"/>
              </w:divBdr>
              <w:divsChild>
                <w:div w:id="2072851513">
                  <w:marLeft w:val="0"/>
                  <w:marRight w:val="0"/>
                  <w:marTop w:val="0"/>
                  <w:marBottom w:val="0"/>
                  <w:divBdr>
                    <w:top w:val="none" w:sz="0" w:space="0" w:color="auto"/>
                    <w:left w:val="none" w:sz="0" w:space="0" w:color="auto"/>
                    <w:bottom w:val="none" w:sz="0" w:space="0" w:color="auto"/>
                    <w:right w:val="none" w:sz="0" w:space="0" w:color="auto"/>
                  </w:divBdr>
                  <w:divsChild>
                    <w:div w:id="1984046096">
                      <w:marLeft w:val="0"/>
                      <w:marRight w:val="0"/>
                      <w:marTop w:val="0"/>
                      <w:marBottom w:val="0"/>
                      <w:divBdr>
                        <w:top w:val="none" w:sz="0" w:space="0" w:color="auto"/>
                        <w:left w:val="none" w:sz="0" w:space="0" w:color="auto"/>
                        <w:bottom w:val="none" w:sz="0" w:space="0" w:color="auto"/>
                        <w:right w:val="none" w:sz="0" w:space="0" w:color="auto"/>
                      </w:divBdr>
                      <w:divsChild>
                        <w:div w:id="671955538">
                          <w:marLeft w:val="0"/>
                          <w:marRight w:val="0"/>
                          <w:marTop w:val="0"/>
                          <w:marBottom w:val="0"/>
                          <w:divBdr>
                            <w:top w:val="none" w:sz="0" w:space="0" w:color="auto"/>
                            <w:left w:val="none" w:sz="0" w:space="0" w:color="auto"/>
                            <w:bottom w:val="none" w:sz="0" w:space="0" w:color="auto"/>
                            <w:right w:val="none" w:sz="0" w:space="0" w:color="auto"/>
                          </w:divBdr>
                          <w:divsChild>
                            <w:div w:id="1708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36594">
      <w:bodyDiv w:val="1"/>
      <w:marLeft w:val="0"/>
      <w:marRight w:val="0"/>
      <w:marTop w:val="0"/>
      <w:marBottom w:val="0"/>
      <w:divBdr>
        <w:top w:val="none" w:sz="0" w:space="0" w:color="auto"/>
        <w:left w:val="none" w:sz="0" w:space="0" w:color="auto"/>
        <w:bottom w:val="none" w:sz="0" w:space="0" w:color="auto"/>
        <w:right w:val="none" w:sz="0" w:space="0" w:color="auto"/>
      </w:divBdr>
      <w:divsChild>
        <w:div w:id="561059969">
          <w:marLeft w:val="0"/>
          <w:marRight w:val="0"/>
          <w:marTop w:val="0"/>
          <w:marBottom w:val="0"/>
          <w:divBdr>
            <w:top w:val="none" w:sz="0" w:space="0" w:color="auto"/>
            <w:left w:val="none" w:sz="0" w:space="0" w:color="auto"/>
            <w:bottom w:val="none" w:sz="0" w:space="0" w:color="auto"/>
            <w:right w:val="none" w:sz="0" w:space="0" w:color="auto"/>
          </w:divBdr>
          <w:divsChild>
            <w:div w:id="390083368">
              <w:marLeft w:val="0"/>
              <w:marRight w:val="0"/>
              <w:marTop w:val="0"/>
              <w:marBottom w:val="0"/>
              <w:divBdr>
                <w:top w:val="none" w:sz="0" w:space="0" w:color="auto"/>
                <w:left w:val="none" w:sz="0" w:space="0" w:color="auto"/>
                <w:bottom w:val="none" w:sz="0" w:space="0" w:color="auto"/>
                <w:right w:val="none" w:sz="0" w:space="0" w:color="auto"/>
              </w:divBdr>
              <w:divsChild>
                <w:div w:id="1544515292">
                  <w:marLeft w:val="0"/>
                  <w:marRight w:val="0"/>
                  <w:marTop w:val="0"/>
                  <w:marBottom w:val="0"/>
                  <w:divBdr>
                    <w:top w:val="none" w:sz="0" w:space="0" w:color="auto"/>
                    <w:left w:val="none" w:sz="0" w:space="0" w:color="auto"/>
                    <w:bottom w:val="none" w:sz="0" w:space="0" w:color="auto"/>
                    <w:right w:val="none" w:sz="0" w:space="0" w:color="auto"/>
                  </w:divBdr>
                  <w:divsChild>
                    <w:div w:id="1211334407">
                      <w:marLeft w:val="0"/>
                      <w:marRight w:val="0"/>
                      <w:marTop w:val="0"/>
                      <w:marBottom w:val="0"/>
                      <w:divBdr>
                        <w:top w:val="none" w:sz="0" w:space="0" w:color="auto"/>
                        <w:left w:val="none" w:sz="0" w:space="0" w:color="auto"/>
                        <w:bottom w:val="none" w:sz="0" w:space="0" w:color="auto"/>
                        <w:right w:val="none" w:sz="0" w:space="0" w:color="auto"/>
                      </w:divBdr>
                      <w:divsChild>
                        <w:div w:id="1491870237">
                          <w:marLeft w:val="0"/>
                          <w:marRight w:val="0"/>
                          <w:marTop w:val="0"/>
                          <w:marBottom w:val="0"/>
                          <w:divBdr>
                            <w:top w:val="none" w:sz="0" w:space="0" w:color="auto"/>
                            <w:left w:val="none" w:sz="0" w:space="0" w:color="auto"/>
                            <w:bottom w:val="none" w:sz="0" w:space="0" w:color="auto"/>
                            <w:right w:val="none" w:sz="0" w:space="0" w:color="auto"/>
                          </w:divBdr>
                          <w:divsChild>
                            <w:div w:id="19312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1207</Words>
  <Characters>6884</Characters>
  <Application>Microsoft Office Word</Application>
  <DocSecurity>0</DocSecurity>
  <Lines>57</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 Lui</dc:creator>
  <cp:keywords/>
  <dc:description/>
  <cp:lastModifiedBy>KY Lui</cp:lastModifiedBy>
  <cp:revision>2</cp:revision>
  <dcterms:created xsi:type="dcterms:W3CDTF">2024-11-06T02:13:00Z</dcterms:created>
  <dcterms:modified xsi:type="dcterms:W3CDTF">2024-11-06T02:13:00Z</dcterms:modified>
</cp:coreProperties>
</file>