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uto"/>
        <w:jc w:val="center"/>
        <w:rPr>
          <w:rFonts w:hint="default" w:ascii="Times New Roman" w:hAnsi="Times New Roman" w:cs="Times New Roman" w:eastAsiaTheme="minorEastAsia"/>
          <w:b/>
          <w:bCs/>
          <w:color w:val="000000"/>
          <w:szCs w:val="24"/>
        </w:rPr>
      </w:pPr>
      <w:r>
        <w:rPr>
          <w:rFonts w:hint="default" w:ascii="Times New Roman" w:hAnsi="Times New Roman" w:cs="Times New Roman" w:eastAsiaTheme="minorEastAsia"/>
          <w:b/>
          <w:bCs/>
          <w:color w:val="000000"/>
          <w:szCs w:val="24"/>
        </w:rPr>
        <w:t>Supplemental Materials</w:t>
      </w:r>
    </w:p>
    <w:p>
      <w:pPr>
        <w:spacing w:line="480" w:lineRule="auto"/>
        <w:rPr>
          <w:rFonts w:hint="default" w:ascii="Times New Roman" w:hAnsi="Times New Roman" w:cs="Times New Roman" w:eastAsiaTheme="minorEastAsia"/>
          <w:color w:val="000000"/>
          <w:szCs w:val="24"/>
        </w:rPr>
      </w:pPr>
      <w:r>
        <w:rPr>
          <w:rFonts w:hint="default" w:ascii="Times New Roman" w:hAnsi="Times New Roman" w:cs="Times New Roman" w:eastAsiaTheme="minorEastAsia"/>
          <w:color w:val="000000"/>
          <w:szCs w:val="24"/>
        </w:rPr>
        <w:t>Figures</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Fig. S1. Comparison of terpenes based on MetS and its components groups.</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Fig. S2. Terpenes distribution ridge map and Spearman correlation matrix for various diagnostic components of MetS.</w:t>
      </w: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r>
        <w:rPr>
          <w:rFonts w:hint="default" w:ascii="Times New Roman" w:hAnsi="Times New Roman" w:cs="Times New Roman" w:eastAsiaTheme="minorEastAsia"/>
          <w:b w:val="0"/>
          <w:bCs w:val="0"/>
          <w:color w:val="000000" w:themeColor="text1"/>
          <w:szCs w:val="24"/>
          <w14:textFill>
            <w14:solidFill>
              <w14:schemeClr w14:val="tx1"/>
            </w14:solidFill>
          </w14:textFill>
        </w:rPr>
        <w:t>Fig. S3. Association of terpenes exposure with MetS components.</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 xml:space="preserve">Fig. S4. </w:t>
      </w:r>
      <w:r>
        <w:rPr>
          <w:rFonts w:hint="default" w:ascii="Times New Roman" w:hAnsi="Times New Roman" w:cs="Times New Roman" w:eastAsiaTheme="minorEastAsia"/>
          <w:b w:val="0"/>
          <w:bCs w:val="0"/>
          <w:color w:val="000000" w:themeColor="text1"/>
          <w:szCs w:val="24"/>
          <w14:textFill>
            <w14:solidFill>
              <w14:schemeClr w14:val="tx1"/>
            </w14:solidFill>
          </w14:textFill>
        </w:rPr>
        <w:t>Asso</w:t>
      </w:r>
      <w:r>
        <w:rPr>
          <w:rFonts w:hint="default" w:ascii="Times New Roman" w:hAnsi="Times New Roman" w:cs="Times New Roman" w:eastAsiaTheme="minorEastAsia"/>
          <w:b w:val="0"/>
          <w:bCs w:val="0"/>
          <w:color w:val="000000"/>
          <w:szCs w:val="24"/>
        </w:rPr>
        <w:t xml:space="preserve">ciation between </w:t>
      </w:r>
      <w:r>
        <w:rPr>
          <w:rFonts w:hint="default" w:ascii="Times New Roman" w:hAnsi="Times New Roman" w:cs="Times New Roman" w:eastAsiaTheme="minorEastAsia"/>
          <w:b w:val="0"/>
          <w:bCs w:val="0"/>
          <w:szCs w:val="24"/>
        </w:rPr>
        <w:t xml:space="preserve">terpenes </w:t>
      </w:r>
      <w:r>
        <w:rPr>
          <w:rFonts w:hint="default" w:ascii="Times New Roman" w:hAnsi="Times New Roman" w:cs="Times New Roman" w:eastAsiaTheme="minorEastAsia"/>
          <w:b w:val="0"/>
          <w:bCs w:val="0"/>
          <w:color w:val="000000"/>
          <w:szCs w:val="24"/>
        </w:rPr>
        <w:t>and MetS components estimated by</w:t>
      </w:r>
      <w:r>
        <w:rPr>
          <w:rFonts w:hint="default" w:ascii="Times New Roman" w:hAnsi="Times New Roman" w:cs="Times New Roman"/>
          <w:b w:val="0"/>
          <w:bCs w:val="0"/>
          <w:szCs w:val="24"/>
        </w:rPr>
        <w:t xml:space="preserve"> Qgcmop.</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themeColor="text1"/>
          <w:szCs w:val="24"/>
          <w14:textFill>
            <w14:solidFill>
              <w14:schemeClr w14:val="tx1"/>
            </w14:solidFill>
          </w14:textFill>
        </w:rPr>
        <w:t>Fig. S5. Asso</w:t>
      </w:r>
      <w:r>
        <w:rPr>
          <w:rFonts w:hint="default" w:ascii="Times New Roman" w:hAnsi="Times New Roman" w:cs="Times New Roman" w:eastAsiaTheme="minorEastAsia"/>
          <w:b w:val="0"/>
          <w:bCs w:val="0"/>
          <w:color w:val="000000"/>
          <w:szCs w:val="24"/>
        </w:rPr>
        <w:t xml:space="preserve">ciation of </w:t>
      </w:r>
      <w:r>
        <w:rPr>
          <w:rFonts w:hint="default" w:ascii="Times New Roman" w:hAnsi="Times New Roman" w:cs="Times New Roman" w:eastAsiaTheme="minorEastAsia"/>
          <w:b w:val="0"/>
          <w:bCs w:val="0"/>
          <w:szCs w:val="24"/>
        </w:rPr>
        <w:t xml:space="preserve">terpenes </w:t>
      </w:r>
      <w:r>
        <w:rPr>
          <w:rFonts w:hint="default" w:ascii="Times New Roman" w:hAnsi="Times New Roman" w:cs="Times New Roman" w:eastAsiaTheme="minorEastAsia"/>
          <w:b w:val="0"/>
          <w:bCs w:val="0"/>
          <w:color w:val="000000"/>
          <w:szCs w:val="24"/>
        </w:rPr>
        <w:t>with MetS and components estimated by BKMR.</w:t>
      </w: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r>
        <w:rPr>
          <w:rFonts w:hint="default" w:ascii="Times New Roman" w:hAnsi="Times New Roman" w:cs="Times New Roman" w:eastAsiaTheme="minorEastAsia"/>
          <w:b w:val="0"/>
          <w:bCs w:val="0"/>
          <w:color w:val="000000" w:themeColor="text1"/>
          <w:szCs w:val="24"/>
          <w14:textFill>
            <w14:solidFill>
              <w14:schemeClr w14:val="tx1"/>
            </w14:solidFill>
          </w14:textFill>
        </w:rPr>
        <w:t>Fig. S6. Mediation of HOMA-IR between terpenes exposure and MetS components.</w:t>
      </w: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r>
        <w:rPr>
          <w:rFonts w:hint="default" w:ascii="Times New Roman" w:hAnsi="Times New Roman" w:cs="Times New Roman" w:eastAsiaTheme="minorEastAsia"/>
          <w:b w:val="0"/>
          <w:bCs w:val="0"/>
          <w:color w:val="000000" w:themeColor="text1"/>
          <w:szCs w:val="24"/>
          <w14:textFill>
            <w14:solidFill>
              <w14:schemeClr w14:val="tx1"/>
            </w14:solidFill>
          </w14:textFill>
        </w:rPr>
        <w:t>Fig. S7. Mediating effects of TyG between terpenes exposure and MetS components.</w:t>
      </w:r>
    </w:p>
    <w:p>
      <w:pPr>
        <w:spacing w:line="480" w:lineRule="auto"/>
        <w:rPr>
          <w:rFonts w:hint="default" w:ascii="Times New Roman" w:hAnsi="Times New Roman" w:cs="Times New Roman" w:eastAsiaTheme="minorEastAsia"/>
          <w:b w:val="0"/>
          <w:bCs w:val="0"/>
          <w:color w:val="000000" w:themeColor="text1"/>
          <w:szCs w:val="24"/>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Cs w:val="24"/>
          <w:lang w:val="en-US" w:eastAsia="zh-CN"/>
          <w14:textFill>
            <w14:solidFill>
              <w14:schemeClr w14:val="tx1"/>
            </w14:solidFill>
          </w14:textFill>
        </w:rPr>
        <w:t xml:space="preserve">Fig. S8. Restricted cubic spline figures of single terpenes exposure, HOMA-IR and </w:t>
      </w:r>
      <w:r>
        <w:rPr>
          <w:rFonts w:hint="default" w:ascii="Times New Roman" w:hAnsi="Times New Roman" w:cs="Times New Roman" w:eastAsiaTheme="minorEastAsia"/>
          <w:b w:val="0"/>
          <w:bCs w:val="0"/>
          <w:color w:val="000000" w:themeColor="text1"/>
          <w:szCs w:val="24"/>
          <w14:textFill>
            <w14:solidFill>
              <w14:schemeClr w14:val="tx1"/>
            </w14:solidFill>
          </w14:textFill>
        </w:rPr>
        <w:t>MetS</w:t>
      </w:r>
      <w:r>
        <w:rPr>
          <w:rFonts w:hint="default" w:ascii="Times New Roman" w:hAnsi="Times New Roman" w:cs="Times New Roman" w:eastAsiaTheme="minorEastAsia"/>
          <w:b w:val="0"/>
          <w:bCs w:val="0"/>
          <w:color w:val="000000" w:themeColor="text1"/>
          <w:szCs w:val="24"/>
          <w:lang w:val="en-US" w:eastAsia="zh-CN"/>
          <w14:textFill>
            <w14:solidFill>
              <w14:schemeClr w14:val="tx1"/>
            </w14:solidFill>
          </w14:textFill>
        </w:rPr>
        <w:t>.</w:t>
      </w:r>
    </w:p>
    <w:p>
      <w:pPr>
        <w:spacing w:line="480" w:lineRule="auto"/>
        <w:rPr>
          <w:rFonts w:hint="default" w:ascii="Times New Roman" w:hAnsi="Times New Roman" w:cs="Times New Roman" w:eastAsiaTheme="minorEastAsia"/>
          <w:b w:val="0"/>
          <w:bCs w:val="0"/>
          <w:color w:val="000000" w:themeColor="text1"/>
          <w:szCs w:val="24"/>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Cs w:val="24"/>
          <w:lang w:val="en-US" w:eastAsia="zh-CN"/>
          <w14:textFill>
            <w14:solidFill>
              <w14:schemeClr w14:val="tx1"/>
            </w14:solidFill>
          </w14:textFill>
        </w:rPr>
        <w:t xml:space="preserve">Fig. S9. </w:t>
      </w:r>
      <w:r>
        <w:rPr>
          <w:rFonts w:hint="default" w:ascii="Times New Roman" w:hAnsi="Times New Roman" w:cs="Times New Roman" w:eastAsiaTheme="minorEastAsia"/>
          <w:b w:val="0"/>
          <w:bCs w:val="0"/>
          <w:szCs w:val="24"/>
          <w:lang w:val="en-US" w:eastAsia="zh-CN"/>
        </w:rPr>
        <w:t>Directed acyclic graph illustrating identification of potential confounders between terpenes, IR and MetS.</w:t>
      </w:r>
    </w:p>
    <w:p>
      <w:pPr>
        <w:rPr>
          <w:rFonts w:hint="default" w:ascii="Times New Roman" w:hAnsi="Times New Roman" w:cs="Times New Roman" w:eastAsiaTheme="minorEastAsia"/>
          <w:color w:val="000000"/>
          <w:szCs w:val="24"/>
        </w:rPr>
      </w:pPr>
      <w:r>
        <w:rPr>
          <w:rFonts w:hint="default" w:ascii="Times New Roman" w:hAnsi="Times New Roman" w:cs="Times New Roman" w:eastAsiaTheme="minorEastAsia"/>
          <w:color w:val="000000"/>
          <w:szCs w:val="24"/>
        </w:rPr>
        <w:br w:type="page"/>
      </w:r>
    </w:p>
    <w:p>
      <w:pPr>
        <w:widowControl/>
        <w:spacing w:line="480" w:lineRule="auto"/>
        <w:jc w:val="left"/>
        <w:rPr>
          <w:rFonts w:hint="default" w:ascii="Times New Roman" w:hAnsi="Times New Roman" w:cs="Times New Roman" w:eastAsiaTheme="minorEastAsia"/>
          <w:color w:val="000000"/>
          <w:szCs w:val="24"/>
        </w:rPr>
      </w:pPr>
      <w:r>
        <w:rPr>
          <w:rFonts w:hint="default" w:ascii="Times New Roman" w:hAnsi="Times New Roman" w:cs="Times New Roman" w:eastAsiaTheme="minorEastAsia"/>
          <w:color w:val="000000"/>
          <w:szCs w:val="24"/>
        </w:rPr>
        <w:t>Tables</w:t>
      </w:r>
    </w:p>
    <w:p>
      <w:pPr>
        <w:widowControl/>
        <w:spacing w:line="480" w:lineRule="auto"/>
        <w:jc w:val="left"/>
        <w:rPr>
          <w:rFonts w:hint="default" w:ascii="Times New Roman" w:hAnsi="Times New Roman" w:cs="Times New Roman" w:eastAsiaTheme="minorEastAsia"/>
          <w:b w:val="0"/>
          <w:bCs w:val="0"/>
          <w:szCs w:val="24"/>
          <w14:ligatures w14:val="standardContextual"/>
        </w:rPr>
      </w:pPr>
      <w:r>
        <w:rPr>
          <w:rFonts w:hint="default" w:ascii="Times New Roman" w:hAnsi="Times New Roman" w:cs="Times New Roman" w:eastAsiaTheme="minorEastAsia"/>
          <w:b w:val="0"/>
          <w:bCs w:val="0"/>
          <w:szCs w:val="24"/>
          <w14:ligatures w14:val="standardContextual"/>
        </w:rPr>
        <w:t>Table S1. Baseline characteristics of MetS and its components in terpene groups.</w:t>
      </w:r>
    </w:p>
    <w:p>
      <w:pPr>
        <w:widowControl/>
        <w:spacing w:line="480" w:lineRule="auto"/>
        <w:jc w:val="left"/>
        <w:rPr>
          <w:rFonts w:hint="default" w:ascii="Times New Roman" w:hAnsi="Times New Roman" w:cs="Times New Roman" w:eastAsiaTheme="minorEastAsia"/>
          <w:b w:val="0"/>
          <w:bCs w:val="0"/>
          <w:szCs w:val="24"/>
          <w14:ligatures w14:val="standardContextual"/>
        </w:rPr>
      </w:pPr>
      <w:r>
        <w:rPr>
          <w:rFonts w:hint="default" w:ascii="Times New Roman" w:hAnsi="Times New Roman" w:cs="Times New Roman" w:eastAsiaTheme="minorEastAsia"/>
          <w:b w:val="0"/>
          <w:bCs w:val="0"/>
          <w:szCs w:val="24"/>
          <w14:ligatures w14:val="standardContextual"/>
        </w:rPr>
        <w:t>Table S2. Distribution and lower limit of detection of terpenes.</w:t>
      </w:r>
    </w:p>
    <w:p>
      <w:pPr>
        <w:widowControl/>
        <w:spacing w:line="480" w:lineRule="auto"/>
        <w:jc w:val="left"/>
        <w:rPr>
          <w:rFonts w:hint="default" w:ascii="Times New Roman" w:hAnsi="Times New Roman" w:cs="Times New Roman" w:eastAsiaTheme="minorEastAsia"/>
          <w:b w:val="0"/>
          <w:bCs w:val="0"/>
          <w:szCs w:val="24"/>
          <w14:ligatures w14:val="standardContextual"/>
        </w:rPr>
      </w:pPr>
      <w:r>
        <w:rPr>
          <w:rFonts w:hint="default" w:ascii="Times New Roman" w:hAnsi="Times New Roman" w:cs="Times New Roman" w:eastAsiaTheme="minorEastAsia"/>
          <w:b w:val="0"/>
          <w:bCs w:val="0"/>
          <w:szCs w:val="24"/>
          <w14:ligatures w14:val="standardContextual"/>
        </w:rPr>
        <w:t>Table S3. Association of terpenes with MetS and its components.</w:t>
      </w:r>
    </w:p>
    <w:p>
      <w:pPr>
        <w:widowControl/>
        <w:spacing w:line="480" w:lineRule="auto"/>
        <w:jc w:val="left"/>
        <w:rPr>
          <w:rFonts w:hint="default" w:ascii="Times New Roman" w:hAnsi="Times New Roman" w:cs="Times New Roman" w:eastAsiaTheme="minorEastAsia"/>
          <w:b w:val="0"/>
          <w:bCs w:val="0"/>
          <w:color w:val="000000"/>
          <w:szCs w:val="24"/>
          <w14:ligatures w14:val="standardContextual"/>
        </w:rPr>
      </w:pPr>
      <w:r>
        <w:rPr>
          <w:rFonts w:hint="default" w:ascii="Times New Roman" w:hAnsi="Times New Roman" w:cs="Times New Roman" w:eastAsiaTheme="minorEastAsia"/>
          <w:b w:val="0"/>
          <w:bCs w:val="0"/>
          <w:szCs w:val="24"/>
          <w14:ligatures w14:val="standardContextual"/>
        </w:rPr>
        <w:t xml:space="preserve">Table S4. Posterior inclusion probability of terpenes in </w:t>
      </w:r>
      <w:r>
        <w:rPr>
          <w:rFonts w:hint="default" w:ascii="Times New Roman" w:hAnsi="Times New Roman" w:cs="Times New Roman" w:eastAsiaTheme="minorEastAsia"/>
          <w:b w:val="0"/>
          <w:bCs w:val="0"/>
          <w:color w:val="000000"/>
          <w:szCs w:val="24"/>
          <w14:ligatures w14:val="standardContextual"/>
        </w:rPr>
        <w:t>BKMR models.</w:t>
      </w:r>
    </w:p>
    <w:p>
      <w:pPr>
        <w:widowControl/>
        <w:spacing w:line="480" w:lineRule="auto"/>
        <w:jc w:val="left"/>
        <w:rPr>
          <w:rFonts w:hint="default" w:ascii="Times New Roman" w:hAnsi="Times New Roman" w:cs="Times New Roman" w:eastAsiaTheme="minorEastAsia"/>
          <w:b w:val="0"/>
          <w:bCs w:val="0"/>
          <w:szCs w:val="24"/>
          <w14:ligatures w14:val="standardContextual"/>
        </w:rPr>
      </w:pPr>
      <w:r>
        <w:rPr>
          <w:rFonts w:hint="default" w:ascii="Times New Roman" w:hAnsi="Times New Roman" w:cs="Times New Roman" w:eastAsiaTheme="minorEastAsia"/>
          <w:b w:val="0"/>
          <w:bCs w:val="0"/>
          <w:szCs w:val="24"/>
          <w14:ligatures w14:val="standardContextual"/>
        </w:rPr>
        <w:t>Table S5. Association between terpenes and</w:t>
      </w:r>
      <w:r>
        <w:rPr>
          <w:rFonts w:hint="default" w:ascii="Times New Roman" w:hAnsi="Times New Roman" w:cs="Times New Roman"/>
          <w:b w:val="0"/>
          <w:bCs w:val="0"/>
          <w:szCs w:val="24"/>
          <w14:ligatures w14:val="standardContextual"/>
        </w:rPr>
        <w:t xml:space="preserve"> </w:t>
      </w:r>
      <w:r>
        <w:rPr>
          <w:rFonts w:hint="default" w:ascii="Times New Roman" w:hAnsi="Times New Roman" w:cs="Times New Roman" w:eastAsiaTheme="minorEastAsia"/>
          <w:b w:val="0"/>
          <w:bCs w:val="0"/>
          <w:szCs w:val="24"/>
          <w14:ligatures w14:val="standardContextual"/>
        </w:rPr>
        <w:t>TyG*10.</w:t>
      </w:r>
    </w:p>
    <w:p>
      <w:pPr>
        <w:widowControl/>
        <w:spacing w:line="480" w:lineRule="auto"/>
        <w:jc w:val="left"/>
        <w:rPr>
          <w:rFonts w:hint="default" w:ascii="Times New Roman" w:hAnsi="Times New Roman" w:cs="Times New Roman"/>
          <w:b w:val="0"/>
          <w:bCs w:val="0"/>
          <w:color w:val="000000"/>
          <w:kern w:val="0"/>
          <w:szCs w:val="24"/>
          <w14:ligatures w14:val="standardContextual"/>
        </w:rPr>
      </w:pPr>
      <w:r>
        <w:rPr>
          <w:rFonts w:hint="default" w:ascii="Times New Roman" w:hAnsi="Times New Roman" w:cs="Times New Roman" w:eastAsiaTheme="minorEastAsia"/>
          <w:b w:val="0"/>
          <w:bCs w:val="0"/>
          <w:szCs w:val="24"/>
          <w14:ligatures w14:val="standardContextual"/>
        </w:rPr>
        <w:t>Table S6.</w:t>
      </w:r>
      <w:r>
        <w:rPr>
          <w:rFonts w:hint="default" w:ascii="Times New Roman" w:hAnsi="Times New Roman" w:cs="Times New Roman"/>
          <w:b w:val="0"/>
          <w:bCs w:val="0"/>
          <w:color w:val="000000"/>
          <w:kern w:val="0"/>
          <w:szCs w:val="24"/>
          <w14:ligatures w14:val="standardContextual"/>
        </w:rPr>
        <w:t xml:space="preserve"> Association of TyG*10 and MetS and its components.</w:t>
      </w:r>
    </w:p>
    <w:p>
      <w:pPr>
        <w:widowControl/>
        <w:spacing w:line="480" w:lineRule="auto"/>
        <w:jc w:val="left"/>
        <w:rPr>
          <w:rFonts w:hint="default" w:ascii="Times New Roman" w:hAnsi="Times New Roman" w:cs="Times New Roman"/>
          <w:b w:val="0"/>
          <w:bCs w:val="0"/>
          <w:color w:val="000000"/>
          <w:kern w:val="0"/>
          <w:szCs w:val="24"/>
          <w14:ligatures w14:val="standardContextual"/>
        </w:rPr>
      </w:pPr>
      <w:r>
        <w:rPr>
          <w:rFonts w:hint="default" w:ascii="Times New Roman" w:hAnsi="Times New Roman" w:cs="Times New Roman" w:eastAsiaTheme="minorEastAsia"/>
          <w:b w:val="0"/>
          <w:bCs w:val="0"/>
          <w:szCs w:val="24"/>
          <w14:ligatures w14:val="standardContextual"/>
        </w:rPr>
        <w:t>Table S7.</w:t>
      </w:r>
      <w:r>
        <w:rPr>
          <w:rFonts w:hint="default" w:ascii="Times New Roman" w:hAnsi="Times New Roman" w:cs="Times New Roman"/>
          <w:b w:val="0"/>
          <w:bCs w:val="0"/>
          <w:color w:val="000000"/>
          <w:kern w:val="0"/>
          <w:szCs w:val="24"/>
          <w14:ligatures w14:val="standardContextual"/>
        </w:rPr>
        <w:t xml:space="preserve"> Association between terpenes and MetS after considering working hours and current work industry.</w:t>
      </w:r>
    </w:p>
    <w:p>
      <w:pPr>
        <w:widowControl/>
        <w:spacing w:line="480" w:lineRule="auto"/>
        <w:jc w:val="left"/>
        <w:rPr>
          <w:rFonts w:hint="default" w:ascii="Times New Roman" w:hAnsi="Times New Roman" w:cs="Times New Roman" w:eastAsiaTheme="minorEastAsia"/>
          <w:b w:val="0"/>
          <w:bCs w:val="0"/>
          <w:color w:val="000000"/>
          <w:szCs w:val="24"/>
          <w14:ligatures w14:val="standardContextual"/>
        </w:rPr>
      </w:pPr>
      <w:r>
        <w:rPr>
          <w:rFonts w:hint="default" w:ascii="Times New Roman" w:hAnsi="Times New Roman" w:cs="Times New Roman" w:eastAsiaTheme="minorEastAsia"/>
          <w:b w:val="0"/>
          <w:bCs w:val="0"/>
          <w:szCs w:val="24"/>
          <w14:ligatures w14:val="standardContextual"/>
        </w:rPr>
        <w:t xml:space="preserve">Table S8. Association between terpenes and MetS after considering </w:t>
      </w:r>
      <w:r>
        <w:rPr>
          <w:rFonts w:hint="default" w:ascii="Times New Roman" w:hAnsi="Times New Roman" w:cs="Times New Roman" w:eastAsiaTheme="minorEastAsia"/>
          <w:b w:val="0"/>
          <w:bCs w:val="0"/>
          <w:color w:val="000000"/>
          <w:szCs w:val="24"/>
          <w14:ligatures w14:val="standardContextual"/>
        </w:rPr>
        <w:t>FBG</w:t>
      </w:r>
      <w:r>
        <w:rPr>
          <w:rFonts w:hint="default" w:ascii="Times New Roman" w:hAnsi="Times New Roman" w:cs="Times New Roman" w:eastAsiaTheme="minorEastAsia"/>
          <w:b w:val="0"/>
          <w:bCs w:val="0"/>
          <w:color w:val="000000"/>
          <w:szCs w:val="24"/>
          <w:lang w:val="en-US" w:eastAsia="zh-CN"/>
          <w14:ligatures w14:val="standardContextual"/>
        </w:rPr>
        <w:t xml:space="preserve"> and</w:t>
      </w:r>
      <w:r>
        <w:rPr>
          <w:rFonts w:hint="default" w:ascii="Times New Roman" w:hAnsi="Times New Roman" w:cs="Times New Roman" w:eastAsiaTheme="minorEastAsia"/>
          <w:b w:val="0"/>
          <w:bCs w:val="0"/>
          <w:color w:val="000000"/>
          <w:szCs w:val="24"/>
          <w14:ligatures w14:val="standardContextual"/>
        </w:rPr>
        <w:t xml:space="preserve"> blood pressure .</w:t>
      </w:r>
    </w:p>
    <w:p>
      <w:pPr>
        <w:widowControl/>
        <w:spacing w:line="480" w:lineRule="auto"/>
        <w:jc w:val="left"/>
        <w:rPr>
          <w:rFonts w:hint="default" w:ascii="Times New Roman" w:hAnsi="Times New Roman" w:cs="Times New Roman" w:eastAsiaTheme="minorEastAsia"/>
          <w:b w:val="0"/>
          <w:bCs w:val="0"/>
          <w:color w:val="000000"/>
          <w:szCs w:val="24"/>
          <w14:ligatures w14:val="standardContextual"/>
        </w:rPr>
      </w:pPr>
      <w:r>
        <w:rPr>
          <w:rFonts w:hint="default" w:ascii="Times New Roman" w:hAnsi="Times New Roman" w:cs="Times New Roman" w:eastAsiaTheme="minorEastAsia"/>
          <w:b w:val="0"/>
          <w:bCs w:val="0"/>
          <w:szCs w:val="24"/>
          <w14:ligatures w14:val="standardContextual"/>
        </w:rPr>
        <w:t xml:space="preserve">Table S9. Association between terpenes and MetS after considering </w:t>
      </w:r>
      <w:r>
        <w:rPr>
          <w:rFonts w:hint="default" w:ascii="Times New Roman" w:hAnsi="Times New Roman" w:cs="Times New Roman" w:eastAsiaTheme="minorEastAsia"/>
          <w:b w:val="0"/>
          <w:bCs w:val="0"/>
          <w:color w:val="000000"/>
          <w:szCs w:val="24"/>
          <w14:ligatures w14:val="standardContextual"/>
        </w:rPr>
        <w:t>family history of diseases.</w:t>
      </w:r>
    </w:p>
    <w:p>
      <w:pPr>
        <w:widowControl/>
        <w:spacing w:line="480" w:lineRule="auto"/>
        <w:jc w:val="left"/>
        <w:rPr>
          <w:rFonts w:hint="default" w:ascii="Times New Roman" w:hAnsi="Times New Roman" w:cs="Times New Roman" w:eastAsiaTheme="minorEastAsia"/>
          <w:b w:val="0"/>
          <w:bCs w:val="0"/>
          <w:color w:val="000000"/>
          <w:szCs w:val="24"/>
          <w14:ligatures w14:val="standardContextual"/>
        </w:rPr>
      </w:pPr>
      <w:r>
        <w:rPr>
          <w:rFonts w:hint="default" w:ascii="Times New Roman" w:hAnsi="Times New Roman" w:cs="Times New Roman" w:eastAsiaTheme="minorEastAsia"/>
          <w:b w:val="0"/>
          <w:bCs w:val="0"/>
          <w:szCs w:val="24"/>
          <w14:ligatures w14:val="standardContextual"/>
        </w:rPr>
        <w:t>Table S10. Association between terpenes and MetS in participants without DM</w:t>
      </w:r>
      <w:r>
        <w:rPr>
          <w:rFonts w:hint="default" w:ascii="Times New Roman" w:hAnsi="Times New Roman" w:cs="Times New Roman" w:eastAsiaTheme="minorEastAsia"/>
          <w:b w:val="0"/>
          <w:bCs w:val="0"/>
          <w:color w:val="000000"/>
          <w:szCs w:val="24"/>
          <w14:ligatures w14:val="standardContextual"/>
        </w:rPr>
        <w:t>.</w:t>
      </w:r>
    </w:p>
    <w:p>
      <w:pPr>
        <w:widowControl/>
        <w:spacing w:line="480" w:lineRule="auto"/>
        <w:jc w:val="left"/>
        <w:rPr>
          <w:rFonts w:hint="default" w:ascii="Times New Roman" w:hAnsi="Times New Roman" w:cs="Times New Roman"/>
          <w:b w:val="0"/>
          <w:bCs w:val="0"/>
          <w:color w:val="000000"/>
          <w:kern w:val="0"/>
          <w:szCs w:val="24"/>
          <w14:ligatures w14:val="standardContextual"/>
        </w:rPr>
      </w:pPr>
      <w:r>
        <w:rPr>
          <w:rFonts w:hint="default" w:ascii="Times New Roman" w:hAnsi="Times New Roman" w:cs="Times New Roman" w:eastAsiaTheme="minorEastAsia"/>
          <w:b w:val="0"/>
          <w:bCs w:val="0"/>
          <w:szCs w:val="24"/>
          <w14:ligatures w14:val="standardContextual"/>
        </w:rPr>
        <w:t xml:space="preserve">Table S11. </w:t>
      </w:r>
      <w:r>
        <w:rPr>
          <w:rFonts w:hint="default" w:ascii="Times New Roman" w:hAnsi="Times New Roman" w:cs="Times New Roman"/>
          <w:b w:val="0"/>
          <w:bCs w:val="0"/>
          <w:color w:val="000000"/>
          <w:kern w:val="0"/>
          <w:szCs w:val="24"/>
          <w14:ligatures w14:val="standardContextual"/>
        </w:rPr>
        <w:t xml:space="preserve">Association between terpenes and MetS </w:t>
      </w:r>
      <w:r>
        <w:rPr>
          <w:rFonts w:hint="default" w:ascii="Times New Roman" w:hAnsi="Times New Roman" w:cs="Times New Roman" w:eastAsiaTheme="minorEastAsia"/>
          <w:b w:val="0"/>
          <w:bCs w:val="0"/>
          <w:szCs w:val="24"/>
          <w14:ligatures w14:val="standardContextual"/>
        </w:rPr>
        <w:t>considering</w:t>
      </w:r>
      <w:r>
        <w:rPr>
          <w:rFonts w:hint="default" w:ascii="Times New Roman" w:hAnsi="Times New Roman" w:cs="Times New Roman"/>
          <w:b w:val="0"/>
          <w:bCs w:val="0"/>
          <w:color w:val="000000"/>
          <w:kern w:val="0"/>
          <w:szCs w:val="24"/>
          <w14:ligatures w14:val="standardContextual"/>
        </w:rPr>
        <w:t xml:space="preserve"> drug use.</w:t>
      </w:r>
    </w:p>
    <w:p>
      <w:pPr>
        <w:widowControl/>
        <w:spacing w:line="480" w:lineRule="auto"/>
        <w:jc w:val="left"/>
        <w:rPr>
          <w:rFonts w:hint="default" w:ascii="Times New Roman" w:hAnsi="Times New Roman" w:cs="Times New Roman" w:eastAsiaTheme="minorEastAsia"/>
          <w:b w:val="0"/>
          <w:bCs w:val="0"/>
          <w:color w:val="000000"/>
          <w:szCs w:val="24"/>
          <w14:ligatures w14:val="standardContextual"/>
        </w:rPr>
      </w:pPr>
      <w:r>
        <w:rPr>
          <w:rFonts w:hint="default" w:ascii="Times New Roman" w:hAnsi="Times New Roman" w:cs="Times New Roman" w:eastAsiaTheme="minorEastAsia"/>
          <w:b w:val="0"/>
          <w:bCs w:val="0"/>
          <w:szCs w:val="24"/>
          <w14:ligatures w14:val="standardContextual"/>
        </w:rPr>
        <w:t>Table S12. Association between terpenes and MetS in participants without drug use</w:t>
      </w:r>
      <w:r>
        <w:rPr>
          <w:rFonts w:hint="default" w:ascii="Times New Roman" w:hAnsi="Times New Roman" w:cs="Times New Roman" w:eastAsiaTheme="minorEastAsia"/>
          <w:b w:val="0"/>
          <w:bCs w:val="0"/>
          <w:color w:val="000000"/>
          <w:szCs w:val="24"/>
          <w14:ligatures w14:val="standardContextual"/>
        </w:rPr>
        <w:t>.</w:t>
      </w:r>
      <w:r>
        <w:rPr>
          <w:rFonts w:hint="default" w:ascii="Times New Roman" w:hAnsi="Times New Roman" w:cs="Times New Roman" w:eastAsiaTheme="minorEastAsia"/>
          <w:b w:val="0"/>
          <w:bCs w:val="0"/>
          <w:szCs w:val="24"/>
          <w14:ligatures w14:val="standardContextual"/>
        </w:rPr>
        <w:t xml:space="preserve"> </w:t>
      </w:r>
    </w:p>
    <w:p>
      <w:pPr>
        <w:widowControl/>
        <w:spacing w:line="480" w:lineRule="auto"/>
        <w:jc w:val="left"/>
        <w:rPr>
          <w:rFonts w:hint="default" w:ascii="Times New Roman" w:hAnsi="Times New Roman" w:cs="Times New Roman"/>
          <w:b w:val="0"/>
          <w:bCs w:val="0"/>
          <w:szCs w:val="24"/>
          <w14:ligatures w14:val="standardContextual"/>
        </w:rPr>
      </w:pPr>
      <w:r>
        <w:rPr>
          <w:rFonts w:hint="default" w:ascii="Times New Roman" w:hAnsi="Times New Roman" w:cs="Times New Roman"/>
          <w:b w:val="0"/>
          <w:bCs w:val="0"/>
          <w:szCs w:val="24"/>
          <w14:ligatures w14:val="standardContextual"/>
        </w:rPr>
        <w:t>Table S13. 2010 US Census Bureau industry source codes.</w:t>
      </w:r>
    </w:p>
    <w:p>
      <w:pPr>
        <w:spacing w:line="480" w:lineRule="auto"/>
        <w:rPr>
          <w:rFonts w:hint="default" w:ascii="Times New Roman" w:hAnsi="Times New Roman" w:cs="Times New Roman"/>
          <w:b w:val="0"/>
          <w:bCs w:val="0"/>
          <w:szCs w:val="24"/>
        </w:rPr>
        <w:sectPr>
          <w:pgSz w:w="16838" w:h="11906" w:orient="landscape"/>
          <w:pgMar w:top="1797" w:right="1440" w:bottom="1797" w:left="1440" w:header="851" w:footer="992" w:gutter="0"/>
          <w:cols w:space="425" w:num="1"/>
          <w:docGrid w:type="lines" w:linePitch="328" w:charSpace="0"/>
        </w:sectPr>
      </w:pPr>
    </w:p>
    <w:p>
      <w:pPr>
        <w:spacing w:line="480" w:lineRule="auto"/>
        <w:rPr>
          <w:rFonts w:hint="default" w:ascii="Times New Roman" w:hAnsi="Times New Roman" w:cs="Times New Roman"/>
          <w:b w:val="0"/>
          <w:bCs w:val="0"/>
          <w:szCs w:val="24"/>
        </w:rPr>
      </w:pPr>
      <w:bookmarkStart w:id="0" w:name="_Hlk157448211"/>
      <w:bookmarkStart w:id="1" w:name="_Hlk159594197"/>
      <w:bookmarkStart w:id="2" w:name="_Hlk159594385"/>
      <w:r>
        <w:rPr>
          <w:rFonts w:hint="default" w:ascii="Times New Roman" w:hAnsi="Times New Roman" w:cs="Times New Roman"/>
          <w:b w:val="0"/>
          <w:bCs w:val="0"/>
          <w:szCs w:val="24"/>
        </w:rPr>
        <w:t xml:space="preserve">Fig. S1. </w:t>
      </w:r>
      <w:bookmarkStart w:id="3" w:name="_Hlk157634362"/>
      <w:r>
        <w:rPr>
          <w:rFonts w:hint="default" w:ascii="Times New Roman" w:hAnsi="Times New Roman" w:cs="Times New Roman"/>
          <w:b w:val="0"/>
          <w:bCs w:val="0"/>
          <w:szCs w:val="24"/>
        </w:rPr>
        <w:t>Comparison of terpenes based on MetS and its components</w:t>
      </w:r>
      <w:bookmarkEnd w:id="0"/>
      <w:bookmarkEnd w:id="1"/>
      <w:r>
        <w:rPr>
          <w:rFonts w:hint="default" w:ascii="Times New Roman" w:hAnsi="Times New Roman" w:cs="Times New Roman"/>
          <w:b w:val="0"/>
          <w:bCs w:val="0"/>
          <w:szCs w:val="24"/>
        </w:rPr>
        <w:t xml:space="preserve"> groups</w:t>
      </w:r>
      <w:bookmarkEnd w:id="2"/>
      <w:r>
        <w:rPr>
          <w:rFonts w:hint="default" w:ascii="Times New Roman" w:hAnsi="Times New Roman" w:cs="Times New Roman"/>
          <w:b w:val="0"/>
          <w:bCs w:val="0"/>
          <w:szCs w:val="24"/>
        </w:rPr>
        <w:t>.</w:t>
      </w:r>
      <w:r>
        <w:rPr>
          <w:rFonts w:hint="default" w:ascii="Times New Roman" w:hAnsi="Times New Roman" w:cs="Times New Roman"/>
          <w:szCs w:val="24"/>
        </w:rPr>
        <w:t xml:space="preserve"> </w:t>
      </w:r>
      <w:r>
        <w:rPr>
          <w:rFonts w:hint="default" w:ascii="Times New Roman" w:hAnsi="Times New Roman" w:cs="Times New Roman"/>
          <w:szCs w:val="24"/>
        </w:rPr>
        <w:drawing>
          <wp:anchor distT="0" distB="0" distL="114300" distR="114300" simplePos="0" relativeHeight="251659264" behindDoc="0" locked="0" layoutInCell="1" allowOverlap="1">
            <wp:simplePos x="0" y="0"/>
            <wp:positionH relativeFrom="margin">
              <wp:align>left</wp:align>
            </wp:positionH>
            <wp:positionV relativeFrom="paragraph">
              <wp:posOffset>419100</wp:posOffset>
            </wp:positionV>
            <wp:extent cx="5280025" cy="7379970"/>
            <wp:effectExtent l="0" t="0" r="0" b="0"/>
            <wp:wrapTopAndBottom/>
            <wp:docPr id="7136872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687294" name="图片 1"/>
                    <pic:cNvPicPr>
                      <a:picLocks noChangeAspect="1"/>
                    </pic:cNvPicPr>
                  </pic:nvPicPr>
                  <pic:blipFill>
                    <a:blip r:embed="rId4"/>
                    <a:stretch>
                      <a:fillRect/>
                    </a:stretch>
                  </pic:blipFill>
                  <pic:spPr>
                    <a:xfrm>
                      <a:off x="0" y="0"/>
                      <a:ext cx="5279913" cy="7380000"/>
                    </a:xfrm>
                    <a:prstGeom prst="rect">
                      <a:avLst/>
                    </a:prstGeom>
                  </pic:spPr>
                </pic:pic>
              </a:graphicData>
            </a:graphic>
          </wp:anchor>
        </w:drawing>
      </w:r>
    </w:p>
    <w:bookmarkEnd w:id="3"/>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Abbreviation: MetS, metabolic syndrome; High-TG, triglycerides met MetS diagnostic standard; Low-HDL, low HDL-C met MetS diagnostic standard; High-WC, high waist circumference met MetS diagnostic standard; High-BP, high blood pressure met MetS diagnostic standard; High-BG, high fasting blood glucose met MetS diagnostic standard.</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The horizontal axis divides continuous variables into two groups according to MetS diagnostic criteria, and the vertical axis is terpene serum concentration, including (A) α-pinene, (B) β-pinene and (C) limonene. Participants with LLOD were excluded before analysis. The grey shaded area represents the distribution of the normal group, while the different purple shaded area represents the distribution of the abnormal group. Each half of the violin plot contains a boxplot of the data. The short horizontal line in the middle represents the median, and the rectangles represent the interquartile range. The Kruskal-Wallis test was used to compare differences between groups. NS indicates no significance.</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*P &lt; 0.05, **P &lt; 0.01, ***P &lt; 0.001</w:t>
      </w:r>
    </w:p>
    <w:p>
      <w:pPr>
        <w:widowControl/>
        <w:spacing w:line="480" w:lineRule="auto"/>
        <w:jc w:val="left"/>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br w:type="page"/>
      </w:r>
    </w:p>
    <w:p>
      <w:pPr>
        <w:spacing w:line="480" w:lineRule="auto"/>
        <w:rPr>
          <w:rFonts w:hint="default" w:ascii="Times New Roman" w:hAnsi="Times New Roman" w:cs="Times New Roman"/>
          <w:b w:val="0"/>
          <w:bCs w:val="0"/>
          <w:szCs w:val="24"/>
        </w:rPr>
      </w:pPr>
      <w:bookmarkStart w:id="4" w:name="_Hlk159592847"/>
      <w:r>
        <w:rPr>
          <w:rFonts w:hint="default" w:ascii="Times New Roman" w:hAnsi="Times New Roman" w:cs="Times New Roman"/>
          <w:szCs w:val="24"/>
        </w:rPr>
        <w:drawing>
          <wp:anchor distT="0" distB="0" distL="114300" distR="114300" simplePos="0" relativeHeight="251660288" behindDoc="0" locked="0" layoutInCell="1" allowOverlap="1">
            <wp:simplePos x="0" y="0"/>
            <wp:positionH relativeFrom="margin">
              <wp:align>left</wp:align>
            </wp:positionH>
            <wp:positionV relativeFrom="paragraph">
              <wp:posOffset>579755</wp:posOffset>
            </wp:positionV>
            <wp:extent cx="5300980" cy="2339975"/>
            <wp:effectExtent l="0" t="0" r="0" b="3175"/>
            <wp:wrapTopAndBottom/>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
                    <a:stretch>
                      <a:fillRect/>
                    </a:stretch>
                  </pic:blipFill>
                  <pic:spPr>
                    <a:xfrm>
                      <a:off x="0" y="0"/>
                      <a:ext cx="5300980" cy="2339975"/>
                    </a:xfrm>
                    <a:prstGeom prst="rect">
                      <a:avLst/>
                    </a:prstGeom>
                  </pic:spPr>
                </pic:pic>
              </a:graphicData>
            </a:graphic>
          </wp:anchor>
        </w:drawing>
      </w:r>
      <w:r>
        <w:rPr>
          <w:rFonts w:hint="default" w:ascii="Times New Roman" w:hAnsi="Times New Roman" w:cs="Times New Roman"/>
          <w:b w:val="0"/>
          <w:bCs w:val="0"/>
          <w:szCs w:val="24"/>
        </w:rPr>
        <w:t xml:space="preserve">Fig. S2. Terpenes distribution ridge map and </w:t>
      </w:r>
      <w:bookmarkStart w:id="5" w:name="_Hlk130070590"/>
      <w:r>
        <w:rPr>
          <w:rFonts w:hint="default" w:ascii="Times New Roman" w:hAnsi="Times New Roman" w:cs="Times New Roman"/>
          <w:b w:val="0"/>
          <w:bCs w:val="0"/>
          <w:szCs w:val="24"/>
        </w:rPr>
        <w:t>Spearman correlation</w:t>
      </w:r>
      <w:bookmarkEnd w:id="5"/>
      <w:r>
        <w:rPr>
          <w:rFonts w:hint="default" w:ascii="Times New Roman" w:hAnsi="Times New Roman" w:cs="Times New Roman"/>
          <w:b w:val="0"/>
          <w:bCs w:val="0"/>
          <w:szCs w:val="24"/>
        </w:rPr>
        <w:t xml:space="preserve"> matrix for various diagnostic components of MetS</w:t>
      </w:r>
      <w:bookmarkEnd w:id="4"/>
      <w:r>
        <w:rPr>
          <w:rFonts w:hint="default" w:ascii="Times New Roman" w:hAnsi="Times New Roman" w:cs="Times New Roman"/>
          <w:b w:val="0"/>
          <w:bCs w:val="0"/>
          <w:szCs w:val="24"/>
        </w:rPr>
        <w:t>.</w:t>
      </w:r>
      <w:r>
        <w:rPr>
          <w:rFonts w:hint="default" w:ascii="Times New Roman" w:hAnsi="Times New Roman" w:cs="Times New Roman"/>
          <w:szCs w:val="24"/>
        </w:rPr>
        <w:t xml:space="preserve"> </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Abbreviation: IR, insulin resistance; FBG, fasting blood glucose; HDL, high-density lipoprotein cholesterol; TG, triglycerides; SBP, systolic blood pressure.</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 xml:space="preserve">(A) The ridge map about distributions of terpenes. (B) </w:t>
      </w:r>
      <w:bookmarkStart w:id="6" w:name="_Hlk157634052"/>
      <w:r>
        <w:rPr>
          <w:rFonts w:hint="default" w:ascii="Times New Roman" w:hAnsi="Times New Roman" w:cs="Times New Roman"/>
          <w:b w:val="0"/>
          <w:bCs w:val="0"/>
          <w:szCs w:val="24"/>
        </w:rPr>
        <w:t>Spearman correlation</w:t>
      </w:r>
      <w:bookmarkEnd w:id="6"/>
      <w:r>
        <w:rPr>
          <w:rFonts w:hint="default" w:ascii="Times New Roman" w:hAnsi="Times New Roman" w:cs="Times New Roman"/>
          <w:b w:val="0"/>
          <w:bCs w:val="0"/>
          <w:szCs w:val="24"/>
        </w:rPr>
        <w:t xml:space="preserve"> coefficients are shown on the bottom left. The rectangles on the top right indicate the degree of the correlation, with larger rectangle indicating stronger correlations. Purple indicates positive correlation while red indicates negative correlation. All correlations between various diagnostic components of MetS were statistically significant except for HDL and SBP.</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*P &lt; 0.05, **P &lt; 0.01, ***P &lt; 0.001</w:t>
      </w:r>
    </w:p>
    <w:p>
      <w:pPr>
        <w:widowControl/>
        <w:spacing w:line="480" w:lineRule="auto"/>
        <w:jc w:val="left"/>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br w:type="page"/>
      </w: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bookmarkStart w:id="7" w:name="_Hlk157448222"/>
      <w:bookmarkStart w:id="8" w:name="_Hlk159595551"/>
      <w:r>
        <w:rPr>
          <w:rFonts w:hint="default" w:ascii="Times New Roman" w:hAnsi="Times New Roman" w:cs="Times New Roman" w:eastAsiaTheme="minorEastAsia"/>
          <w:b w:val="0"/>
          <w:bCs w:val="0"/>
          <w:color w:val="000000" w:themeColor="text1"/>
          <w:szCs w:val="24"/>
          <w14:textFill>
            <w14:solidFill>
              <w14:schemeClr w14:val="tx1"/>
            </w14:solidFill>
          </w14:textFill>
        </w:rPr>
        <w:t>Fig. S3. Association of terpenes exposure with Met</w:t>
      </w:r>
      <w:bookmarkEnd w:id="7"/>
      <w:r>
        <w:rPr>
          <w:rFonts w:hint="default" w:ascii="Times New Roman" w:hAnsi="Times New Roman" w:cs="Times New Roman" w:eastAsiaTheme="minorEastAsia"/>
          <w:b w:val="0"/>
          <w:bCs w:val="0"/>
          <w:color w:val="000000" w:themeColor="text1"/>
          <w:szCs w:val="24"/>
          <w14:textFill>
            <w14:solidFill>
              <w14:schemeClr w14:val="tx1"/>
            </w14:solidFill>
          </w14:textFill>
        </w:rPr>
        <w:t>S components</w:t>
      </w:r>
      <w:bookmarkEnd w:id="8"/>
      <w:r>
        <w:rPr>
          <w:rFonts w:hint="default" w:ascii="Times New Roman" w:hAnsi="Times New Roman" w:cs="Times New Roman" w:eastAsiaTheme="minorEastAsia"/>
          <w:b w:val="0"/>
          <w:bCs w:val="0"/>
          <w:color w:val="000000" w:themeColor="text1"/>
          <w:szCs w:val="24"/>
          <w14:textFill>
            <w14:solidFill>
              <w14:schemeClr w14:val="tx1"/>
            </w14:solidFill>
          </w14:textFill>
        </w:rPr>
        <w:t>.</w:t>
      </w:r>
      <w:r>
        <w:rPr>
          <w:rFonts w:hint="default" w:ascii="Times New Roman" w:hAnsi="Times New Roman" w:cs="Times New Roman"/>
          <w:szCs w:val="24"/>
        </w:rPr>
        <w:t xml:space="preserve"> </w:t>
      </w:r>
      <w:r>
        <w:rPr>
          <w:rFonts w:hint="default" w:ascii="Times New Roman" w:hAnsi="Times New Roman" w:cs="Times New Roman"/>
          <w:szCs w:val="24"/>
        </w:rPr>
        <w:drawing>
          <wp:anchor distT="0" distB="0" distL="114300" distR="114300" simplePos="0" relativeHeight="251661312" behindDoc="0" locked="0" layoutInCell="1" allowOverlap="1">
            <wp:simplePos x="0" y="0"/>
            <wp:positionH relativeFrom="column">
              <wp:posOffset>0</wp:posOffset>
            </wp:positionH>
            <wp:positionV relativeFrom="paragraph">
              <wp:posOffset>414655</wp:posOffset>
            </wp:positionV>
            <wp:extent cx="4824095" cy="7674610"/>
            <wp:effectExtent l="0" t="0" r="0" b="2540"/>
            <wp:wrapTopAndBottom/>
            <wp:docPr id="13998388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38864" name="图片 1"/>
                    <pic:cNvPicPr>
                      <a:picLocks noChangeAspect="1"/>
                    </pic:cNvPicPr>
                  </pic:nvPicPr>
                  <pic:blipFill>
                    <a:blip r:embed="rId6"/>
                    <a:stretch>
                      <a:fillRect/>
                    </a:stretch>
                  </pic:blipFill>
                  <pic:spPr>
                    <a:xfrm>
                      <a:off x="0" y="0"/>
                      <a:ext cx="4824000" cy="7674807"/>
                    </a:xfrm>
                    <a:prstGeom prst="rect">
                      <a:avLst/>
                    </a:prstGeom>
                  </pic:spPr>
                </pic:pic>
              </a:graphicData>
            </a:graphic>
          </wp:anchor>
        </w:drawing>
      </w: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r>
        <w:rPr>
          <w:rFonts w:hint="default" w:ascii="Times New Roman" w:hAnsi="Times New Roman" w:cs="Times New Roman"/>
          <w:szCs w:val="24"/>
        </w:rPr>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4824095" cy="7674610"/>
            <wp:effectExtent l="0" t="0" r="0" b="2540"/>
            <wp:wrapTopAndBottom/>
            <wp:docPr id="19516152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15256" name="图片 1"/>
                    <pic:cNvPicPr>
                      <a:picLocks noChangeAspect="1"/>
                    </pic:cNvPicPr>
                  </pic:nvPicPr>
                  <pic:blipFill>
                    <a:blip r:embed="rId7"/>
                    <a:stretch>
                      <a:fillRect/>
                    </a:stretch>
                  </pic:blipFill>
                  <pic:spPr>
                    <a:xfrm>
                      <a:off x="0" y="0"/>
                      <a:ext cx="4824000" cy="7674798"/>
                    </a:xfrm>
                    <a:prstGeom prst="rect">
                      <a:avLst/>
                    </a:prstGeom>
                  </pic:spPr>
                </pic:pic>
              </a:graphicData>
            </a:graphic>
          </wp:anchor>
        </w:drawing>
      </w: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p>
    <w:p>
      <w:pPr>
        <w:widowControl/>
        <w:spacing w:line="480" w:lineRule="auto"/>
        <w:jc w:val="left"/>
        <w:rPr>
          <w:rFonts w:hint="default" w:ascii="Times New Roman" w:hAnsi="Times New Roman" w:cs="Times New Roman" w:eastAsiaTheme="minorEastAsia"/>
          <w:b w:val="0"/>
          <w:bCs w:val="0"/>
          <w:color w:val="000000" w:themeColor="text1"/>
          <w:szCs w:val="24"/>
          <w14:textFill>
            <w14:solidFill>
              <w14:schemeClr w14:val="tx1"/>
            </w14:solidFill>
          </w14:textFill>
        </w:rPr>
      </w:pPr>
      <w:r>
        <w:rPr>
          <w:rFonts w:hint="default" w:ascii="Times New Roman" w:hAnsi="Times New Roman" w:cs="Times New Roman"/>
          <w:szCs w:val="24"/>
        </w:rPr>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4824095" cy="6880860"/>
            <wp:effectExtent l="0" t="0" r="0" b="0"/>
            <wp:wrapTopAndBottom/>
            <wp:docPr id="3125163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16331" name="图片 1"/>
                    <pic:cNvPicPr>
                      <a:picLocks noChangeAspect="1"/>
                    </pic:cNvPicPr>
                  </pic:nvPicPr>
                  <pic:blipFill>
                    <a:blip r:embed="rId8"/>
                    <a:stretch>
                      <a:fillRect/>
                    </a:stretch>
                  </pic:blipFill>
                  <pic:spPr>
                    <a:xfrm>
                      <a:off x="0" y="0"/>
                      <a:ext cx="4824000" cy="6881047"/>
                    </a:xfrm>
                    <a:prstGeom prst="rect">
                      <a:avLst/>
                    </a:prstGeom>
                  </pic:spPr>
                </pic:pic>
              </a:graphicData>
            </a:graphic>
          </wp:anchor>
        </w:drawing>
      </w:r>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color w:val="000000" w:themeColor="text1"/>
          <w:szCs w:val="24"/>
          <w14:textFill>
            <w14:solidFill>
              <w14:schemeClr w14:val="tx1"/>
            </w14:solidFill>
          </w14:textFill>
        </w:rPr>
        <w:t>MetS, metabolic syndrome; High-TG, triglycerides met MetS diagnostic standard; Low-HDL, low HDL-C met MetS diagnostic standard; High-WC, high waist circumference met MetS diagnostic standard; High-BP, high blood pressure met MetS diagnostic standard; High-BG, high fasting blood glucose met MetS diagnostic standard; OR, odds ratio; CI, confidence interval;</w:t>
      </w:r>
      <w:r>
        <w:rPr>
          <w:rFonts w:hint="default" w:ascii="Times New Roman" w:hAnsi="Times New Roman" w:cs="Times New Roman"/>
          <w:b w:val="0"/>
          <w:bCs w:val="0"/>
          <w:szCs w:val="24"/>
        </w:rPr>
        <w:t xml:space="preserve"> </w:t>
      </w:r>
      <w:r>
        <w:rPr>
          <w:rFonts w:hint="default" w:ascii="Times New Roman" w:hAnsi="Times New Roman" w:cs="Times New Roman" w:eastAsiaTheme="minorEastAsia"/>
          <w:b w:val="0"/>
          <w:bCs w:val="0"/>
          <w:color w:val="000000" w:themeColor="text1"/>
          <w:szCs w:val="24"/>
          <w14:textFill>
            <w14:solidFill>
              <w14:schemeClr w14:val="tx1"/>
            </w14:solidFill>
          </w14:textFill>
        </w:rPr>
        <w:t>Q: quartile.</w:t>
      </w:r>
    </w:p>
    <w:p>
      <w:pPr>
        <w:spacing w:line="480" w:lineRule="auto"/>
        <w:rPr>
          <w:rFonts w:hint="default" w:ascii="Times New Roman" w:hAnsi="Times New Roman" w:cs="Times New Roman"/>
          <w:b w:val="0"/>
          <w:bCs w:val="0"/>
          <w:szCs w:val="24"/>
        </w:rPr>
      </w:pPr>
      <w:r>
        <w:rPr>
          <w:rFonts w:hint="default" w:ascii="Times New Roman" w:hAnsi="Times New Roman" w:cs="Times New Roman" w:eastAsiaTheme="minorEastAsia"/>
          <w:b w:val="0"/>
          <w:bCs w:val="0"/>
          <w:color w:val="000000" w:themeColor="text1"/>
          <w:szCs w:val="24"/>
          <w14:textFill>
            <w14:solidFill>
              <w14:schemeClr w14:val="tx1"/>
            </w14:solidFill>
          </w14:textFill>
        </w:rPr>
        <w:t>(A-E)</w:t>
      </w:r>
      <w:r>
        <w:rPr>
          <w:rFonts w:hint="default" w:ascii="Times New Roman" w:hAnsi="Times New Roman" w:cs="Times New Roman"/>
          <w:b w:val="0"/>
          <w:bCs w:val="0"/>
          <w:szCs w:val="24"/>
        </w:rPr>
        <w:t xml:space="preserve"> </w:t>
      </w:r>
      <w:r>
        <w:rPr>
          <w:rFonts w:hint="default" w:ascii="Times New Roman" w:hAnsi="Times New Roman" w:cs="Times New Roman" w:eastAsiaTheme="minorEastAsia"/>
          <w:b w:val="0"/>
          <w:bCs w:val="0"/>
          <w:color w:val="000000" w:themeColor="text1"/>
          <w:szCs w:val="24"/>
          <w14:textFill>
            <w14:solidFill>
              <w14:schemeClr w14:val="tx1"/>
            </w14:solidFill>
          </w14:textFill>
        </w:rPr>
        <w:t>Forest plot of terpenes and MetS components, High-TG, Low-HDL, High-WC, High-BP and High-BG, with OR (95% CI) of terpene exposure (single and mixed) included. (F) Weights of each terpene in association with mixtures and MetS components analyzed by weighted quantile sum (WQS) models. Single terpene exposure was estimated by multivariate logistic regression models and mixed terpene exposure was estimated by WQS models.</w:t>
      </w:r>
      <w:r>
        <w:rPr>
          <w:rFonts w:hint="default" w:ascii="Times New Roman" w:hAnsi="Times New Roman" w:cs="Times New Roman"/>
          <w:b w:val="0"/>
          <w:bCs w:val="0"/>
          <w:szCs w:val="24"/>
        </w:rPr>
        <w:t xml:space="preserve"> </w:t>
      </w: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r>
        <w:rPr>
          <w:rFonts w:hint="default" w:ascii="Times New Roman" w:hAnsi="Times New Roman" w:cs="Times New Roman" w:eastAsiaTheme="minorEastAsia"/>
          <w:b w:val="0"/>
          <w:bCs w:val="0"/>
          <w:color w:val="000000" w:themeColor="text1"/>
          <w:szCs w:val="24"/>
          <w14:textFill>
            <w14:solidFill>
              <w14:schemeClr w14:val="tx1"/>
            </w14:solidFill>
          </w14:textFill>
        </w:rPr>
        <w:t>Models were adjusted for covariates, including age (years, continuous), sex (female, male), race/ethnicity (non-Hispanic white, non-Hispanic black, other Hispanic, Mexican American, others), body mass index (BMI, kg/m</w:t>
      </w:r>
      <w:r>
        <w:rPr>
          <w:rFonts w:hint="default" w:ascii="Times New Roman" w:hAnsi="Times New Roman" w:cs="Times New Roman" w:eastAsiaTheme="minorEastAsia"/>
          <w:b w:val="0"/>
          <w:bCs w:val="0"/>
          <w:color w:val="000000" w:themeColor="text1"/>
          <w:szCs w:val="24"/>
          <w:vertAlign w:val="superscript"/>
          <w14:textFill>
            <w14:solidFill>
              <w14:schemeClr w14:val="tx1"/>
            </w14:solidFill>
          </w14:textFill>
        </w:rPr>
        <w:t>2</w:t>
      </w:r>
      <w:r>
        <w:rPr>
          <w:rFonts w:hint="default" w:ascii="Times New Roman" w:hAnsi="Times New Roman" w:cs="Times New Roman" w:eastAsiaTheme="minorEastAsia"/>
          <w:b w:val="0"/>
          <w:bCs w:val="0"/>
          <w:color w:val="000000" w:themeColor="text1"/>
          <w:szCs w:val="24"/>
          <w14:textFill>
            <w14:solidFill>
              <w14:schemeClr w14:val="tx1"/>
            </w14:solidFill>
          </w14:textFill>
        </w:rPr>
        <w:t>, continuous), educational attainment (below high school, high school, or college or above), family poverty income ratio (PIR, continuous), serum cotinine (ng/mL, continuous), alcohol consumption (never drink before, none in the past year, less than 1 drink/ month, 1 to 3 drink per month, 1 to 3 drink per week, more than 4 drink per week), leisure-time physical activity (PA, no or unable, moderate, or vigorous), dietary fat intake (g/day, continuous), and low-density lipoprotein cholesterol (LDL-C, mmol/L, continuous). * P &lt; 0.05.</w:t>
      </w: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p>
    <w:p>
      <w:pPr>
        <w:widowControl/>
        <w:spacing w:line="480" w:lineRule="auto"/>
        <w:jc w:val="left"/>
        <w:rPr>
          <w:rFonts w:hint="default" w:ascii="Times New Roman" w:hAnsi="Times New Roman" w:cs="Times New Roman" w:eastAsiaTheme="minorEastAsia"/>
          <w:b w:val="0"/>
          <w:bCs w:val="0"/>
          <w:color w:val="000000" w:themeColor="text1"/>
          <w:szCs w:val="24"/>
          <w14:textFill>
            <w14:solidFill>
              <w14:schemeClr w14:val="tx1"/>
            </w14:solidFill>
          </w14:textFill>
        </w:rPr>
      </w:pPr>
      <w:r>
        <w:rPr>
          <w:rFonts w:hint="default" w:ascii="Times New Roman" w:hAnsi="Times New Roman" w:cs="Times New Roman" w:eastAsiaTheme="minorEastAsia"/>
          <w:b w:val="0"/>
          <w:bCs w:val="0"/>
          <w:color w:val="000000" w:themeColor="text1"/>
          <w:szCs w:val="24"/>
          <w14:textFill>
            <w14:solidFill>
              <w14:schemeClr w14:val="tx1"/>
            </w14:solidFill>
          </w14:textFill>
        </w:rPr>
        <w:br w:type="page"/>
      </w:r>
    </w:p>
    <w:p>
      <w:pPr>
        <w:widowControl/>
        <w:spacing w:line="480" w:lineRule="auto"/>
        <w:jc w:val="left"/>
        <w:rPr>
          <w:rFonts w:hint="default" w:ascii="Times New Roman" w:hAnsi="Times New Roman" w:cs="Times New Roman"/>
          <w:b w:val="0"/>
          <w:bCs w:val="0"/>
          <w:szCs w:val="24"/>
        </w:rPr>
      </w:pPr>
      <w:bookmarkStart w:id="9" w:name="_Hlk159595599"/>
      <w:bookmarkStart w:id="10" w:name="_Hlk157448267"/>
      <w:r>
        <w:rPr>
          <w:rFonts w:hint="default" w:ascii="Times New Roman" w:hAnsi="Times New Roman" w:cs="Times New Roman"/>
          <w:b w:val="0"/>
          <w:bCs w:val="0"/>
          <w:szCs w:val="24"/>
        </w:rPr>
        <w:t xml:space="preserve">Fig. S4. </w:t>
      </w:r>
      <w:r>
        <w:rPr>
          <w:rFonts w:hint="default" w:ascii="Times New Roman" w:hAnsi="Times New Roman" w:cs="Times New Roman" w:eastAsiaTheme="minorEastAsia"/>
          <w:b w:val="0"/>
          <w:bCs w:val="0"/>
          <w:color w:val="000000" w:themeColor="text1"/>
          <w:szCs w:val="24"/>
          <w14:textFill>
            <w14:solidFill>
              <w14:schemeClr w14:val="tx1"/>
            </w14:solidFill>
          </w14:textFill>
        </w:rPr>
        <w:t>Asso</w:t>
      </w:r>
      <w:r>
        <w:rPr>
          <w:rFonts w:hint="default" w:ascii="Times New Roman" w:hAnsi="Times New Roman" w:cs="Times New Roman" w:eastAsiaTheme="minorEastAsia"/>
          <w:b w:val="0"/>
          <w:bCs w:val="0"/>
          <w:color w:val="000000"/>
          <w:szCs w:val="24"/>
        </w:rPr>
        <w:t xml:space="preserve">ciation between </w:t>
      </w:r>
      <w:r>
        <w:rPr>
          <w:rFonts w:hint="default" w:ascii="Times New Roman" w:hAnsi="Times New Roman" w:cs="Times New Roman" w:eastAsiaTheme="minorEastAsia"/>
          <w:b w:val="0"/>
          <w:bCs w:val="0"/>
          <w:szCs w:val="24"/>
        </w:rPr>
        <w:t xml:space="preserve">terpenes </w:t>
      </w:r>
      <w:r>
        <w:rPr>
          <w:rFonts w:hint="default" w:ascii="Times New Roman" w:hAnsi="Times New Roman" w:cs="Times New Roman" w:eastAsiaTheme="minorEastAsia"/>
          <w:b w:val="0"/>
          <w:bCs w:val="0"/>
          <w:color w:val="000000"/>
          <w:szCs w:val="24"/>
        </w:rPr>
        <w:t>and MetS components estimated by</w:t>
      </w:r>
      <w:r>
        <w:rPr>
          <w:rFonts w:hint="default" w:ascii="Times New Roman" w:hAnsi="Times New Roman" w:cs="Times New Roman"/>
          <w:b w:val="0"/>
          <w:bCs w:val="0"/>
          <w:szCs w:val="24"/>
        </w:rPr>
        <w:t xml:space="preserve"> Qgcmop</w:t>
      </w:r>
      <w:bookmarkEnd w:id="9"/>
      <w:bookmarkEnd w:id="10"/>
      <w:r>
        <w:rPr>
          <w:rFonts w:hint="default" w:ascii="Times New Roman" w:hAnsi="Times New Roman" w:cs="Times New Roman"/>
          <w:b w:val="0"/>
          <w:bCs w:val="0"/>
          <w:szCs w:val="24"/>
        </w:rPr>
        <w:t>.</w:t>
      </w:r>
      <w:r>
        <w:rPr>
          <w:rFonts w:hint="default" w:ascii="Times New Roman" w:hAnsi="Times New Roman" w:cs="Times New Roman"/>
          <w:szCs w:val="24"/>
        </w:rPr>
        <w:t xml:space="preserve"> </w:t>
      </w:r>
      <w:r>
        <w:rPr>
          <w:rFonts w:hint="default" w:ascii="Times New Roman" w:hAnsi="Times New Roman" w:cs="Times New Roman"/>
          <w:szCs w:val="24"/>
        </w:rPr>
        <w:drawing>
          <wp:anchor distT="0" distB="0" distL="114300" distR="114300" simplePos="0" relativeHeight="251664384" behindDoc="0" locked="0" layoutInCell="1" allowOverlap="1">
            <wp:simplePos x="0" y="0"/>
            <wp:positionH relativeFrom="column">
              <wp:posOffset>0</wp:posOffset>
            </wp:positionH>
            <wp:positionV relativeFrom="paragraph">
              <wp:posOffset>414655</wp:posOffset>
            </wp:positionV>
            <wp:extent cx="4679950" cy="6301105"/>
            <wp:effectExtent l="0" t="0" r="6350" b="5080"/>
            <wp:wrapTopAndBottom/>
            <wp:docPr id="10477055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705531" name="图片 1"/>
                    <pic:cNvPicPr>
                      <a:picLocks noChangeAspect="1"/>
                    </pic:cNvPicPr>
                  </pic:nvPicPr>
                  <pic:blipFill>
                    <a:blip r:embed="rId9"/>
                    <a:stretch>
                      <a:fillRect/>
                    </a:stretch>
                  </pic:blipFill>
                  <pic:spPr>
                    <a:xfrm>
                      <a:off x="0" y="0"/>
                      <a:ext cx="4680000" cy="6300828"/>
                    </a:xfrm>
                    <a:prstGeom prst="rect">
                      <a:avLst/>
                    </a:prstGeom>
                  </pic:spPr>
                </pic:pic>
              </a:graphicData>
            </a:graphic>
          </wp:anchor>
        </w:drawing>
      </w:r>
    </w:p>
    <w:p>
      <w:pPr>
        <w:widowControl/>
        <w:spacing w:line="480" w:lineRule="auto"/>
        <w:jc w:val="left"/>
        <w:rPr>
          <w:rFonts w:hint="default" w:ascii="Times New Roman" w:hAnsi="Times New Roman" w:cs="Times New Roman"/>
          <w:b w:val="0"/>
          <w:bCs w:val="0"/>
          <w:szCs w:val="24"/>
        </w:rPr>
      </w:pPr>
      <w:bookmarkStart w:id="11" w:name="_Hlk157385574"/>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color w:val="000000"/>
          <w:szCs w:val="24"/>
        </w:rPr>
        <w:t>Qgcomp, quantile g-computation;</w:t>
      </w:r>
      <w:bookmarkEnd w:id="11"/>
      <w:r>
        <w:rPr>
          <w:rFonts w:hint="default" w:ascii="Times New Roman" w:hAnsi="Times New Roman" w:cs="Times New Roman" w:eastAsiaTheme="minorEastAsia"/>
          <w:b w:val="0"/>
          <w:bCs w:val="0"/>
          <w:color w:val="000000"/>
          <w:szCs w:val="24"/>
        </w:rPr>
        <w:t xml:space="preserve"> MSM, marginal structural model;</w:t>
      </w:r>
      <w:r>
        <w:rPr>
          <w:rFonts w:hint="default" w:ascii="Times New Roman" w:hAnsi="Times New Roman" w:cs="Times New Roman"/>
          <w:b w:val="0"/>
          <w:bCs w:val="0"/>
          <w:szCs w:val="24"/>
        </w:rPr>
        <w:t xml:space="preserve"> </w:t>
      </w:r>
      <w:r>
        <w:rPr>
          <w:rFonts w:hint="default" w:ascii="Times New Roman" w:hAnsi="Times New Roman" w:cs="Times New Roman" w:eastAsiaTheme="minorEastAsia"/>
          <w:b w:val="0"/>
          <w:bCs w:val="0"/>
          <w:color w:val="000000"/>
          <w:szCs w:val="24"/>
        </w:rPr>
        <w:t>α- pinene; β-pinene, β- pinene; limonene, limonene; MetS, metabolic syndrome; High-TG, triglycerides met MetS diagnostic standard; Low-HDL, low HDL-C met MetS diagnostic standard; High-WC, high waist circumference met MetS diagnostic standard.</w:t>
      </w:r>
    </w:p>
    <w:p>
      <w:pPr>
        <w:widowControl/>
        <w:spacing w:line="480" w:lineRule="auto"/>
        <w:jc w:val="left"/>
        <w:rPr>
          <w:rFonts w:hint="default" w:ascii="Times New Roman" w:hAnsi="Times New Roman" w:cs="Times New Roman"/>
          <w:b w:val="0"/>
          <w:bCs w:val="0"/>
          <w:szCs w:val="24"/>
        </w:rPr>
      </w:pPr>
      <w:r>
        <w:rPr>
          <w:rFonts w:hint="default" w:ascii="Times New Roman" w:hAnsi="Times New Roman" w:cs="Times New Roman" w:eastAsiaTheme="minorEastAsia"/>
          <w:b w:val="0"/>
          <w:bCs w:val="0"/>
          <w:color w:val="000000"/>
          <w:szCs w:val="24"/>
        </w:rPr>
        <w:t>(A) Qgcomp analysis of terpenes and High-TG. (B)</w:t>
      </w:r>
      <w:r>
        <w:rPr>
          <w:rFonts w:hint="default" w:ascii="Times New Roman" w:hAnsi="Times New Roman" w:cs="Times New Roman"/>
          <w:b w:val="0"/>
          <w:bCs w:val="0"/>
          <w:szCs w:val="24"/>
        </w:rPr>
        <w:t xml:space="preserve"> </w:t>
      </w:r>
      <w:r>
        <w:rPr>
          <w:rFonts w:hint="default" w:ascii="Times New Roman" w:hAnsi="Times New Roman" w:cs="Times New Roman" w:eastAsiaTheme="minorEastAsia"/>
          <w:b w:val="0"/>
          <w:bCs w:val="0"/>
          <w:color w:val="000000"/>
          <w:szCs w:val="24"/>
        </w:rPr>
        <w:t>Qgcomp analysis of terpenes and Low-HDL. (C) Qgcomp analysis of terpenes and High-WC. Estimated the linearity of the total exposure effect of terpenes and weights corresponding to the proportion of the positive or negative partial effect of each terpene in the Qgcomp analysis</w:t>
      </w:r>
      <w:r>
        <w:rPr>
          <w:rFonts w:hint="default" w:ascii="Times New Roman" w:hAnsi="Times New Roman" w:cs="Times New Roman"/>
          <w:b w:val="0"/>
          <w:bCs w:val="0"/>
          <w:szCs w:val="24"/>
        </w:rPr>
        <w:t xml:space="preserve">. </w:t>
      </w:r>
    </w:p>
    <w:p>
      <w:pPr>
        <w:widowControl/>
        <w:spacing w:line="480" w:lineRule="auto"/>
        <w:jc w:val="left"/>
        <w:rPr>
          <w:rFonts w:hint="default" w:ascii="Times New Roman" w:hAnsi="Times New Roman" w:cs="Times New Roman"/>
          <w:b w:val="0"/>
          <w:bCs w:val="0"/>
          <w:szCs w:val="24"/>
        </w:rPr>
      </w:pPr>
      <w:r>
        <w:rPr>
          <w:rFonts w:hint="default" w:ascii="Times New Roman" w:hAnsi="Times New Roman" w:cs="Times New Roman"/>
          <w:b w:val="0"/>
          <w:bCs w:val="0"/>
          <w:szCs w:val="24"/>
        </w:rPr>
        <w:t>Models were adjusted for covariates, including age, sex, race/ethnicity, BMI, educational attainment, PIR, serum cotinine, alcohol consumption, leisure-time PA, dietary fat intake, and LDL-C.</w:t>
      </w:r>
    </w:p>
    <w:p>
      <w:pPr>
        <w:widowControl/>
        <w:spacing w:line="480" w:lineRule="auto"/>
        <w:jc w:val="left"/>
        <w:rPr>
          <w:rFonts w:hint="default" w:ascii="Times New Roman" w:hAnsi="Times New Roman" w:cs="Times New Roman"/>
          <w:b w:val="0"/>
          <w:bCs w:val="0"/>
          <w:szCs w:val="24"/>
        </w:rPr>
      </w:pPr>
      <w:r>
        <w:rPr>
          <w:rFonts w:hint="default" w:ascii="Times New Roman" w:hAnsi="Times New Roman" w:cs="Times New Roman"/>
          <w:b w:val="0"/>
          <w:bCs w:val="0"/>
          <w:szCs w:val="24"/>
        </w:rPr>
        <w:br w:type="page"/>
      </w:r>
    </w:p>
    <w:p>
      <w:pPr>
        <w:spacing w:line="480" w:lineRule="auto"/>
        <w:rPr>
          <w:rFonts w:hint="default" w:ascii="Times New Roman" w:hAnsi="Times New Roman" w:cs="Times New Roman"/>
          <w:b w:val="0"/>
          <w:bCs w:val="0"/>
          <w:color w:val="FF0000"/>
          <w:szCs w:val="24"/>
        </w:rPr>
      </w:pPr>
      <w:bookmarkStart w:id="12" w:name="_Hlk155788854"/>
      <w:bookmarkStart w:id="13" w:name="_Hlk157448254"/>
      <w:bookmarkStart w:id="14" w:name="_Hlk159596009"/>
      <w:r>
        <w:rPr>
          <w:rFonts w:hint="default" w:ascii="Times New Roman" w:hAnsi="Times New Roman" w:cs="Times New Roman" w:eastAsiaTheme="minorEastAsia"/>
          <w:b w:val="0"/>
          <w:bCs w:val="0"/>
          <w:color w:val="000000" w:themeColor="text1"/>
          <w:szCs w:val="24"/>
          <w14:textFill>
            <w14:solidFill>
              <w14:schemeClr w14:val="tx1"/>
            </w14:solidFill>
          </w14:textFill>
        </w:rPr>
        <w:t xml:space="preserve">Fig. S5. </w:t>
      </w:r>
      <w:bookmarkStart w:id="15" w:name="_Hlk151206086"/>
      <w:r>
        <w:rPr>
          <w:rFonts w:hint="default" w:ascii="Times New Roman" w:hAnsi="Times New Roman" w:cs="Times New Roman" w:eastAsiaTheme="minorEastAsia"/>
          <w:b w:val="0"/>
          <w:bCs w:val="0"/>
          <w:color w:val="000000" w:themeColor="text1"/>
          <w:szCs w:val="24"/>
          <w14:textFill>
            <w14:solidFill>
              <w14:schemeClr w14:val="tx1"/>
            </w14:solidFill>
          </w14:textFill>
        </w:rPr>
        <w:t>Asso</w:t>
      </w:r>
      <w:r>
        <w:rPr>
          <w:rFonts w:hint="default" w:ascii="Times New Roman" w:hAnsi="Times New Roman" w:cs="Times New Roman" w:eastAsiaTheme="minorEastAsia"/>
          <w:b w:val="0"/>
          <w:bCs w:val="0"/>
          <w:color w:val="000000"/>
          <w:szCs w:val="24"/>
        </w:rPr>
        <w:t xml:space="preserve">ciation of </w:t>
      </w:r>
      <w:r>
        <w:rPr>
          <w:rFonts w:hint="default" w:ascii="Times New Roman" w:hAnsi="Times New Roman" w:cs="Times New Roman" w:eastAsiaTheme="minorEastAsia"/>
          <w:b w:val="0"/>
          <w:bCs w:val="0"/>
          <w:szCs w:val="24"/>
        </w:rPr>
        <w:t xml:space="preserve">terpenes </w:t>
      </w:r>
      <w:r>
        <w:rPr>
          <w:rFonts w:hint="default" w:ascii="Times New Roman" w:hAnsi="Times New Roman" w:cs="Times New Roman" w:eastAsiaTheme="minorEastAsia"/>
          <w:b w:val="0"/>
          <w:bCs w:val="0"/>
          <w:color w:val="000000"/>
          <w:szCs w:val="24"/>
        </w:rPr>
        <w:t xml:space="preserve">with MetS and components estimated by </w:t>
      </w:r>
      <w:bookmarkEnd w:id="12"/>
      <w:bookmarkEnd w:id="15"/>
      <w:r>
        <w:rPr>
          <w:rFonts w:hint="default" w:ascii="Times New Roman" w:hAnsi="Times New Roman" w:cs="Times New Roman" w:eastAsiaTheme="minorEastAsia"/>
          <w:b w:val="0"/>
          <w:bCs w:val="0"/>
          <w:color w:val="000000"/>
          <w:szCs w:val="24"/>
        </w:rPr>
        <w:t>BKMR</w:t>
      </w:r>
      <w:bookmarkEnd w:id="13"/>
      <w:bookmarkEnd w:id="14"/>
      <w:r>
        <w:rPr>
          <w:rFonts w:hint="default" w:ascii="Times New Roman" w:hAnsi="Times New Roman" w:cs="Times New Roman" w:eastAsiaTheme="minorEastAsia"/>
          <w:b w:val="0"/>
          <w:bCs w:val="0"/>
          <w:color w:val="000000"/>
          <w:szCs w:val="24"/>
        </w:rPr>
        <w:t>.</w:t>
      </w:r>
      <w:r>
        <w:rPr>
          <w:rFonts w:hint="default" w:ascii="Times New Roman" w:hAnsi="Times New Roman" w:cs="Times New Roman"/>
          <w:b w:val="0"/>
          <w:bCs w:val="0"/>
          <w:szCs w:val="24"/>
        </w:rPr>
        <w:t xml:space="preserve"> </w:t>
      </w:r>
      <w:r>
        <w:rPr>
          <w:rFonts w:hint="default" w:ascii="Times New Roman" w:hAnsi="Times New Roman" w:cs="Times New Roman"/>
          <w:szCs w:val="24"/>
        </w:rPr>
        <w:drawing>
          <wp:anchor distT="0" distB="0" distL="114300" distR="114300" simplePos="0" relativeHeight="251665408" behindDoc="0" locked="0" layoutInCell="1" allowOverlap="1">
            <wp:simplePos x="0" y="0"/>
            <wp:positionH relativeFrom="column">
              <wp:posOffset>0</wp:posOffset>
            </wp:positionH>
            <wp:positionV relativeFrom="paragraph">
              <wp:posOffset>414655</wp:posOffset>
            </wp:positionV>
            <wp:extent cx="4679950" cy="6301105"/>
            <wp:effectExtent l="0" t="0" r="6350" b="5080"/>
            <wp:wrapTopAndBottom/>
            <wp:docPr id="10374216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21641" name="图片 1"/>
                    <pic:cNvPicPr>
                      <a:picLocks noChangeAspect="1"/>
                    </pic:cNvPicPr>
                  </pic:nvPicPr>
                  <pic:blipFill>
                    <a:blip r:embed="rId10"/>
                    <a:stretch>
                      <a:fillRect/>
                    </a:stretch>
                  </pic:blipFill>
                  <pic:spPr>
                    <a:xfrm>
                      <a:off x="0" y="0"/>
                      <a:ext cx="4680000" cy="6300826"/>
                    </a:xfrm>
                    <a:prstGeom prst="rect">
                      <a:avLst/>
                    </a:prstGeom>
                  </pic:spPr>
                </pic:pic>
              </a:graphicData>
            </a:graphic>
          </wp:anchor>
        </w:drawing>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Abbreviation: BKMR, Bayesian Kernel machine regression; MetS, metabolic syndrome; High-TG, triglycerides met MetS diagnostic standard; Low-HDL, low HDL-C met MetS diagnostic standard; High-WC, high waist circumference met MetS diagnostic standard.</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t>(A) BKMR analysis of terpenes and High-TG. (B) BKMR analysis of terpenes and Low-HDL. (C) BKMR analysis of terpenes and High-WC. Univariate exposure–response functions of each terpene and joint effect of mixed terpenes and MetS components were calculated by the BKMR models, which adjusted for covariates, including age, sex, race/ethnicity, BMI, educational attainment, PIR, serum cotinine, alcohol consumption, leisure-time PA, dietary fat intake, and LDL-C.</w:t>
      </w:r>
    </w:p>
    <w:p>
      <w:pPr>
        <w:widowControl/>
        <w:spacing w:line="480" w:lineRule="auto"/>
        <w:jc w:val="left"/>
        <w:rPr>
          <w:rFonts w:hint="default" w:ascii="Times New Roman" w:hAnsi="Times New Roman" w:cs="Times New Roman"/>
          <w:b w:val="0"/>
          <w:bCs w:val="0"/>
          <w:szCs w:val="24"/>
        </w:rPr>
      </w:pPr>
    </w:p>
    <w:p>
      <w:pPr>
        <w:widowControl/>
        <w:spacing w:line="480" w:lineRule="auto"/>
        <w:jc w:val="left"/>
        <w:rPr>
          <w:rFonts w:hint="default" w:ascii="Times New Roman" w:hAnsi="Times New Roman" w:cs="Times New Roman" w:eastAsiaTheme="minorEastAsia"/>
          <w:b w:val="0"/>
          <w:bCs w:val="0"/>
          <w:color w:val="000000" w:themeColor="text1"/>
          <w:szCs w:val="24"/>
          <w14:textFill>
            <w14:solidFill>
              <w14:schemeClr w14:val="tx1"/>
            </w14:solidFill>
          </w14:textFill>
        </w:rPr>
      </w:pPr>
    </w:p>
    <w:p>
      <w:pPr>
        <w:widowControl/>
        <w:spacing w:line="480" w:lineRule="auto"/>
        <w:jc w:val="left"/>
        <w:rPr>
          <w:rFonts w:hint="default" w:ascii="Times New Roman" w:hAnsi="Times New Roman" w:cs="Times New Roman" w:eastAsiaTheme="minorEastAsia"/>
          <w:b w:val="0"/>
          <w:bCs w:val="0"/>
          <w:color w:val="000000" w:themeColor="text1"/>
          <w:szCs w:val="24"/>
          <w14:textFill>
            <w14:solidFill>
              <w14:schemeClr w14:val="tx1"/>
            </w14:solidFill>
          </w14:textFill>
        </w:rPr>
      </w:pPr>
      <w:r>
        <w:rPr>
          <w:rFonts w:hint="default" w:ascii="Times New Roman" w:hAnsi="Times New Roman" w:cs="Times New Roman" w:eastAsiaTheme="minorEastAsia"/>
          <w:b w:val="0"/>
          <w:bCs w:val="0"/>
          <w:color w:val="000000" w:themeColor="text1"/>
          <w:szCs w:val="24"/>
          <w14:textFill>
            <w14:solidFill>
              <w14:schemeClr w14:val="tx1"/>
            </w14:solidFill>
          </w14:textFill>
        </w:rPr>
        <w:br w:type="page"/>
      </w: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bookmarkStart w:id="16" w:name="_Hlk157448244"/>
      <w:bookmarkStart w:id="17" w:name="_Hlk159596029"/>
      <w:bookmarkStart w:id="18" w:name="_Hlk157380856"/>
      <w:r>
        <w:rPr>
          <w:rFonts w:hint="default" w:ascii="Times New Roman" w:hAnsi="Times New Roman" w:cs="Times New Roman"/>
          <w:szCs w:val="24"/>
        </w:rPr>
        <w:drawing>
          <wp:anchor distT="0" distB="0" distL="114300" distR="114300" simplePos="0" relativeHeight="251666432" behindDoc="0" locked="0" layoutInCell="1" allowOverlap="1">
            <wp:simplePos x="0" y="0"/>
            <wp:positionH relativeFrom="margin">
              <wp:posOffset>26670</wp:posOffset>
            </wp:positionH>
            <wp:positionV relativeFrom="paragraph">
              <wp:posOffset>450215</wp:posOffset>
            </wp:positionV>
            <wp:extent cx="5184140" cy="4864735"/>
            <wp:effectExtent l="0" t="0" r="0" b="0"/>
            <wp:wrapTopAndBottom/>
            <wp:docPr id="8543837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83746" name="图片 1"/>
                    <pic:cNvPicPr>
                      <a:picLocks noChangeAspect="1"/>
                    </pic:cNvPicPr>
                  </pic:nvPicPr>
                  <pic:blipFill>
                    <a:blip r:embed="rId11"/>
                    <a:stretch>
                      <a:fillRect/>
                    </a:stretch>
                  </pic:blipFill>
                  <pic:spPr>
                    <a:xfrm>
                      <a:off x="0" y="0"/>
                      <a:ext cx="5184000" cy="4864679"/>
                    </a:xfrm>
                    <a:prstGeom prst="rect">
                      <a:avLst/>
                    </a:prstGeom>
                  </pic:spPr>
                </pic:pic>
              </a:graphicData>
            </a:graphic>
          </wp:anchor>
        </w:drawing>
      </w:r>
      <w:r>
        <w:rPr>
          <w:rFonts w:hint="default" w:ascii="Times New Roman" w:hAnsi="Times New Roman" w:cs="Times New Roman" w:eastAsiaTheme="minorEastAsia"/>
          <w:b w:val="0"/>
          <w:bCs w:val="0"/>
          <w:color w:val="000000" w:themeColor="text1"/>
          <w:szCs w:val="24"/>
          <w14:textFill>
            <w14:solidFill>
              <w14:schemeClr w14:val="tx1"/>
            </w14:solidFill>
          </w14:textFill>
        </w:rPr>
        <w:t>Fig. S6. Mediation of HOMA-IR between terpenes exposure and MetS</w:t>
      </w:r>
      <w:bookmarkEnd w:id="16"/>
      <w:r>
        <w:rPr>
          <w:rFonts w:hint="default" w:ascii="Times New Roman" w:hAnsi="Times New Roman" w:cs="Times New Roman" w:eastAsiaTheme="minorEastAsia"/>
          <w:b w:val="0"/>
          <w:bCs w:val="0"/>
          <w:color w:val="000000" w:themeColor="text1"/>
          <w:szCs w:val="24"/>
          <w14:textFill>
            <w14:solidFill>
              <w14:schemeClr w14:val="tx1"/>
            </w14:solidFill>
          </w14:textFill>
        </w:rPr>
        <w:t xml:space="preserve"> components</w:t>
      </w:r>
      <w:bookmarkEnd w:id="17"/>
      <w:r>
        <w:rPr>
          <w:rFonts w:hint="default" w:ascii="Times New Roman" w:hAnsi="Times New Roman" w:cs="Times New Roman" w:eastAsiaTheme="minorEastAsia"/>
          <w:b w:val="0"/>
          <w:bCs w:val="0"/>
          <w:color w:val="000000" w:themeColor="text1"/>
          <w:szCs w:val="24"/>
          <w14:textFill>
            <w14:solidFill>
              <w14:schemeClr w14:val="tx1"/>
            </w14:solidFill>
          </w14:textFill>
        </w:rPr>
        <w:t>.</w:t>
      </w:r>
      <w:r>
        <w:rPr>
          <w:rFonts w:hint="default" w:ascii="Times New Roman" w:hAnsi="Times New Roman" w:cs="Times New Roman"/>
          <w:szCs w:val="24"/>
        </w:rPr>
        <w:t xml:space="preserve"> </w:t>
      </w:r>
    </w:p>
    <w:bookmarkEnd w:id="18"/>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color w:val="000000" w:themeColor="text1"/>
          <w:szCs w:val="24"/>
          <w14:textFill>
            <w14:solidFill>
              <w14:schemeClr w14:val="tx1"/>
            </w14:solidFill>
          </w14:textFill>
        </w:rPr>
        <w:t>MetS, metabolic syndrome; High-TG, triglycerides met MetS diagnostic standard; Low-HDL, low HDL-C met MetS diagnostic standard; High-WC, high waist circumference met MetS diagnostic standard;</w:t>
      </w:r>
      <w:r>
        <w:rPr>
          <w:rFonts w:hint="default" w:ascii="Times New Roman" w:hAnsi="Times New Roman" w:cs="Times New Roman"/>
          <w:b w:val="0"/>
          <w:bCs w:val="0"/>
          <w:szCs w:val="24"/>
        </w:rPr>
        <w:t xml:space="preserve"> </w:t>
      </w:r>
      <w:r>
        <w:rPr>
          <w:rFonts w:hint="default" w:ascii="Times New Roman" w:hAnsi="Times New Roman" w:cs="Times New Roman" w:eastAsiaTheme="minorEastAsia"/>
          <w:b w:val="0"/>
          <w:bCs w:val="0"/>
          <w:color w:val="000000" w:themeColor="text1"/>
          <w:szCs w:val="24"/>
          <w14:textFill>
            <w14:solidFill>
              <w14:schemeClr w14:val="tx1"/>
            </w14:solidFill>
          </w14:textFill>
        </w:rPr>
        <w:t>IR, insulin resistance; TE, total effect; DE, direct effect; IE, indirect effect.</w:t>
      </w: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r>
        <w:rPr>
          <w:rFonts w:hint="default" w:ascii="Times New Roman" w:hAnsi="Times New Roman" w:cs="Times New Roman" w:eastAsiaTheme="minorEastAsia"/>
          <w:b w:val="0"/>
          <w:bCs w:val="0"/>
          <w:color w:val="000000" w:themeColor="text1"/>
          <w:szCs w:val="24"/>
          <w14:textFill>
            <w14:solidFill>
              <w14:schemeClr w14:val="tx1"/>
            </w14:solidFill>
          </w14:textFill>
        </w:rPr>
        <w:t xml:space="preserve">The mediating effects of HOMA-IR (IR indicator) were assessed between terpenes and (A-C) High-TG, (D-F) Low-HDL and (G-I) High-WC. Models were adjusted for covariates, including age, sex, race/ethnicity, BMI, educational attainment, PIR, serum cotinine, alcohol consumption, leisure-time PA, dietary fat intake, and LDL-C. Statistically significant paths (P &lt; 0.05*) are shown as solid lines with arrows. The proportion of mediating effects is also presented. </w:t>
      </w:r>
      <w:r>
        <w:rPr>
          <w:rFonts w:hint="default" w:ascii="Times New Roman" w:hAnsi="Times New Roman" w:cs="Times New Roman" w:eastAsiaTheme="minorEastAsia"/>
          <w:b w:val="0"/>
          <w:bCs w:val="0"/>
          <w:color w:val="000000" w:themeColor="text1"/>
          <w:szCs w:val="24"/>
          <w14:textFill>
            <w14:solidFill>
              <w14:schemeClr w14:val="tx1"/>
            </w14:solidFill>
          </w14:textFill>
        </w:rPr>
        <w:br w:type="page"/>
      </w:r>
    </w:p>
    <w:p>
      <w:pPr>
        <w:spacing w:line="480" w:lineRule="auto"/>
        <w:rPr>
          <w:rFonts w:hint="default" w:ascii="Times New Roman" w:hAnsi="Times New Roman" w:cs="Times New Roman" w:eastAsiaTheme="minorEastAsia"/>
          <w:b w:val="0"/>
          <w:bCs w:val="0"/>
          <w:color w:val="000000" w:themeColor="text1"/>
          <w:szCs w:val="24"/>
          <w14:textFill>
            <w14:solidFill>
              <w14:schemeClr w14:val="tx1"/>
            </w14:solidFill>
          </w14:textFill>
        </w:rPr>
      </w:pPr>
      <w:bookmarkStart w:id="19" w:name="_Hlk157448279"/>
      <w:bookmarkStart w:id="20" w:name="_Hlk159596202"/>
      <w:r>
        <w:rPr>
          <w:rFonts w:hint="default" w:ascii="Times New Roman" w:hAnsi="Times New Roman" w:cs="Times New Roman" w:eastAsiaTheme="minorEastAsia"/>
          <w:b w:val="0"/>
          <w:bCs w:val="0"/>
          <w:color w:val="000000" w:themeColor="text1"/>
          <w:szCs w:val="24"/>
          <w14:textFill>
            <w14:solidFill>
              <w14:schemeClr w14:val="tx1"/>
            </w14:solidFill>
          </w14:textFill>
        </w:rPr>
        <w:t xml:space="preserve">Fig. S7. Mediating effects of TyG between terpenes exposure and </w:t>
      </w:r>
      <w:bookmarkEnd w:id="19"/>
      <w:r>
        <w:rPr>
          <w:rFonts w:hint="default" w:ascii="Times New Roman" w:hAnsi="Times New Roman" w:cs="Times New Roman" w:eastAsiaTheme="minorEastAsia"/>
          <w:b w:val="0"/>
          <w:bCs w:val="0"/>
          <w:color w:val="000000" w:themeColor="text1"/>
          <w:szCs w:val="24"/>
          <w14:textFill>
            <w14:solidFill>
              <w14:schemeClr w14:val="tx1"/>
            </w14:solidFill>
          </w14:textFill>
        </w:rPr>
        <w:t>MetS components</w:t>
      </w:r>
      <w:bookmarkEnd w:id="20"/>
      <w:r>
        <w:rPr>
          <w:rFonts w:hint="default" w:ascii="Times New Roman" w:hAnsi="Times New Roman" w:cs="Times New Roman" w:eastAsiaTheme="minorEastAsia"/>
          <w:b w:val="0"/>
          <w:bCs w:val="0"/>
          <w:color w:val="000000" w:themeColor="text1"/>
          <w:szCs w:val="24"/>
          <w14:textFill>
            <w14:solidFill>
              <w14:schemeClr w14:val="tx1"/>
            </w14:solidFill>
          </w14:textFill>
        </w:rPr>
        <w:t>.</w:t>
      </w:r>
      <w:r>
        <w:rPr>
          <w:rFonts w:hint="default" w:ascii="Times New Roman" w:hAnsi="Times New Roman" w:cs="Times New Roman"/>
          <w:b w:val="0"/>
          <w:bCs w:val="0"/>
          <w:szCs w:val="24"/>
        </w:rPr>
        <w:t xml:space="preserve"> </w:t>
      </w:r>
      <w:r>
        <w:rPr>
          <w:rFonts w:hint="default" w:ascii="Times New Roman" w:hAnsi="Times New Roman" w:cs="Times New Roman"/>
          <w:szCs w:val="24"/>
        </w:rPr>
        <w:drawing>
          <wp:anchor distT="0" distB="0" distL="114300" distR="114300" simplePos="0" relativeHeight="251667456" behindDoc="0" locked="0" layoutInCell="1" allowOverlap="1">
            <wp:simplePos x="0" y="0"/>
            <wp:positionH relativeFrom="column">
              <wp:posOffset>0</wp:posOffset>
            </wp:positionH>
            <wp:positionV relativeFrom="paragraph">
              <wp:posOffset>414655</wp:posOffset>
            </wp:positionV>
            <wp:extent cx="5184140" cy="4864735"/>
            <wp:effectExtent l="0" t="0" r="0" b="0"/>
            <wp:wrapTopAndBottom/>
            <wp:docPr id="181228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28116" name="图片 1"/>
                    <pic:cNvPicPr>
                      <a:picLocks noChangeAspect="1"/>
                    </pic:cNvPicPr>
                  </pic:nvPicPr>
                  <pic:blipFill>
                    <a:blip r:embed="rId12"/>
                    <a:stretch>
                      <a:fillRect/>
                    </a:stretch>
                  </pic:blipFill>
                  <pic:spPr>
                    <a:xfrm>
                      <a:off x="0" y="0"/>
                      <a:ext cx="5184000" cy="4864678"/>
                    </a:xfrm>
                    <a:prstGeom prst="rect">
                      <a:avLst/>
                    </a:prstGeom>
                  </pic:spPr>
                </pic:pic>
              </a:graphicData>
            </a:graphic>
          </wp:anchor>
        </w:drawing>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b w:val="0"/>
          <w:bCs w:val="0"/>
          <w:kern w:val="0"/>
          <w:szCs w:val="24"/>
        </w:rPr>
        <w:t xml:space="preserve">Abbreviation: </w:t>
      </w:r>
      <w:r>
        <w:rPr>
          <w:rFonts w:hint="default" w:ascii="Times New Roman" w:hAnsi="Times New Roman" w:cs="Times New Roman" w:eastAsiaTheme="minorEastAsia"/>
          <w:b w:val="0"/>
          <w:bCs w:val="0"/>
          <w:color w:val="000000"/>
          <w:szCs w:val="24"/>
        </w:rPr>
        <w:t>High-TG, triglycerides met MetS diagnostic standard; Low-HDL, low HDL-C met MetS diagnostic standard; High-WC, high waist circumference met MetS diagnostic standard;</w:t>
      </w:r>
      <w:r>
        <w:rPr>
          <w:rFonts w:hint="default" w:ascii="Times New Roman" w:hAnsi="Times New Roman" w:cs="Times New Roman"/>
          <w:b w:val="0"/>
          <w:bCs w:val="0"/>
          <w:szCs w:val="24"/>
        </w:rPr>
        <w:t xml:space="preserve"> </w:t>
      </w:r>
      <w:r>
        <w:rPr>
          <w:rFonts w:hint="default" w:ascii="Times New Roman" w:hAnsi="Times New Roman" w:cs="Times New Roman" w:eastAsiaTheme="minorEastAsia"/>
          <w:b w:val="0"/>
          <w:bCs w:val="0"/>
          <w:color w:val="000000"/>
          <w:szCs w:val="24"/>
        </w:rPr>
        <w:t xml:space="preserve">TyG, Triglyceride/ Glucose index; </w:t>
      </w:r>
      <w:r>
        <w:rPr>
          <w:rFonts w:hint="default" w:ascii="Times New Roman" w:hAnsi="Times New Roman" w:cs="Times New Roman" w:eastAsiaTheme="minorEastAsia"/>
          <w:b w:val="0"/>
          <w:bCs w:val="0"/>
          <w:color w:val="000000" w:themeColor="text1"/>
          <w:szCs w:val="24"/>
          <w14:textFill>
            <w14:solidFill>
              <w14:schemeClr w14:val="tx1"/>
            </w14:solidFill>
          </w14:textFill>
        </w:rPr>
        <w:t>TE, total effect; DE, direct effect; IE, indirect effect.</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t xml:space="preserve">The mediating effects of </w:t>
      </w:r>
      <w:r>
        <w:rPr>
          <w:rFonts w:hint="default" w:ascii="Times New Roman" w:hAnsi="Times New Roman" w:cs="Times New Roman" w:eastAsiaTheme="minorEastAsia"/>
          <w:b w:val="0"/>
          <w:bCs w:val="0"/>
          <w:color w:val="000000" w:themeColor="text1"/>
          <w:szCs w:val="24"/>
          <w14:textFill>
            <w14:solidFill>
              <w14:schemeClr w14:val="tx1"/>
            </w14:solidFill>
          </w14:textFill>
        </w:rPr>
        <w:t>TyG</w:t>
      </w:r>
      <w:r>
        <w:rPr>
          <w:rFonts w:hint="default" w:ascii="Times New Roman" w:hAnsi="Times New Roman" w:cs="Times New Roman" w:eastAsiaTheme="minorEastAsia"/>
          <w:b w:val="0"/>
          <w:bCs w:val="0"/>
          <w:color w:val="000000"/>
          <w:szCs w:val="24"/>
        </w:rPr>
        <w:t xml:space="preserve"> were assessed between terpenes and </w:t>
      </w:r>
      <w:r>
        <w:rPr>
          <w:rFonts w:hint="default" w:ascii="Times New Roman" w:hAnsi="Times New Roman" w:cs="Times New Roman" w:eastAsiaTheme="minorEastAsia"/>
          <w:b w:val="0"/>
          <w:bCs w:val="0"/>
          <w:color w:val="000000" w:themeColor="text1"/>
          <w:szCs w:val="24"/>
          <w14:textFill>
            <w14:solidFill>
              <w14:schemeClr w14:val="tx1"/>
            </w14:solidFill>
          </w14:textFill>
        </w:rPr>
        <w:t>(A-C) High-TG, (D-F) Low-HDL and (G-I) High-WC</w:t>
      </w:r>
      <w:r>
        <w:rPr>
          <w:rFonts w:hint="default" w:ascii="Times New Roman" w:hAnsi="Times New Roman" w:cs="Times New Roman" w:eastAsiaTheme="minorEastAsia"/>
          <w:b w:val="0"/>
          <w:bCs w:val="0"/>
          <w:color w:val="000000"/>
          <w:szCs w:val="24"/>
        </w:rPr>
        <w:t>. Models were adjusted for covariates, including age, sex, race/ethnicity, BMI, educational attainment, PIR, serum cotinine, alcohol consumption, leisure-time PA, dietary fat intake, and LDL-C. Statistically significant paths (P &lt; 0.05*) are shown as solid lines with arrows. The proportion of mediating effects is also presented.</w:t>
      </w:r>
    </w:p>
    <w:p>
      <w:pPr>
        <w:spacing w:line="480" w:lineRule="auto"/>
        <w:rPr>
          <w:rFonts w:hint="default" w:ascii="Times New Roman" w:hAnsi="Times New Roman" w:cs="Times New Roman" w:eastAsiaTheme="minorEastAsia"/>
          <w:b w:val="0"/>
          <w:bCs w:val="0"/>
          <w:color w:val="000000" w:themeColor="text1"/>
          <w:szCs w:val="24"/>
          <w:lang w:val="en-US" w:eastAsia="zh-CN"/>
          <w14:textFill>
            <w14:solidFill>
              <w14:schemeClr w14:val="tx1"/>
            </w14:solidFill>
          </w14:textFill>
        </w:rPr>
      </w:pPr>
      <w:bookmarkStart w:id="21" w:name="_Hlk159596356"/>
      <w:bookmarkStart w:id="22" w:name="_Hlk157448359"/>
      <w:r>
        <w:rPr>
          <w:rFonts w:hint="default" w:ascii="Times New Roman" w:hAnsi="Times New Roman" w:cs="Times New Roman" w:eastAsiaTheme="minorEastAsia"/>
          <w:b w:val="0"/>
          <w:bCs w:val="0"/>
          <w:color w:val="000000" w:themeColor="text1"/>
          <w:szCs w:val="24"/>
          <w:lang w:val="en-US" w:eastAsia="zh-CN"/>
          <w14:textFill>
            <w14:solidFill>
              <w14:schemeClr w14:val="tx1"/>
            </w14:solidFill>
          </w14:textFill>
        </w:rPr>
        <w:t xml:space="preserve">Fig. S8. Restricted cubic spline figures of single terpenes exposure, HOMA-IR and </w:t>
      </w:r>
      <w:r>
        <w:rPr>
          <w:rFonts w:hint="default" w:ascii="Times New Roman" w:hAnsi="Times New Roman" w:cs="Times New Roman" w:eastAsiaTheme="minorEastAsia"/>
          <w:b w:val="0"/>
          <w:bCs w:val="0"/>
          <w:color w:val="000000" w:themeColor="text1"/>
          <w:szCs w:val="24"/>
          <w14:textFill>
            <w14:solidFill>
              <w14:schemeClr w14:val="tx1"/>
            </w14:solidFill>
          </w14:textFill>
        </w:rPr>
        <w:t>MetS</w:t>
      </w:r>
      <w:r>
        <w:rPr>
          <w:rFonts w:hint="default" w:ascii="Times New Roman" w:hAnsi="Times New Roman" w:cs="Times New Roman" w:eastAsiaTheme="minorEastAsia"/>
          <w:b w:val="0"/>
          <w:bCs w:val="0"/>
          <w:color w:val="000000" w:themeColor="text1"/>
          <w:szCs w:val="24"/>
          <w:lang w:val="en-US" w:eastAsia="zh-CN"/>
          <w14:textFill>
            <w14:solidFill>
              <w14:schemeClr w14:val="tx1"/>
            </w14:solidFill>
          </w14:textFill>
        </w:rPr>
        <w:t>.</w:t>
      </w:r>
    </w:p>
    <w:p>
      <w:pPr>
        <w:spacing w:line="480" w:lineRule="auto"/>
        <w:rPr>
          <w:rFonts w:hint="default" w:ascii="Times New Roman" w:hAnsi="Times New Roman" w:cs="Times New Roman" w:eastAsiaTheme="minorEastAsia"/>
          <w:b w:val="0"/>
          <w:bCs w:val="0"/>
          <w:szCs w:val="24"/>
          <w:lang w:val="en-US" w:eastAsia="zh-CN"/>
        </w:rPr>
      </w:pPr>
      <w:r>
        <w:rPr>
          <w:rFonts w:hint="default" w:ascii="Times New Roman" w:hAnsi="Times New Roman" w:cs="Times New Roman"/>
        </w:rPr>
        <w:drawing>
          <wp:inline distT="0" distB="0" distL="114300" distR="114300">
            <wp:extent cx="5082540" cy="5796280"/>
            <wp:effectExtent l="0" t="0" r="381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a:stretch>
                      <a:fillRect/>
                    </a:stretch>
                  </pic:blipFill>
                  <pic:spPr>
                    <a:xfrm>
                      <a:off x="0" y="0"/>
                      <a:ext cx="5082540" cy="5796280"/>
                    </a:xfrm>
                    <a:prstGeom prst="rect">
                      <a:avLst/>
                    </a:prstGeom>
                    <a:noFill/>
                    <a:ln>
                      <a:noFill/>
                    </a:ln>
                  </pic:spPr>
                </pic:pic>
              </a:graphicData>
            </a:graphic>
          </wp:inline>
        </w:drawing>
      </w:r>
      <w:r>
        <w:rPr>
          <w:rFonts w:hint="default" w:ascii="Times New Roman" w:hAnsi="Times New Roman" w:cs="Times New Roman" w:eastAsiaTheme="minorEastAsia"/>
          <w:b w:val="0"/>
          <w:bCs w:val="0"/>
          <w:szCs w:val="24"/>
        </w:rPr>
        <w:br w:type="textWrapping"/>
      </w:r>
      <w:r>
        <w:rPr>
          <w:rFonts w:hint="default" w:ascii="Times New Roman" w:hAnsi="Times New Roman" w:cs="Times New Roman" w:eastAsiaTheme="minorEastAsia"/>
          <w:b w:val="0"/>
          <w:bCs w:val="0"/>
          <w:szCs w:val="24"/>
          <w:lang w:val="en-US" w:eastAsia="zh-CN"/>
        </w:rPr>
        <w:t>The RCS figure illustrates the relationships among terpenes and metabolic syndrome (MetS), terpenes and HOMA-IR, and HOMA-IR and MetS in detail. The p-value for non-linearity is less than 0.05, indicating the presence of a non-linear relationship. However, all three relationships show an upward trend, suggesting a positive association.</w:t>
      </w:r>
    </w:p>
    <w:p>
      <w:pPr>
        <w:rPr>
          <w:rFonts w:hint="default" w:ascii="Times New Roman" w:hAnsi="Times New Roman" w:cs="Times New Roman" w:eastAsiaTheme="minorEastAsia"/>
          <w:b w:val="0"/>
          <w:bCs w:val="0"/>
          <w:szCs w:val="24"/>
          <w:lang w:val="en-US" w:eastAsia="zh-CN"/>
        </w:rPr>
      </w:pPr>
      <w:r>
        <w:rPr>
          <w:rFonts w:hint="default" w:ascii="Times New Roman" w:hAnsi="Times New Roman" w:cs="Times New Roman" w:eastAsiaTheme="minorEastAsia"/>
          <w:b w:val="0"/>
          <w:bCs w:val="0"/>
          <w:szCs w:val="24"/>
          <w:lang w:val="en-US" w:eastAsia="zh-CN"/>
        </w:rPr>
        <w:br w:type="page"/>
      </w:r>
    </w:p>
    <w:p>
      <w:pPr>
        <w:spacing w:line="480" w:lineRule="auto"/>
        <w:rPr>
          <w:rFonts w:hint="default" w:ascii="Times New Roman" w:hAnsi="Times New Roman" w:cs="Times New Roman" w:eastAsiaTheme="minorEastAsia"/>
          <w:b w:val="0"/>
          <w:bCs w:val="0"/>
          <w:szCs w:val="24"/>
          <w:lang w:val="en-US" w:eastAsia="zh-CN"/>
        </w:rPr>
      </w:pPr>
      <w:r>
        <w:rPr>
          <w:rFonts w:hint="default" w:ascii="Times New Roman" w:hAnsi="Times New Roman" w:cs="Times New Roman" w:eastAsiaTheme="minorEastAsia"/>
          <w:b w:val="0"/>
          <w:bCs w:val="0"/>
          <w:szCs w:val="24"/>
          <w:lang w:val="en-US" w:eastAsia="zh-CN"/>
        </w:rPr>
        <w:t>Fig. S9. Directed acyclic graph illustrating identification of potential confounders between terpenes, IR and MetS.</w:t>
      </w:r>
    </w:p>
    <w:p>
      <w:pPr>
        <w:spacing w:line="480" w:lineRule="auto"/>
        <w:rPr>
          <w:rFonts w:hint="default" w:ascii="Times New Roman" w:hAnsi="Times New Roman" w:cs="Times New Roman" w:eastAsiaTheme="minorEastAsia"/>
          <w:b w:val="0"/>
          <w:bCs w:val="0"/>
          <w:szCs w:val="24"/>
          <w:lang w:val="en-US" w:eastAsia="zh-CN"/>
        </w:rPr>
      </w:pPr>
      <w:r>
        <w:rPr>
          <w:rFonts w:hint="default" w:ascii="Times New Roman" w:hAnsi="Times New Roman" w:cs="Times New Roman"/>
        </w:rPr>
        <w:drawing>
          <wp:inline distT="0" distB="0" distL="114300" distR="114300">
            <wp:extent cx="5310505" cy="4810125"/>
            <wp:effectExtent l="0" t="0" r="4445"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4"/>
                    <a:stretch>
                      <a:fillRect/>
                    </a:stretch>
                  </pic:blipFill>
                  <pic:spPr>
                    <a:xfrm>
                      <a:off x="0" y="0"/>
                      <a:ext cx="5310505" cy="4810125"/>
                    </a:xfrm>
                    <a:prstGeom prst="rect">
                      <a:avLst/>
                    </a:prstGeom>
                    <a:noFill/>
                    <a:ln>
                      <a:noFill/>
                    </a:ln>
                  </pic:spPr>
                </pic:pic>
              </a:graphicData>
            </a:graphic>
          </wp:inline>
        </w:drawing>
      </w:r>
    </w:p>
    <w:p>
      <w:pPr>
        <w:spacing w:line="480" w:lineRule="auto"/>
        <w:rPr>
          <w:rFonts w:hint="default" w:ascii="Times New Roman" w:hAnsi="Times New Roman" w:cs="Times New Roman"/>
          <w:b w:val="0"/>
          <w:bCs w:val="0"/>
          <w:kern w:val="2"/>
          <w:sz w:val="24"/>
          <w:szCs w:val="24"/>
          <w:lang w:val="en-US" w:eastAsia="zh-CN" w:bidi="ar"/>
        </w:rPr>
      </w:pPr>
      <w:r>
        <w:rPr>
          <w:rFonts w:hint="default" w:ascii="Times New Roman" w:hAnsi="Times New Roman" w:cs="Times New Roman"/>
          <w:b w:val="0"/>
          <w:bCs w:val="0"/>
          <w:kern w:val="0"/>
          <w:szCs w:val="24"/>
        </w:rPr>
        <w:t>Abbreviation:</w:t>
      </w:r>
      <w:r>
        <w:rPr>
          <w:rFonts w:hint="default" w:ascii="Times New Roman" w:hAnsi="Times New Roman" w:cs="Times New Roman"/>
          <w:b w:val="0"/>
          <w:bCs w:val="0"/>
          <w:kern w:val="0"/>
          <w:szCs w:val="24"/>
          <w:lang w:val="en-US" w:eastAsia="zh-CN"/>
        </w:rPr>
        <w:t xml:space="preserve"> </w:t>
      </w:r>
      <w:r>
        <w:rPr>
          <w:rFonts w:hint="default" w:ascii="Times New Roman" w:hAnsi="Times New Roman" w:cs="Times New Roman" w:eastAsiaTheme="minorEastAsia"/>
          <w:b w:val="0"/>
          <w:bCs w:val="0"/>
          <w:szCs w:val="24"/>
          <w:lang w:val="en-US" w:eastAsia="zh-CN"/>
        </w:rPr>
        <w:t>PIR,poverty income ratio; LDL-C, Low-density lipoprotein cholesterol; BMI, body mass index;  MetS, metabolic syndrome;</w:t>
      </w:r>
      <w:r>
        <w:rPr>
          <w:rFonts w:hint="default" w:ascii="Times New Roman" w:hAnsi="Times New Roman" w:eastAsia="宋体" w:cs="Times New Roman"/>
          <w:b w:val="0"/>
          <w:bCs w:val="0"/>
          <w:kern w:val="2"/>
          <w:sz w:val="24"/>
          <w:szCs w:val="24"/>
          <w:lang w:val="en-US" w:eastAsia="zh-CN" w:bidi="ar"/>
        </w:rPr>
        <w:t>IR, insulin resistance</w:t>
      </w:r>
      <w:r>
        <w:rPr>
          <w:rFonts w:hint="default" w:ascii="Times New Roman" w:hAnsi="Times New Roman" w:cs="Times New Roman"/>
          <w:b w:val="0"/>
          <w:bCs w:val="0"/>
          <w:kern w:val="2"/>
          <w:sz w:val="24"/>
          <w:szCs w:val="24"/>
          <w:lang w:val="en-US" w:eastAsia="zh-CN" w:bidi="ar"/>
        </w:rPr>
        <w:t>.</w:t>
      </w:r>
    </w:p>
    <w:p>
      <w:pPr>
        <w:spacing w:line="480" w:lineRule="auto"/>
        <w:rPr>
          <w:rFonts w:hint="default" w:ascii="Times New Roman" w:hAnsi="Times New Roman" w:cs="Times New Roman"/>
          <w:b w:val="0"/>
          <w:bCs w:val="0"/>
          <w:kern w:val="2"/>
          <w:sz w:val="24"/>
          <w:szCs w:val="24"/>
          <w:lang w:val="en-US" w:eastAsia="zh-CN" w:bidi="ar"/>
        </w:rPr>
      </w:pPr>
      <w:r>
        <w:rPr>
          <w:rFonts w:hint="default" w:ascii="Times New Roman" w:hAnsi="Times New Roman" w:cs="Times New Roman"/>
          <w:b w:val="0"/>
          <w:bCs w:val="0"/>
          <w:kern w:val="2"/>
          <w:sz w:val="24"/>
          <w:szCs w:val="24"/>
          <w:lang w:val="en-US" w:eastAsia="zh-CN" w:bidi="ar"/>
        </w:rPr>
        <w:t>Directed acyclic graphs was used to determined adjusting variables.</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br w:type="page"/>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Table S1. Baseline characteristics of MetS and its components in terpene groups</w:t>
      </w:r>
      <w:bookmarkEnd w:id="21"/>
      <w:r>
        <w:rPr>
          <w:rFonts w:hint="default" w:ascii="Times New Roman" w:hAnsi="Times New Roman" w:cs="Times New Roman" w:eastAsiaTheme="minorEastAsia"/>
          <w:b w:val="0"/>
          <w:bCs w:val="0"/>
          <w:szCs w:val="24"/>
        </w:rPr>
        <w:t>.</w:t>
      </w:r>
    </w:p>
    <w:tbl>
      <w:tblPr>
        <w:tblStyle w:val="6"/>
        <w:tblW w:w="8640" w:type="dxa"/>
        <w:jc w:val="center"/>
        <w:tblLayout w:type="autofit"/>
        <w:tblCellMar>
          <w:top w:w="0" w:type="dxa"/>
          <w:left w:w="108" w:type="dxa"/>
          <w:bottom w:w="0" w:type="dxa"/>
          <w:right w:w="108" w:type="dxa"/>
        </w:tblCellMar>
      </w:tblPr>
      <w:tblGrid>
        <w:gridCol w:w="2139"/>
        <w:gridCol w:w="1816"/>
        <w:gridCol w:w="2007"/>
        <w:gridCol w:w="1816"/>
        <w:gridCol w:w="1076"/>
      </w:tblGrid>
      <w:tr>
        <w:tblPrEx>
          <w:tblCellMar>
            <w:top w:w="0" w:type="dxa"/>
            <w:left w:w="108" w:type="dxa"/>
            <w:bottom w:w="0" w:type="dxa"/>
            <w:right w:w="108" w:type="dxa"/>
          </w:tblCellMar>
        </w:tblPrEx>
        <w:trPr>
          <w:trHeight w:val="335" w:hRule="atLeast"/>
          <w:jc w:val="center"/>
        </w:trPr>
        <w:tc>
          <w:tcPr>
            <w:tcW w:w="2139"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w:t>
            </w:r>
          </w:p>
        </w:tc>
        <w:tc>
          <w:tcPr>
            <w:tcW w:w="171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Overall</w:t>
            </w:r>
          </w:p>
        </w:tc>
        <w:tc>
          <w:tcPr>
            <w:tcW w:w="2007"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Lower </w:t>
            </w:r>
          </w:p>
        </w:tc>
        <w:tc>
          <w:tcPr>
            <w:tcW w:w="1707"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Higher </w:t>
            </w:r>
          </w:p>
        </w:tc>
        <w:tc>
          <w:tcPr>
            <w:tcW w:w="1076"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P value</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α-pinene (N)</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1563</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782</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781</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MetS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447 (28.6)</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198 (25.3)</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249 (31.9)</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0.005</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High-TG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502 (32.1)</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198 (25.3)</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304 (38.9)</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Low-HDL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438 (28.0)</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203 (26.0)</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235 (30.1)</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0.078</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High-WC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970 (62.1)</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463 (59.2)</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507 (64.9)</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0.023</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High-BP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417 (26.7)</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203 (26.0)</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214 (27.4)</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0.557</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High-BG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406 (26.0)</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190 (24.3)</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216 (27.7)</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0.145</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TG, mmol/L</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0.94 [0.56, 1.47]</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0.84 [0.51, 1.26]</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1.07 [0.64, 1.66]</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HDL-C, mmol/L</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1.36 (0.39)</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1.38 (0.38)</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1.34 (0.39)</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0.084</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Waist, cm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95.30 (17.39)</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94.18 (17.09)</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96.42 (17.63)</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0.011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SBP, mmHg</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119.49 (17.49)</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118.23 (16.75)</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120.75 (18.13)</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0.004</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DBP, mmHg</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67.72 (12.37)</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66.84 (12.15)</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68.61 (12.52)</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0.005</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FBG, mmol/L</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5.16 [4.77, 5.72]</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5.11 [4.73, 5.61]</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5.16 [4.77, 5.77]</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0.064</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β-pinene (N)</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1563</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782</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781</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MetS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447 (28.6)</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189 (24.2)</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258 (33.0)</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High-TG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502 (32.1)</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185 (23.7)</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317 (40.6)</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Low-HDL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438 (28.0)</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200 (25.6)</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238 (30.5)</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0.036</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High-WC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970 (62.1)</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453 (57.9)</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517 (66.2)</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0.001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High-BP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417 (26.7)</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205 (26.2)</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212 (27.1)</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0.72</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High-BG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406 (26.0)</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195 (24.9)</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211 (27.0)</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0.379</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TG, mmol/L</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0.94 [0.56, 1.47]</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0.84 [0.50, 1.25]</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1.08 [0.65, 1.73]</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HDL-C, mmol/L</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1.36 (0.39)</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1.37 (0.38)</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1.35 (0.40)</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0.354</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Waist, cm </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95.30 (17.39)</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94.11 (17.42)</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96.49 (17.29)</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0.007</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SBP, mmHg</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119.49 (17.49)</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118.97 (17.81)</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120.01 (17.17)</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0.241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DBP, mmHg</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67.72 (12.37)</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66.95 (12.29)</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68.50 (12.40)</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0.013</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FBG, mmol/L</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5.16 [4.77, 5.72]</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5.11 [4.72, 5.61]</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5.16 [4.77, 5.77]</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0.041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limonene (N)</w:t>
            </w:r>
          </w:p>
        </w:tc>
        <w:tc>
          <w:tcPr>
            <w:tcW w:w="171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1563</w:t>
            </w:r>
          </w:p>
        </w:tc>
        <w:tc>
          <w:tcPr>
            <w:tcW w:w="20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784</w:t>
            </w:r>
          </w:p>
        </w:tc>
        <w:tc>
          <w:tcPr>
            <w:tcW w:w="170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779</w:t>
            </w:r>
          </w:p>
        </w:tc>
        <w:tc>
          <w:tcPr>
            <w:tcW w:w="107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MetS (%)</w:t>
            </w:r>
          </w:p>
        </w:tc>
        <w:tc>
          <w:tcPr>
            <w:tcW w:w="1711"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447 (28.6)</w:t>
            </w:r>
          </w:p>
        </w:tc>
        <w:tc>
          <w:tcPr>
            <w:tcW w:w="20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197 (25.1)</w:t>
            </w:r>
          </w:p>
        </w:tc>
        <w:tc>
          <w:tcPr>
            <w:tcW w:w="17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250 (32.1)</w:t>
            </w:r>
          </w:p>
        </w:tc>
        <w:tc>
          <w:tcPr>
            <w:tcW w:w="1076"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0.003</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High-TG (%)</w:t>
            </w:r>
          </w:p>
        </w:tc>
        <w:tc>
          <w:tcPr>
            <w:tcW w:w="1711"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502 (32.1)</w:t>
            </w:r>
          </w:p>
        </w:tc>
        <w:tc>
          <w:tcPr>
            <w:tcW w:w="20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183 (23.3)</w:t>
            </w:r>
          </w:p>
        </w:tc>
        <w:tc>
          <w:tcPr>
            <w:tcW w:w="17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319 (40.9)</w:t>
            </w:r>
          </w:p>
        </w:tc>
        <w:tc>
          <w:tcPr>
            <w:tcW w:w="1076"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&lt; 0.001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Low-HDL (%)</w:t>
            </w:r>
          </w:p>
        </w:tc>
        <w:tc>
          <w:tcPr>
            <w:tcW w:w="1711"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438 (28.0)</w:t>
            </w:r>
          </w:p>
        </w:tc>
        <w:tc>
          <w:tcPr>
            <w:tcW w:w="20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209 (26.7)</w:t>
            </w:r>
          </w:p>
        </w:tc>
        <w:tc>
          <w:tcPr>
            <w:tcW w:w="17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229 (29.4)</w:t>
            </w:r>
          </w:p>
        </w:tc>
        <w:tc>
          <w:tcPr>
            <w:tcW w:w="1076"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0.251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High-WC (%)</w:t>
            </w:r>
          </w:p>
        </w:tc>
        <w:tc>
          <w:tcPr>
            <w:tcW w:w="1711"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970 (62.1)</w:t>
            </w:r>
          </w:p>
        </w:tc>
        <w:tc>
          <w:tcPr>
            <w:tcW w:w="20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476 (60.7)</w:t>
            </w:r>
          </w:p>
        </w:tc>
        <w:tc>
          <w:tcPr>
            <w:tcW w:w="17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494 (63.4)</w:t>
            </w:r>
          </w:p>
        </w:tc>
        <w:tc>
          <w:tcPr>
            <w:tcW w:w="1076"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0.295</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High-BP (%)</w:t>
            </w:r>
          </w:p>
        </w:tc>
        <w:tc>
          <w:tcPr>
            <w:tcW w:w="1711"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417 (26.7)</w:t>
            </w:r>
          </w:p>
        </w:tc>
        <w:tc>
          <w:tcPr>
            <w:tcW w:w="20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206 (26.3)</w:t>
            </w:r>
          </w:p>
        </w:tc>
        <w:tc>
          <w:tcPr>
            <w:tcW w:w="17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211 (27.1)</w:t>
            </w:r>
          </w:p>
        </w:tc>
        <w:tc>
          <w:tcPr>
            <w:tcW w:w="1076"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0.760</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High-BG (%)</w:t>
            </w:r>
          </w:p>
        </w:tc>
        <w:tc>
          <w:tcPr>
            <w:tcW w:w="1711"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406 (26.0)</w:t>
            </w:r>
          </w:p>
        </w:tc>
        <w:tc>
          <w:tcPr>
            <w:tcW w:w="20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213 (27.2)</w:t>
            </w:r>
          </w:p>
        </w:tc>
        <w:tc>
          <w:tcPr>
            <w:tcW w:w="17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193 (24.8)</w:t>
            </w:r>
          </w:p>
        </w:tc>
        <w:tc>
          <w:tcPr>
            <w:tcW w:w="1076"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0.307</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TG, mmol/L</w:t>
            </w:r>
          </w:p>
        </w:tc>
        <w:tc>
          <w:tcPr>
            <w:tcW w:w="1711"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0.94 [0.56, 1.47]</w:t>
            </w:r>
          </w:p>
        </w:tc>
        <w:tc>
          <w:tcPr>
            <w:tcW w:w="20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0.79 [0.51, 1.25]</w:t>
            </w:r>
          </w:p>
        </w:tc>
        <w:tc>
          <w:tcPr>
            <w:tcW w:w="17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1.07 [0.66, 1.68]</w:t>
            </w:r>
          </w:p>
        </w:tc>
        <w:tc>
          <w:tcPr>
            <w:tcW w:w="1076"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&lt; 0.001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HDL-C, mmol/L</w:t>
            </w:r>
          </w:p>
        </w:tc>
        <w:tc>
          <w:tcPr>
            <w:tcW w:w="1711"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1.36 (0.39)</w:t>
            </w:r>
          </w:p>
        </w:tc>
        <w:tc>
          <w:tcPr>
            <w:tcW w:w="20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1.38 (0.37)</w:t>
            </w:r>
          </w:p>
        </w:tc>
        <w:tc>
          <w:tcPr>
            <w:tcW w:w="17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1.35 (0.40)</w:t>
            </w:r>
          </w:p>
        </w:tc>
        <w:tc>
          <w:tcPr>
            <w:tcW w:w="1076"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0.147</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Waist, cm </w:t>
            </w:r>
          </w:p>
        </w:tc>
        <w:tc>
          <w:tcPr>
            <w:tcW w:w="1711"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95.30 (17.39)</w:t>
            </w:r>
          </w:p>
        </w:tc>
        <w:tc>
          <w:tcPr>
            <w:tcW w:w="20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94.60 (17.82)</w:t>
            </w:r>
          </w:p>
        </w:tc>
        <w:tc>
          <w:tcPr>
            <w:tcW w:w="17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96.01 (16.93)</w:t>
            </w:r>
          </w:p>
        </w:tc>
        <w:tc>
          <w:tcPr>
            <w:tcW w:w="1076"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0.109</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SBP, mmHg</w:t>
            </w:r>
          </w:p>
        </w:tc>
        <w:tc>
          <w:tcPr>
            <w:tcW w:w="1711"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119.49 (17.49)</w:t>
            </w:r>
          </w:p>
        </w:tc>
        <w:tc>
          <w:tcPr>
            <w:tcW w:w="20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118.36 (17.16)</w:t>
            </w:r>
          </w:p>
        </w:tc>
        <w:tc>
          <w:tcPr>
            <w:tcW w:w="17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120.63 (17.76)</w:t>
            </w:r>
          </w:p>
        </w:tc>
        <w:tc>
          <w:tcPr>
            <w:tcW w:w="1076"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0.010</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DBP, mmHg</w:t>
            </w:r>
          </w:p>
        </w:tc>
        <w:tc>
          <w:tcPr>
            <w:tcW w:w="1711"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67.72 (12.37)</w:t>
            </w:r>
          </w:p>
        </w:tc>
        <w:tc>
          <w:tcPr>
            <w:tcW w:w="20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66.19 (12.39)</w:t>
            </w:r>
          </w:p>
        </w:tc>
        <w:tc>
          <w:tcPr>
            <w:tcW w:w="1707"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69.26 (12.15)</w:t>
            </w:r>
          </w:p>
        </w:tc>
        <w:tc>
          <w:tcPr>
            <w:tcW w:w="1076"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&lt; 0.001</w:t>
            </w:r>
          </w:p>
        </w:tc>
      </w:tr>
      <w:tr>
        <w:tblPrEx>
          <w:tblCellMar>
            <w:top w:w="0" w:type="dxa"/>
            <w:left w:w="108" w:type="dxa"/>
            <w:bottom w:w="0" w:type="dxa"/>
            <w:right w:w="108" w:type="dxa"/>
          </w:tblCellMar>
        </w:tblPrEx>
        <w:trPr>
          <w:trHeight w:val="335" w:hRule="atLeast"/>
          <w:jc w:val="center"/>
        </w:trPr>
        <w:tc>
          <w:tcPr>
            <w:tcW w:w="2139"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FBG, mmol/L</w:t>
            </w:r>
          </w:p>
        </w:tc>
        <w:tc>
          <w:tcPr>
            <w:tcW w:w="1711" w:type="dxa"/>
            <w:tcBorders>
              <w:top w:val="nil"/>
              <w:left w:val="nil"/>
              <w:bottom w:val="single" w:color="auto" w:sz="4" w:space="0"/>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5.16 [4.77, 5.72]</w:t>
            </w:r>
          </w:p>
        </w:tc>
        <w:tc>
          <w:tcPr>
            <w:tcW w:w="2007" w:type="dxa"/>
            <w:tcBorders>
              <w:top w:val="nil"/>
              <w:left w:val="nil"/>
              <w:bottom w:val="single" w:color="auto" w:sz="4" w:space="0"/>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5.16 [4.77, 5.72]</w:t>
            </w:r>
          </w:p>
        </w:tc>
        <w:tc>
          <w:tcPr>
            <w:tcW w:w="1707" w:type="dxa"/>
            <w:tcBorders>
              <w:top w:val="nil"/>
              <w:left w:val="nil"/>
              <w:bottom w:val="single" w:color="auto" w:sz="4" w:space="0"/>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5.16 [4.77, 5.66]</w:t>
            </w:r>
          </w:p>
        </w:tc>
        <w:tc>
          <w:tcPr>
            <w:tcW w:w="1076" w:type="dxa"/>
            <w:tcBorders>
              <w:top w:val="nil"/>
              <w:left w:val="nil"/>
              <w:bottom w:val="single" w:color="auto" w:sz="4" w:space="0"/>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0.890</w:t>
            </w:r>
          </w:p>
        </w:tc>
      </w:tr>
    </w:tbl>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 xml:space="preserve">Abbreviation: N, number; MetS, metabolic syndrome; High-TG, triglycerides met MetS diagnostic standard; Low-HDL, low HDL-C met MetS diagnostic standard; High-WC, high waist circumference met MetS diagnostic standard; High-BP, high blood pressure met MetS diagnostic standard; High-BG, high fasting blood glucose met MetS diagnostic standard; Tg, </w:t>
      </w:r>
      <w:r>
        <w:rPr>
          <w:rFonts w:hint="default" w:ascii="Times New Roman" w:hAnsi="Times New Roman" w:eastAsia="等线" w:cs="Times New Roman"/>
          <w:b w:val="0"/>
          <w:bCs w:val="0"/>
          <w:color w:val="000000"/>
          <w:kern w:val="0"/>
          <w:szCs w:val="24"/>
        </w:rPr>
        <w:t>triglycerides; HDL-C, high-density lipoprotein cholesterol; SBP, systolic blood pressure; DBP, diastolic blood pressure; FBG, fasting blood glucose.</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Terpenes were divided into lower and higher groups according to the mean value. The values of lower and higher groups were [0.0354,0.0797) and [0.0797,0.9370] for α-pinene, [0.0396,0.0754) and [0.0754,2.1300] for β-pinene, and [0.115, 1.19) and [1.190,15.50] for limonene.</w:t>
      </w:r>
    </w:p>
    <w:p>
      <w:pPr>
        <w:widowControl/>
        <w:spacing w:line="480" w:lineRule="auto"/>
        <w:jc w:val="left"/>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br w:type="page"/>
      </w:r>
    </w:p>
    <w:p>
      <w:pPr>
        <w:widowControl/>
        <w:spacing w:line="480" w:lineRule="auto"/>
        <w:jc w:val="left"/>
        <w:rPr>
          <w:rFonts w:hint="default" w:ascii="Times New Roman" w:hAnsi="Times New Roman" w:cs="Times New Roman" w:eastAsiaTheme="minorEastAsia"/>
          <w:b w:val="0"/>
          <w:bCs w:val="0"/>
          <w:szCs w:val="24"/>
        </w:rPr>
        <w:sectPr>
          <w:pgSz w:w="11906" w:h="16838"/>
          <w:pgMar w:top="1440" w:right="1797" w:bottom="1440" w:left="1797" w:header="851" w:footer="992" w:gutter="0"/>
          <w:cols w:space="425" w:num="1"/>
          <w:docGrid w:linePitch="328" w:charSpace="0"/>
        </w:sectPr>
      </w:pPr>
    </w:p>
    <w:p>
      <w:pPr>
        <w:spacing w:line="480" w:lineRule="auto"/>
        <w:rPr>
          <w:rFonts w:hint="default" w:ascii="Times New Roman" w:hAnsi="Times New Roman" w:cs="Times New Roman" w:eastAsiaTheme="minorEastAsia"/>
          <w:b w:val="0"/>
          <w:bCs w:val="0"/>
          <w:szCs w:val="24"/>
        </w:rPr>
      </w:pPr>
      <w:bookmarkStart w:id="23" w:name="_Hlk157448302"/>
      <w:r>
        <w:rPr>
          <w:rFonts w:hint="default" w:ascii="Times New Roman" w:hAnsi="Times New Roman" w:cs="Times New Roman" w:eastAsiaTheme="minorEastAsia"/>
          <w:b w:val="0"/>
          <w:bCs w:val="0"/>
          <w:szCs w:val="24"/>
        </w:rPr>
        <w:t>Table S2. Distribution and lower limit of detection of terpenes</w:t>
      </w:r>
      <w:bookmarkEnd w:id="23"/>
      <w:r>
        <w:rPr>
          <w:rFonts w:hint="default" w:ascii="Times New Roman" w:hAnsi="Times New Roman" w:cs="Times New Roman" w:eastAsiaTheme="minorEastAsia"/>
          <w:b w:val="0"/>
          <w:bCs w:val="0"/>
          <w:szCs w:val="24"/>
        </w:rPr>
        <w:t>.</w:t>
      </w:r>
    </w:p>
    <w:tbl>
      <w:tblPr>
        <w:tblStyle w:val="6"/>
        <w:tblW w:w="14944" w:type="dxa"/>
        <w:jc w:val="center"/>
        <w:tblLayout w:type="autofit"/>
        <w:tblCellMar>
          <w:top w:w="0" w:type="dxa"/>
          <w:left w:w="108" w:type="dxa"/>
          <w:bottom w:w="0" w:type="dxa"/>
          <w:right w:w="108" w:type="dxa"/>
        </w:tblCellMar>
      </w:tblPr>
      <w:tblGrid>
        <w:gridCol w:w="1250"/>
        <w:gridCol w:w="1016"/>
        <w:gridCol w:w="1416"/>
        <w:gridCol w:w="1016"/>
        <w:gridCol w:w="1229"/>
        <w:gridCol w:w="1576"/>
        <w:gridCol w:w="576"/>
        <w:gridCol w:w="1816"/>
        <w:gridCol w:w="576"/>
        <w:gridCol w:w="1696"/>
        <w:gridCol w:w="576"/>
        <w:gridCol w:w="1658"/>
        <w:gridCol w:w="576"/>
      </w:tblGrid>
      <w:tr>
        <w:tblPrEx>
          <w:tblCellMar>
            <w:top w:w="0" w:type="dxa"/>
            <w:left w:w="108" w:type="dxa"/>
            <w:bottom w:w="0" w:type="dxa"/>
            <w:right w:w="108" w:type="dxa"/>
          </w:tblCellMar>
        </w:tblPrEx>
        <w:trPr>
          <w:trHeight w:val="340" w:hRule="atLeast"/>
          <w:jc w:val="center"/>
        </w:trPr>
        <w:tc>
          <w:tcPr>
            <w:tcW w:w="1803" w:type="dxa"/>
            <w:vMerge w:val="restart"/>
            <w:tcBorders>
              <w:top w:val="single" w:color="auto" w:sz="4" w:space="0"/>
              <w:left w:val="nil"/>
              <w:bottom w:val="single" w:color="000000" w:sz="8"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Terpene</w:t>
            </w:r>
          </w:p>
        </w:tc>
        <w:tc>
          <w:tcPr>
            <w:tcW w:w="918" w:type="dxa"/>
            <w:tcBorders>
              <w:top w:val="single" w:color="auto" w:sz="4" w:space="0"/>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Median </w:t>
            </w:r>
          </w:p>
        </w:tc>
        <w:tc>
          <w:tcPr>
            <w:tcW w:w="1416" w:type="dxa"/>
            <w:tcBorders>
              <w:top w:val="single" w:color="auto" w:sz="4" w:space="0"/>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IQR </w:t>
            </w:r>
          </w:p>
        </w:tc>
        <w:tc>
          <w:tcPr>
            <w:tcW w:w="950" w:type="dxa"/>
            <w:tcBorders>
              <w:top w:val="single" w:color="auto" w:sz="4" w:space="0"/>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LLOD </w:t>
            </w:r>
          </w:p>
        </w:tc>
        <w:tc>
          <w:tcPr>
            <w:tcW w:w="1229" w:type="dxa"/>
            <w:tcBorders>
              <w:top w:val="single" w:color="auto" w:sz="4" w:space="0"/>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LLOD ratio</w:t>
            </w:r>
          </w:p>
        </w:tc>
        <w:tc>
          <w:tcPr>
            <w:tcW w:w="2005" w:type="dxa"/>
            <w:gridSpan w:val="2"/>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Q1</w:t>
            </w:r>
          </w:p>
        </w:tc>
        <w:tc>
          <w:tcPr>
            <w:tcW w:w="2229" w:type="dxa"/>
            <w:gridSpan w:val="2"/>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Q2</w:t>
            </w:r>
          </w:p>
        </w:tc>
        <w:tc>
          <w:tcPr>
            <w:tcW w:w="2195" w:type="dxa"/>
            <w:gridSpan w:val="2"/>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Q3</w:t>
            </w:r>
          </w:p>
        </w:tc>
        <w:tc>
          <w:tcPr>
            <w:tcW w:w="2199" w:type="dxa"/>
            <w:gridSpan w:val="2"/>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Q4</w:t>
            </w:r>
          </w:p>
        </w:tc>
      </w:tr>
      <w:tr>
        <w:tblPrEx>
          <w:tblCellMar>
            <w:top w:w="0" w:type="dxa"/>
            <w:left w:w="108" w:type="dxa"/>
            <w:bottom w:w="0" w:type="dxa"/>
            <w:right w:w="108" w:type="dxa"/>
          </w:tblCellMar>
        </w:tblPrEx>
        <w:trPr>
          <w:trHeight w:val="340" w:hRule="atLeast"/>
          <w:jc w:val="center"/>
        </w:trPr>
        <w:tc>
          <w:tcPr>
            <w:tcW w:w="1803" w:type="dxa"/>
            <w:vMerge w:val="continue"/>
            <w:tcBorders>
              <w:top w:val="single" w:color="auto" w:sz="8"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918" w:type="dxa"/>
            <w:tcBorders>
              <w:top w:val="nil"/>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(ng/mL)</w:t>
            </w:r>
          </w:p>
        </w:tc>
        <w:tc>
          <w:tcPr>
            <w:tcW w:w="1416" w:type="dxa"/>
            <w:tcBorders>
              <w:top w:val="nil"/>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(ng/mL)</w:t>
            </w:r>
          </w:p>
        </w:tc>
        <w:tc>
          <w:tcPr>
            <w:tcW w:w="950" w:type="dxa"/>
            <w:tcBorders>
              <w:top w:val="nil"/>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(ng/mL)</w:t>
            </w:r>
          </w:p>
        </w:tc>
        <w:tc>
          <w:tcPr>
            <w:tcW w:w="1229" w:type="dxa"/>
            <w:tcBorders>
              <w:top w:val="nil"/>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w:t>
            </w:r>
          </w:p>
        </w:tc>
        <w:tc>
          <w:tcPr>
            <w:tcW w:w="1468"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Range</w:t>
            </w:r>
          </w:p>
        </w:tc>
        <w:tc>
          <w:tcPr>
            <w:tcW w:w="537"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N</w:t>
            </w:r>
          </w:p>
        </w:tc>
        <w:tc>
          <w:tcPr>
            <w:tcW w:w="1692"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Range</w:t>
            </w:r>
          </w:p>
        </w:tc>
        <w:tc>
          <w:tcPr>
            <w:tcW w:w="537"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N</w:t>
            </w:r>
          </w:p>
        </w:tc>
        <w:tc>
          <w:tcPr>
            <w:tcW w:w="1658"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Range</w:t>
            </w:r>
          </w:p>
        </w:tc>
        <w:tc>
          <w:tcPr>
            <w:tcW w:w="537"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N</w:t>
            </w:r>
          </w:p>
        </w:tc>
        <w:tc>
          <w:tcPr>
            <w:tcW w:w="1658"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Range</w:t>
            </w:r>
          </w:p>
        </w:tc>
        <w:tc>
          <w:tcPr>
            <w:tcW w:w="541"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N</w:t>
            </w:r>
          </w:p>
        </w:tc>
      </w:tr>
      <w:tr>
        <w:tblPrEx>
          <w:tblCellMar>
            <w:top w:w="0" w:type="dxa"/>
            <w:left w:w="108" w:type="dxa"/>
            <w:bottom w:w="0" w:type="dxa"/>
            <w:right w:w="108" w:type="dxa"/>
          </w:tblCellMar>
        </w:tblPrEx>
        <w:trPr>
          <w:trHeight w:val="340" w:hRule="atLeast"/>
          <w:jc w:val="center"/>
        </w:trPr>
        <w:tc>
          <w:tcPr>
            <w:tcW w:w="1803" w:type="dxa"/>
            <w:tcBorders>
              <w:top w:val="single" w:color="auto" w:sz="4" w:space="0"/>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α-Pinene </w:t>
            </w:r>
          </w:p>
        </w:tc>
        <w:tc>
          <w:tcPr>
            <w:tcW w:w="918"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0.080</w:t>
            </w:r>
          </w:p>
        </w:tc>
        <w:tc>
          <w:tcPr>
            <w:tcW w:w="1416"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0.035-0.116</w:t>
            </w:r>
          </w:p>
        </w:tc>
        <w:tc>
          <w:tcPr>
            <w:tcW w:w="950"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0.050</w:t>
            </w:r>
          </w:p>
        </w:tc>
        <w:tc>
          <w:tcPr>
            <w:tcW w:w="1229"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26.8</w:t>
            </w:r>
          </w:p>
        </w:tc>
        <w:tc>
          <w:tcPr>
            <w:tcW w:w="1468"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0.0354</w:t>
            </w:r>
          </w:p>
        </w:tc>
        <w:tc>
          <w:tcPr>
            <w:tcW w:w="537"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419</w:t>
            </w:r>
          </w:p>
        </w:tc>
        <w:tc>
          <w:tcPr>
            <w:tcW w:w="1692"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[0.0501, 0.0796)</w:t>
            </w:r>
          </w:p>
        </w:tc>
        <w:tc>
          <w:tcPr>
            <w:tcW w:w="537"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362</w:t>
            </w:r>
          </w:p>
        </w:tc>
        <w:tc>
          <w:tcPr>
            <w:tcW w:w="1658"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[0.0796, 0.117)</w:t>
            </w:r>
          </w:p>
        </w:tc>
        <w:tc>
          <w:tcPr>
            <w:tcW w:w="537"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393</w:t>
            </w:r>
          </w:p>
        </w:tc>
        <w:tc>
          <w:tcPr>
            <w:tcW w:w="1658"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[0.117, 0.937]</w:t>
            </w:r>
          </w:p>
        </w:tc>
        <w:tc>
          <w:tcPr>
            <w:tcW w:w="541"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389</w:t>
            </w:r>
          </w:p>
        </w:tc>
      </w:tr>
      <w:tr>
        <w:tblPrEx>
          <w:tblCellMar>
            <w:top w:w="0" w:type="dxa"/>
            <w:left w:w="108" w:type="dxa"/>
            <w:bottom w:w="0" w:type="dxa"/>
            <w:right w:w="108" w:type="dxa"/>
          </w:tblCellMar>
        </w:tblPrEx>
        <w:trPr>
          <w:trHeight w:val="340" w:hRule="atLeast"/>
          <w:jc w:val="center"/>
        </w:trPr>
        <w:tc>
          <w:tcPr>
            <w:tcW w:w="1803"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β-Pinene </w:t>
            </w:r>
          </w:p>
        </w:tc>
        <w:tc>
          <w:tcPr>
            <w:tcW w:w="918"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0.075</w:t>
            </w:r>
          </w:p>
        </w:tc>
        <w:tc>
          <w:tcPr>
            <w:tcW w:w="141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0.040-0.108</w:t>
            </w:r>
          </w:p>
        </w:tc>
        <w:tc>
          <w:tcPr>
            <w:tcW w:w="950"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0.056</w:t>
            </w:r>
          </w:p>
        </w:tc>
        <w:tc>
          <w:tcPr>
            <w:tcW w:w="122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25.2</w:t>
            </w:r>
          </w:p>
        </w:tc>
        <w:tc>
          <w:tcPr>
            <w:tcW w:w="1468"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0.0396</w:t>
            </w:r>
          </w:p>
        </w:tc>
        <w:tc>
          <w:tcPr>
            <w:tcW w:w="53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394</w:t>
            </w:r>
          </w:p>
        </w:tc>
        <w:tc>
          <w:tcPr>
            <w:tcW w:w="169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[0.0560, 0.0754)</w:t>
            </w:r>
          </w:p>
        </w:tc>
        <w:tc>
          <w:tcPr>
            <w:tcW w:w="53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388</w:t>
            </w:r>
          </w:p>
        </w:tc>
        <w:tc>
          <w:tcPr>
            <w:tcW w:w="1658"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[0.0754, 0.109)</w:t>
            </w:r>
          </w:p>
        </w:tc>
        <w:tc>
          <w:tcPr>
            <w:tcW w:w="53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392</w:t>
            </w:r>
          </w:p>
        </w:tc>
        <w:tc>
          <w:tcPr>
            <w:tcW w:w="1658"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[0.109, 2.130]</w:t>
            </w:r>
          </w:p>
        </w:tc>
        <w:tc>
          <w:tcPr>
            <w:tcW w:w="54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389</w:t>
            </w:r>
          </w:p>
        </w:tc>
      </w:tr>
      <w:tr>
        <w:tblPrEx>
          <w:tblCellMar>
            <w:top w:w="0" w:type="dxa"/>
            <w:left w:w="108" w:type="dxa"/>
            <w:bottom w:w="0" w:type="dxa"/>
            <w:right w:w="108" w:type="dxa"/>
          </w:tblCellMar>
        </w:tblPrEx>
        <w:trPr>
          <w:trHeight w:val="340" w:hRule="atLeast"/>
          <w:jc w:val="center"/>
        </w:trPr>
        <w:tc>
          <w:tcPr>
            <w:tcW w:w="1803" w:type="dxa"/>
            <w:tcBorders>
              <w:top w:val="nil"/>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Limonene </w:t>
            </w:r>
          </w:p>
        </w:tc>
        <w:tc>
          <w:tcPr>
            <w:tcW w:w="918"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1.180</w:t>
            </w:r>
          </w:p>
        </w:tc>
        <w:tc>
          <w:tcPr>
            <w:tcW w:w="1416"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0.870-1.670</w:t>
            </w:r>
          </w:p>
        </w:tc>
        <w:tc>
          <w:tcPr>
            <w:tcW w:w="950"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0.162</w:t>
            </w:r>
          </w:p>
        </w:tc>
        <w:tc>
          <w:tcPr>
            <w:tcW w:w="1229"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firstLine="120" w:firstLineChars="5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0.1</w:t>
            </w:r>
          </w:p>
        </w:tc>
        <w:tc>
          <w:tcPr>
            <w:tcW w:w="1468"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[0.115, 0.870)</w:t>
            </w:r>
          </w:p>
        </w:tc>
        <w:tc>
          <w:tcPr>
            <w:tcW w:w="537"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390</w:t>
            </w:r>
          </w:p>
        </w:tc>
        <w:tc>
          <w:tcPr>
            <w:tcW w:w="1692"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[0.8700, 1.1900)</w:t>
            </w:r>
          </w:p>
        </w:tc>
        <w:tc>
          <w:tcPr>
            <w:tcW w:w="537"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394</w:t>
            </w:r>
          </w:p>
        </w:tc>
        <w:tc>
          <w:tcPr>
            <w:tcW w:w="1658"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[1.1900, 1.680)</w:t>
            </w:r>
          </w:p>
        </w:tc>
        <w:tc>
          <w:tcPr>
            <w:tcW w:w="537"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390</w:t>
            </w:r>
          </w:p>
        </w:tc>
        <w:tc>
          <w:tcPr>
            <w:tcW w:w="1658"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[1.680, 15.50]</w:t>
            </w:r>
          </w:p>
        </w:tc>
        <w:tc>
          <w:tcPr>
            <w:tcW w:w="54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389</w:t>
            </w:r>
          </w:p>
        </w:tc>
      </w:tr>
    </w:tbl>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szCs w:val="24"/>
        </w:rPr>
        <w:t>LLOD, lower than LOD; IQR, interquartile range; Q, quartile.</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The Q1 group was participants with serum terpenes lower than LLOD or lower than 25</w:t>
      </w:r>
      <w:r>
        <w:rPr>
          <w:rFonts w:hint="default" w:ascii="Times New Roman" w:hAnsi="Times New Roman" w:cs="Times New Roman" w:eastAsiaTheme="minorEastAsia"/>
          <w:b w:val="0"/>
          <w:bCs w:val="0"/>
          <w:szCs w:val="24"/>
          <w:vertAlign w:val="superscript"/>
        </w:rPr>
        <w:t>th</w:t>
      </w:r>
      <w:r>
        <w:rPr>
          <w:rFonts w:hint="default" w:ascii="Times New Roman" w:hAnsi="Times New Roman" w:cs="Times New Roman" w:eastAsiaTheme="minorEastAsia"/>
          <w:b w:val="0"/>
          <w:bCs w:val="0"/>
          <w:szCs w:val="24"/>
        </w:rPr>
        <w:t xml:space="preserve"> of the value of terpenes, and the remaining participants were equally divided into Q2-Q4 groups according to the gradient of terpene concentration. In terms of limonene, since few participants had concentrations lower than LLOD (1 sample), participants were equally divided into Q1-Q4 groups. </w:t>
      </w:r>
    </w:p>
    <w:p>
      <w:pPr>
        <w:widowControl/>
        <w:spacing w:line="480" w:lineRule="auto"/>
        <w:jc w:val="left"/>
        <w:rPr>
          <w:rFonts w:hint="default" w:ascii="Times New Roman" w:hAnsi="Times New Roman" w:cs="Times New Roman" w:eastAsiaTheme="minorEastAsia"/>
          <w:b w:val="0"/>
          <w:bCs w:val="0"/>
          <w:szCs w:val="24"/>
        </w:rPr>
      </w:pPr>
    </w:p>
    <w:p>
      <w:pPr>
        <w:widowControl/>
        <w:spacing w:line="480" w:lineRule="auto"/>
        <w:jc w:val="left"/>
        <w:rPr>
          <w:rFonts w:hint="default" w:ascii="Times New Roman" w:hAnsi="Times New Roman" w:cs="Times New Roman" w:eastAsiaTheme="minorEastAsia"/>
          <w:b w:val="0"/>
          <w:bCs w:val="0"/>
          <w:szCs w:val="24"/>
        </w:rPr>
      </w:pPr>
    </w:p>
    <w:p>
      <w:pPr>
        <w:widowControl/>
        <w:jc w:val="left"/>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br w:type="page"/>
      </w:r>
    </w:p>
    <w:p>
      <w:pPr>
        <w:spacing w:line="480" w:lineRule="auto"/>
        <w:rPr>
          <w:rFonts w:hint="default" w:ascii="Times New Roman" w:hAnsi="Times New Roman" w:cs="Times New Roman" w:eastAsiaTheme="minorEastAsia"/>
          <w:b w:val="0"/>
          <w:bCs w:val="0"/>
          <w:szCs w:val="24"/>
        </w:rPr>
        <w:sectPr>
          <w:pgSz w:w="16838" w:h="11906" w:orient="landscape"/>
          <w:pgMar w:top="1797" w:right="1440" w:bottom="1797" w:left="1440" w:header="851" w:footer="992" w:gutter="0"/>
          <w:cols w:space="425" w:num="1"/>
          <w:docGrid w:linePitch="328" w:charSpace="0"/>
        </w:sectPr>
      </w:pPr>
      <w:bookmarkStart w:id="24" w:name="_Hlk159596833"/>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Table S3. Association of terpenes with MetS and its components.</w:t>
      </w:r>
    </w:p>
    <w:bookmarkEnd w:id="22"/>
    <w:bookmarkEnd w:id="24"/>
    <w:tbl>
      <w:tblPr>
        <w:tblStyle w:val="6"/>
        <w:tblW w:w="11009" w:type="dxa"/>
        <w:jc w:val="center"/>
        <w:tblLayout w:type="autofit"/>
        <w:tblCellMar>
          <w:top w:w="0" w:type="dxa"/>
          <w:left w:w="108" w:type="dxa"/>
          <w:bottom w:w="0" w:type="dxa"/>
          <w:right w:w="108" w:type="dxa"/>
        </w:tblCellMar>
      </w:tblPr>
      <w:tblGrid>
        <w:gridCol w:w="1679"/>
        <w:gridCol w:w="743"/>
        <w:gridCol w:w="1814"/>
        <w:gridCol w:w="1814"/>
        <w:gridCol w:w="1817"/>
        <w:gridCol w:w="1012"/>
        <w:gridCol w:w="2130"/>
      </w:tblGrid>
      <w:tr>
        <w:tblPrEx>
          <w:tblCellMar>
            <w:top w:w="0" w:type="dxa"/>
            <w:left w:w="108" w:type="dxa"/>
            <w:bottom w:w="0" w:type="dxa"/>
            <w:right w:w="108" w:type="dxa"/>
          </w:tblCellMar>
        </w:tblPrEx>
        <w:trPr>
          <w:trHeight w:val="508" w:hRule="atLeast"/>
          <w:jc w:val="center"/>
        </w:trPr>
        <w:tc>
          <w:tcPr>
            <w:tcW w:w="1679"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rPr>
                <w:rFonts w:hint="default" w:ascii="Times New Roman" w:hAnsi="Times New Roman" w:eastAsia="等线" w:cs="Times New Roman"/>
                <w:b w:val="0"/>
                <w:bCs w:val="0"/>
                <w:color w:val="000000"/>
                <w:kern w:val="0"/>
                <w:sz w:val="18"/>
                <w:szCs w:val="18"/>
              </w:rPr>
            </w:pPr>
            <w:bookmarkStart w:id="25" w:name="_Hlk157381827"/>
          </w:p>
          <w:p>
            <w:pPr>
              <w:keepNext w:val="0"/>
              <w:keepLines w:val="0"/>
              <w:widowControl/>
              <w:suppressLineNumbers w:val="0"/>
              <w:spacing w:before="0" w:beforeAutospacing="0" w:after="0" w:afterAutospacing="0" w:line="480" w:lineRule="auto"/>
              <w:ind w:left="0" w:right="0"/>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Characteristics</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 xml:space="preserve">         </w:t>
            </w:r>
          </w:p>
        </w:tc>
        <w:tc>
          <w:tcPr>
            <w:tcW w:w="6188" w:type="dxa"/>
            <w:gridSpan w:val="4"/>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OR (95% CI)</w:t>
            </w:r>
          </w:p>
        </w:tc>
        <w:tc>
          <w:tcPr>
            <w:tcW w:w="1012"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b w:val="0"/>
                <w:bCs w:val="0"/>
                <w:sz w:val="18"/>
                <w:szCs w:val="18"/>
              </w:rPr>
            </w:pPr>
            <w:r>
              <w:rPr>
                <w:rFonts w:hint="default" w:ascii="Times New Roman" w:hAnsi="Times New Roman" w:eastAsia="等线" w:cs="Times New Roman"/>
                <w:b w:val="0"/>
                <w:bCs w:val="0"/>
                <w:color w:val="000000"/>
                <w:kern w:val="0"/>
                <w:sz w:val="18"/>
                <w:szCs w:val="18"/>
              </w:rPr>
              <w:t>P trend</w:t>
            </w:r>
            <w:r>
              <w:rPr>
                <w:rFonts w:hint="default" w:ascii="Times New Roman" w:hAnsi="Times New Roman" w:cs="Times New Roman"/>
                <w:b w:val="0"/>
                <w:bCs w:val="0"/>
                <w:sz w:val="18"/>
                <w:szCs w:val="18"/>
              </w:rPr>
              <w:t>†</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 w:val="18"/>
                <w:szCs w:val="18"/>
              </w:rPr>
            </w:pPr>
          </w:p>
        </w:tc>
        <w:tc>
          <w:tcPr>
            <w:tcW w:w="2130"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firstLine="360" w:firstLineChars="200"/>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Continuous</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 xml:space="preserve"> (Log-t</w:t>
            </w:r>
            <w:bookmarkStart w:id="26" w:name="_Hlk159671547"/>
            <w:r>
              <w:rPr>
                <w:rFonts w:hint="default" w:ascii="Times New Roman" w:hAnsi="Times New Roman" w:eastAsia="等线" w:cs="Times New Roman"/>
                <w:b w:val="0"/>
                <w:bCs w:val="0"/>
                <w:color w:val="000000"/>
                <w:kern w:val="0"/>
                <w:sz w:val="18"/>
                <w:szCs w:val="18"/>
              </w:rPr>
              <w:t>ransformed</w:t>
            </w:r>
            <w:bookmarkEnd w:id="26"/>
            <w:r>
              <w:rPr>
                <w:rFonts w:hint="default" w:ascii="Times New Roman" w:hAnsi="Times New Roman" w:cs="Times New Roman"/>
                <w:b w:val="0"/>
                <w:bCs w:val="0"/>
                <w:sz w:val="18"/>
                <w:szCs w:val="18"/>
              </w:rPr>
              <w:t>‡</w:t>
            </w:r>
            <w:r>
              <w:rPr>
                <w:rFonts w:hint="default" w:ascii="Times New Roman" w:hAnsi="Times New Roman" w:eastAsia="等线" w:cs="Times New Roman"/>
                <w:b w:val="0"/>
                <w:bCs w:val="0"/>
                <w:color w:val="000000"/>
                <w:kern w:val="0"/>
                <w:sz w:val="18"/>
                <w:szCs w:val="18"/>
              </w:rPr>
              <w:t>)</w:t>
            </w:r>
          </w:p>
        </w:tc>
      </w:tr>
      <w:tr>
        <w:tblPrEx>
          <w:tblCellMar>
            <w:top w:w="0" w:type="dxa"/>
            <w:left w:w="108" w:type="dxa"/>
            <w:bottom w:w="0" w:type="dxa"/>
            <w:right w:w="108" w:type="dxa"/>
          </w:tblCellMar>
        </w:tblPrEx>
        <w:trPr>
          <w:trHeight w:val="340" w:hRule="atLeast"/>
          <w:jc w:val="center"/>
        </w:trPr>
        <w:tc>
          <w:tcPr>
            <w:tcW w:w="1679" w:type="dxa"/>
            <w:vMerge w:val="continue"/>
            <w:tcBorders>
              <w:top w:val="single" w:color="auto" w:sz="4"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743"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Q1</w:t>
            </w:r>
          </w:p>
        </w:tc>
        <w:tc>
          <w:tcPr>
            <w:tcW w:w="1814"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Q2</w:t>
            </w:r>
          </w:p>
        </w:tc>
        <w:tc>
          <w:tcPr>
            <w:tcW w:w="1814"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Q3</w:t>
            </w:r>
          </w:p>
        </w:tc>
        <w:tc>
          <w:tcPr>
            <w:tcW w:w="1817"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Q4</w:t>
            </w:r>
          </w:p>
        </w:tc>
        <w:tc>
          <w:tcPr>
            <w:tcW w:w="1012"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2130"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r>
      <w:tr>
        <w:tblPrEx>
          <w:tblCellMar>
            <w:top w:w="0" w:type="dxa"/>
            <w:left w:w="108" w:type="dxa"/>
            <w:bottom w:w="0" w:type="dxa"/>
            <w:right w:w="108" w:type="dxa"/>
          </w:tblCellMar>
        </w:tblPrEx>
        <w:trPr>
          <w:trHeight w:val="340" w:hRule="atLeast"/>
          <w:jc w:val="center"/>
        </w:trPr>
        <w:tc>
          <w:tcPr>
            <w:tcW w:w="1679" w:type="dxa"/>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MetS</w:t>
            </w:r>
          </w:p>
        </w:tc>
        <w:tc>
          <w:tcPr>
            <w:tcW w:w="743" w:type="dxa"/>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4" w:type="dxa"/>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α-pinene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1.511 (1.037, 2.208)</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1.369 (0.944, 1.990)</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2.030 (1.413, 2.930)</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&lt; 0.001*</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1.520 (1.228, 1.887)</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β-pinene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1.560 (1.063, 2.296)</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1.802 (1.231, 2.650)</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2.395 (1.639, 3.520)</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&lt; 0.001*</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1.595 (1.270, 2.008)</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limonene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1.636 (1.114, 2.411)</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1.462 (0.987, 2.172)</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2.700 (1.834, 4.008)</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&lt; 0.001*</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1.642 (1.281, 2.110)</w:t>
            </w:r>
          </w:p>
        </w:tc>
      </w:tr>
      <w:tr>
        <w:tblPrEx>
          <w:tblCellMar>
            <w:top w:w="0" w:type="dxa"/>
            <w:left w:w="108" w:type="dxa"/>
            <w:bottom w:w="0" w:type="dxa"/>
            <w:right w:w="108" w:type="dxa"/>
          </w:tblCellMar>
        </w:tblPrEx>
        <w:trPr>
          <w:trHeight w:val="340" w:hRule="atLeast"/>
          <w:jc w:val="center"/>
        </w:trPr>
        <w:tc>
          <w:tcPr>
            <w:tcW w:w="2422" w:type="dxa"/>
            <w:gridSpan w:val="2"/>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Mix exposure</w:t>
            </w: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 xml:space="preserve">1.454 (1.153, 1.833) </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High-TG</w:t>
            </w:r>
          </w:p>
        </w:tc>
        <w:tc>
          <w:tcPr>
            <w:tcW w:w="74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α-pinene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1.647 (1.159, 2.345)</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1.616 (1.149, 2.280)</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3.068 (2.194, 4.313)</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&lt; 0.001*</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1.963 (1.609, 2.403)</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β-pinene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1.744 (1.216, 2.514)</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2.240 (1.568, 3.218)</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3.755 (2.639, 5.384)</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&lt; 0.001*</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2.161 (1.742, 2.695)</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limonene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1.519 (1.056, 2.195)</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2.420 (1.693, 3.483)</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3.760 (2.626, 5.426)</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&lt; 0.001*</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2.602 (2.056, 3.311)</w:t>
            </w:r>
          </w:p>
        </w:tc>
      </w:tr>
      <w:tr>
        <w:tblPrEx>
          <w:tblCellMar>
            <w:top w:w="0" w:type="dxa"/>
            <w:left w:w="108" w:type="dxa"/>
            <w:bottom w:w="0" w:type="dxa"/>
            <w:right w:w="108" w:type="dxa"/>
          </w:tblCellMar>
        </w:tblPrEx>
        <w:trPr>
          <w:trHeight w:val="340" w:hRule="atLeast"/>
          <w:jc w:val="center"/>
        </w:trPr>
        <w:tc>
          <w:tcPr>
            <w:tcW w:w="2422" w:type="dxa"/>
            <w:gridSpan w:val="2"/>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Mix exposure</w:t>
            </w: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2.007 (1.607, 2.506)</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Low-HDL</w:t>
            </w:r>
          </w:p>
        </w:tc>
        <w:tc>
          <w:tcPr>
            <w:tcW w:w="74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α-pinene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0.821 (0.575, 1.169)</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1.094 (0.777, 1.539)</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1.545 (1.106, 2.163)</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0.002*</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1.343 (1.098, 1.645)</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β-pinene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1.116 (0.784, 1.588)</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1.367 (0.962, 1.946)</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1.654 (1.167, 2.350)</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0.003*</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1.352 (1.090, 1.676)</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limonene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1.623 (1.142, 2.315)</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1.324 (0.919, 1.911)</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1.829 (1.274, 2.637)</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0.009*</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1.324 (1.046, 1.672)</w:t>
            </w:r>
          </w:p>
        </w:tc>
      </w:tr>
      <w:tr>
        <w:tblPrEx>
          <w:tblCellMar>
            <w:top w:w="0" w:type="dxa"/>
            <w:left w:w="108" w:type="dxa"/>
            <w:bottom w:w="0" w:type="dxa"/>
            <w:right w:w="108" w:type="dxa"/>
          </w:tblCellMar>
        </w:tblPrEx>
        <w:trPr>
          <w:trHeight w:val="340" w:hRule="atLeast"/>
          <w:jc w:val="center"/>
        </w:trPr>
        <w:tc>
          <w:tcPr>
            <w:tcW w:w="2422" w:type="dxa"/>
            <w:gridSpan w:val="2"/>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Mix exposure</w:t>
            </w: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1.315 (1.051, 1.646)</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High-WC</w:t>
            </w:r>
          </w:p>
        </w:tc>
        <w:tc>
          <w:tcPr>
            <w:tcW w:w="74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α-pinene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1.203 (0.863, 1.680)</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1.297 (0.932, 1.807)</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1.558 (1.112, 2.187)</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0.011*</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bookmarkStart w:id="27" w:name="_Hlk157804078"/>
            <w:r>
              <w:rPr>
                <w:rFonts w:hint="default" w:ascii="Times New Roman" w:hAnsi="Times New Roman" w:eastAsia="等线" w:cs="Times New Roman"/>
                <w:b w:val="0"/>
                <w:bCs w:val="0"/>
                <w:color w:val="000000"/>
                <w:kern w:val="0"/>
                <w:sz w:val="18"/>
                <w:szCs w:val="18"/>
              </w:rPr>
              <w:t>1.326</w:t>
            </w:r>
            <w:bookmarkEnd w:id="27"/>
            <w:r>
              <w:rPr>
                <w:rFonts w:hint="default" w:ascii="Times New Roman" w:hAnsi="Times New Roman" w:eastAsia="等线" w:cs="Times New Roman"/>
                <w:b w:val="0"/>
                <w:bCs w:val="0"/>
                <w:color w:val="000000"/>
                <w:kern w:val="0"/>
                <w:sz w:val="18"/>
                <w:szCs w:val="18"/>
              </w:rPr>
              <w:t xml:space="preserve"> (</w:t>
            </w:r>
            <w:bookmarkStart w:id="28" w:name="_Hlk157804088"/>
            <w:r>
              <w:rPr>
                <w:rFonts w:hint="default" w:ascii="Times New Roman" w:hAnsi="Times New Roman" w:eastAsia="等线" w:cs="Times New Roman"/>
                <w:b w:val="0"/>
                <w:bCs w:val="0"/>
                <w:color w:val="000000"/>
                <w:kern w:val="0"/>
                <w:sz w:val="18"/>
                <w:szCs w:val="18"/>
              </w:rPr>
              <w:t>1.083, 1.62</w:t>
            </w:r>
            <w:bookmarkEnd w:id="28"/>
            <w:r>
              <w:rPr>
                <w:rFonts w:hint="default" w:ascii="Times New Roman" w:hAnsi="Times New Roman" w:eastAsia="等线" w:cs="Times New Roman"/>
                <w:b w:val="0"/>
                <w:bCs w:val="0"/>
                <w:color w:val="000000"/>
                <w:kern w:val="0"/>
                <w:sz w:val="18"/>
                <w:szCs w:val="18"/>
              </w:rPr>
              <w:t>7)</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bookmarkStart w:id="29" w:name="_Hlk157804099"/>
            <w:r>
              <w:rPr>
                <w:rFonts w:hint="default" w:ascii="Times New Roman" w:hAnsi="Times New Roman" w:eastAsia="等线" w:cs="Times New Roman"/>
                <w:b w:val="0"/>
                <w:bCs w:val="0"/>
                <w:color w:val="000000"/>
                <w:kern w:val="0"/>
                <w:sz w:val="18"/>
                <w:szCs w:val="18"/>
              </w:rPr>
              <w:t>β-pinene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1.064 (0.765, 1.480)</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1.379 (0.981, 1.940)</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1.545 (</w:t>
            </w:r>
            <w:bookmarkStart w:id="30" w:name="_Hlk159671657"/>
            <w:r>
              <w:rPr>
                <w:rFonts w:hint="default" w:ascii="Times New Roman" w:hAnsi="Times New Roman" w:eastAsia="等线" w:cs="Times New Roman"/>
                <w:b w:val="0"/>
                <w:bCs w:val="0"/>
                <w:color w:val="000000"/>
                <w:kern w:val="0"/>
                <w:sz w:val="18"/>
                <w:szCs w:val="18"/>
              </w:rPr>
              <w:t>1.098, 2.179</w:t>
            </w:r>
            <w:bookmarkEnd w:id="30"/>
            <w:r>
              <w:rPr>
                <w:rFonts w:hint="default" w:ascii="Times New Roman" w:hAnsi="Times New Roman" w:eastAsia="等线" w:cs="Times New Roman"/>
                <w:b w:val="0"/>
                <w:bCs w:val="0"/>
                <w:color w:val="000000"/>
                <w:kern w:val="0"/>
                <w:sz w:val="18"/>
                <w:szCs w:val="18"/>
              </w:rPr>
              <w:t>)</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0.007*</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1.363 (1.094, 1.705)</w:t>
            </w:r>
          </w:p>
        </w:tc>
      </w:tr>
      <w:bookmarkEnd w:id="29"/>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limonene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1.081 (0.772, 1.513)</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1.000 (0.710, 1.409)</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1.296 (0.913, 1.844)</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0.146</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1.148 (0.905, 1.459)</w:t>
            </w:r>
          </w:p>
        </w:tc>
      </w:tr>
      <w:tr>
        <w:tblPrEx>
          <w:tblCellMar>
            <w:top w:w="0" w:type="dxa"/>
            <w:left w:w="108" w:type="dxa"/>
            <w:bottom w:w="0" w:type="dxa"/>
            <w:right w:w="108" w:type="dxa"/>
          </w:tblCellMar>
        </w:tblPrEx>
        <w:trPr>
          <w:trHeight w:val="340" w:hRule="atLeast"/>
          <w:jc w:val="center"/>
        </w:trPr>
        <w:tc>
          <w:tcPr>
            <w:tcW w:w="2422" w:type="dxa"/>
            <w:gridSpan w:val="2"/>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Mix exposure</w:t>
            </w: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 xml:space="preserve">1.127 (0.912, 1.391) </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High-BP</w:t>
            </w:r>
          </w:p>
        </w:tc>
        <w:tc>
          <w:tcPr>
            <w:tcW w:w="74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α-pinene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1.284 (0.834, 1.979)</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1.026 (0.671, 1.568)</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1.309 (0.864, 1.988)</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0.316</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1.146 (0.898, 1.465)</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β-pinene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1.422 (0.927, 2.188)</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1.562 (1.016, 2.410)</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1.508 (0.975, 2.339)</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0.127</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1.247 (0.957, 1.624)</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limonene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1.012 (0.657, 1.562)</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1.013 (0.654, 1.571)</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1.447 (0.937, 2.245)</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0.054</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1.209 (0.909, 1.611)</w:t>
            </w:r>
          </w:p>
        </w:tc>
      </w:tr>
      <w:tr>
        <w:tblPrEx>
          <w:tblCellMar>
            <w:top w:w="0" w:type="dxa"/>
            <w:left w:w="108" w:type="dxa"/>
            <w:bottom w:w="0" w:type="dxa"/>
            <w:right w:w="108" w:type="dxa"/>
          </w:tblCellMar>
        </w:tblPrEx>
        <w:trPr>
          <w:trHeight w:val="340" w:hRule="atLeast"/>
          <w:jc w:val="center"/>
        </w:trPr>
        <w:tc>
          <w:tcPr>
            <w:tcW w:w="2422" w:type="dxa"/>
            <w:gridSpan w:val="2"/>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Mix exposure</w:t>
            </w: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 xml:space="preserve">1.086 (0.867, 1.360) </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High-BG</w:t>
            </w:r>
          </w:p>
        </w:tc>
        <w:tc>
          <w:tcPr>
            <w:tcW w:w="74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α-pinene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1.025 (0.717, 1.462)</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1.216 (0.865, 1.711)</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1.122 (0.794, 1.588)</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0.450</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1.113 (0.907, 1.365)</w:t>
            </w:r>
          </w:p>
        </w:tc>
      </w:tr>
      <w:tr>
        <w:tblPrEx>
          <w:tblCellMar>
            <w:top w:w="0" w:type="dxa"/>
            <w:left w:w="108" w:type="dxa"/>
            <w:bottom w:w="0" w:type="dxa"/>
            <w:right w:w="108" w:type="dxa"/>
          </w:tblCellMar>
        </w:tblPrEx>
        <w:trPr>
          <w:trHeight w:val="340" w:hRule="atLeast"/>
          <w:jc w:val="center"/>
        </w:trPr>
        <w:tc>
          <w:tcPr>
            <w:tcW w:w="1679"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β-pinene</w:t>
            </w:r>
          </w:p>
        </w:tc>
        <w:tc>
          <w:tcPr>
            <w:tcW w:w="74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1.301 (0.915, 1.852)</w:t>
            </w:r>
          </w:p>
        </w:tc>
        <w:tc>
          <w:tcPr>
            <w:tcW w:w="181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1.219 (0.854, 1.742)</w:t>
            </w:r>
          </w:p>
        </w:tc>
        <w:tc>
          <w:tcPr>
            <w:tcW w:w="1817"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1.309 (0.916, 1.875)</w:t>
            </w:r>
          </w:p>
        </w:tc>
        <w:tc>
          <w:tcPr>
            <w:tcW w:w="101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0.243</w:t>
            </w:r>
          </w:p>
        </w:tc>
        <w:tc>
          <w:tcPr>
            <w:tcW w:w="213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1.126 (0.903, 1.401)</w:t>
            </w:r>
          </w:p>
        </w:tc>
      </w:tr>
      <w:tr>
        <w:tblPrEx>
          <w:tblCellMar>
            <w:top w:w="0" w:type="dxa"/>
            <w:left w:w="108" w:type="dxa"/>
            <w:bottom w:w="0" w:type="dxa"/>
            <w:right w:w="108" w:type="dxa"/>
          </w:tblCellMar>
        </w:tblPrEx>
        <w:trPr>
          <w:trHeight w:val="340" w:hRule="atLeast"/>
          <w:jc w:val="center"/>
        </w:trPr>
        <w:tc>
          <w:tcPr>
            <w:tcW w:w="1679"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limonene</w:t>
            </w:r>
          </w:p>
        </w:tc>
        <w:tc>
          <w:tcPr>
            <w:tcW w:w="743"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 (Ref)</w:t>
            </w:r>
          </w:p>
        </w:tc>
        <w:tc>
          <w:tcPr>
            <w:tcW w:w="1814"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1.128 (0.799, 1.593)</w:t>
            </w:r>
          </w:p>
        </w:tc>
        <w:tc>
          <w:tcPr>
            <w:tcW w:w="1814"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0.813 (0.566, 1.165)</w:t>
            </w:r>
          </w:p>
        </w:tc>
        <w:tc>
          <w:tcPr>
            <w:tcW w:w="1817"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0.955 (0.669, 1.364)</w:t>
            </w:r>
          </w:p>
        </w:tc>
        <w:tc>
          <w:tcPr>
            <w:tcW w:w="1012"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0.539</w:t>
            </w:r>
          </w:p>
        </w:tc>
        <w:tc>
          <w:tcPr>
            <w:tcW w:w="2130"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0.941 (0.739, 1.193)</w:t>
            </w:r>
          </w:p>
        </w:tc>
      </w:tr>
      <w:tr>
        <w:tblPrEx>
          <w:tblCellMar>
            <w:top w:w="0" w:type="dxa"/>
            <w:left w:w="108" w:type="dxa"/>
            <w:bottom w:w="0" w:type="dxa"/>
            <w:right w:w="108" w:type="dxa"/>
          </w:tblCellMar>
        </w:tblPrEx>
        <w:trPr>
          <w:trHeight w:val="340" w:hRule="atLeast"/>
          <w:jc w:val="center"/>
        </w:trPr>
        <w:tc>
          <w:tcPr>
            <w:tcW w:w="2422" w:type="dxa"/>
            <w:gridSpan w:val="2"/>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Mix exposure</w:t>
            </w:r>
          </w:p>
        </w:tc>
        <w:tc>
          <w:tcPr>
            <w:tcW w:w="1814"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p>
        </w:tc>
        <w:tc>
          <w:tcPr>
            <w:tcW w:w="1814"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817"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1012"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18"/>
                <w:szCs w:val="18"/>
              </w:rPr>
            </w:pPr>
          </w:p>
        </w:tc>
        <w:tc>
          <w:tcPr>
            <w:tcW w:w="2130"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18"/>
                <w:szCs w:val="18"/>
              </w:rPr>
            </w:pPr>
            <w:r>
              <w:rPr>
                <w:rFonts w:hint="default" w:ascii="Times New Roman" w:hAnsi="Times New Roman" w:eastAsia="等线" w:cs="Times New Roman"/>
                <w:b w:val="0"/>
                <w:bCs w:val="0"/>
                <w:color w:val="000000"/>
                <w:kern w:val="0"/>
                <w:sz w:val="18"/>
                <w:szCs w:val="18"/>
              </w:rPr>
              <w:t xml:space="preserve">1.082 (0.865, 1.353) </w:t>
            </w:r>
          </w:p>
        </w:tc>
      </w:tr>
      <w:bookmarkEnd w:id="25"/>
    </w:tbl>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Abbreviation: MetS, metabolic syndrome; High-TG, triglycerides met MetS diagnostic standard; Low-HDL, low HDL-C met MetS diagnostic standard; High-WC, high waist circumference met MetS diagnostic standard; High-BP, high blood pressure met MetS diagnostic standard; High-BG, high fasting blood glucose met MetS diagnostic standard; Q: quartile, OR, odds ratio; CI, confidence interval.</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 xml:space="preserve">The association between terpenes </w:t>
      </w:r>
      <w:r>
        <w:rPr>
          <w:rFonts w:hint="default" w:ascii="Times New Roman" w:hAnsi="Times New Roman" w:cs="Times New Roman"/>
          <w:b w:val="0"/>
          <w:bCs w:val="0"/>
          <w:color w:val="000000"/>
          <w:kern w:val="0"/>
          <w:szCs w:val="24"/>
        </w:rPr>
        <w:t>(single and mixed)</w:t>
      </w:r>
      <w:r>
        <w:rPr>
          <w:rFonts w:hint="default" w:ascii="Times New Roman" w:hAnsi="Times New Roman" w:cs="Times New Roman"/>
          <w:b w:val="0"/>
          <w:bCs w:val="0"/>
          <w:szCs w:val="24"/>
        </w:rPr>
        <w:t xml:space="preserve"> and MetS and its components were assessed by multivariate logistic regression models</w:t>
      </w:r>
      <w:bookmarkStart w:id="31" w:name="_Hlk157444189"/>
      <w:r>
        <w:rPr>
          <w:rFonts w:hint="default" w:ascii="Times New Roman" w:hAnsi="Times New Roman" w:cs="Times New Roman"/>
          <w:b w:val="0"/>
          <w:bCs w:val="0"/>
          <w:szCs w:val="24"/>
        </w:rPr>
        <w:t xml:space="preserve"> while mixed terpene exposure was estimated by WQS models. </w:t>
      </w:r>
      <w:bookmarkEnd w:id="31"/>
      <w:r>
        <w:rPr>
          <w:rFonts w:hint="default" w:ascii="Times New Roman" w:hAnsi="Times New Roman" w:cs="Times New Roman"/>
          <w:b w:val="0"/>
          <w:bCs w:val="0"/>
          <w:szCs w:val="24"/>
        </w:rPr>
        <w:t>Models were adjusted for covariates, including age, sex, race/ethnicity, BMI, educational attainment, PIR, serum cotinine, alcohol consumption, leisure-time PA, dietary fat intake, and LDL-C. The continuous terpenes were naturally logarithmical transformed. Refer to Table S2 for the quartile cut point settings of terpenes.</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 xml:space="preserve">† The trend test for coefficients across four categories was conducted by using the median of terpenes for each category as a numeric variable. </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 xml:space="preserve">‡ The natural log-transformed terpenes were used as a continuous variable to achieve a normal distribution of the independent variable. </w:t>
      </w:r>
    </w:p>
    <w:p>
      <w:pPr>
        <w:spacing w:line="480" w:lineRule="auto"/>
        <w:rPr>
          <w:rFonts w:hint="default" w:ascii="Times New Roman" w:hAnsi="Times New Roman" w:cs="Times New Roman"/>
          <w:b w:val="0"/>
          <w:bCs w:val="0"/>
          <w:szCs w:val="24"/>
        </w:rPr>
      </w:pPr>
      <w:r>
        <w:rPr>
          <w:rFonts w:hint="default" w:ascii="Times New Roman" w:hAnsi="Times New Roman" w:cs="Times New Roman"/>
          <w:b w:val="0"/>
          <w:bCs w:val="0"/>
          <w:szCs w:val="24"/>
        </w:rPr>
        <w:t>* P &lt; 0.05</w:t>
      </w:r>
    </w:p>
    <w:p>
      <w:pPr>
        <w:spacing w:line="480" w:lineRule="auto"/>
        <w:rPr>
          <w:rFonts w:hint="default" w:ascii="Times New Roman" w:hAnsi="Times New Roman" w:cs="Times New Roman" w:eastAsiaTheme="minorEastAsia"/>
          <w:b w:val="0"/>
          <w:bCs w:val="0"/>
          <w:szCs w:val="24"/>
        </w:rPr>
      </w:pPr>
    </w:p>
    <w:p>
      <w:pPr>
        <w:spacing w:line="480" w:lineRule="auto"/>
        <w:rPr>
          <w:rFonts w:hint="default" w:ascii="Times New Roman" w:hAnsi="Times New Roman" w:cs="Times New Roman" w:eastAsiaTheme="minorEastAsia"/>
          <w:b w:val="0"/>
          <w:bCs w:val="0"/>
          <w:szCs w:val="24"/>
        </w:rPr>
      </w:pPr>
    </w:p>
    <w:p>
      <w:pPr>
        <w:widowControl/>
        <w:jc w:val="left"/>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br w:type="page"/>
      </w:r>
    </w:p>
    <w:p>
      <w:pPr>
        <w:spacing w:line="480" w:lineRule="auto"/>
        <w:rPr>
          <w:rFonts w:hint="default" w:ascii="Times New Roman" w:hAnsi="Times New Roman" w:cs="Times New Roman" w:eastAsiaTheme="minorEastAsia"/>
          <w:b w:val="0"/>
          <w:bCs w:val="0"/>
          <w:color w:val="000000"/>
          <w:szCs w:val="24"/>
        </w:rPr>
      </w:pPr>
      <w:bookmarkStart w:id="32" w:name="_Hlk157448474"/>
      <w:r>
        <w:rPr>
          <w:rFonts w:hint="default" w:ascii="Times New Roman" w:hAnsi="Times New Roman" w:cs="Times New Roman" w:eastAsiaTheme="minorEastAsia"/>
          <w:b w:val="0"/>
          <w:bCs w:val="0"/>
          <w:szCs w:val="24"/>
        </w:rPr>
        <w:t xml:space="preserve">Table S4. Posterior inclusion probability of terpenes in </w:t>
      </w:r>
      <w:r>
        <w:rPr>
          <w:rFonts w:hint="default" w:ascii="Times New Roman" w:hAnsi="Times New Roman" w:cs="Times New Roman" w:eastAsiaTheme="minorEastAsia"/>
          <w:b w:val="0"/>
          <w:bCs w:val="0"/>
          <w:color w:val="000000"/>
          <w:szCs w:val="24"/>
        </w:rPr>
        <w:t>BKMR models.</w:t>
      </w:r>
    </w:p>
    <w:bookmarkEnd w:id="32"/>
    <w:tbl>
      <w:tblPr>
        <w:tblStyle w:val="6"/>
        <w:tblW w:w="5529" w:type="dxa"/>
        <w:tblInd w:w="1396" w:type="dxa"/>
        <w:tblLayout w:type="autofit"/>
        <w:tblCellMar>
          <w:top w:w="0" w:type="dxa"/>
          <w:left w:w="108" w:type="dxa"/>
          <w:bottom w:w="0" w:type="dxa"/>
          <w:right w:w="108" w:type="dxa"/>
        </w:tblCellMar>
      </w:tblPr>
      <w:tblGrid>
        <w:gridCol w:w="2025"/>
        <w:gridCol w:w="2032"/>
        <w:gridCol w:w="1472"/>
      </w:tblGrid>
      <w:tr>
        <w:tblPrEx>
          <w:tblCellMar>
            <w:top w:w="0" w:type="dxa"/>
            <w:left w:w="108" w:type="dxa"/>
            <w:bottom w:w="0" w:type="dxa"/>
            <w:right w:w="108" w:type="dxa"/>
          </w:tblCellMar>
        </w:tblPrEx>
        <w:trPr>
          <w:trHeight w:val="284" w:hRule="atLeast"/>
        </w:trPr>
        <w:tc>
          <w:tcPr>
            <w:tcW w:w="2025"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Characteristics</w:t>
            </w:r>
          </w:p>
        </w:tc>
        <w:tc>
          <w:tcPr>
            <w:tcW w:w="2032"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Terpenes</w:t>
            </w:r>
          </w:p>
        </w:tc>
        <w:tc>
          <w:tcPr>
            <w:tcW w:w="1472" w:type="dxa"/>
            <w:tcBorders>
              <w:top w:val="single" w:color="auto" w:sz="4" w:space="0"/>
              <w:left w:val="nil"/>
              <w:bottom w:val="single" w:color="auto" w:sz="4" w:space="0"/>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bookmarkStart w:id="33" w:name="_Hlk159673429"/>
            <w:r>
              <w:rPr>
                <w:rFonts w:hint="default" w:ascii="Times New Roman" w:hAnsi="Times New Roman" w:eastAsia="等线" w:cs="Times New Roman"/>
                <w:b w:val="0"/>
                <w:bCs w:val="0"/>
                <w:color w:val="000000"/>
                <w:kern w:val="0"/>
                <w:szCs w:val="24"/>
              </w:rPr>
              <w:t>conPIPs</w:t>
            </w:r>
            <w:bookmarkEnd w:id="33"/>
          </w:p>
        </w:tc>
      </w:tr>
      <w:tr>
        <w:tblPrEx>
          <w:tblCellMar>
            <w:top w:w="0" w:type="dxa"/>
            <w:left w:w="108" w:type="dxa"/>
            <w:bottom w:w="0" w:type="dxa"/>
            <w:right w:w="108" w:type="dxa"/>
          </w:tblCellMar>
        </w:tblPrEx>
        <w:trPr>
          <w:trHeight w:val="284" w:hRule="atLeast"/>
        </w:trPr>
        <w:tc>
          <w:tcPr>
            <w:tcW w:w="2025" w:type="dxa"/>
            <w:tcBorders>
              <w:top w:val="single" w:color="auto" w:sz="4" w:space="0"/>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MetS</w:t>
            </w:r>
          </w:p>
        </w:tc>
        <w:tc>
          <w:tcPr>
            <w:tcW w:w="2032" w:type="dxa"/>
            <w:tcBorders>
              <w:top w:val="single" w:color="auto" w:sz="4" w:space="0"/>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1472" w:type="dxa"/>
            <w:tcBorders>
              <w:top w:val="single" w:color="auto" w:sz="4" w:space="0"/>
              <w:left w:val="nil"/>
              <w:bottom w:val="nil"/>
              <w:right w:val="nil"/>
            </w:tcBorders>
            <w:shd w:val="clear" w:color="auto" w:fill="auto"/>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r>
      <w:tr>
        <w:tblPrEx>
          <w:tblCellMar>
            <w:top w:w="0" w:type="dxa"/>
            <w:left w:w="108" w:type="dxa"/>
            <w:bottom w:w="0" w:type="dxa"/>
            <w:right w:w="108" w:type="dxa"/>
          </w:tblCellMar>
        </w:tblPrEx>
        <w:trPr>
          <w:trHeight w:val="284" w:hRule="atLeast"/>
        </w:trPr>
        <w:tc>
          <w:tcPr>
            <w:tcW w:w="202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0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α-Pinene </w:t>
            </w:r>
          </w:p>
        </w:tc>
        <w:tc>
          <w:tcPr>
            <w:tcW w:w="147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0.036</w:t>
            </w:r>
          </w:p>
        </w:tc>
      </w:tr>
      <w:tr>
        <w:tblPrEx>
          <w:tblCellMar>
            <w:top w:w="0" w:type="dxa"/>
            <w:left w:w="108" w:type="dxa"/>
            <w:bottom w:w="0" w:type="dxa"/>
            <w:right w:w="108" w:type="dxa"/>
          </w:tblCellMar>
        </w:tblPrEx>
        <w:trPr>
          <w:trHeight w:val="284" w:hRule="atLeast"/>
        </w:trPr>
        <w:tc>
          <w:tcPr>
            <w:tcW w:w="202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0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β-Pinene </w:t>
            </w:r>
          </w:p>
        </w:tc>
        <w:tc>
          <w:tcPr>
            <w:tcW w:w="147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0.028</w:t>
            </w:r>
          </w:p>
        </w:tc>
      </w:tr>
      <w:tr>
        <w:tblPrEx>
          <w:tblCellMar>
            <w:top w:w="0" w:type="dxa"/>
            <w:left w:w="108" w:type="dxa"/>
            <w:bottom w:w="0" w:type="dxa"/>
            <w:right w:w="108" w:type="dxa"/>
          </w:tblCellMar>
        </w:tblPrEx>
        <w:trPr>
          <w:trHeight w:val="284" w:hRule="atLeast"/>
        </w:trPr>
        <w:tc>
          <w:tcPr>
            <w:tcW w:w="202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0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Limonene </w:t>
            </w:r>
          </w:p>
        </w:tc>
        <w:tc>
          <w:tcPr>
            <w:tcW w:w="147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0.987</w:t>
            </w:r>
          </w:p>
        </w:tc>
      </w:tr>
      <w:tr>
        <w:tblPrEx>
          <w:tblCellMar>
            <w:top w:w="0" w:type="dxa"/>
            <w:left w:w="108" w:type="dxa"/>
            <w:bottom w:w="0" w:type="dxa"/>
            <w:right w:w="108" w:type="dxa"/>
          </w:tblCellMar>
        </w:tblPrEx>
        <w:trPr>
          <w:trHeight w:val="284" w:hRule="atLeast"/>
        </w:trPr>
        <w:tc>
          <w:tcPr>
            <w:tcW w:w="4057" w:type="dxa"/>
            <w:gridSpan w:val="2"/>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High-TG</w:t>
            </w:r>
          </w:p>
        </w:tc>
        <w:tc>
          <w:tcPr>
            <w:tcW w:w="147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trHeight w:val="284" w:hRule="atLeast"/>
        </w:trPr>
        <w:tc>
          <w:tcPr>
            <w:tcW w:w="202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0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α-Pinene </w:t>
            </w:r>
          </w:p>
        </w:tc>
        <w:tc>
          <w:tcPr>
            <w:tcW w:w="147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0.528</w:t>
            </w:r>
          </w:p>
        </w:tc>
      </w:tr>
      <w:tr>
        <w:tblPrEx>
          <w:tblCellMar>
            <w:top w:w="0" w:type="dxa"/>
            <w:left w:w="108" w:type="dxa"/>
            <w:bottom w:w="0" w:type="dxa"/>
            <w:right w:w="108" w:type="dxa"/>
          </w:tblCellMar>
        </w:tblPrEx>
        <w:trPr>
          <w:trHeight w:val="284" w:hRule="atLeast"/>
        </w:trPr>
        <w:tc>
          <w:tcPr>
            <w:tcW w:w="202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0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β-Pinene </w:t>
            </w:r>
          </w:p>
        </w:tc>
        <w:tc>
          <w:tcPr>
            <w:tcW w:w="147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0.117</w:t>
            </w:r>
          </w:p>
        </w:tc>
      </w:tr>
      <w:tr>
        <w:tblPrEx>
          <w:tblCellMar>
            <w:top w:w="0" w:type="dxa"/>
            <w:left w:w="108" w:type="dxa"/>
            <w:bottom w:w="0" w:type="dxa"/>
            <w:right w:w="108" w:type="dxa"/>
          </w:tblCellMar>
        </w:tblPrEx>
        <w:trPr>
          <w:trHeight w:val="284" w:hRule="atLeast"/>
        </w:trPr>
        <w:tc>
          <w:tcPr>
            <w:tcW w:w="202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0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Limonene </w:t>
            </w:r>
          </w:p>
        </w:tc>
        <w:tc>
          <w:tcPr>
            <w:tcW w:w="147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1.000</w:t>
            </w:r>
          </w:p>
        </w:tc>
      </w:tr>
      <w:tr>
        <w:tblPrEx>
          <w:tblCellMar>
            <w:top w:w="0" w:type="dxa"/>
            <w:left w:w="108" w:type="dxa"/>
            <w:bottom w:w="0" w:type="dxa"/>
            <w:right w:w="108" w:type="dxa"/>
          </w:tblCellMar>
        </w:tblPrEx>
        <w:trPr>
          <w:trHeight w:val="284" w:hRule="atLeast"/>
        </w:trPr>
        <w:tc>
          <w:tcPr>
            <w:tcW w:w="4057" w:type="dxa"/>
            <w:gridSpan w:val="2"/>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Low-HDL</w:t>
            </w:r>
          </w:p>
        </w:tc>
        <w:tc>
          <w:tcPr>
            <w:tcW w:w="147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trHeight w:val="284" w:hRule="atLeast"/>
        </w:trPr>
        <w:tc>
          <w:tcPr>
            <w:tcW w:w="202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0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α-Pinene </w:t>
            </w:r>
          </w:p>
        </w:tc>
        <w:tc>
          <w:tcPr>
            <w:tcW w:w="147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0.679</w:t>
            </w:r>
          </w:p>
        </w:tc>
      </w:tr>
      <w:tr>
        <w:tblPrEx>
          <w:tblCellMar>
            <w:top w:w="0" w:type="dxa"/>
            <w:left w:w="108" w:type="dxa"/>
            <w:bottom w:w="0" w:type="dxa"/>
            <w:right w:w="108" w:type="dxa"/>
          </w:tblCellMar>
        </w:tblPrEx>
        <w:trPr>
          <w:trHeight w:val="284" w:hRule="atLeast"/>
        </w:trPr>
        <w:tc>
          <w:tcPr>
            <w:tcW w:w="202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0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β-Pinene </w:t>
            </w:r>
          </w:p>
        </w:tc>
        <w:tc>
          <w:tcPr>
            <w:tcW w:w="147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0.315</w:t>
            </w:r>
          </w:p>
        </w:tc>
      </w:tr>
      <w:tr>
        <w:tblPrEx>
          <w:tblCellMar>
            <w:top w:w="0" w:type="dxa"/>
            <w:left w:w="108" w:type="dxa"/>
            <w:bottom w:w="0" w:type="dxa"/>
            <w:right w:w="108" w:type="dxa"/>
          </w:tblCellMar>
        </w:tblPrEx>
        <w:trPr>
          <w:trHeight w:val="284" w:hRule="atLeast"/>
        </w:trPr>
        <w:tc>
          <w:tcPr>
            <w:tcW w:w="2025"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0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Limonene </w:t>
            </w:r>
          </w:p>
        </w:tc>
        <w:tc>
          <w:tcPr>
            <w:tcW w:w="147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0.246</w:t>
            </w:r>
          </w:p>
        </w:tc>
      </w:tr>
      <w:tr>
        <w:tblPrEx>
          <w:tblCellMar>
            <w:top w:w="0" w:type="dxa"/>
            <w:left w:w="108" w:type="dxa"/>
            <w:bottom w:w="0" w:type="dxa"/>
            <w:right w:w="108" w:type="dxa"/>
          </w:tblCellMar>
        </w:tblPrEx>
        <w:trPr>
          <w:trHeight w:val="284" w:hRule="atLeast"/>
        </w:trPr>
        <w:tc>
          <w:tcPr>
            <w:tcW w:w="4057" w:type="dxa"/>
            <w:gridSpan w:val="2"/>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High-WC</w:t>
            </w:r>
          </w:p>
        </w:tc>
        <w:tc>
          <w:tcPr>
            <w:tcW w:w="147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trHeight w:val="284" w:hRule="atLeast"/>
        </w:trPr>
        <w:tc>
          <w:tcPr>
            <w:tcW w:w="202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0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α-Pinene </w:t>
            </w:r>
          </w:p>
        </w:tc>
        <w:tc>
          <w:tcPr>
            <w:tcW w:w="147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0.329</w:t>
            </w:r>
          </w:p>
        </w:tc>
      </w:tr>
      <w:tr>
        <w:tblPrEx>
          <w:tblCellMar>
            <w:top w:w="0" w:type="dxa"/>
            <w:left w:w="108" w:type="dxa"/>
            <w:bottom w:w="0" w:type="dxa"/>
            <w:right w:w="108" w:type="dxa"/>
          </w:tblCellMar>
        </w:tblPrEx>
        <w:trPr>
          <w:trHeight w:val="284" w:hRule="atLeast"/>
        </w:trPr>
        <w:tc>
          <w:tcPr>
            <w:tcW w:w="2025" w:type="dxa"/>
            <w:tcBorders>
              <w:top w:val="nil"/>
              <w:left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032"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β-Pinene </w:t>
            </w:r>
          </w:p>
        </w:tc>
        <w:tc>
          <w:tcPr>
            <w:tcW w:w="1472"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0.831</w:t>
            </w:r>
          </w:p>
        </w:tc>
      </w:tr>
      <w:tr>
        <w:tblPrEx>
          <w:tblCellMar>
            <w:top w:w="0" w:type="dxa"/>
            <w:left w:w="108" w:type="dxa"/>
            <w:bottom w:w="0" w:type="dxa"/>
            <w:right w:w="108" w:type="dxa"/>
          </w:tblCellMar>
        </w:tblPrEx>
        <w:trPr>
          <w:trHeight w:val="284" w:hRule="atLeast"/>
        </w:trPr>
        <w:tc>
          <w:tcPr>
            <w:tcW w:w="2025"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032"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Limonene </w:t>
            </w:r>
          </w:p>
        </w:tc>
        <w:tc>
          <w:tcPr>
            <w:tcW w:w="1472"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0.455</w:t>
            </w:r>
          </w:p>
        </w:tc>
      </w:tr>
    </w:tbl>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color w:val="000000"/>
          <w:szCs w:val="24"/>
        </w:rPr>
        <w:t>BKMR, Bayesian Kernel machine regression; conPIPs, Conditional posterior inclusion probabilities; MetS, metabolic syndrome; High-TG, triglycerides met MetS diagnostic standard; Low-HDL, low HDL-C met MetS diagnostic standard; High-WC, high waist circumference met MetS diagnostic standard.</w:t>
      </w:r>
    </w:p>
    <w:p>
      <w:pPr>
        <w:spacing w:line="480" w:lineRule="auto"/>
        <w:rPr>
          <w:rFonts w:hint="default" w:ascii="Times New Roman" w:hAnsi="Times New Roman" w:cs="Times New Roman" w:eastAsiaTheme="minorEastAsia"/>
          <w:b w:val="0"/>
          <w:bCs w:val="0"/>
          <w:color w:val="000000"/>
          <w:szCs w:val="24"/>
        </w:rPr>
      </w:pPr>
    </w:p>
    <w:p>
      <w:pPr>
        <w:spacing w:line="480" w:lineRule="auto"/>
        <w:rPr>
          <w:rFonts w:hint="default" w:ascii="Times New Roman" w:hAnsi="Times New Roman" w:cs="Times New Roman" w:eastAsiaTheme="minorEastAsia"/>
          <w:b w:val="0"/>
          <w:bCs w:val="0"/>
          <w:color w:val="000000"/>
          <w:szCs w:val="24"/>
        </w:rPr>
      </w:pPr>
    </w:p>
    <w:p>
      <w:pPr>
        <w:spacing w:line="480" w:lineRule="auto"/>
        <w:rPr>
          <w:rFonts w:hint="default" w:ascii="Times New Roman" w:hAnsi="Times New Roman" w:cs="Times New Roman" w:eastAsiaTheme="minorEastAsia"/>
          <w:b w:val="0"/>
          <w:bCs w:val="0"/>
          <w:color w:val="000000"/>
          <w:szCs w:val="24"/>
        </w:rPr>
      </w:pPr>
    </w:p>
    <w:p>
      <w:pPr>
        <w:spacing w:line="480" w:lineRule="auto"/>
        <w:rPr>
          <w:rFonts w:hint="default" w:ascii="Times New Roman" w:hAnsi="Times New Roman" w:cs="Times New Roman" w:eastAsiaTheme="minorEastAsia"/>
          <w:b w:val="0"/>
          <w:bCs w:val="0"/>
          <w:szCs w:val="24"/>
        </w:rPr>
        <w:sectPr>
          <w:pgSz w:w="11906" w:h="16838"/>
          <w:pgMar w:top="1440" w:right="1797" w:bottom="1440" w:left="1797" w:header="851" w:footer="992" w:gutter="0"/>
          <w:cols w:space="425" w:num="1"/>
          <w:docGrid w:linePitch="328" w:charSpace="0"/>
        </w:sectPr>
      </w:pPr>
    </w:p>
    <w:p>
      <w:pPr>
        <w:spacing w:line="480" w:lineRule="auto"/>
        <w:rPr>
          <w:rFonts w:hint="default" w:ascii="Times New Roman" w:hAnsi="Times New Roman" w:cs="Times New Roman" w:eastAsiaTheme="minorEastAsia"/>
          <w:b w:val="0"/>
          <w:bCs w:val="0"/>
          <w:szCs w:val="24"/>
        </w:rPr>
      </w:pPr>
      <w:bookmarkStart w:id="34" w:name="_Hlk159597133"/>
      <w:bookmarkStart w:id="35" w:name="_Hlk157448370"/>
      <w:r>
        <w:rPr>
          <w:rFonts w:hint="default" w:ascii="Times New Roman" w:hAnsi="Times New Roman" w:cs="Times New Roman" w:eastAsiaTheme="minorEastAsia"/>
          <w:b w:val="0"/>
          <w:bCs w:val="0"/>
          <w:szCs w:val="24"/>
        </w:rPr>
        <w:t>Table S5. Association between terpenes and</w:t>
      </w:r>
      <w:r>
        <w:rPr>
          <w:rFonts w:hint="default" w:ascii="Times New Roman" w:hAnsi="Times New Roman" w:cs="Times New Roman"/>
          <w:b w:val="0"/>
          <w:bCs w:val="0"/>
          <w:szCs w:val="24"/>
        </w:rPr>
        <w:t xml:space="preserve"> </w:t>
      </w:r>
      <w:r>
        <w:rPr>
          <w:rFonts w:hint="default" w:ascii="Times New Roman" w:hAnsi="Times New Roman" w:cs="Times New Roman" w:eastAsiaTheme="minorEastAsia"/>
          <w:b w:val="0"/>
          <w:bCs w:val="0"/>
          <w:szCs w:val="24"/>
        </w:rPr>
        <w:t>TyG*10</w:t>
      </w:r>
      <w:bookmarkEnd w:id="34"/>
      <w:r>
        <w:rPr>
          <w:rFonts w:hint="default" w:ascii="Times New Roman" w:hAnsi="Times New Roman" w:cs="Times New Roman" w:eastAsiaTheme="minorEastAsia"/>
          <w:b w:val="0"/>
          <w:bCs w:val="0"/>
          <w:szCs w:val="24"/>
        </w:rPr>
        <w:t>.</w:t>
      </w:r>
    </w:p>
    <w:bookmarkEnd w:id="35"/>
    <w:tbl>
      <w:tblPr>
        <w:tblStyle w:val="6"/>
        <w:tblpPr w:leftFromText="180" w:rightFromText="180" w:vertAnchor="text" w:horzAnchor="margin" w:tblpXSpec="center" w:tblpY="108"/>
        <w:tblW w:w="13622" w:type="dxa"/>
        <w:tblInd w:w="0" w:type="dxa"/>
        <w:tblLayout w:type="autofit"/>
        <w:tblCellMar>
          <w:top w:w="0" w:type="dxa"/>
          <w:left w:w="108" w:type="dxa"/>
          <w:bottom w:w="0" w:type="dxa"/>
          <w:right w:w="108" w:type="dxa"/>
        </w:tblCellMar>
      </w:tblPr>
      <w:tblGrid>
        <w:gridCol w:w="2077"/>
        <w:gridCol w:w="919"/>
        <w:gridCol w:w="2244"/>
        <w:gridCol w:w="2244"/>
        <w:gridCol w:w="2252"/>
        <w:gridCol w:w="1250"/>
        <w:gridCol w:w="2636"/>
      </w:tblGrid>
      <w:tr>
        <w:tblPrEx>
          <w:tblCellMar>
            <w:top w:w="0" w:type="dxa"/>
            <w:left w:w="108" w:type="dxa"/>
            <w:bottom w:w="0" w:type="dxa"/>
            <w:right w:w="108" w:type="dxa"/>
          </w:tblCellMar>
        </w:tblPrEx>
        <w:trPr>
          <w:trHeight w:val="699" w:hRule="atLeast"/>
        </w:trPr>
        <w:tc>
          <w:tcPr>
            <w:tcW w:w="2077"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Terpenes</w:t>
            </w: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         </w:t>
            </w:r>
          </w:p>
        </w:tc>
        <w:tc>
          <w:tcPr>
            <w:tcW w:w="7659" w:type="dxa"/>
            <w:gridSpan w:val="4"/>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β (95% CI)</w:t>
            </w:r>
          </w:p>
        </w:tc>
        <w:tc>
          <w:tcPr>
            <w:tcW w:w="1250"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b w:val="0"/>
                <w:bCs w:val="0"/>
                <w:szCs w:val="24"/>
              </w:rPr>
            </w:pPr>
            <w:r>
              <w:rPr>
                <w:rFonts w:hint="default" w:ascii="Times New Roman" w:hAnsi="Times New Roman" w:eastAsia="等线" w:cs="Times New Roman"/>
                <w:b w:val="0"/>
                <w:bCs w:val="0"/>
                <w:color w:val="000000"/>
                <w:kern w:val="0"/>
                <w:szCs w:val="24"/>
              </w:rPr>
              <w:t>P trend</w:t>
            </w:r>
            <w:r>
              <w:rPr>
                <w:rFonts w:hint="default" w:ascii="Times New Roman" w:hAnsi="Times New Roman" w:cs="Times New Roman"/>
                <w:b w:val="0"/>
                <w:bCs w:val="0"/>
                <w:szCs w:val="24"/>
              </w:rPr>
              <w:t>†</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636"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firstLine="480" w:firstLineChars="200"/>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Continuous</w:t>
            </w:r>
          </w:p>
          <w:p>
            <w:pPr>
              <w:keepNext w:val="0"/>
              <w:keepLines w:val="0"/>
              <w:widowControl/>
              <w:suppressLineNumbers w:val="0"/>
              <w:spacing w:before="0" w:beforeAutospacing="0" w:after="0" w:afterAutospacing="0" w:line="480" w:lineRule="auto"/>
              <w:ind w:left="0" w:right="0" w:firstLine="360" w:firstLineChars="150"/>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(Log-transformed</w:t>
            </w:r>
            <w:r>
              <w:rPr>
                <w:rFonts w:hint="default" w:ascii="Times New Roman" w:hAnsi="Times New Roman" w:cs="Times New Roman"/>
                <w:b w:val="0"/>
                <w:bCs w:val="0"/>
                <w:szCs w:val="24"/>
              </w:rPr>
              <w:t>‡</w:t>
            </w:r>
            <w:r>
              <w:rPr>
                <w:rFonts w:hint="default" w:ascii="Times New Roman" w:hAnsi="Times New Roman" w:eastAsia="等线" w:cs="Times New Roman"/>
                <w:b w:val="0"/>
                <w:bCs w:val="0"/>
                <w:color w:val="000000"/>
                <w:kern w:val="0"/>
                <w:szCs w:val="24"/>
              </w:rPr>
              <w:t>)</w:t>
            </w:r>
          </w:p>
        </w:tc>
      </w:tr>
      <w:tr>
        <w:tblPrEx>
          <w:tblCellMar>
            <w:top w:w="0" w:type="dxa"/>
            <w:left w:w="108" w:type="dxa"/>
            <w:bottom w:w="0" w:type="dxa"/>
            <w:right w:w="108" w:type="dxa"/>
          </w:tblCellMar>
        </w:tblPrEx>
        <w:trPr>
          <w:trHeight w:val="328" w:hRule="atLeast"/>
        </w:trPr>
        <w:tc>
          <w:tcPr>
            <w:tcW w:w="2077" w:type="dxa"/>
            <w:vMerge w:val="continue"/>
            <w:tcBorders>
              <w:top w:val="single" w:color="auto" w:sz="4"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919"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Q1</w:t>
            </w:r>
          </w:p>
        </w:tc>
        <w:tc>
          <w:tcPr>
            <w:tcW w:w="2244"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Q2</w:t>
            </w:r>
          </w:p>
        </w:tc>
        <w:tc>
          <w:tcPr>
            <w:tcW w:w="2244"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Q3</w:t>
            </w:r>
          </w:p>
        </w:tc>
        <w:tc>
          <w:tcPr>
            <w:tcW w:w="2252"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Q4</w:t>
            </w:r>
          </w:p>
        </w:tc>
        <w:tc>
          <w:tcPr>
            <w:tcW w:w="1250"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636"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trHeight w:val="328" w:hRule="atLeast"/>
        </w:trPr>
        <w:tc>
          <w:tcPr>
            <w:tcW w:w="207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α-pinene</w:t>
            </w:r>
          </w:p>
        </w:tc>
        <w:tc>
          <w:tcPr>
            <w:tcW w:w="91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44"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0.405(-0.486, 1.297)</w:t>
            </w:r>
          </w:p>
        </w:tc>
        <w:tc>
          <w:tcPr>
            <w:tcW w:w="2244"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1.359 (0.479, 2.238)</w:t>
            </w:r>
          </w:p>
        </w:tc>
        <w:tc>
          <w:tcPr>
            <w:tcW w:w="2252"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2.854 (1.968, 3.740)</w:t>
            </w:r>
          </w:p>
        </w:tc>
        <w:tc>
          <w:tcPr>
            <w:tcW w:w="1250"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3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1.917 (1.390, 2.445)</w:t>
            </w:r>
          </w:p>
        </w:tc>
      </w:tr>
      <w:tr>
        <w:tblPrEx>
          <w:tblCellMar>
            <w:top w:w="0" w:type="dxa"/>
            <w:left w:w="108" w:type="dxa"/>
            <w:bottom w:w="0" w:type="dxa"/>
            <w:right w:w="108" w:type="dxa"/>
          </w:tblCellMar>
        </w:tblPrEx>
        <w:trPr>
          <w:trHeight w:val="328" w:hRule="atLeast"/>
        </w:trPr>
        <w:tc>
          <w:tcPr>
            <w:tcW w:w="207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β-pinene</w:t>
            </w:r>
          </w:p>
        </w:tc>
        <w:tc>
          <w:tcPr>
            <w:tcW w:w="91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44"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1.568 (0.685, 2.451)</w:t>
            </w:r>
          </w:p>
        </w:tc>
        <w:tc>
          <w:tcPr>
            <w:tcW w:w="2244"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2.322 (1.430, 3.215)</w:t>
            </w:r>
          </w:p>
        </w:tc>
        <w:tc>
          <w:tcPr>
            <w:tcW w:w="2252"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3.687 (2.786, 4.588)</w:t>
            </w:r>
          </w:p>
        </w:tc>
        <w:tc>
          <w:tcPr>
            <w:tcW w:w="1250"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3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2.232 (1.664, 2.801)</w:t>
            </w:r>
          </w:p>
        </w:tc>
      </w:tr>
      <w:tr>
        <w:tblPrEx>
          <w:tblCellMar>
            <w:top w:w="0" w:type="dxa"/>
            <w:left w:w="108" w:type="dxa"/>
            <w:bottom w:w="0" w:type="dxa"/>
            <w:right w:w="108" w:type="dxa"/>
          </w:tblCellMar>
        </w:tblPrEx>
        <w:trPr>
          <w:trHeight w:val="328" w:hRule="atLeast"/>
        </w:trPr>
        <w:tc>
          <w:tcPr>
            <w:tcW w:w="2077"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limonene</w:t>
            </w:r>
          </w:p>
        </w:tc>
        <w:tc>
          <w:tcPr>
            <w:tcW w:w="91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44"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0.919 (0.031, 1.807)</w:t>
            </w:r>
          </w:p>
        </w:tc>
        <w:tc>
          <w:tcPr>
            <w:tcW w:w="2244"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2.159 (1.259, 3.060)</w:t>
            </w:r>
          </w:p>
        </w:tc>
        <w:tc>
          <w:tcPr>
            <w:tcW w:w="2252"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cs="Times New Roman"/>
                <w:b w:val="0"/>
                <w:bCs w:val="0"/>
                <w:szCs w:val="24"/>
              </w:rPr>
              <w:t>3.495 (2.579, 4.410)</w:t>
            </w:r>
          </w:p>
        </w:tc>
        <w:tc>
          <w:tcPr>
            <w:tcW w:w="1250"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3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2.505 (1.893, 3.117)</w:t>
            </w:r>
          </w:p>
        </w:tc>
      </w:tr>
      <w:tr>
        <w:tblPrEx>
          <w:tblCellMar>
            <w:top w:w="0" w:type="dxa"/>
            <w:left w:w="108" w:type="dxa"/>
            <w:bottom w:w="0" w:type="dxa"/>
            <w:right w:w="108" w:type="dxa"/>
          </w:tblCellMar>
        </w:tblPrEx>
        <w:trPr>
          <w:trHeight w:val="328" w:hRule="atLeast"/>
        </w:trPr>
        <w:tc>
          <w:tcPr>
            <w:tcW w:w="2996" w:type="dxa"/>
            <w:gridSpan w:val="2"/>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Mix exposure</w:t>
            </w:r>
          </w:p>
        </w:tc>
        <w:tc>
          <w:tcPr>
            <w:tcW w:w="2244"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244"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252"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1250"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636"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1.882 (1.301, 2.464)</w:t>
            </w:r>
          </w:p>
        </w:tc>
      </w:tr>
    </w:tbl>
    <w:p>
      <w:pPr>
        <w:spacing w:line="480" w:lineRule="auto"/>
        <w:rPr>
          <w:rFonts w:hint="default" w:ascii="Times New Roman" w:hAnsi="Times New Roman" w:cs="Times New Roman" w:eastAsiaTheme="minorEastAsia"/>
          <w:b w:val="0"/>
          <w:bCs w:val="0"/>
          <w:szCs w:val="24"/>
        </w:rPr>
      </w:pPr>
      <w:bookmarkStart w:id="36" w:name="_Hlk157445033"/>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szCs w:val="24"/>
        </w:rPr>
        <w:t xml:space="preserve">TyG, Triglyceride/ Glucose index, TyG was multiplied by 10 here; Q, quartile; </w:t>
      </w:r>
      <w:r>
        <w:rPr>
          <w:rFonts w:hint="default" w:ascii="Times New Roman" w:hAnsi="Times New Roman" w:eastAsia="等线" w:cs="Times New Roman"/>
          <w:b w:val="0"/>
          <w:bCs w:val="0"/>
          <w:color w:val="000000"/>
          <w:kern w:val="0"/>
          <w:szCs w:val="24"/>
        </w:rPr>
        <w:t>β, the coefficient of liner regression</w:t>
      </w:r>
      <w:r>
        <w:rPr>
          <w:rFonts w:hint="default" w:ascii="Times New Roman" w:hAnsi="Times New Roman" w:cs="Times New Roman" w:eastAsiaTheme="minorEastAsia"/>
          <w:b w:val="0"/>
          <w:bCs w:val="0"/>
          <w:szCs w:val="24"/>
        </w:rPr>
        <w:t>; CI, confidence interval.</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 xml:space="preserve">The association between terpenes and TyG*10 was assessed by multivariate liner regression models while mixed terpene exposure was estimated by WQS models. Models were adjusted for covariates, including age, sex, race/ethnicity, BMI, educational attainment, PIR, serum cotinine, alcohol consumption, leisure-time PA, dietary fat intake, and LDL-C. </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 xml:space="preserve">† The trend test for coefficients across four categories was conducted by using the median of terpenes for each category as a numeric variable. </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 xml:space="preserve">‡ The natural log-transformed terpenes were used as a continuous variable to achieve a normal distribution of the independent variable. </w:t>
      </w:r>
      <w:bookmarkEnd w:id="36"/>
    </w:p>
    <w:p>
      <w:pPr>
        <w:spacing w:line="480" w:lineRule="auto"/>
        <w:rPr>
          <w:rFonts w:hint="default" w:ascii="Times New Roman" w:hAnsi="Times New Roman" w:cs="Times New Roman"/>
          <w:b w:val="0"/>
          <w:bCs w:val="0"/>
          <w:color w:val="000000"/>
          <w:kern w:val="0"/>
          <w:szCs w:val="24"/>
        </w:rPr>
      </w:pPr>
      <w:bookmarkStart w:id="37" w:name="_Hlk157448377"/>
      <w:r>
        <w:rPr>
          <w:rFonts w:hint="default" w:ascii="Times New Roman" w:hAnsi="Times New Roman" w:cs="Times New Roman" w:eastAsiaTheme="minorEastAsia"/>
          <w:b w:val="0"/>
          <w:bCs w:val="0"/>
          <w:szCs w:val="24"/>
        </w:rPr>
        <w:t>Table S6.</w:t>
      </w:r>
      <w:r>
        <w:rPr>
          <w:rFonts w:hint="default" w:ascii="Times New Roman" w:hAnsi="Times New Roman" w:cs="Times New Roman"/>
          <w:b w:val="0"/>
          <w:bCs w:val="0"/>
          <w:color w:val="000000"/>
          <w:kern w:val="0"/>
          <w:szCs w:val="24"/>
        </w:rPr>
        <w:t xml:space="preserve"> Association of TyG*10 and MetS and its components.</w:t>
      </w:r>
    </w:p>
    <w:bookmarkEnd w:id="37"/>
    <w:tbl>
      <w:tblPr>
        <w:tblStyle w:val="6"/>
        <w:tblW w:w="15603" w:type="dxa"/>
        <w:tblInd w:w="-746" w:type="dxa"/>
        <w:tblLayout w:type="autofit"/>
        <w:tblCellMar>
          <w:top w:w="0" w:type="dxa"/>
          <w:left w:w="108" w:type="dxa"/>
          <w:bottom w:w="0" w:type="dxa"/>
          <w:right w:w="108" w:type="dxa"/>
        </w:tblCellMar>
      </w:tblPr>
      <w:tblGrid>
        <w:gridCol w:w="2203"/>
        <w:gridCol w:w="1141"/>
        <w:gridCol w:w="2536"/>
        <w:gridCol w:w="2716"/>
        <w:gridCol w:w="3065"/>
        <w:gridCol w:w="1352"/>
        <w:gridCol w:w="2590"/>
      </w:tblGrid>
      <w:tr>
        <w:trPr>
          <w:trHeight w:val="642" w:hRule="atLeast"/>
        </w:trPr>
        <w:tc>
          <w:tcPr>
            <w:tcW w:w="2203"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rPr>
                <w:rFonts w:hint="default" w:ascii="Times New Roman" w:hAnsi="Times New Roman" w:eastAsia="等线" w:cs="Times New Roman"/>
                <w:b w:val="0"/>
                <w:bCs w:val="0"/>
                <w:kern w:val="0"/>
                <w:szCs w:val="24"/>
              </w:rPr>
            </w:pPr>
          </w:p>
          <w:p>
            <w:pPr>
              <w:keepNext w:val="0"/>
              <w:keepLines w:val="0"/>
              <w:widowControl/>
              <w:suppressLineNumbers w:val="0"/>
              <w:spacing w:before="0" w:beforeAutospacing="0" w:after="0" w:afterAutospacing="0" w:line="480" w:lineRule="auto"/>
              <w:ind w:left="0" w:right="0"/>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Characteristics</w:t>
            </w:r>
          </w:p>
          <w:p>
            <w:pPr>
              <w:keepNext w:val="0"/>
              <w:keepLines w:val="0"/>
              <w:widowControl/>
              <w:suppressLineNumbers w:val="0"/>
              <w:spacing w:before="0" w:beforeAutospacing="0" w:after="0" w:afterAutospacing="0" w:line="480" w:lineRule="auto"/>
              <w:ind w:left="0" w:right="0"/>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 xml:space="preserve">         </w:t>
            </w:r>
          </w:p>
        </w:tc>
        <w:tc>
          <w:tcPr>
            <w:tcW w:w="9458" w:type="dxa"/>
            <w:gridSpan w:val="4"/>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OR (95% CI)</w:t>
            </w:r>
          </w:p>
        </w:tc>
        <w:tc>
          <w:tcPr>
            <w:tcW w:w="1352"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P trend</w:t>
            </w:r>
            <w:r>
              <w:rPr>
                <w:rFonts w:hint="default" w:ascii="Times New Roman" w:hAnsi="Times New Roman" w:cs="Times New Roman"/>
                <w:b w:val="0"/>
                <w:bCs w:val="0"/>
                <w:szCs w:val="24"/>
              </w:rPr>
              <w:t>†</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p>
        </w:tc>
        <w:tc>
          <w:tcPr>
            <w:tcW w:w="2590"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firstLine="480" w:firstLineChars="200"/>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Continuous</w:t>
            </w:r>
          </w:p>
          <w:p>
            <w:pPr>
              <w:keepNext w:val="0"/>
              <w:keepLines w:val="0"/>
              <w:widowControl/>
              <w:suppressLineNumbers w:val="0"/>
              <w:spacing w:before="0" w:beforeAutospacing="0" w:after="0" w:afterAutospacing="0" w:line="480" w:lineRule="auto"/>
              <w:ind w:left="0" w:right="0" w:firstLine="480" w:firstLineChars="200"/>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(TyG*10</w:t>
            </w:r>
            <w:r>
              <w:rPr>
                <w:rFonts w:hint="default" w:ascii="Times New Roman" w:hAnsi="Times New Roman" w:cs="Times New Roman"/>
                <w:b w:val="0"/>
                <w:bCs w:val="0"/>
                <w:szCs w:val="24"/>
              </w:rPr>
              <w:t>‡</w:t>
            </w:r>
            <w:r>
              <w:rPr>
                <w:rFonts w:hint="default" w:ascii="Times New Roman" w:hAnsi="Times New Roman" w:eastAsia="等线" w:cs="Times New Roman"/>
                <w:b w:val="0"/>
                <w:bCs w:val="0"/>
                <w:kern w:val="0"/>
                <w:szCs w:val="24"/>
              </w:rPr>
              <w:t>)</w:t>
            </w:r>
          </w:p>
        </w:tc>
      </w:tr>
      <w:tr>
        <w:tblPrEx>
          <w:tblCellMar>
            <w:top w:w="0" w:type="dxa"/>
            <w:left w:w="108" w:type="dxa"/>
            <w:bottom w:w="0" w:type="dxa"/>
            <w:right w:w="108" w:type="dxa"/>
          </w:tblCellMar>
        </w:tblPrEx>
        <w:trPr>
          <w:trHeight w:val="340" w:hRule="atLeast"/>
        </w:trPr>
        <w:tc>
          <w:tcPr>
            <w:tcW w:w="2203" w:type="dxa"/>
            <w:vMerge w:val="continue"/>
            <w:tcBorders>
              <w:top w:val="single" w:color="auto" w:sz="4"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p>
        </w:tc>
        <w:tc>
          <w:tcPr>
            <w:tcW w:w="114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Q1</w:t>
            </w:r>
          </w:p>
        </w:tc>
        <w:tc>
          <w:tcPr>
            <w:tcW w:w="2536"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Q2</w:t>
            </w:r>
          </w:p>
        </w:tc>
        <w:tc>
          <w:tcPr>
            <w:tcW w:w="2716"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Q3</w:t>
            </w:r>
          </w:p>
        </w:tc>
        <w:tc>
          <w:tcPr>
            <w:tcW w:w="3065"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Q4</w:t>
            </w:r>
          </w:p>
        </w:tc>
        <w:tc>
          <w:tcPr>
            <w:tcW w:w="1352" w:type="dxa"/>
            <w:vMerge w:val="continue"/>
            <w:tcBorders>
              <w:top w:val="single" w:color="auto" w:sz="4"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p>
        </w:tc>
        <w:tc>
          <w:tcPr>
            <w:tcW w:w="2590" w:type="dxa"/>
            <w:vMerge w:val="continue"/>
            <w:tcBorders>
              <w:top w:val="single" w:color="auto" w:sz="4"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p>
        </w:tc>
      </w:tr>
      <w:tr>
        <w:tblPrEx>
          <w:tblCellMar>
            <w:top w:w="0" w:type="dxa"/>
            <w:left w:w="108" w:type="dxa"/>
            <w:bottom w:w="0" w:type="dxa"/>
            <w:right w:w="108" w:type="dxa"/>
          </w:tblCellMar>
        </w:tblPrEx>
        <w:trPr>
          <w:trHeight w:val="340" w:hRule="atLeast"/>
        </w:trPr>
        <w:tc>
          <w:tcPr>
            <w:tcW w:w="2203" w:type="dxa"/>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MetS</w:t>
            </w:r>
          </w:p>
        </w:tc>
        <w:tc>
          <w:tcPr>
            <w:tcW w:w="1141" w:type="dxa"/>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1 (Ref)</w:t>
            </w:r>
          </w:p>
        </w:tc>
        <w:tc>
          <w:tcPr>
            <w:tcW w:w="2536"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 2.081 (1.154, 3.873)</w:t>
            </w:r>
          </w:p>
        </w:tc>
        <w:tc>
          <w:tcPr>
            <w:tcW w:w="2716"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 7.888 (4.541, 14.328)</w:t>
            </w:r>
          </w:p>
        </w:tc>
        <w:tc>
          <w:tcPr>
            <w:tcW w:w="3065" w:type="dxa"/>
            <w:tcBorders>
              <w:top w:val="single" w:color="auto" w:sz="4" w:space="0"/>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33.485 (18.985, 61.925)</w:t>
            </w:r>
          </w:p>
        </w:tc>
        <w:tc>
          <w:tcPr>
            <w:tcW w:w="1352" w:type="dxa"/>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&lt; 0.001</w:t>
            </w:r>
          </w:p>
        </w:tc>
        <w:tc>
          <w:tcPr>
            <w:tcW w:w="2590" w:type="dxa"/>
            <w:tcBorders>
              <w:top w:val="single" w:color="auto" w:sz="4" w:space="0"/>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cs="Times New Roman"/>
                <w:b w:val="0"/>
                <w:bCs w:val="0"/>
                <w:szCs w:val="24"/>
              </w:rPr>
              <w:t>1.249 (1.212, 1.289)</w:t>
            </w:r>
          </w:p>
        </w:tc>
      </w:tr>
      <w:tr>
        <w:tblPrEx>
          <w:tblCellMar>
            <w:top w:w="0" w:type="dxa"/>
            <w:left w:w="108" w:type="dxa"/>
            <w:bottom w:w="0" w:type="dxa"/>
            <w:right w:w="108" w:type="dxa"/>
          </w:tblCellMar>
        </w:tblPrEx>
        <w:trPr>
          <w:trHeight w:val="340" w:hRule="atLeast"/>
        </w:trPr>
        <w:tc>
          <w:tcPr>
            <w:tcW w:w="220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High-TG</w:t>
            </w:r>
          </w:p>
        </w:tc>
        <w:tc>
          <w:tcPr>
            <w:tcW w:w="114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1 (Ref)</w:t>
            </w:r>
          </w:p>
        </w:tc>
        <w:tc>
          <w:tcPr>
            <w:tcW w:w="253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 7.125 (2.735, 24.389)</w:t>
            </w:r>
          </w:p>
        </w:tc>
        <w:tc>
          <w:tcPr>
            <w:tcW w:w="271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 40.000 (16.218, 133.150)</w:t>
            </w:r>
          </w:p>
        </w:tc>
        <w:tc>
          <w:tcPr>
            <w:tcW w:w="306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702.529 (271.904, 2410.306)</w:t>
            </w:r>
          </w:p>
        </w:tc>
        <w:tc>
          <w:tcPr>
            <w:tcW w:w="135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&lt; 0.001</w:t>
            </w:r>
          </w:p>
        </w:tc>
        <w:tc>
          <w:tcPr>
            <w:tcW w:w="2590"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cs="Times New Roman"/>
                <w:b w:val="0"/>
                <w:bCs w:val="0"/>
                <w:szCs w:val="24"/>
              </w:rPr>
              <w:t>1.593 (1.514, 1.683)</w:t>
            </w:r>
          </w:p>
        </w:tc>
      </w:tr>
      <w:tr>
        <w:tblPrEx>
          <w:tblCellMar>
            <w:top w:w="0" w:type="dxa"/>
            <w:left w:w="108" w:type="dxa"/>
            <w:bottom w:w="0" w:type="dxa"/>
            <w:right w:w="108" w:type="dxa"/>
          </w:tblCellMar>
        </w:tblPrEx>
        <w:trPr>
          <w:trHeight w:val="340" w:hRule="atLeast"/>
        </w:trPr>
        <w:tc>
          <w:tcPr>
            <w:tcW w:w="220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Low-HDL</w:t>
            </w:r>
          </w:p>
        </w:tc>
        <w:tc>
          <w:tcPr>
            <w:tcW w:w="114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1 (Ref)</w:t>
            </w:r>
          </w:p>
        </w:tc>
        <w:tc>
          <w:tcPr>
            <w:tcW w:w="253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1.559 (1.030, 2.364)</w:t>
            </w:r>
          </w:p>
        </w:tc>
        <w:tc>
          <w:tcPr>
            <w:tcW w:w="271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3.417 (2.276, 5.176)</w:t>
            </w:r>
          </w:p>
        </w:tc>
        <w:tc>
          <w:tcPr>
            <w:tcW w:w="306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8.880 (5.793, 13.794)</w:t>
            </w:r>
          </w:p>
        </w:tc>
        <w:tc>
          <w:tcPr>
            <w:tcW w:w="135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&lt; 0.001</w:t>
            </w:r>
          </w:p>
        </w:tc>
        <w:tc>
          <w:tcPr>
            <w:tcW w:w="2590" w:type="dxa"/>
            <w:tcBorders>
              <w:top w:val="nil"/>
              <w:left w:val="nil"/>
              <w:bottom w:val="nil"/>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cs="Times New Roman"/>
                <w:b w:val="0"/>
                <w:bCs w:val="0"/>
                <w:szCs w:val="24"/>
              </w:rPr>
              <w:t>1.141 (1.116, 1.168)</w:t>
            </w:r>
          </w:p>
        </w:tc>
      </w:tr>
      <w:tr>
        <w:tblPrEx>
          <w:tblCellMar>
            <w:top w:w="0" w:type="dxa"/>
            <w:left w:w="108" w:type="dxa"/>
            <w:bottom w:w="0" w:type="dxa"/>
            <w:right w:w="108" w:type="dxa"/>
          </w:tblCellMar>
        </w:tblPrEx>
        <w:trPr>
          <w:trHeight w:val="340" w:hRule="atLeast"/>
        </w:trPr>
        <w:tc>
          <w:tcPr>
            <w:tcW w:w="220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High-WC</w:t>
            </w:r>
          </w:p>
        </w:tc>
        <w:tc>
          <w:tcPr>
            <w:tcW w:w="1141"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1 (Ref)</w:t>
            </w:r>
          </w:p>
        </w:tc>
        <w:tc>
          <w:tcPr>
            <w:tcW w:w="253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2.333 (1.662, 3.287)</w:t>
            </w:r>
          </w:p>
        </w:tc>
        <w:tc>
          <w:tcPr>
            <w:tcW w:w="271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3.071 (2.144, 4.422)</w:t>
            </w:r>
          </w:p>
        </w:tc>
        <w:tc>
          <w:tcPr>
            <w:tcW w:w="306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5.441 (3.688, 8.096)</w:t>
            </w:r>
          </w:p>
        </w:tc>
        <w:tc>
          <w:tcPr>
            <w:tcW w:w="135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&lt; 0.001</w:t>
            </w:r>
          </w:p>
        </w:tc>
        <w:tc>
          <w:tcPr>
            <w:tcW w:w="2590"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1.093 (1.071, 1.116)</w:t>
            </w:r>
          </w:p>
        </w:tc>
      </w:tr>
      <w:tr>
        <w:tblPrEx>
          <w:tblCellMar>
            <w:top w:w="0" w:type="dxa"/>
            <w:left w:w="108" w:type="dxa"/>
            <w:bottom w:w="0" w:type="dxa"/>
            <w:right w:w="108" w:type="dxa"/>
          </w:tblCellMar>
        </w:tblPrEx>
        <w:trPr>
          <w:trHeight w:val="340" w:hRule="atLeast"/>
        </w:trPr>
        <w:tc>
          <w:tcPr>
            <w:tcW w:w="2203"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High-BP</w:t>
            </w:r>
          </w:p>
        </w:tc>
        <w:tc>
          <w:tcPr>
            <w:tcW w:w="1141"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1 (Ref)</w:t>
            </w:r>
          </w:p>
        </w:tc>
        <w:tc>
          <w:tcPr>
            <w:tcW w:w="2536" w:type="dxa"/>
            <w:tcBorders>
              <w:top w:val="nil"/>
              <w:left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0.803 (0.482, 1.339)</w:t>
            </w:r>
          </w:p>
        </w:tc>
        <w:tc>
          <w:tcPr>
            <w:tcW w:w="2716" w:type="dxa"/>
            <w:tcBorders>
              <w:top w:val="nil"/>
              <w:left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1.552 (0.937, 2.589)</w:t>
            </w:r>
          </w:p>
        </w:tc>
        <w:tc>
          <w:tcPr>
            <w:tcW w:w="3065" w:type="dxa"/>
            <w:tcBorders>
              <w:top w:val="nil"/>
              <w:left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2.397 (1.446, 4.012)</w:t>
            </w:r>
          </w:p>
        </w:tc>
        <w:tc>
          <w:tcPr>
            <w:tcW w:w="1352"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&lt; 0.001</w:t>
            </w:r>
          </w:p>
        </w:tc>
        <w:tc>
          <w:tcPr>
            <w:tcW w:w="2590" w:type="dxa"/>
            <w:tcBorders>
              <w:top w:val="nil"/>
              <w:left w:val="nil"/>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1.051 (1.028, 1.075)</w:t>
            </w:r>
          </w:p>
        </w:tc>
      </w:tr>
      <w:tr>
        <w:tblPrEx>
          <w:tblCellMar>
            <w:top w:w="0" w:type="dxa"/>
            <w:left w:w="108" w:type="dxa"/>
            <w:bottom w:w="0" w:type="dxa"/>
            <w:right w:w="108" w:type="dxa"/>
          </w:tblCellMar>
        </w:tblPrEx>
        <w:trPr>
          <w:trHeight w:val="340" w:hRule="atLeast"/>
        </w:trPr>
        <w:tc>
          <w:tcPr>
            <w:tcW w:w="2203"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High-BG</w:t>
            </w:r>
          </w:p>
        </w:tc>
        <w:tc>
          <w:tcPr>
            <w:tcW w:w="1141"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1 (Ref)</w:t>
            </w:r>
          </w:p>
        </w:tc>
        <w:tc>
          <w:tcPr>
            <w:tcW w:w="2536"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1.286 (0.844, 1.972)</w:t>
            </w:r>
          </w:p>
        </w:tc>
        <w:tc>
          <w:tcPr>
            <w:tcW w:w="2716"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2.230 (1.476, 3.403)</w:t>
            </w:r>
          </w:p>
        </w:tc>
        <w:tc>
          <w:tcPr>
            <w:tcW w:w="3065"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szCs w:val="24"/>
              </w:rPr>
              <w:t>3.538 (2.334, 5.426)</w:t>
            </w:r>
          </w:p>
        </w:tc>
        <w:tc>
          <w:tcPr>
            <w:tcW w:w="1352"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eastAsia="等线" w:cs="Times New Roman"/>
                <w:b w:val="0"/>
                <w:bCs w:val="0"/>
                <w:kern w:val="0"/>
                <w:szCs w:val="24"/>
              </w:rPr>
              <w:t>&lt; 0.001</w:t>
            </w:r>
          </w:p>
        </w:tc>
        <w:tc>
          <w:tcPr>
            <w:tcW w:w="2590" w:type="dxa"/>
            <w:tcBorders>
              <w:top w:val="nil"/>
              <w:left w:val="nil"/>
              <w:bottom w:val="single" w:color="auto" w:sz="4" w:space="0"/>
              <w:right w:val="nil"/>
            </w:tcBorders>
            <w:shd w:val="clear" w:color="auto" w:fill="auto"/>
            <w:noWrap/>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kern w:val="0"/>
                <w:szCs w:val="24"/>
              </w:rPr>
            </w:pPr>
            <w:r>
              <w:rPr>
                <w:rFonts w:hint="default" w:ascii="Times New Roman" w:hAnsi="Times New Roman" w:cs="Times New Roman"/>
                <w:b w:val="0"/>
                <w:bCs w:val="0"/>
                <w:szCs w:val="24"/>
              </w:rPr>
              <w:t>1.076 (1.055, 1.097)</w:t>
            </w:r>
          </w:p>
        </w:tc>
      </w:tr>
    </w:tbl>
    <w:p>
      <w:pPr>
        <w:spacing w:line="480" w:lineRule="auto"/>
        <w:rPr>
          <w:rFonts w:hint="default" w:ascii="Times New Roman" w:hAnsi="Times New Roman" w:cs="Times New Roman"/>
          <w:b w:val="0"/>
          <w:bCs w:val="0"/>
          <w:color w:val="000000"/>
          <w:kern w:val="0"/>
          <w:szCs w:val="24"/>
        </w:rPr>
      </w:pPr>
      <w:r>
        <w:rPr>
          <w:rFonts w:hint="default" w:ascii="Times New Roman" w:hAnsi="Times New Roman" w:cs="Times New Roman"/>
          <w:b w:val="0"/>
          <w:bCs w:val="0"/>
          <w:szCs w:val="24"/>
        </w:rPr>
        <w:t xml:space="preserve">Abbreviation: </w:t>
      </w:r>
      <w:r>
        <w:rPr>
          <w:rFonts w:hint="default" w:ascii="Times New Roman" w:hAnsi="Times New Roman" w:cs="Times New Roman"/>
          <w:b w:val="0"/>
          <w:bCs w:val="0"/>
          <w:color w:val="000000"/>
          <w:kern w:val="0"/>
          <w:szCs w:val="24"/>
        </w:rPr>
        <w:t>MetS, metabolic syndrome; High-TG, triglycerides met MetS diagnostic standard; Low-HDL, low HDL-C met MetS diagnostic standard; High-WC, high waist circumference met MetS diagnostic standard; High-BP, high blood pressure met MetS diagnostic standard; High-BG, high fasting blood glucose met MetS diagnostic standard; TyG, Triglyceride/ Glucose index, TyG was multiplied by 10 here; Q, quartile; OR, odds ratio; CI, confidence interval.</w:t>
      </w:r>
    </w:p>
    <w:p>
      <w:pPr>
        <w:spacing w:line="480" w:lineRule="auto"/>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The association between TyG*10 and MetS and its components was assessed by multivariate logistic regression models. Models were adjusted for covariates, including age, sex, race/ethnicity, BMI, educational attainment, PIR, serum cotinine, alcohol consumption, leisure-time PA, dietary fat intake, and LDL-C. Q, quartile; OR, odds ratio; CI, confidence interval.</w:t>
      </w:r>
    </w:p>
    <w:p>
      <w:pPr>
        <w:spacing w:line="480" w:lineRule="auto"/>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 xml:space="preserve">† The trend test for coefficients across four TyG*10 categories (Q1, [68.5, 79.3); Q2, [79.3, 84.0); Q3, [84.0, 88.8), Q4, [88.8,120.3]) was conducted by using the median TyG*10 for each category as a numeric variable. </w:t>
      </w:r>
    </w:p>
    <w:p>
      <w:pPr>
        <w:spacing w:line="480" w:lineRule="auto"/>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 xml:space="preserve">‡ TyG was multiplied by 10 as a continuous unit to achieve a normal distribution of the independent variable and makes the coefficient value more readable. </w:t>
      </w:r>
    </w:p>
    <w:p>
      <w:pPr>
        <w:widowControl/>
        <w:spacing w:line="480" w:lineRule="auto"/>
        <w:jc w:val="left"/>
        <w:rPr>
          <w:rFonts w:hint="default" w:ascii="Times New Roman" w:hAnsi="Times New Roman" w:cs="Times New Roman"/>
          <w:b w:val="0"/>
          <w:bCs w:val="0"/>
          <w:color w:val="000000"/>
          <w:kern w:val="0"/>
          <w:szCs w:val="24"/>
        </w:rPr>
      </w:pPr>
      <w:r>
        <w:rPr>
          <w:rFonts w:hint="default" w:ascii="Times New Roman" w:hAnsi="Times New Roman" w:cs="Times New Roman" w:eastAsiaTheme="minorEastAsia"/>
          <w:b w:val="0"/>
          <w:bCs w:val="0"/>
          <w:szCs w:val="24"/>
        </w:rPr>
        <w:br w:type="page"/>
      </w:r>
      <w:bookmarkStart w:id="38" w:name="_Hlk159597506"/>
      <w:bookmarkStart w:id="39" w:name="_Hlk157448383"/>
      <w:r>
        <w:rPr>
          <w:rFonts w:hint="default" w:ascii="Times New Roman" w:hAnsi="Times New Roman" w:cs="Times New Roman" w:eastAsiaTheme="minorEastAsia"/>
          <w:b w:val="0"/>
          <w:bCs w:val="0"/>
          <w:szCs w:val="24"/>
        </w:rPr>
        <w:t>Table S7.</w:t>
      </w:r>
      <w:r>
        <w:rPr>
          <w:rFonts w:hint="default" w:ascii="Times New Roman" w:hAnsi="Times New Roman" w:cs="Times New Roman"/>
          <w:b w:val="0"/>
          <w:bCs w:val="0"/>
          <w:color w:val="000000"/>
          <w:kern w:val="0"/>
          <w:szCs w:val="24"/>
        </w:rPr>
        <w:t xml:space="preserve"> Association between terpenes and MetS after considering working hours and current work industry</w:t>
      </w:r>
      <w:bookmarkEnd w:id="38"/>
      <w:r>
        <w:rPr>
          <w:rFonts w:hint="default" w:ascii="Times New Roman" w:hAnsi="Times New Roman" w:cs="Times New Roman"/>
          <w:b w:val="0"/>
          <w:bCs w:val="0"/>
          <w:color w:val="000000"/>
          <w:kern w:val="0"/>
          <w:szCs w:val="24"/>
        </w:rPr>
        <w:t>.</w:t>
      </w:r>
      <w:bookmarkEnd w:id="39"/>
    </w:p>
    <w:tbl>
      <w:tblPr>
        <w:tblStyle w:val="6"/>
        <w:tblpPr w:leftFromText="180" w:rightFromText="180" w:vertAnchor="text" w:horzAnchor="margin" w:tblpXSpec="center" w:tblpY="108"/>
        <w:tblW w:w="13727" w:type="dxa"/>
        <w:tblInd w:w="0" w:type="dxa"/>
        <w:tblLayout w:type="autofit"/>
        <w:tblCellMar>
          <w:top w:w="0" w:type="dxa"/>
          <w:left w:w="108" w:type="dxa"/>
          <w:bottom w:w="0" w:type="dxa"/>
          <w:right w:w="108" w:type="dxa"/>
        </w:tblCellMar>
      </w:tblPr>
      <w:tblGrid>
        <w:gridCol w:w="2093"/>
        <w:gridCol w:w="926"/>
        <w:gridCol w:w="2261"/>
        <w:gridCol w:w="2261"/>
        <w:gridCol w:w="2271"/>
        <w:gridCol w:w="1259"/>
        <w:gridCol w:w="2656"/>
      </w:tblGrid>
      <w:tr>
        <w:tblPrEx>
          <w:tblCellMar>
            <w:top w:w="0" w:type="dxa"/>
            <w:left w:w="108" w:type="dxa"/>
            <w:bottom w:w="0" w:type="dxa"/>
            <w:right w:w="108" w:type="dxa"/>
          </w:tblCellMar>
        </w:tblPrEx>
        <w:trPr>
          <w:cantSplit/>
          <w:trHeight w:val="557" w:hRule="atLeast"/>
        </w:trPr>
        <w:tc>
          <w:tcPr>
            <w:tcW w:w="2093"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Terpenes</w:t>
            </w: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         </w:t>
            </w:r>
          </w:p>
        </w:tc>
        <w:tc>
          <w:tcPr>
            <w:tcW w:w="7719" w:type="dxa"/>
            <w:gridSpan w:val="4"/>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OR (95% CI)</w:t>
            </w:r>
          </w:p>
        </w:tc>
        <w:tc>
          <w:tcPr>
            <w:tcW w:w="1259"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b w:val="0"/>
                <w:bCs w:val="0"/>
                <w:szCs w:val="24"/>
              </w:rPr>
            </w:pPr>
            <w:r>
              <w:rPr>
                <w:rFonts w:hint="default" w:ascii="Times New Roman" w:hAnsi="Times New Roman" w:eastAsia="等线" w:cs="Times New Roman"/>
                <w:b w:val="0"/>
                <w:bCs w:val="0"/>
                <w:color w:val="000000"/>
                <w:kern w:val="0"/>
                <w:szCs w:val="24"/>
              </w:rPr>
              <w:t>P trend</w:t>
            </w:r>
            <w:r>
              <w:rPr>
                <w:rFonts w:hint="default" w:ascii="Times New Roman" w:hAnsi="Times New Roman" w:cs="Times New Roman"/>
                <w:b w:val="0"/>
                <w:bCs w:val="0"/>
                <w:szCs w:val="24"/>
              </w:rPr>
              <w:t>†</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656"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firstLine="480" w:firstLineChars="200"/>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Continuous</w:t>
            </w:r>
          </w:p>
          <w:p>
            <w:pPr>
              <w:keepNext w:val="0"/>
              <w:keepLines w:val="0"/>
              <w:widowControl/>
              <w:suppressLineNumbers w:val="0"/>
              <w:spacing w:before="0" w:beforeAutospacing="0" w:after="0" w:afterAutospacing="0" w:line="480" w:lineRule="auto"/>
              <w:ind w:left="0" w:right="0" w:firstLine="240" w:firstLineChars="100"/>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(Log-transformed</w:t>
            </w:r>
            <w:r>
              <w:rPr>
                <w:rFonts w:hint="default" w:ascii="Times New Roman" w:hAnsi="Times New Roman" w:cs="Times New Roman"/>
                <w:b w:val="0"/>
                <w:bCs w:val="0"/>
                <w:szCs w:val="24"/>
              </w:rPr>
              <w:t>‡</w:t>
            </w:r>
            <w:r>
              <w:rPr>
                <w:rFonts w:hint="default" w:ascii="Times New Roman" w:hAnsi="Times New Roman" w:eastAsia="等线" w:cs="Times New Roman"/>
                <w:b w:val="0"/>
                <w:bCs w:val="0"/>
                <w:color w:val="000000"/>
                <w:kern w:val="0"/>
                <w:szCs w:val="24"/>
              </w:rPr>
              <w:t>)</w:t>
            </w:r>
          </w:p>
        </w:tc>
      </w:tr>
      <w:tr>
        <w:tblPrEx>
          <w:tblCellMar>
            <w:top w:w="0" w:type="dxa"/>
            <w:left w:w="108" w:type="dxa"/>
            <w:bottom w:w="0" w:type="dxa"/>
            <w:right w:w="108" w:type="dxa"/>
          </w:tblCellMar>
        </w:tblPrEx>
        <w:trPr>
          <w:cantSplit/>
          <w:trHeight w:val="340" w:hRule="atLeast"/>
        </w:trPr>
        <w:tc>
          <w:tcPr>
            <w:tcW w:w="2093" w:type="dxa"/>
            <w:vMerge w:val="continue"/>
            <w:tcBorders>
              <w:top w:val="single" w:color="auto" w:sz="4"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926"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Q1</w:t>
            </w:r>
          </w:p>
        </w:tc>
        <w:tc>
          <w:tcPr>
            <w:tcW w:w="226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Q2</w:t>
            </w:r>
          </w:p>
        </w:tc>
        <w:tc>
          <w:tcPr>
            <w:tcW w:w="226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Q3</w:t>
            </w:r>
          </w:p>
        </w:tc>
        <w:tc>
          <w:tcPr>
            <w:tcW w:w="227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Q4</w:t>
            </w:r>
          </w:p>
        </w:tc>
        <w:tc>
          <w:tcPr>
            <w:tcW w:w="1259"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656"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α-pinene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1.494 (1.020, 2.195)</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1.382 (0.947, 2.022)</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2.085 (1.439, 3.037)</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1.577 (1.266, 1.969)</w:t>
            </w: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β-pinene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1.528 (1.035, 2.263)</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1.760 (1.194, 2.604)</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2.460 (1.666, 3.655)</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1.659 (1.310, 2.104)</w:t>
            </w: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limonene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1.567 (1.060, 2.328)</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1.450 (0.972, 2.170)</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2.733 (1.841, 4.089)</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1.708 (1.322, 2.212)</w:t>
            </w:r>
          </w:p>
        </w:tc>
      </w:tr>
      <w:tr>
        <w:tblPrEx>
          <w:tblCellMar>
            <w:top w:w="0" w:type="dxa"/>
            <w:left w:w="108" w:type="dxa"/>
            <w:bottom w:w="0" w:type="dxa"/>
            <w:right w:w="108" w:type="dxa"/>
          </w:tblCellMar>
        </w:tblPrEx>
        <w:trPr>
          <w:cantSplit/>
          <w:trHeight w:val="340" w:hRule="atLeast"/>
        </w:trPr>
        <w:tc>
          <w:tcPr>
            <w:tcW w:w="3019" w:type="dxa"/>
            <w:gridSpan w:val="2"/>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Mix exposure</w:t>
            </w:r>
          </w:p>
        </w:tc>
        <w:tc>
          <w:tcPr>
            <w:tcW w:w="226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26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27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1259"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656"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1.530 (1.199, 1.952)</w:t>
            </w:r>
          </w:p>
        </w:tc>
      </w:tr>
    </w:tbl>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szCs w:val="24"/>
        </w:rPr>
        <w:t xml:space="preserve">MetS, metabolic syndrome; Q, quartile; </w:t>
      </w:r>
      <w:r>
        <w:rPr>
          <w:rFonts w:hint="default" w:ascii="Times New Roman" w:hAnsi="Times New Roman" w:eastAsia="等线" w:cs="Times New Roman"/>
          <w:b w:val="0"/>
          <w:bCs w:val="0"/>
          <w:color w:val="000000"/>
          <w:kern w:val="0"/>
          <w:szCs w:val="24"/>
        </w:rPr>
        <w:t>OR, odds ratio;</w:t>
      </w:r>
      <w:r>
        <w:rPr>
          <w:rFonts w:hint="default" w:ascii="Times New Roman" w:hAnsi="Times New Roman" w:cs="Times New Roman" w:eastAsiaTheme="minorEastAsia"/>
          <w:b w:val="0"/>
          <w:bCs w:val="0"/>
          <w:szCs w:val="24"/>
        </w:rPr>
        <w:t xml:space="preserve"> CI, confidence interval.</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The association between Terpenes (single and mixed) and MetS was assessed by multivariate logistic regression models and WQS models. In particular, models were further adjusted for work ≥35 hours per week (no or yes), current industry (22 levels, refer to</w:t>
      </w:r>
      <w:r>
        <w:rPr>
          <w:rFonts w:hint="default" w:ascii="Times New Roman" w:hAnsi="Times New Roman" w:cs="Times New Roman" w:eastAsiaTheme="minorEastAsia"/>
          <w:b w:val="0"/>
          <w:bCs w:val="0"/>
          <w:color w:val="0070C0"/>
          <w:szCs w:val="24"/>
        </w:rPr>
        <w:t xml:space="preserve"> </w:t>
      </w:r>
      <w:r>
        <w:rPr>
          <w:rFonts w:hint="default" w:ascii="Times New Roman" w:hAnsi="Times New Roman" w:cs="Times New Roman" w:eastAsiaTheme="minorEastAsia"/>
          <w:b w:val="0"/>
          <w:bCs w:val="0"/>
          <w:szCs w:val="24"/>
        </w:rPr>
        <w:t>Table S13).</w:t>
      </w:r>
      <w:r>
        <w:rPr>
          <w:rFonts w:hint="default" w:ascii="Times New Roman" w:hAnsi="Times New Roman" w:cs="Times New Roman"/>
          <w:b w:val="0"/>
          <w:bCs w:val="0"/>
          <w:szCs w:val="24"/>
        </w:rPr>
        <w:t xml:space="preserve"> </w:t>
      </w:r>
      <w:r>
        <w:rPr>
          <w:rFonts w:hint="default" w:ascii="Times New Roman" w:hAnsi="Times New Roman" w:cs="Times New Roman" w:eastAsiaTheme="minorEastAsia"/>
          <w:b w:val="0"/>
          <w:bCs w:val="0"/>
          <w:szCs w:val="24"/>
        </w:rPr>
        <w:t>The remaining adjusted covariates included age, sex, race/ethnicity, BMI, educational attainment, PIR, serum cotinine, alcohol consumption, leisure-time PA, dietary fat intake and LDL-C.</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 xml:space="preserve">† The trend test for coefficients across four categories was conducted by using the median of terpenes for each category as a numeric variable. </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 xml:space="preserve">‡ The natural log-transformed terpenes were used as a continuous variable to achieve a normal distribution of the independent variable. </w:t>
      </w:r>
      <w:r>
        <w:rPr>
          <w:rFonts w:hint="default" w:ascii="Times New Roman" w:hAnsi="Times New Roman" w:cs="Times New Roman" w:eastAsiaTheme="minorEastAsia"/>
          <w:b w:val="0"/>
          <w:bCs w:val="0"/>
          <w:szCs w:val="24"/>
        </w:rPr>
        <w:br w:type="page"/>
      </w:r>
    </w:p>
    <w:p>
      <w:pPr>
        <w:spacing w:line="480" w:lineRule="auto"/>
        <w:rPr>
          <w:rFonts w:hint="default" w:ascii="Times New Roman" w:hAnsi="Times New Roman" w:cs="Times New Roman" w:eastAsiaTheme="minorEastAsia"/>
          <w:b w:val="0"/>
          <w:bCs w:val="0"/>
          <w:color w:val="000000"/>
          <w:szCs w:val="24"/>
          <w:lang w:val="en-US" w:eastAsia="zh-CN"/>
        </w:rPr>
      </w:pPr>
      <w:bookmarkStart w:id="40" w:name="_Hlk157448391"/>
      <w:r>
        <w:rPr>
          <w:rFonts w:hint="default" w:ascii="Times New Roman" w:hAnsi="Times New Roman" w:cs="Times New Roman" w:eastAsiaTheme="minorEastAsia"/>
          <w:b w:val="0"/>
          <w:bCs w:val="0"/>
          <w:szCs w:val="24"/>
        </w:rPr>
        <w:t xml:space="preserve">Table S8. Association between terpenes and MetS after considering </w:t>
      </w:r>
      <w:r>
        <w:rPr>
          <w:rFonts w:hint="default" w:ascii="Times New Roman" w:hAnsi="Times New Roman" w:cs="Times New Roman" w:eastAsiaTheme="minorEastAsia"/>
          <w:b w:val="0"/>
          <w:bCs w:val="0"/>
          <w:color w:val="000000"/>
          <w:szCs w:val="24"/>
        </w:rPr>
        <w:t>FBG</w:t>
      </w:r>
      <w:r>
        <w:rPr>
          <w:rFonts w:hint="default" w:ascii="Times New Roman" w:hAnsi="Times New Roman" w:cs="Times New Roman" w:eastAsiaTheme="minorEastAsia"/>
          <w:b w:val="0"/>
          <w:bCs w:val="0"/>
          <w:color w:val="000000"/>
          <w:szCs w:val="24"/>
          <w:lang w:val="en-US" w:eastAsia="zh-CN"/>
        </w:rPr>
        <w:t xml:space="preserve"> and </w:t>
      </w:r>
      <w:r>
        <w:rPr>
          <w:rFonts w:hint="default" w:ascii="Times New Roman" w:hAnsi="Times New Roman" w:cs="Times New Roman" w:eastAsiaTheme="minorEastAsia"/>
          <w:b w:val="0"/>
          <w:bCs w:val="0"/>
          <w:color w:val="000000"/>
          <w:szCs w:val="24"/>
        </w:rPr>
        <w:t>blood pressure</w:t>
      </w:r>
      <w:r>
        <w:rPr>
          <w:rFonts w:hint="default" w:ascii="Times New Roman" w:hAnsi="Times New Roman" w:cs="Times New Roman" w:eastAsiaTheme="minorEastAsia"/>
          <w:b w:val="0"/>
          <w:bCs w:val="0"/>
          <w:color w:val="000000"/>
          <w:szCs w:val="24"/>
          <w:lang w:val="en-US" w:eastAsia="zh-CN"/>
        </w:rPr>
        <w:t>.</w:t>
      </w:r>
    </w:p>
    <w:bookmarkEnd w:id="40"/>
    <w:tbl>
      <w:tblPr>
        <w:tblStyle w:val="6"/>
        <w:tblpPr w:leftFromText="180" w:rightFromText="180" w:vertAnchor="text" w:horzAnchor="margin" w:tblpXSpec="center" w:tblpY="108"/>
        <w:tblW w:w="13677" w:type="dxa"/>
        <w:jc w:val="center"/>
        <w:tblLayout w:type="autofit"/>
        <w:tblCellMar>
          <w:top w:w="0" w:type="dxa"/>
          <w:left w:w="108" w:type="dxa"/>
          <w:bottom w:w="0" w:type="dxa"/>
          <w:right w:w="108" w:type="dxa"/>
        </w:tblCellMar>
      </w:tblPr>
      <w:tblGrid>
        <w:gridCol w:w="2085"/>
        <w:gridCol w:w="922"/>
        <w:gridCol w:w="2253"/>
        <w:gridCol w:w="2253"/>
        <w:gridCol w:w="2264"/>
        <w:gridCol w:w="1254"/>
        <w:gridCol w:w="2646"/>
      </w:tblGrid>
      <w:tr>
        <w:tblPrEx>
          <w:tblCellMar>
            <w:top w:w="0" w:type="dxa"/>
            <w:left w:w="108" w:type="dxa"/>
            <w:bottom w:w="0" w:type="dxa"/>
            <w:right w:w="108" w:type="dxa"/>
          </w:tblCellMar>
        </w:tblPrEx>
        <w:trPr>
          <w:cantSplit/>
          <w:trHeight w:val="619" w:hRule="atLeast"/>
          <w:jc w:val="center"/>
        </w:trPr>
        <w:tc>
          <w:tcPr>
            <w:tcW w:w="2085"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Terpenes</w:t>
            </w: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 xml:space="preserve">         </w:t>
            </w:r>
          </w:p>
        </w:tc>
        <w:tc>
          <w:tcPr>
            <w:tcW w:w="7692" w:type="dxa"/>
            <w:gridSpan w:val="4"/>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OR (95% CI)</w:t>
            </w:r>
          </w:p>
        </w:tc>
        <w:tc>
          <w:tcPr>
            <w:tcW w:w="1254"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b w:val="0"/>
                <w:bCs w:val="0"/>
                <w:sz w:val="24"/>
                <w:szCs w:val="24"/>
              </w:rPr>
            </w:pPr>
            <w:r>
              <w:rPr>
                <w:rFonts w:hint="default" w:ascii="Times New Roman" w:hAnsi="Times New Roman" w:eastAsia="等线" w:cs="Times New Roman"/>
                <w:b w:val="0"/>
                <w:bCs w:val="0"/>
                <w:color w:val="000000"/>
                <w:kern w:val="0"/>
                <w:sz w:val="24"/>
                <w:szCs w:val="24"/>
              </w:rPr>
              <w:t>P trend</w:t>
            </w:r>
            <w:r>
              <w:rPr>
                <w:rFonts w:hint="default" w:ascii="Times New Roman" w:hAnsi="Times New Roman" w:cs="Times New Roman"/>
                <w:b w:val="0"/>
                <w:bCs w:val="0"/>
                <w:sz w:val="24"/>
                <w:szCs w:val="24"/>
              </w:rPr>
              <w:t>†</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 w:val="24"/>
                <w:szCs w:val="24"/>
              </w:rPr>
            </w:pPr>
          </w:p>
        </w:tc>
        <w:tc>
          <w:tcPr>
            <w:tcW w:w="2646"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firstLine="480" w:firstLineChars="200"/>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Continuous</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 xml:space="preserve"> (Log-transformed</w:t>
            </w:r>
            <w:r>
              <w:rPr>
                <w:rFonts w:hint="default" w:ascii="Times New Roman" w:hAnsi="Times New Roman" w:cs="Times New Roman"/>
                <w:b w:val="0"/>
                <w:bCs w:val="0"/>
                <w:sz w:val="24"/>
                <w:szCs w:val="24"/>
              </w:rPr>
              <w:t>‡</w:t>
            </w:r>
            <w:r>
              <w:rPr>
                <w:rFonts w:hint="default" w:ascii="Times New Roman" w:hAnsi="Times New Roman" w:eastAsia="等线" w:cs="Times New Roman"/>
                <w:b w:val="0"/>
                <w:bCs w:val="0"/>
                <w:color w:val="000000"/>
                <w:kern w:val="0"/>
                <w:sz w:val="24"/>
                <w:szCs w:val="24"/>
              </w:rPr>
              <w:t>)</w:t>
            </w:r>
          </w:p>
        </w:tc>
      </w:tr>
      <w:tr>
        <w:tblPrEx>
          <w:tblCellMar>
            <w:top w:w="0" w:type="dxa"/>
            <w:left w:w="108" w:type="dxa"/>
            <w:bottom w:w="0" w:type="dxa"/>
            <w:right w:w="108" w:type="dxa"/>
          </w:tblCellMar>
        </w:tblPrEx>
        <w:trPr>
          <w:cantSplit/>
          <w:trHeight w:val="834" w:hRule="atLeast"/>
          <w:jc w:val="center"/>
        </w:trPr>
        <w:tc>
          <w:tcPr>
            <w:tcW w:w="2085" w:type="dxa"/>
            <w:vMerge w:val="continue"/>
            <w:tcBorders>
              <w:top w:val="single" w:color="auto" w:sz="4"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p>
        </w:tc>
        <w:tc>
          <w:tcPr>
            <w:tcW w:w="922"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Q1</w:t>
            </w:r>
          </w:p>
        </w:tc>
        <w:tc>
          <w:tcPr>
            <w:tcW w:w="2253"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Q2</w:t>
            </w:r>
          </w:p>
        </w:tc>
        <w:tc>
          <w:tcPr>
            <w:tcW w:w="2253"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Q3</w:t>
            </w:r>
          </w:p>
        </w:tc>
        <w:tc>
          <w:tcPr>
            <w:tcW w:w="2264"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Q4</w:t>
            </w:r>
          </w:p>
        </w:tc>
        <w:tc>
          <w:tcPr>
            <w:tcW w:w="1254"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p>
        </w:tc>
        <w:tc>
          <w:tcPr>
            <w:tcW w:w="2646"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p>
        </w:tc>
      </w:tr>
      <w:tr>
        <w:tblPrEx>
          <w:tblCellMar>
            <w:top w:w="0" w:type="dxa"/>
            <w:left w:w="108" w:type="dxa"/>
            <w:bottom w:w="0" w:type="dxa"/>
            <w:right w:w="108" w:type="dxa"/>
          </w:tblCellMar>
        </w:tblPrEx>
        <w:trPr>
          <w:cantSplit/>
          <w:trHeight w:val="490" w:hRule="atLeast"/>
          <w:jc w:val="center"/>
        </w:trPr>
        <w:tc>
          <w:tcPr>
            <w:tcW w:w="208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α-pinene</w:t>
            </w:r>
          </w:p>
        </w:tc>
        <w:tc>
          <w:tcPr>
            <w:tcW w:w="92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1 (Ref)</w:t>
            </w:r>
          </w:p>
        </w:tc>
        <w:tc>
          <w:tcPr>
            <w:tcW w:w="225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等线" w:cs="Times New Roman"/>
                <w:b w:val="0"/>
                <w:bCs w:val="0"/>
                <w:color w:val="000000"/>
                <w:kern w:val="0"/>
                <w:sz w:val="24"/>
                <w:szCs w:val="24"/>
              </w:rPr>
            </w:pPr>
            <w:r>
              <w:rPr>
                <w:rFonts w:hint="default" w:ascii="Times New Roman" w:hAnsi="Times New Roman" w:eastAsia="宋体" w:cs="Times New Roman"/>
                <w:b w:val="0"/>
                <w:bCs w:val="0"/>
                <w:i w:val="0"/>
                <w:iCs w:val="0"/>
                <w:color w:val="000000"/>
                <w:kern w:val="0"/>
                <w:sz w:val="24"/>
                <w:szCs w:val="24"/>
                <w:u w:val="none"/>
                <w:lang w:val="en-US" w:eastAsia="zh-CN" w:bidi="ar"/>
              </w:rPr>
              <w:t>1.513</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(1.025,</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2.239)</w:t>
            </w:r>
          </w:p>
        </w:tc>
        <w:tc>
          <w:tcPr>
            <w:tcW w:w="225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等线" w:cs="Times New Roman"/>
                <w:b w:val="0"/>
                <w:bCs w:val="0"/>
                <w:color w:val="000000"/>
                <w:kern w:val="0"/>
                <w:sz w:val="24"/>
                <w:szCs w:val="24"/>
              </w:rPr>
            </w:pPr>
            <w:r>
              <w:rPr>
                <w:rFonts w:hint="default" w:ascii="Times New Roman" w:hAnsi="Times New Roman" w:eastAsia="宋体" w:cs="Times New Roman"/>
                <w:b w:val="0"/>
                <w:bCs w:val="0"/>
                <w:i w:val="0"/>
                <w:iCs w:val="0"/>
                <w:color w:val="000000"/>
                <w:kern w:val="0"/>
                <w:sz w:val="24"/>
                <w:szCs w:val="24"/>
                <w:u w:val="none"/>
                <w:lang w:val="en-US" w:eastAsia="zh-CN" w:bidi="ar"/>
              </w:rPr>
              <w:t>1.320</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(0.896,</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1.948)</w:t>
            </w:r>
          </w:p>
        </w:tc>
        <w:tc>
          <w:tcPr>
            <w:tcW w:w="226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等线" w:cs="Times New Roman"/>
                <w:b w:val="0"/>
                <w:bCs w:val="0"/>
                <w:color w:val="000000"/>
                <w:kern w:val="0"/>
                <w:sz w:val="24"/>
                <w:szCs w:val="24"/>
              </w:rPr>
            </w:pPr>
            <w:r>
              <w:rPr>
                <w:rFonts w:hint="default" w:ascii="Times New Roman" w:hAnsi="Times New Roman" w:eastAsia="宋体" w:cs="Times New Roman"/>
                <w:b w:val="0"/>
                <w:bCs w:val="0"/>
                <w:i w:val="0"/>
                <w:iCs w:val="0"/>
                <w:color w:val="000000"/>
                <w:kern w:val="0"/>
                <w:sz w:val="24"/>
                <w:szCs w:val="24"/>
                <w:u w:val="none"/>
                <w:lang w:val="en-US" w:eastAsia="zh-CN" w:bidi="ar"/>
              </w:rPr>
              <w:t>1.894</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(1.295,</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2.782)</w:t>
            </w:r>
          </w:p>
        </w:tc>
        <w:tc>
          <w:tcPr>
            <w:tcW w:w="125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firstLine="240" w:firstLineChars="100"/>
              <w:jc w:val="left"/>
              <w:rPr>
                <w:rFonts w:hint="default" w:ascii="Times New Roman" w:hAnsi="Times New Roman" w:eastAsia="等线" w:cs="Times New Roman"/>
                <w:b w:val="0"/>
                <w:bCs w:val="0"/>
                <w:color w:val="000000"/>
                <w:kern w:val="0"/>
                <w:sz w:val="24"/>
                <w:szCs w:val="24"/>
                <w:lang w:val="en-US" w:eastAsia="zh-CN"/>
              </w:rPr>
            </w:pPr>
            <w:r>
              <w:rPr>
                <w:rFonts w:hint="default" w:ascii="Times New Roman" w:hAnsi="Times New Roman" w:eastAsia="等线" w:cs="Times New Roman"/>
                <w:b w:val="0"/>
                <w:bCs w:val="0"/>
                <w:color w:val="000000"/>
                <w:kern w:val="0"/>
                <w:sz w:val="24"/>
                <w:szCs w:val="24"/>
                <w:lang w:val="en-US" w:eastAsia="zh-CN"/>
              </w:rPr>
              <w:t>0.003</w:t>
            </w:r>
          </w:p>
        </w:tc>
        <w:tc>
          <w:tcPr>
            <w:tcW w:w="264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cs="Times New Roman"/>
                <w:b w:val="0"/>
                <w:bCs w:val="0"/>
                <w:sz w:val="24"/>
                <w:szCs w:val="24"/>
              </w:rPr>
              <w:t>1.433</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(1.144,</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1.798)</w:t>
            </w:r>
          </w:p>
        </w:tc>
      </w:tr>
      <w:tr>
        <w:tblPrEx>
          <w:tblCellMar>
            <w:top w:w="0" w:type="dxa"/>
            <w:left w:w="108" w:type="dxa"/>
            <w:bottom w:w="0" w:type="dxa"/>
            <w:right w:w="108" w:type="dxa"/>
          </w:tblCellMar>
        </w:tblPrEx>
        <w:trPr>
          <w:cantSplit/>
          <w:trHeight w:val="481" w:hRule="atLeast"/>
          <w:jc w:val="center"/>
        </w:trPr>
        <w:tc>
          <w:tcPr>
            <w:tcW w:w="208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β-pinene</w:t>
            </w:r>
          </w:p>
        </w:tc>
        <w:tc>
          <w:tcPr>
            <w:tcW w:w="92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1 (Ref)</w:t>
            </w:r>
          </w:p>
        </w:tc>
        <w:tc>
          <w:tcPr>
            <w:tcW w:w="225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等线" w:cs="Times New Roman"/>
                <w:b w:val="0"/>
                <w:bCs w:val="0"/>
                <w:color w:val="000000"/>
                <w:kern w:val="0"/>
                <w:sz w:val="24"/>
                <w:szCs w:val="24"/>
              </w:rPr>
            </w:pPr>
            <w:r>
              <w:rPr>
                <w:rFonts w:hint="default" w:ascii="Times New Roman" w:hAnsi="Times New Roman" w:eastAsia="宋体" w:cs="Times New Roman"/>
                <w:b w:val="0"/>
                <w:bCs w:val="0"/>
                <w:i w:val="0"/>
                <w:iCs w:val="0"/>
                <w:color w:val="000000"/>
                <w:kern w:val="0"/>
                <w:sz w:val="24"/>
                <w:szCs w:val="24"/>
                <w:u w:val="none"/>
                <w:lang w:val="en-US" w:eastAsia="zh-CN" w:bidi="ar"/>
              </w:rPr>
              <w:t>1.379</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(0.925,</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2.060)</w:t>
            </w:r>
          </w:p>
        </w:tc>
        <w:tc>
          <w:tcPr>
            <w:tcW w:w="225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等线" w:cs="Times New Roman"/>
                <w:b w:val="0"/>
                <w:bCs w:val="0"/>
                <w:color w:val="000000"/>
                <w:kern w:val="0"/>
                <w:sz w:val="24"/>
                <w:szCs w:val="24"/>
              </w:rPr>
            </w:pPr>
            <w:r>
              <w:rPr>
                <w:rFonts w:hint="default" w:ascii="Times New Roman" w:hAnsi="Times New Roman" w:eastAsia="宋体" w:cs="Times New Roman"/>
                <w:b w:val="0"/>
                <w:bCs w:val="0"/>
                <w:i w:val="0"/>
                <w:iCs w:val="0"/>
                <w:color w:val="000000"/>
                <w:kern w:val="0"/>
                <w:sz w:val="24"/>
                <w:szCs w:val="24"/>
                <w:u w:val="none"/>
                <w:lang w:val="en-US" w:eastAsia="zh-CN" w:bidi="ar"/>
              </w:rPr>
              <w:t>1.678</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(1.134,</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2.495)</w:t>
            </w:r>
          </w:p>
        </w:tc>
        <w:tc>
          <w:tcPr>
            <w:tcW w:w="226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等线" w:cs="Times New Roman"/>
                <w:b w:val="0"/>
                <w:bCs w:val="0"/>
                <w:color w:val="000000"/>
                <w:kern w:val="0"/>
                <w:sz w:val="24"/>
                <w:szCs w:val="24"/>
              </w:rPr>
            </w:pPr>
            <w:r>
              <w:rPr>
                <w:rFonts w:hint="default" w:ascii="Times New Roman" w:hAnsi="Times New Roman" w:eastAsia="宋体" w:cs="Times New Roman"/>
                <w:b w:val="0"/>
                <w:bCs w:val="0"/>
                <w:i w:val="0"/>
                <w:iCs w:val="0"/>
                <w:color w:val="000000"/>
                <w:kern w:val="0"/>
                <w:sz w:val="24"/>
                <w:szCs w:val="24"/>
                <w:u w:val="none"/>
                <w:lang w:val="en-US" w:eastAsia="zh-CN" w:bidi="ar"/>
              </w:rPr>
              <w:t>2.108</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(1.423,</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3.142)</w:t>
            </w:r>
          </w:p>
        </w:tc>
        <w:tc>
          <w:tcPr>
            <w:tcW w:w="125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&lt; 0.001</w:t>
            </w:r>
          </w:p>
        </w:tc>
        <w:tc>
          <w:tcPr>
            <w:tcW w:w="264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cs="Times New Roman"/>
                <w:b w:val="0"/>
                <w:bCs w:val="0"/>
                <w:sz w:val="24"/>
                <w:szCs w:val="24"/>
              </w:rPr>
              <w:t>1.498</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(1.180,</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1.903)</w:t>
            </w:r>
          </w:p>
        </w:tc>
      </w:tr>
      <w:tr>
        <w:tblPrEx>
          <w:tblCellMar>
            <w:top w:w="0" w:type="dxa"/>
            <w:left w:w="108" w:type="dxa"/>
            <w:bottom w:w="0" w:type="dxa"/>
            <w:right w:w="108" w:type="dxa"/>
          </w:tblCellMar>
        </w:tblPrEx>
        <w:trPr>
          <w:cantSplit/>
          <w:trHeight w:val="481" w:hRule="atLeast"/>
          <w:jc w:val="center"/>
        </w:trPr>
        <w:tc>
          <w:tcPr>
            <w:tcW w:w="208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limonene</w:t>
            </w:r>
          </w:p>
        </w:tc>
        <w:tc>
          <w:tcPr>
            <w:tcW w:w="92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1 (Ref)</w:t>
            </w:r>
          </w:p>
        </w:tc>
        <w:tc>
          <w:tcPr>
            <w:tcW w:w="225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等线" w:cs="Times New Roman"/>
                <w:b w:val="0"/>
                <w:bCs w:val="0"/>
                <w:color w:val="000000"/>
                <w:kern w:val="0"/>
                <w:sz w:val="24"/>
                <w:szCs w:val="24"/>
              </w:rPr>
            </w:pPr>
            <w:r>
              <w:rPr>
                <w:rFonts w:hint="default" w:ascii="Times New Roman" w:hAnsi="Times New Roman" w:eastAsia="宋体" w:cs="Times New Roman"/>
                <w:b w:val="0"/>
                <w:bCs w:val="0"/>
                <w:i w:val="0"/>
                <w:iCs w:val="0"/>
                <w:color w:val="000000"/>
                <w:kern w:val="0"/>
                <w:sz w:val="24"/>
                <w:szCs w:val="24"/>
                <w:u w:val="none"/>
                <w:lang w:val="en-US" w:eastAsia="zh-CN" w:bidi="ar"/>
              </w:rPr>
              <w:t>1.528</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(1.026,</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2.285)</w:t>
            </w:r>
          </w:p>
        </w:tc>
        <w:tc>
          <w:tcPr>
            <w:tcW w:w="225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等线" w:cs="Times New Roman"/>
                <w:b w:val="0"/>
                <w:bCs w:val="0"/>
                <w:color w:val="000000"/>
                <w:kern w:val="0"/>
                <w:sz w:val="24"/>
                <w:szCs w:val="24"/>
              </w:rPr>
            </w:pPr>
            <w:r>
              <w:rPr>
                <w:rFonts w:hint="default" w:ascii="Times New Roman" w:hAnsi="Times New Roman" w:eastAsia="宋体" w:cs="Times New Roman"/>
                <w:b w:val="0"/>
                <w:bCs w:val="0"/>
                <w:i w:val="0"/>
                <w:iCs w:val="0"/>
                <w:color w:val="000000"/>
                <w:kern w:val="0"/>
                <w:sz w:val="24"/>
                <w:szCs w:val="24"/>
                <w:u w:val="none"/>
                <w:lang w:val="en-US" w:eastAsia="zh-CN" w:bidi="ar"/>
              </w:rPr>
              <w:t>1.405</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(0.935,</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2.119)</w:t>
            </w:r>
          </w:p>
        </w:tc>
        <w:tc>
          <w:tcPr>
            <w:tcW w:w="2264"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等线" w:cs="Times New Roman"/>
                <w:b w:val="0"/>
                <w:bCs w:val="0"/>
                <w:color w:val="000000"/>
                <w:kern w:val="0"/>
                <w:sz w:val="24"/>
                <w:szCs w:val="24"/>
              </w:rPr>
            </w:pPr>
            <w:r>
              <w:rPr>
                <w:rFonts w:hint="default" w:ascii="Times New Roman" w:hAnsi="Times New Roman" w:eastAsia="宋体" w:cs="Times New Roman"/>
                <w:b w:val="0"/>
                <w:bCs w:val="0"/>
                <w:i w:val="0"/>
                <w:iCs w:val="0"/>
                <w:color w:val="000000"/>
                <w:kern w:val="0"/>
                <w:sz w:val="24"/>
                <w:szCs w:val="24"/>
                <w:u w:val="none"/>
                <w:lang w:val="en-US" w:eastAsia="zh-CN" w:bidi="ar"/>
              </w:rPr>
              <w:t>2.508</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(1.677,</w:t>
            </w:r>
            <w:r>
              <w:rPr>
                <w:rFonts w:hint="default" w:ascii="Times New Roman" w:hAnsi="Times New Roman" w:cs="Times New Roman"/>
                <w:b w:val="0"/>
                <w:bCs w:val="0"/>
                <w:i w:val="0"/>
                <w:iCs w:val="0"/>
                <w:color w:val="000000"/>
                <w:kern w:val="0"/>
                <w:sz w:val="24"/>
                <w:szCs w:val="24"/>
                <w:u w:val="none"/>
                <w:lang w:val="en-US" w:eastAsia="zh-CN" w:bidi="ar"/>
              </w:rPr>
              <w:t xml:space="preserve"> </w:t>
            </w:r>
            <w:r>
              <w:rPr>
                <w:rFonts w:hint="default" w:ascii="Times New Roman" w:hAnsi="Times New Roman" w:eastAsia="宋体" w:cs="Times New Roman"/>
                <w:b w:val="0"/>
                <w:bCs w:val="0"/>
                <w:i w:val="0"/>
                <w:iCs w:val="0"/>
                <w:color w:val="000000"/>
                <w:kern w:val="0"/>
                <w:sz w:val="24"/>
                <w:szCs w:val="24"/>
                <w:u w:val="none"/>
                <w:lang w:val="en-US" w:eastAsia="zh-CN" w:bidi="ar"/>
              </w:rPr>
              <w:t>3.780)</w:t>
            </w:r>
          </w:p>
        </w:tc>
        <w:tc>
          <w:tcPr>
            <w:tcW w:w="1254"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&lt; 0.001</w:t>
            </w:r>
          </w:p>
        </w:tc>
        <w:tc>
          <w:tcPr>
            <w:tcW w:w="264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cs="Times New Roman"/>
                <w:b w:val="0"/>
                <w:bCs w:val="0"/>
                <w:sz w:val="24"/>
                <w:szCs w:val="24"/>
              </w:rPr>
              <w:t>1.602</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(1.232,</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2.085)</w:t>
            </w:r>
          </w:p>
        </w:tc>
      </w:tr>
      <w:tr>
        <w:tblPrEx>
          <w:tblCellMar>
            <w:top w:w="0" w:type="dxa"/>
            <w:left w:w="108" w:type="dxa"/>
            <w:bottom w:w="0" w:type="dxa"/>
            <w:right w:w="108" w:type="dxa"/>
          </w:tblCellMar>
        </w:tblPrEx>
        <w:trPr>
          <w:cantSplit/>
          <w:trHeight w:val="490" w:hRule="atLeast"/>
          <w:jc w:val="center"/>
        </w:trPr>
        <w:tc>
          <w:tcPr>
            <w:tcW w:w="3007" w:type="dxa"/>
            <w:gridSpan w:val="2"/>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Mix exposure</w:t>
            </w:r>
          </w:p>
        </w:tc>
        <w:tc>
          <w:tcPr>
            <w:tcW w:w="2253"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p>
        </w:tc>
        <w:tc>
          <w:tcPr>
            <w:tcW w:w="2253"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24"/>
                <w:szCs w:val="24"/>
              </w:rPr>
            </w:pPr>
          </w:p>
        </w:tc>
        <w:tc>
          <w:tcPr>
            <w:tcW w:w="2264"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24"/>
                <w:szCs w:val="24"/>
              </w:rPr>
            </w:pPr>
          </w:p>
        </w:tc>
        <w:tc>
          <w:tcPr>
            <w:tcW w:w="1254"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 w:val="24"/>
                <w:szCs w:val="24"/>
              </w:rPr>
            </w:pPr>
          </w:p>
        </w:tc>
        <w:tc>
          <w:tcPr>
            <w:tcW w:w="2646"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 w:val="24"/>
                <w:szCs w:val="24"/>
              </w:rPr>
            </w:pPr>
            <w:r>
              <w:rPr>
                <w:rFonts w:hint="default" w:ascii="Times New Roman" w:hAnsi="Times New Roman" w:eastAsia="等线" w:cs="Times New Roman"/>
                <w:b w:val="0"/>
                <w:bCs w:val="0"/>
                <w:color w:val="000000"/>
                <w:kern w:val="0"/>
                <w:sz w:val="24"/>
                <w:szCs w:val="24"/>
              </w:rPr>
              <w:t>1.42</w:t>
            </w:r>
            <w:r>
              <w:rPr>
                <w:rFonts w:hint="default" w:ascii="Times New Roman" w:hAnsi="Times New Roman" w:eastAsia="等线" w:cs="Times New Roman"/>
                <w:b w:val="0"/>
                <w:bCs w:val="0"/>
                <w:color w:val="000000"/>
                <w:kern w:val="0"/>
                <w:sz w:val="24"/>
                <w:szCs w:val="24"/>
                <w:lang w:val="en-US" w:eastAsia="zh-CN"/>
              </w:rPr>
              <w:t>0</w:t>
            </w:r>
            <w:r>
              <w:rPr>
                <w:rFonts w:hint="default" w:ascii="Times New Roman" w:hAnsi="Times New Roman" w:eastAsia="等线" w:cs="Times New Roman"/>
                <w:b w:val="0"/>
                <w:bCs w:val="0"/>
                <w:color w:val="000000"/>
                <w:kern w:val="0"/>
                <w:sz w:val="24"/>
                <w:szCs w:val="24"/>
              </w:rPr>
              <w:t xml:space="preserve"> (1.11</w:t>
            </w:r>
            <w:r>
              <w:rPr>
                <w:rFonts w:hint="default" w:ascii="Times New Roman" w:hAnsi="Times New Roman" w:eastAsia="等线" w:cs="Times New Roman"/>
                <w:b w:val="0"/>
                <w:bCs w:val="0"/>
                <w:color w:val="000000"/>
                <w:kern w:val="0"/>
                <w:sz w:val="24"/>
                <w:szCs w:val="24"/>
                <w:lang w:val="en-US" w:eastAsia="zh-CN"/>
              </w:rPr>
              <w:t>0</w:t>
            </w:r>
            <w:r>
              <w:rPr>
                <w:rFonts w:hint="default" w:ascii="Times New Roman" w:hAnsi="Times New Roman" w:eastAsia="等线" w:cs="Times New Roman"/>
                <w:b w:val="0"/>
                <w:bCs w:val="0"/>
                <w:color w:val="000000"/>
                <w:kern w:val="0"/>
                <w:sz w:val="24"/>
                <w:szCs w:val="24"/>
              </w:rPr>
              <w:t>,</w:t>
            </w:r>
            <w:r>
              <w:rPr>
                <w:rFonts w:hint="default" w:ascii="Times New Roman" w:hAnsi="Times New Roman" w:eastAsia="等线" w:cs="Times New Roman"/>
                <w:b w:val="0"/>
                <w:bCs w:val="0"/>
                <w:color w:val="000000"/>
                <w:kern w:val="0"/>
                <w:sz w:val="24"/>
                <w:szCs w:val="24"/>
                <w:lang w:val="en-US" w:eastAsia="zh-CN"/>
              </w:rPr>
              <w:t xml:space="preserve"> </w:t>
            </w:r>
            <w:r>
              <w:rPr>
                <w:rFonts w:hint="default" w:ascii="Times New Roman" w:hAnsi="Times New Roman" w:eastAsia="等线" w:cs="Times New Roman"/>
                <w:b w:val="0"/>
                <w:bCs w:val="0"/>
                <w:color w:val="000000"/>
                <w:kern w:val="0"/>
                <w:sz w:val="24"/>
                <w:szCs w:val="24"/>
              </w:rPr>
              <w:t>1.83</w:t>
            </w:r>
            <w:r>
              <w:rPr>
                <w:rFonts w:hint="default" w:ascii="Times New Roman" w:hAnsi="Times New Roman" w:eastAsia="等线" w:cs="Times New Roman"/>
                <w:b w:val="0"/>
                <w:bCs w:val="0"/>
                <w:color w:val="000000"/>
                <w:kern w:val="0"/>
                <w:sz w:val="24"/>
                <w:szCs w:val="24"/>
                <w:lang w:val="en-US" w:eastAsia="zh-CN"/>
              </w:rPr>
              <w:t>0</w:t>
            </w:r>
            <w:r>
              <w:rPr>
                <w:rFonts w:hint="default" w:ascii="Times New Roman" w:hAnsi="Times New Roman" w:eastAsia="等线" w:cs="Times New Roman"/>
                <w:b w:val="0"/>
                <w:bCs w:val="0"/>
                <w:color w:val="000000"/>
                <w:kern w:val="0"/>
                <w:sz w:val="24"/>
                <w:szCs w:val="24"/>
              </w:rPr>
              <w:t>)</w:t>
            </w:r>
          </w:p>
        </w:tc>
      </w:tr>
    </w:tbl>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szCs w:val="24"/>
        </w:rPr>
        <w:t>MetS, metabolic syndrome; FBG, fasting blood glucose; Q, quartile; OR, odds ratio; CI, confidence interval.</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szCs w:val="24"/>
        </w:rPr>
        <w:t xml:space="preserve">The association between terpenes (single and mixed) and MetS was assessed by </w:t>
      </w:r>
      <w:r>
        <w:rPr>
          <w:rFonts w:hint="default" w:ascii="Times New Roman" w:hAnsi="Times New Roman" w:cs="Times New Roman" w:eastAsiaTheme="minorEastAsia"/>
          <w:b w:val="0"/>
          <w:bCs w:val="0"/>
          <w:color w:val="000000"/>
          <w:szCs w:val="24"/>
        </w:rPr>
        <w:t xml:space="preserve">multivariate </w:t>
      </w:r>
      <w:r>
        <w:rPr>
          <w:rFonts w:hint="default" w:ascii="Times New Roman" w:hAnsi="Times New Roman" w:cs="Times New Roman" w:eastAsiaTheme="minorEastAsia"/>
          <w:b w:val="0"/>
          <w:bCs w:val="0"/>
          <w:szCs w:val="24"/>
        </w:rPr>
        <w:t>logistic regression models and WQS models. In particular, models were further adjusted for</w:t>
      </w:r>
      <w:r>
        <w:rPr>
          <w:rFonts w:hint="default" w:ascii="Times New Roman" w:hAnsi="Times New Roman" w:cs="Times New Roman"/>
          <w:b w:val="0"/>
          <w:bCs w:val="0"/>
          <w:szCs w:val="24"/>
        </w:rPr>
        <w:t xml:space="preserve"> </w:t>
      </w:r>
      <w:r>
        <w:rPr>
          <w:rFonts w:hint="default" w:ascii="Times New Roman" w:hAnsi="Times New Roman" w:cs="Times New Roman" w:eastAsiaTheme="minorEastAsia"/>
          <w:b w:val="0"/>
          <w:bCs w:val="0"/>
          <w:szCs w:val="24"/>
        </w:rPr>
        <w:t>FBG</w:t>
      </w:r>
      <w:r>
        <w:rPr>
          <w:rFonts w:hint="default" w:ascii="Times New Roman" w:hAnsi="Times New Roman" w:cs="Times New Roman" w:eastAsiaTheme="minorEastAsia"/>
          <w:b w:val="0"/>
          <w:bCs w:val="0"/>
          <w:szCs w:val="24"/>
          <w:lang w:val="en-US" w:eastAsia="zh-CN"/>
        </w:rPr>
        <w:t xml:space="preserve"> and</w:t>
      </w:r>
      <w:r>
        <w:rPr>
          <w:rFonts w:hint="default" w:ascii="Times New Roman" w:hAnsi="Times New Roman" w:cs="Times New Roman" w:eastAsiaTheme="minorEastAsia"/>
          <w:b w:val="0"/>
          <w:bCs w:val="0"/>
          <w:szCs w:val="24"/>
        </w:rPr>
        <w:t xml:space="preserve"> blood pressure . The remaining adjusted covariates included age, sex, race/ethnicity, BMI, educational attainment, PIR, serum cotinine, alcohol consumption, leisure-time PA, dietary fat intake and LDL-C.</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 xml:space="preserve">† The trend test for coefficients across four categories was conducted by using the median of terpenes for each category as a numeric variable. </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 xml:space="preserve">‡ The natural log-transformed terpenes were used as a continuous variable to achieve a normal distribution of the independent variable. </w:t>
      </w:r>
    </w:p>
    <w:p>
      <w:pPr>
        <w:widowControl/>
        <w:spacing w:line="480" w:lineRule="auto"/>
        <w:jc w:val="left"/>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br w:type="page"/>
      </w:r>
    </w:p>
    <w:p>
      <w:pPr>
        <w:spacing w:line="480" w:lineRule="auto"/>
        <w:rPr>
          <w:rFonts w:hint="default" w:ascii="Times New Roman" w:hAnsi="Times New Roman" w:cs="Times New Roman" w:eastAsiaTheme="minorEastAsia"/>
          <w:b w:val="0"/>
          <w:bCs w:val="0"/>
          <w:color w:val="000000"/>
          <w:szCs w:val="24"/>
        </w:rPr>
      </w:pPr>
      <w:bookmarkStart w:id="41" w:name="_Hlk157448401"/>
      <w:r>
        <w:rPr>
          <w:rFonts w:hint="default" w:ascii="Times New Roman" w:hAnsi="Times New Roman" w:cs="Times New Roman" w:eastAsiaTheme="minorEastAsia"/>
          <w:b w:val="0"/>
          <w:bCs w:val="0"/>
          <w:szCs w:val="24"/>
        </w:rPr>
        <w:t xml:space="preserve">Table S9. Association between terpenes and MetS after considering </w:t>
      </w:r>
      <w:r>
        <w:rPr>
          <w:rFonts w:hint="default" w:ascii="Times New Roman" w:hAnsi="Times New Roman" w:cs="Times New Roman" w:eastAsiaTheme="minorEastAsia"/>
          <w:b w:val="0"/>
          <w:bCs w:val="0"/>
          <w:color w:val="000000"/>
          <w:szCs w:val="24"/>
        </w:rPr>
        <w:t>family history of diseases.</w:t>
      </w:r>
    </w:p>
    <w:bookmarkEnd w:id="41"/>
    <w:tbl>
      <w:tblPr>
        <w:tblStyle w:val="6"/>
        <w:tblpPr w:leftFromText="180" w:rightFromText="180" w:vertAnchor="text" w:horzAnchor="margin" w:tblpXSpec="center" w:tblpY="108"/>
        <w:tblW w:w="13727" w:type="dxa"/>
        <w:tblInd w:w="0" w:type="dxa"/>
        <w:tblLayout w:type="autofit"/>
        <w:tblCellMar>
          <w:top w:w="0" w:type="dxa"/>
          <w:left w:w="108" w:type="dxa"/>
          <w:bottom w:w="0" w:type="dxa"/>
          <w:right w:w="108" w:type="dxa"/>
        </w:tblCellMar>
      </w:tblPr>
      <w:tblGrid>
        <w:gridCol w:w="2093"/>
        <w:gridCol w:w="926"/>
        <w:gridCol w:w="2261"/>
        <w:gridCol w:w="2261"/>
        <w:gridCol w:w="2271"/>
        <w:gridCol w:w="1259"/>
        <w:gridCol w:w="2656"/>
      </w:tblGrid>
      <w:tr>
        <w:tblPrEx>
          <w:tblCellMar>
            <w:top w:w="0" w:type="dxa"/>
            <w:left w:w="108" w:type="dxa"/>
            <w:bottom w:w="0" w:type="dxa"/>
            <w:right w:w="108" w:type="dxa"/>
          </w:tblCellMar>
        </w:tblPrEx>
        <w:trPr>
          <w:cantSplit/>
          <w:trHeight w:val="702" w:hRule="atLeast"/>
        </w:trPr>
        <w:tc>
          <w:tcPr>
            <w:tcW w:w="2093"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Terpenes</w:t>
            </w: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         </w:t>
            </w:r>
          </w:p>
        </w:tc>
        <w:tc>
          <w:tcPr>
            <w:tcW w:w="7719" w:type="dxa"/>
            <w:gridSpan w:val="4"/>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OR (95% CI)</w:t>
            </w:r>
          </w:p>
        </w:tc>
        <w:tc>
          <w:tcPr>
            <w:tcW w:w="1259"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b w:val="0"/>
                <w:bCs w:val="0"/>
                <w:szCs w:val="24"/>
              </w:rPr>
            </w:pPr>
            <w:r>
              <w:rPr>
                <w:rFonts w:hint="default" w:ascii="Times New Roman" w:hAnsi="Times New Roman" w:eastAsia="等线" w:cs="Times New Roman"/>
                <w:b w:val="0"/>
                <w:bCs w:val="0"/>
                <w:color w:val="000000"/>
                <w:kern w:val="0"/>
                <w:szCs w:val="24"/>
              </w:rPr>
              <w:t>P trend</w:t>
            </w:r>
            <w:r>
              <w:rPr>
                <w:rFonts w:hint="default" w:ascii="Times New Roman" w:hAnsi="Times New Roman" w:cs="Times New Roman"/>
                <w:b w:val="0"/>
                <w:bCs w:val="0"/>
                <w:szCs w:val="24"/>
              </w:rPr>
              <w:t>†</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656"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firstLine="480" w:firstLineChars="200"/>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Continuous</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 (Log-transformed</w:t>
            </w:r>
            <w:r>
              <w:rPr>
                <w:rFonts w:hint="default" w:ascii="Times New Roman" w:hAnsi="Times New Roman" w:cs="Times New Roman"/>
                <w:b w:val="0"/>
                <w:bCs w:val="0"/>
                <w:szCs w:val="24"/>
              </w:rPr>
              <w:t>‡</w:t>
            </w:r>
            <w:r>
              <w:rPr>
                <w:rFonts w:hint="default" w:ascii="Times New Roman" w:hAnsi="Times New Roman" w:eastAsia="等线" w:cs="Times New Roman"/>
                <w:b w:val="0"/>
                <w:bCs w:val="0"/>
                <w:color w:val="000000"/>
                <w:kern w:val="0"/>
                <w:szCs w:val="24"/>
              </w:rPr>
              <w:t>)</w:t>
            </w:r>
          </w:p>
        </w:tc>
      </w:tr>
      <w:tr>
        <w:tblPrEx>
          <w:tblCellMar>
            <w:top w:w="0" w:type="dxa"/>
            <w:left w:w="108" w:type="dxa"/>
            <w:bottom w:w="0" w:type="dxa"/>
            <w:right w:w="108" w:type="dxa"/>
          </w:tblCellMar>
        </w:tblPrEx>
        <w:trPr>
          <w:cantSplit/>
          <w:trHeight w:val="340" w:hRule="atLeast"/>
        </w:trPr>
        <w:tc>
          <w:tcPr>
            <w:tcW w:w="2093" w:type="dxa"/>
            <w:vMerge w:val="continue"/>
            <w:tcBorders>
              <w:top w:val="single" w:color="auto" w:sz="4"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926"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Q1</w:t>
            </w:r>
          </w:p>
        </w:tc>
        <w:tc>
          <w:tcPr>
            <w:tcW w:w="226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Q2</w:t>
            </w:r>
          </w:p>
        </w:tc>
        <w:tc>
          <w:tcPr>
            <w:tcW w:w="226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Q3</w:t>
            </w:r>
          </w:p>
        </w:tc>
        <w:tc>
          <w:tcPr>
            <w:tcW w:w="227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Q4</w:t>
            </w:r>
          </w:p>
        </w:tc>
        <w:tc>
          <w:tcPr>
            <w:tcW w:w="1259"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656"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α-pinene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1.475 (0.997, 2.185)</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1.311 (0.888, 1.937)</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1.867 (1.275, 2.744)</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1.417 (1.131, 1.780)</w:t>
            </w: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β-pinene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1.384 (0.926, 2.073)</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1.676 (1.131, 2.495)</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2.090 (1.408, 3.120)</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1.495 (1.176, 1.902)</w:t>
            </w: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limonene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1.544 (1.034, 2.313)</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1.423 (0.944, 2.152)</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2.595 (1.729, 3.928)</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1.611 (1.238, 2.101)</w:t>
            </w:r>
          </w:p>
        </w:tc>
      </w:tr>
      <w:tr>
        <w:tblPrEx>
          <w:tblCellMar>
            <w:top w:w="0" w:type="dxa"/>
            <w:left w:w="108" w:type="dxa"/>
            <w:bottom w:w="0" w:type="dxa"/>
            <w:right w:w="108" w:type="dxa"/>
          </w:tblCellMar>
        </w:tblPrEx>
        <w:trPr>
          <w:cantSplit/>
          <w:trHeight w:val="340" w:hRule="atLeast"/>
        </w:trPr>
        <w:tc>
          <w:tcPr>
            <w:tcW w:w="3019" w:type="dxa"/>
            <w:gridSpan w:val="2"/>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Mix exposure</w:t>
            </w:r>
          </w:p>
        </w:tc>
        <w:tc>
          <w:tcPr>
            <w:tcW w:w="226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26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27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1259"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656"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1.350 (1.060, 1.720)  </w:t>
            </w:r>
          </w:p>
        </w:tc>
      </w:tr>
    </w:tbl>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color w:val="000000"/>
          <w:szCs w:val="24"/>
        </w:rPr>
        <w:t>MetS, metabolic syndrome; Q, quartile; OR, odds ratio; CI, confidence interval.</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t xml:space="preserve">The association between terpenes (single and mixed) and MetS was assessed by multivariate logistic regression models and WQS models. In particular, models were further adjusted for family history of </w:t>
      </w:r>
      <w:bookmarkStart w:id="42" w:name="_Hlk159677099"/>
      <w:r>
        <w:rPr>
          <w:rFonts w:hint="default" w:ascii="Times New Roman" w:hAnsi="Times New Roman" w:cs="Times New Roman"/>
          <w:b w:val="0"/>
          <w:bCs w:val="0"/>
          <w:szCs w:val="24"/>
        </w:rPr>
        <w:t>hypertension, CVD and DM</w:t>
      </w:r>
      <w:r>
        <w:rPr>
          <w:rFonts w:hint="default" w:ascii="Times New Roman" w:hAnsi="Times New Roman" w:cs="Times New Roman" w:eastAsiaTheme="minorEastAsia"/>
          <w:b w:val="0"/>
          <w:bCs w:val="0"/>
          <w:color w:val="000000"/>
          <w:szCs w:val="24"/>
        </w:rPr>
        <w:t>.</w:t>
      </w:r>
      <w:bookmarkEnd w:id="42"/>
      <w:r>
        <w:rPr>
          <w:rFonts w:hint="default" w:ascii="Times New Roman" w:hAnsi="Times New Roman" w:cs="Times New Roman" w:eastAsiaTheme="minorEastAsia"/>
          <w:b w:val="0"/>
          <w:bCs w:val="0"/>
          <w:color w:val="000000"/>
          <w:szCs w:val="24"/>
        </w:rPr>
        <w:t xml:space="preserve"> The remaining adjusted covariates included age, sex, race/ethnicity, BMI, educational attainment, PIR, serum cotinine, alcohol consumption, leisure-time PA, dietary fat intake and LDL-C.</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t xml:space="preserve">† The trend test for coefficients across four categories was conducted by using the median of terpenes for each category as a numeric variable. </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t>‡ The natural log-transformed terpenes were used as a continuous variable to achieve a normal distribution of the independent variable.</w:t>
      </w:r>
    </w:p>
    <w:p>
      <w:pPr>
        <w:widowControl/>
        <w:spacing w:line="480" w:lineRule="auto"/>
        <w:jc w:val="left"/>
        <w:rPr>
          <w:rFonts w:hint="default" w:ascii="Times New Roman" w:hAnsi="Times New Roman" w:cs="Times New Roman"/>
          <w:b w:val="0"/>
          <w:bCs w:val="0"/>
          <w:color w:val="000000"/>
          <w:kern w:val="0"/>
          <w:szCs w:val="24"/>
        </w:rPr>
      </w:pPr>
    </w:p>
    <w:p>
      <w:pPr>
        <w:spacing w:line="480" w:lineRule="auto"/>
        <w:rPr>
          <w:rFonts w:hint="default" w:ascii="Times New Roman" w:hAnsi="Times New Roman" w:cs="Times New Roman" w:eastAsiaTheme="minorEastAsia"/>
          <w:b w:val="0"/>
          <w:bCs w:val="0"/>
          <w:color w:val="000000"/>
          <w:szCs w:val="24"/>
        </w:rPr>
      </w:pPr>
      <w:bookmarkStart w:id="43" w:name="_Hlk157448408"/>
      <w:r>
        <w:rPr>
          <w:rFonts w:hint="default" w:ascii="Times New Roman" w:hAnsi="Times New Roman" w:cs="Times New Roman" w:eastAsiaTheme="minorEastAsia"/>
          <w:b w:val="0"/>
          <w:bCs w:val="0"/>
          <w:szCs w:val="24"/>
        </w:rPr>
        <w:t>Table S10. Association between terpenes and MetS in participants without DM</w:t>
      </w:r>
      <w:r>
        <w:rPr>
          <w:rFonts w:hint="default" w:ascii="Times New Roman" w:hAnsi="Times New Roman" w:cs="Times New Roman" w:eastAsiaTheme="minorEastAsia"/>
          <w:b w:val="0"/>
          <w:bCs w:val="0"/>
          <w:color w:val="000000"/>
          <w:szCs w:val="24"/>
        </w:rPr>
        <w:t>.</w:t>
      </w:r>
    </w:p>
    <w:bookmarkEnd w:id="43"/>
    <w:tbl>
      <w:tblPr>
        <w:tblStyle w:val="6"/>
        <w:tblpPr w:leftFromText="180" w:rightFromText="180" w:vertAnchor="text" w:horzAnchor="margin" w:tblpXSpec="center" w:tblpY="108"/>
        <w:tblW w:w="13727" w:type="dxa"/>
        <w:tblInd w:w="0" w:type="dxa"/>
        <w:tblLayout w:type="autofit"/>
        <w:tblCellMar>
          <w:top w:w="0" w:type="dxa"/>
          <w:left w:w="108" w:type="dxa"/>
          <w:bottom w:w="0" w:type="dxa"/>
          <w:right w:w="108" w:type="dxa"/>
        </w:tblCellMar>
      </w:tblPr>
      <w:tblGrid>
        <w:gridCol w:w="2093"/>
        <w:gridCol w:w="926"/>
        <w:gridCol w:w="2261"/>
        <w:gridCol w:w="2261"/>
        <w:gridCol w:w="2271"/>
        <w:gridCol w:w="1259"/>
        <w:gridCol w:w="2656"/>
      </w:tblGrid>
      <w:tr>
        <w:tblPrEx>
          <w:tblCellMar>
            <w:top w:w="0" w:type="dxa"/>
            <w:left w:w="108" w:type="dxa"/>
            <w:bottom w:w="0" w:type="dxa"/>
            <w:right w:w="108" w:type="dxa"/>
          </w:tblCellMar>
        </w:tblPrEx>
        <w:trPr>
          <w:cantSplit/>
          <w:trHeight w:val="702" w:hRule="atLeast"/>
        </w:trPr>
        <w:tc>
          <w:tcPr>
            <w:tcW w:w="2093"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Terpenes</w:t>
            </w: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         </w:t>
            </w:r>
          </w:p>
        </w:tc>
        <w:tc>
          <w:tcPr>
            <w:tcW w:w="7719" w:type="dxa"/>
            <w:gridSpan w:val="4"/>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OR (95% CI)</w:t>
            </w:r>
          </w:p>
        </w:tc>
        <w:tc>
          <w:tcPr>
            <w:tcW w:w="1259"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b w:val="0"/>
                <w:bCs w:val="0"/>
                <w:szCs w:val="24"/>
              </w:rPr>
            </w:pPr>
            <w:r>
              <w:rPr>
                <w:rFonts w:hint="default" w:ascii="Times New Roman" w:hAnsi="Times New Roman" w:eastAsia="等线" w:cs="Times New Roman"/>
                <w:b w:val="0"/>
                <w:bCs w:val="0"/>
                <w:color w:val="000000"/>
                <w:kern w:val="0"/>
                <w:szCs w:val="24"/>
              </w:rPr>
              <w:t>P trend</w:t>
            </w:r>
            <w:r>
              <w:rPr>
                <w:rFonts w:hint="default" w:ascii="Times New Roman" w:hAnsi="Times New Roman" w:cs="Times New Roman"/>
                <w:b w:val="0"/>
                <w:bCs w:val="0"/>
                <w:szCs w:val="24"/>
              </w:rPr>
              <w:t>†</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656"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firstLine="480" w:firstLineChars="200"/>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Continuous</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 (Log-transformed</w:t>
            </w:r>
            <w:r>
              <w:rPr>
                <w:rFonts w:hint="default" w:ascii="Times New Roman" w:hAnsi="Times New Roman" w:cs="Times New Roman"/>
                <w:b w:val="0"/>
                <w:bCs w:val="0"/>
                <w:szCs w:val="24"/>
              </w:rPr>
              <w:t>‡</w:t>
            </w:r>
            <w:r>
              <w:rPr>
                <w:rFonts w:hint="default" w:ascii="Times New Roman" w:hAnsi="Times New Roman" w:eastAsia="等线" w:cs="Times New Roman"/>
                <w:b w:val="0"/>
                <w:bCs w:val="0"/>
                <w:color w:val="000000"/>
                <w:kern w:val="0"/>
                <w:szCs w:val="24"/>
              </w:rPr>
              <w:t>)</w:t>
            </w:r>
          </w:p>
        </w:tc>
      </w:tr>
      <w:tr>
        <w:tblPrEx>
          <w:tblCellMar>
            <w:top w:w="0" w:type="dxa"/>
            <w:left w:w="108" w:type="dxa"/>
            <w:bottom w:w="0" w:type="dxa"/>
            <w:right w:w="108" w:type="dxa"/>
          </w:tblCellMar>
        </w:tblPrEx>
        <w:trPr>
          <w:cantSplit/>
          <w:trHeight w:val="340" w:hRule="atLeast"/>
        </w:trPr>
        <w:tc>
          <w:tcPr>
            <w:tcW w:w="2093" w:type="dxa"/>
            <w:vMerge w:val="continue"/>
            <w:tcBorders>
              <w:top w:val="single" w:color="auto" w:sz="4"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926"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Q1</w:t>
            </w:r>
          </w:p>
        </w:tc>
        <w:tc>
          <w:tcPr>
            <w:tcW w:w="226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Q2</w:t>
            </w:r>
          </w:p>
        </w:tc>
        <w:tc>
          <w:tcPr>
            <w:tcW w:w="226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Q3</w:t>
            </w:r>
          </w:p>
        </w:tc>
        <w:tc>
          <w:tcPr>
            <w:tcW w:w="227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Q4</w:t>
            </w:r>
          </w:p>
        </w:tc>
        <w:tc>
          <w:tcPr>
            <w:tcW w:w="1259"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656"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α-pinene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1.706 (1.077, 2.716)</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1.644 (1.031, 2.635)</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2.187 (1.394, 3.460)</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0.002</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1.530 (1.177, 1.995)</w:t>
            </w: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β-pinene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1.642 (1.015, 2.669)</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1.893 (1.188, 3.041)</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2.376 (1.498, 3.810)</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1.586 (1.207, 2.086)</w:t>
            </w: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limonene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1.840 (1.113, 3.077)</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1.988 (1.203, 3.329)</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3.666 (2.234, 6.134)</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1.961 (1.455, 2.651)</w:t>
            </w:r>
          </w:p>
        </w:tc>
      </w:tr>
      <w:tr>
        <w:tblPrEx>
          <w:tblCellMar>
            <w:top w:w="0" w:type="dxa"/>
            <w:left w:w="108" w:type="dxa"/>
            <w:bottom w:w="0" w:type="dxa"/>
            <w:right w:w="108" w:type="dxa"/>
          </w:tblCellMar>
        </w:tblPrEx>
        <w:trPr>
          <w:cantSplit/>
          <w:trHeight w:val="340" w:hRule="atLeast"/>
        </w:trPr>
        <w:tc>
          <w:tcPr>
            <w:tcW w:w="3019" w:type="dxa"/>
            <w:gridSpan w:val="2"/>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Mix exposure</w:t>
            </w:r>
          </w:p>
        </w:tc>
        <w:tc>
          <w:tcPr>
            <w:tcW w:w="226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26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27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1259"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656"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1.454 (1.153, 1.833)</w:t>
            </w:r>
          </w:p>
        </w:tc>
      </w:tr>
    </w:tbl>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color w:val="000000"/>
          <w:szCs w:val="24"/>
        </w:rPr>
        <w:t>MetS, metabolic syndrome; DM, diabetes mellitus; Q, quartile; OR, odds ratio; CI, confidence interval.</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szCs w:val="24"/>
        </w:rPr>
        <w:t>The association between terpenes (single and mixed) and MetS was assessed by multivariate logistic regression models and WQS models in participants without DM (N = 1281).</w:t>
      </w:r>
      <w:r>
        <w:rPr>
          <w:rFonts w:hint="default" w:ascii="Times New Roman" w:hAnsi="Times New Roman" w:cs="Times New Roman"/>
          <w:b w:val="0"/>
          <w:bCs w:val="0"/>
          <w:szCs w:val="24"/>
        </w:rPr>
        <w:t xml:space="preserve"> </w:t>
      </w:r>
      <w:r>
        <w:rPr>
          <w:rFonts w:hint="default" w:ascii="Times New Roman" w:hAnsi="Times New Roman" w:cs="Times New Roman" w:eastAsiaTheme="minorEastAsia"/>
          <w:b w:val="0"/>
          <w:bCs w:val="0"/>
          <w:szCs w:val="24"/>
        </w:rPr>
        <w:t>Models were adjusted for covariates, including age, sex, race/ethnicity, BMI, educational attainment, PIR, serum cotinine, alcohol consumption, leisure-time PA, dietary fat intake and LDL-C.</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t xml:space="preserve">† The trend test for coefficients across four categories was conducted by using the median of terpenes for each category as a numeric variable. </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t>‡ The natural log-transformed terpenes were used as a continuous variable to achieve a normal distribution of the independent variable.</w:t>
      </w:r>
    </w:p>
    <w:p>
      <w:pPr>
        <w:widowControl/>
        <w:spacing w:line="480" w:lineRule="auto"/>
        <w:jc w:val="left"/>
        <w:rPr>
          <w:rFonts w:hint="default" w:ascii="Times New Roman" w:hAnsi="Times New Roman" w:cs="Times New Roman" w:eastAsiaTheme="minorEastAsia"/>
          <w:b w:val="0"/>
          <w:bCs w:val="0"/>
          <w:szCs w:val="24"/>
        </w:rPr>
      </w:pPr>
    </w:p>
    <w:p>
      <w:pPr>
        <w:spacing w:line="480" w:lineRule="auto"/>
        <w:rPr>
          <w:rFonts w:hint="default" w:ascii="Times New Roman" w:hAnsi="Times New Roman" w:cs="Times New Roman"/>
          <w:b w:val="0"/>
          <w:bCs w:val="0"/>
          <w:color w:val="000000"/>
          <w:kern w:val="0"/>
          <w:szCs w:val="24"/>
        </w:rPr>
      </w:pPr>
      <w:bookmarkStart w:id="44" w:name="_Hlk159598525"/>
      <w:r>
        <w:rPr>
          <w:rFonts w:hint="default" w:ascii="Times New Roman" w:hAnsi="Times New Roman" w:cs="Times New Roman" w:eastAsiaTheme="minorEastAsia"/>
          <w:b w:val="0"/>
          <w:bCs w:val="0"/>
          <w:szCs w:val="24"/>
        </w:rPr>
        <w:t xml:space="preserve">Table S11. </w:t>
      </w:r>
      <w:r>
        <w:rPr>
          <w:rFonts w:hint="default" w:ascii="Times New Roman" w:hAnsi="Times New Roman" w:cs="Times New Roman"/>
          <w:b w:val="0"/>
          <w:bCs w:val="0"/>
          <w:color w:val="000000"/>
          <w:kern w:val="0"/>
          <w:szCs w:val="24"/>
        </w:rPr>
        <w:t xml:space="preserve">Association between terpenes and MetS </w:t>
      </w:r>
      <w:r>
        <w:rPr>
          <w:rFonts w:hint="default" w:ascii="Times New Roman" w:hAnsi="Times New Roman" w:cs="Times New Roman" w:eastAsiaTheme="minorEastAsia"/>
          <w:b w:val="0"/>
          <w:bCs w:val="0"/>
          <w:szCs w:val="24"/>
        </w:rPr>
        <w:t>considering</w:t>
      </w:r>
      <w:r>
        <w:rPr>
          <w:rFonts w:hint="default" w:ascii="Times New Roman" w:hAnsi="Times New Roman" w:cs="Times New Roman"/>
          <w:b w:val="0"/>
          <w:bCs w:val="0"/>
          <w:color w:val="000000"/>
          <w:kern w:val="0"/>
          <w:szCs w:val="24"/>
        </w:rPr>
        <w:t xml:space="preserve"> drug use.</w:t>
      </w:r>
    </w:p>
    <w:bookmarkEnd w:id="44"/>
    <w:tbl>
      <w:tblPr>
        <w:tblStyle w:val="6"/>
        <w:tblpPr w:leftFromText="180" w:rightFromText="180" w:vertAnchor="text" w:horzAnchor="margin" w:tblpXSpec="center" w:tblpY="108"/>
        <w:tblW w:w="13727" w:type="dxa"/>
        <w:tblInd w:w="0" w:type="dxa"/>
        <w:tblLayout w:type="autofit"/>
        <w:tblCellMar>
          <w:top w:w="0" w:type="dxa"/>
          <w:left w:w="108" w:type="dxa"/>
          <w:bottom w:w="0" w:type="dxa"/>
          <w:right w:w="108" w:type="dxa"/>
        </w:tblCellMar>
      </w:tblPr>
      <w:tblGrid>
        <w:gridCol w:w="2093"/>
        <w:gridCol w:w="926"/>
        <w:gridCol w:w="2261"/>
        <w:gridCol w:w="2261"/>
        <w:gridCol w:w="2271"/>
        <w:gridCol w:w="1259"/>
        <w:gridCol w:w="2656"/>
      </w:tblGrid>
      <w:tr>
        <w:tblPrEx>
          <w:tblCellMar>
            <w:top w:w="0" w:type="dxa"/>
            <w:left w:w="108" w:type="dxa"/>
            <w:bottom w:w="0" w:type="dxa"/>
            <w:right w:w="108" w:type="dxa"/>
          </w:tblCellMar>
        </w:tblPrEx>
        <w:trPr>
          <w:cantSplit/>
          <w:trHeight w:val="702" w:hRule="atLeast"/>
        </w:trPr>
        <w:tc>
          <w:tcPr>
            <w:tcW w:w="2093"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Terpenes</w:t>
            </w: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         </w:t>
            </w:r>
          </w:p>
        </w:tc>
        <w:tc>
          <w:tcPr>
            <w:tcW w:w="7719" w:type="dxa"/>
            <w:gridSpan w:val="4"/>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OR (95% CI)</w:t>
            </w:r>
          </w:p>
        </w:tc>
        <w:tc>
          <w:tcPr>
            <w:tcW w:w="1259"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b w:val="0"/>
                <w:bCs w:val="0"/>
                <w:szCs w:val="24"/>
              </w:rPr>
            </w:pPr>
            <w:r>
              <w:rPr>
                <w:rFonts w:hint="default" w:ascii="Times New Roman" w:hAnsi="Times New Roman" w:eastAsia="等线" w:cs="Times New Roman"/>
                <w:b w:val="0"/>
                <w:bCs w:val="0"/>
                <w:color w:val="000000"/>
                <w:kern w:val="0"/>
                <w:szCs w:val="24"/>
              </w:rPr>
              <w:t>P trend</w:t>
            </w:r>
            <w:r>
              <w:rPr>
                <w:rFonts w:hint="default" w:ascii="Times New Roman" w:hAnsi="Times New Roman" w:cs="Times New Roman"/>
                <w:b w:val="0"/>
                <w:bCs w:val="0"/>
                <w:szCs w:val="24"/>
              </w:rPr>
              <w:t>†</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656"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firstLine="480" w:firstLineChars="200"/>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Continuous</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 (Log-transformed</w:t>
            </w:r>
            <w:r>
              <w:rPr>
                <w:rFonts w:hint="default" w:ascii="Times New Roman" w:hAnsi="Times New Roman" w:cs="Times New Roman"/>
                <w:b w:val="0"/>
                <w:bCs w:val="0"/>
                <w:szCs w:val="24"/>
              </w:rPr>
              <w:t>‡</w:t>
            </w:r>
            <w:r>
              <w:rPr>
                <w:rFonts w:hint="default" w:ascii="Times New Roman" w:hAnsi="Times New Roman" w:eastAsia="等线" w:cs="Times New Roman"/>
                <w:b w:val="0"/>
                <w:bCs w:val="0"/>
                <w:color w:val="000000"/>
                <w:kern w:val="0"/>
                <w:szCs w:val="24"/>
              </w:rPr>
              <w:t>)</w:t>
            </w:r>
          </w:p>
        </w:tc>
      </w:tr>
      <w:tr>
        <w:tblPrEx>
          <w:tblCellMar>
            <w:top w:w="0" w:type="dxa"/>
            <w:left w:w="108" w:type="dxa"/>
            <w:bottom w:w="0" w:type="dxa"/>
            <w:right w:w="108" w:type="dxa"/>
          </w:tblCellMar>
        </w:tblPrEx>
        <w:trPr>
          <w:cantSplit/>
          <w:trHeight w:val="340" w:hRule="atLeast"/>
        </w:trPr>
        <w:tc>
          <w:tcPr>
            <w:tcW w:w="2093" w:type="dxa"/>
            <w:vMerge w:val="continue"/>
            <w:tcBorders>
              <w:top w:val="single" w:color="auto" w:sz="4"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926"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Q1</w:t>
            </w:r>
          </w:p>
        </w:tc>
        <w:tc>
          <w:tcPr>
            <w:tcW w:w="226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Q2</w:t>
            </w:r>
          </w:p>
        </w:tc>
        <w:tc>
          <w:tcPr>
            <w:tcW w:w="226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Q3</w:t>
            </w:r>
          </w:p>
        </w:tc>
        <w:tc>
          <w:tcPr>
            <w:tcW w:w="227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Q4</w:t>
            </w:r>
          </w:p>
        </w:tc>
        <w:tc>
          <w:tcPr>
            <w:tcW w:w="1259"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656"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α-pinene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1.628 (1.082, 2.457)</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1.450 (0.968, 2.180)</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1.945 (1.306, 2.911)</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0.004</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1.466 (1.161, 1.854)</w:t>
            </w: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β-pinene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1.456 (0.957, 2.224)</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1.875 (1.241, 2.849)</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2.190 (1.450, 3.331)</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1.563 (1.224, 1.997)</w:t>
            </w: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limonene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1.833 (1.202, 2.815)</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1.606 (1.045, 2.480)</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2.915 (1.912, 4.488)</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1.651 (1.263, 2.163)</w:t>
            </w:r>
          </w:p>
        </w:tc>
      </w:tr>
      <w:tr>
        <w:tblPrEx>
          <w:tblCellMar>
            <w:top w:w="0" w:type="dxa"/>
            <w:left w:w="108" w:type="dxa"/>
            <w:bottom w:w="0" w:type="dxa"/>
            <w:right w:w="108" w:type="dxa"/>
          </w:tblCellMar>
        </w:tblPrEx>
        <w:trPr>
          <w:cantSplit/>
          <w:trHeight w:val="340" w:hRule="atLeast"/>
        </w:trPr>
        <w:tc>
          <w:tcPr>
            <w:tcW w:w="3019" w:type="dxa"/>
            <w:gridSpan w:val="2"/>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Mix exposure</w:t>
            </w:r>
          </w:p>
        </w:tc>
        <w:tc>
          <w:tcPr>
            <w:tcW w:w="226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26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27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1259"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656"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1.436 (1.146, 14.268)</w:t>
            </w:r>
          </w:p>
        </w:tc>
      </w:tr>
    </w:tbl>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color w:val="000000"/>
          <w:szCs w:val="24"/>
        </w:rPr>
        <w:t>MetS, metabolic syndrome; DM, diabetes mellitus; Q, quartile; OR, odds ratio; CI, confidence interval.</w:t>
      </w:r>
    </w:p>
    <w:p>
      <w:pPr>
        <w:spacing w:line="480" w:lineRule="auto"/>
        <w:rPr>
          <w:rFonts w:hint="default" w:ascii="Times New Roman" w:hAnsi="Times New Roman" w:cs="Times New Roman" w:eastAsiaTheme="minorEastAsia"/>
          <w:b w:val="0"/>
          <w:bCs w:val="0"/>
          <w:szCs w:val="24"/>
        </w:rPr>
      </w:pPr>
      <w:r>
        <w:rPr>
          <w:rFonts w:hint="default" w:ascii="Times New Roman" w:hAnsi="Times New Roman" w:cs="Times New Roman" w:eastAsiaTheme="minorEastAsia"/>
          <w:b w:val="0"/>
          <w:bCs w:val="0"/>
          <w:color w:val="000000"/>
          <w:szCs w:val="24"/>
        </w:rPr>
        <w:t xml:space="preserve">The association between terpenes (single and mixed) and MetS was assessed by multivariate logistic regression models and WQS models. In particular, models were further adjusted for </w:t>
      </w:r>
      <w:r>
        <w:rPr>
          <w:rFonts w:hint="default" w:ascii="Times New Roman" w:hAnsi="Times New Roman" w:cs="Times New Roman"/>
          <w:b w:val="0"/>
          <w:bCs w:val="0"/>
          <w:color w:val="000000"/>
          <w:kern w:val="0"/>
          <w:szCs w:val="24"/>
        </w:rPr>
        <w:t>use of diabetes drugs, hypertriglyceridemia drugs and antihypertensive drugs</w:t>
      </w:r>
      <w:r>
        <w:rPr>
          <w:rFonts w:hint="default" w:ascii="Times New Roman" w:hAnsi="Times New Roman" w:cs="Times New Roman" w:eastAsiaTheme="minorEastAsia"/>
          <w:b w:val="0"/>
          <w:bCs w:val="0"/>
          <w:color w:val="000000"/>
          <w:szCs w:val="24"/>
        </w:rPr>
        <w:t>. The remaining adjusted covariates included age, sex, race/ethnicity, BMI, educational attainment, PIR, serum cotinine, alcohol consumption, leisure-time PA, dietary fat intake and LDL-C.</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t xml:space="preserve">† The trend test for coefficients across four categories was conducted by using the median of terpenes for each category as a numeric variable. </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t>‡ The natural log-transformed terpenes were used as a continuous variable to achieve a normal distribution of the independent variable.</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szCs w:val="24"/>
        </w:rPr>
        <w:t>Table S12. Association between terpenes and MetS in participants without drug use</w:t>
      </w:r>
      <w:r>
        <w:rPr>
          <w:rFonts w:hint="default" w:ascii="Times New Roman" w:hAnsi="Times New Roman" w:cs="Times New Roman" w:eastAsiaTheme="minorEastAsia"/>
          <w:b w:val="0"/>
          <w:bCs w:val="0"/>
          <w:color w:val="000000"/>
          <w:szCs w:val="24"/>
        </w:rPr>
        <w:t>.</w:t>
      </w:r>
      <w:r>
        <w:rPr>
          <w:rFonts w:hint="default" w:ascii="Times New Roman" w:hAnsi="Times New Roman" w:cs="Times New Roman" w:eastAsiaTheme="minorEastAsia"/>
          <w:b w:val="0"/>
          <w:bCs w:val="0"/>
          <w:szCs w:val="24"/>
        </w:rPr>
        <w:t xml:space="preserve"> </w:t>
      </w:r>
    </w:p>
    <w:tbl>
      <w:tblPr>
        <w:tblStyle w:val="6"/>
        <w:tblpPr w:leftFromText="180" w:rightFromText="180" w:vertAnchor="text" w:horzAnchor="margin" w:tblpXSpec="center" w:tblpY="108"/>
        <w:tblW w:w="13727" w:type="dxa"/>
        <w:tblInd w:w="0" w:type="dxa"/>
        <w:tblLayout w:type="autofit"/>
        <w:tblCellMar>
          <w:top w:w="0" w:type="dxa"/>
          <w:left w:w="108" w:type="dxa"/>
          <w:bottom w:w="0" w:type="dxa"/>
          <w:right w:w="108" w:type="dxa"/>
        </w:tblCellMar>
      </w:tblPr>
      <w:tblGrid>
        <w:gridCol w:w="2093"/>
        <w:gridCol w:w="926"/>
        <w:gridCol w:w="2261"/>
        <w:gridCol w:w="2261"/>
        <w:gridCol w:w="2271"/>
        <w:gridCol w:w="1259"/>
        <w:gridCol w:w="2656"/>
      </w:tblGrid>
      <w:tr>
        <w:tblPrEx>
          <w:tblCellMar>
            <w:top w:w="0" w:type="dxa"/>
            <w:left w:w="108" w:type="dxa"/>
            <w:bottom w:w="0" w:type="dxa"/>
            <w:right w:w="108" w:type="dxa"/>
          </w:tblCellMar>
        </w:tblPrEx>
        <w:trPr>
          <w:cantSplit/>
          <w:trHeight w:val="699" w:hRule="atLeast"/>
        </w:trPr>
        <w:tc>
          <w:tcPr>
            <w:tcW w:w="2093"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Terpenes</w:t>
            </w:r>
          </w:p>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         </w:t>
            </w:r>
          </w:p>
        </w:tc>
        <w:tc>
          <w:tcPr>
            <w:tcW w:w="7719" w:type="dxa"/>
            <w:gridSpan w:val="4"/>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OR (95% CI)</w:t>
            </w:r>
          </w:p>
        </w:tc>
        <w:tc>
          <w:tcPr>
            <w:tcW w:w="1259"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center"/>
              <w:rPr>
                <w:rFonts w:hint="default" w:ascii="Times New Roman" w:hAnsi="Times New Roman" w:cs="Times New Roman"/>
                <w:b w:val="0"/>
                <w:bCs w:val="0"/>
                <w:szCs w:val="24"/>
              </w:rPr>
            </w:pPr>
            <w:r>
              <w:rPr>
                <w:rFonts w:hint="default" w:ascii="Times New Roman" w:hAnsi="Times New Roman" w:eastAsia="等线" w:cs="Times New Roman"/>
                <w:b w:val="0"/>
                <w:bCs w:val="0"/>
                <w:color w:val="000000"/>
                <w:kern w:val="0"/>
                <w:szCs w:val="24"/>
              </w:rPr>
              <w:t>P trend</w:t>
            </w:r>
            <w:r>
              <w:rPr>
                <w:rFonts w:hint="default" w:ascii="Times New Roman" w:hAnsi="Times New Roman" w:cs="Times New Roman"/>
                <w:b w:val="0"/>
                <w:bCs w:val="0"/>
                <w:szCs w:val="24"/>
              </w:rPr>
              <w:t>†</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p>
        </w:tc>
        <w:tc>
          <w:tcPr>
            <w:tcW w:w="2656" w:type="dxa"/>
            <w:vMerge w:val="restart"/>
            <w:tcBorders>
              <w:top w:val="single" w:color="auto" w:sz="4" w:space="0"/>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firstLine="480" w:firstLineChars="200"/>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Continuous</w:t>
            </w:r>
          </w:p>
          <w:p>
            <w:pPr>
              <w:keepNext w:val="0"/>
              <w:keepLines w:val="0"/>
              <w:widowControl/>
              <w:suppressLineNumbers w:val="0"/>
              <w:spacing w:before="0" w:beforeAutospacing="0" w:after="0" w:afterAutospacing="0" w:line="480" w:lineRule="auto"/>
              <w:ind w:left="0" w:right="0"/>
              <w:jc w:val="center"/>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 (Log-transformed</w:t>
            </w:r>
            <w:r>
              <w:rPr>
                <w:rFonts w:hint="default" w:ascii="Times New Roman" w:hAnsi="Times New Roman" w:cs="Times New Roman"/>
                <w:b w:val="0"/>
                <w:bCs w:val="0"/>
                <w:szCs w:val="24"/>
              </w:rPr>
              <w:t>‡</w:t>
            </w:r>
            <w:r>
              <w:rPr>
                <w:rFonts w:hint="default" w:ascii="Times New Roman" w:hAnsi="Times New Roman" w:eastAsia="等线" w:cs="Times New Roman"/>
                <w:b w:val="0"/>
                <w:bCs w:val="0"/>
                <w:color w:val="000000"/>
                <w:kern w:val="0"/>
                <w:szCs w:val="24"/>
              </w:rPr>
              <w:t>)</w:t>
            </w:r>
          </w:p>
        </w:tc>
      </w:tr>
      <w:tr>
        <w:tblPrEx>
          <w:tblCellMar>
            <w:top w:w="0" w:type="dxa"/>
            <w:left w:w="108" w:type="dxa"/>
            <w:bottom w:w="0" w:type="dxa"/>
            <w:right w:w="108" w:type="dxa"/>
          </w:tblCellMar>
        </w:tblPrEx>
        <w:trPr>
          <w:cantSplit/>
          <w:trHeight w:val="340" w:hRule="atLeast"/>
        </w:trPr>
        <w:tc>
          <w:tcPr>
            <w:tcW w:w="2093" w:type="dxa"/>
            <w:vMerge w:val="continue"/>
            <w:tcBorders>
              <w:top w:val="single" w:color="auto" w:sz="4" w:space="0"/>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926"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Q1</w:t>
            </w:r>
          </w:p>
        </w:tc>
        <w:tc>
          <w:tcPr>
            <w:tcW w:w="226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Q2</w:t>
            </w:r>
          </w:p>
        </w:tc>
        <w:tc>
          <w:tcPr>
            <w:tcW w:w="226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Q3</w:t>
            </w:r>
          </w:p>
        </w:tc>
        <w:tc>
          <w:tcPr>
            <w:tcW w:w="2271" w:type="dxa"/>
            <w:tcBorders>
              <w:top w:val="single" w:color="auto" w:sz="4" w:space="0"/>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Q4</w:t>
            </w:r>
          </w:p>
        </w:tc>
        <w:tc>
          <w:tcPr>
            <w:tcW w:w="1259"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656" w:type="dxa"/>
            <w:vMerge w:val="continue"/>
            <w:tcBorders>
              <w:left w:val="nil"/>
              <w:bottom w:val="single" w:color="auto" w:sz="4" w:space="0"/>
              <w:right w:val="nil"/>
            </w:tcBorders>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α-pinene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1.628 (1.082, 2.457)</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1.450 (0.968, 2.180)</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1.945 (1.306, 2.911)</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0.052</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szCs w:val="24"/>
              </w:rPr>
              <w:t>1.429 (1.006, 2.039)</w:t>
            </w: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β-pinene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1.456 (0.957, 2.224)</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1.875 (1.241, 2.849)</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2.190 (1.450, 3.331)</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0.008</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szCs w:val="24"/>
              </w:rPr>
              <w:t>1.584 (1.123, 2.240)</w:t>
            </w:r>
          </w:p>
        </w:tc>
      </w:tr>
      <w:tr>
        <w:tblPrEx>
          <w:tblCellMar>
            <w:top w:w="0" w:type="dxa"/>
            <w:left w:w="108" w:type="dxa"/>
            <w:bottom w:w="0" w:type="dxa"/>
            <w:right w:w="108" w:type="dxa"/>
          </w:tblCellMar>
        </w:tblPrEx>
        <w:trPr>
          <w:cantSplit/>
          <w:trHeight w:val="340" w:hRule="atLeast"/>
        </w:trPr>
        <w:tc>
          <w:tcPr>
            <w:tcW w:w="209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limonene</w:t>
            </w:r>
          </w:p>
        </w:tc>
        <w:tc>
          <w:tcPr>
            <w:tcW w:w="92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1 (Ref)</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1.833 (1.202, 2.815)</w:t>
            </w:r>
          </w:p>
        </w:tc>
        <w:tc>
          <w:tcPr>
            <w:tcW w:w="226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1.606 (1.045, 2.480)</w:t>
            </w:r>
          </w:p>
        </w:tc>
        <w:tc>
          <w:tcPr>
            <w:tcW w:w="2271"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szCs w:val="24"/>
              </w:rPr>
              <w:t>2.915 (1.912, 4.488)</w:t>
            </w:r>
          </w:p>
        </w:tc>
        <w:tc>
          <w:tcPr>
            <w:tcW w:w="125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&lt; 0.001</w:t>
            </w:r>
          </w:p>
        </w:tc>
        <w:tc>
          <w:tcPr>
            <w:tcW w:w="2656"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szCs w:val="24"/>
              </w:rPr>
              <w:t>1.973 (1.305, 2.977)</w:t>
            </w:r>
          </w:p>
        </w:tc>
      </w:tr>
      <w:tr>
        <w:tblPrEx>
          <w:tblCellMar>
            <w:top w:w="0" w:type="dxa"/>
            <w:left w:w="108" w:type="dxa"/>
            <w:bottom w:w="0" w:type="dxa"/>
            <w:right w:w="108" w:type="dxa"/>
          </w:tblCellMar>
        </w:tblPrEx>
        <w:trPr>
          <w:cantSplit/>
          <w:trHeight w:val="340" w:hRule="atLeast"/>
        </w:trPr>
        <w:tc>
          <w:tcPr>
            <w:tcW w:w="3019" w:type="dxa"/>
            <w:gridSpan w:val="2"/>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Mix exposure</w:t>
            </w:r>
          </w:p>
        </w:tc>
        <w:tc>
          <w:tcPr>
            <w:tcW w:w="226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p>
        </w:tc>
        <w:tc>
          <w:tcPr>
            <w:tcW w:w="226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271"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1259"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Times New Roman" w:cs="Times New Roman"/>
                <w:b w:val="0"/>
                <w:bCs w:val="0"/>
                <w:kern w:val="0"/>
                <w:szCs w:val="24"/>
              </w:rPr>
            </w:pPr>
          </w:p>
        </w:tc>
        <w:tc>
          <w:tcPr>
            <w:tcW w:w="2656"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line="480" w:lineRule="auto"/>
              <w:ind w:left="0" w:right="0"/>
              <w:jc w:val="left"/>
              <w:rPr>
                <w:rFonts w:hint="default" w:ascii="Times New Roman" w:hAnsi="Times New Roman" w:eastAsia="等线" w:cs="Times New Roman"/>
                <w:b w:val="0"/>
                <w:bCs w:val="0"/>
                <w:color w:val="000000"/>
                <w:kern w:val="0"/>
                <w:szCs w:val="24"/>
              </w:rPr>
            </w:pPr>
            <w:r>
              <w:rPr>
                <w:rFonts w:hint="default" w:ascii="Times New Roman" w:hAnsi="Times New Roman" w:eastAsia="等线" w:cs="Times New Roman"/>
                <w:b w:val="0"/>
                <w:bCs w:val="0"/>
                <w:color w:val="000000"/>
                <w:kern w:val="0"/>
                <w:szCs w:val="24"/>
              </w:rPr>
              <w:t xml:space="preserve">2.021 (1.427, 2.864)    </w:t>
            </w:r>
          </w:p>
        </w:tc>
      </w:tr>
    </w:tbl>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b w:val="0"/>
          <w:bCs w:val="0"/>
          <w:szCs w:val="24"/>
        </w:rPr>
        <w:t xml:space="preserve">Abbreviation: </w:t>
      </w:r>
      <w:r>
        <w:rPr>
          <w:rFonts w:hint="default" w:ascii="Times New Roman" w:hAnsi="Times New Roman" w:cs="Times New Roman" w:eastAsiaTheme="minorEastAsia"/>
          <w:b w:val="0"/>
          <w:bCs w:val="0"/>
          <w:color w:val="000000"/>
          <w:szCs w:val="24"/>
        </w:rPr>
        <w:t>MetS, metabolic syndrome; DM, diabetes mellitus; Q, quartile; OR, odds ratio; CI, confidence interval.</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szCs w:val="24"/>
        </w:rPr>
        <w:t>The association between terpenes (single and mixed) and MetS was assessed by multivariate logistic regression models and WQS models in participants without drug use (</w:t>
      </w:r>
      <w:r>
        <w:rPr>
          <w:rFonts w:hint="default" w:ascii="Times New Roman" w:hAnsi="Times New Roman" w:cs="Times New Roman"/>
          <w:b w:val="0"/>
          <w:bCs w:val="0"/>
          <w:color w:val="000000"/>
          <w:kern w:val="0"/>
          <w:szCs w:val="24"/>
        </w:rPr>
        <w:t>diabetes drugs, hypertriglyceridemia drugs and antihypertensive drugs</w:t>
      </w:r>
      <w:r>
        <w:rPr>
          <w:rFonts w:hint="default" w:ascii="Times New Roman" w:hAnsi="Times New Roman" w:cs="Times New Roman" w:eastAsiaTheme="minorEastAsia"/>
          <w:b w:val="0"/>
          <w:bCs w:val="0"/>
          <w:szCs w:val="24"/>
        </w:rPr>
        <w:t>) (N = 845)</w:t>
      </w:r>
      <w:r>
        <w:rPr>
          <w:rFonts w:hint="default" w:ascii="Times New Roman" w:hAnsi="Times New Roman" w:cs="Times New Roman" w:eastAsiaTheme="minorEastAsia"/>
          <w:b w:val="0"/>
          <w:bCs w:val="0"/>
          <w:color w:val="000000"/>
          <w:szCs w:val="24"/>
        </w:rPr>
        <w:t>.</w:t>
      </w:r>
      <w:r>
        <w:rPr>
          <w:rFonts w:hint="default" w:ascii="Times New Roman" w:hAnsi="Times New Roman" w:cs="Times New Roman"/>
          <w:b w:val="0"/>
          <w:bCs w:val="0"/>
          <w:szCs w:val="24"/>
        </w:rPr>
        <w:t xml:space="preserve"> </w:t>
      </w:r>
      <w:r>
        <w:rPr>
          <w:rFonts w:hint="default" w:ascii="Times New Roman" w:hAnsi="Times New Roman" w:cs="Times New Roman" w:eastAsiaTheme="minorEastAsia"/>
          <w:b w:val="0"/>
          <w:bCs w:val="0"/>
          <w:szCs w:val="24"/>
        </w:rPr>
        <w:t>Models were adjusted for covariates, including age, sex, race/ethnicity, BMI, educational attainment, PIR, serum cotinine, alcohol consumption, leisure-time PA, dietary fat intake and LDL-C.</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t xml:space="preserve">† The trend test for coefficients across four categories was conducted by using the median of terpenes for each category as a numeric variable. </w:t>
      </w:r>
    </w:p>
    <w:p>
      <w:pPr>
        <w:spacing w:line="480" w:lineRule="auto"/>
        <w:rPr>
          <w:rFonts w:hint="default" w:ascii="Times New Roman" w:hAnsi="Times New Roman" w:cs="Times New Roman" w:eastAsiaTheme="minorEastAsia"/>
          <w:b w:val="0"/>
          <w:bCs w:val="0"/>
          <w:color w:val="000000"/>
          <w:szCs w:val="24"/>
        </w:rPr>
      </w:pPr>
      <w:r>
        <w:rPr>
          <w:rFonts w:hint="default" w:ascii="Times New Roman" w:hAnsi="Times New Roman" w:cs="Times New Roman" w:eastAsiaTheme="minorEastAsia"/>
          <w:b w:val="0"/>
          <w:bCs w:val="0"/>
          <w:color w:val="000000"/>
          <w:szCs w:val="24"/>
        </w:rPr>
        <w:t>‡ The natural log-transformed terpenes were used as a continuous variable to achieve a normal distribution of the independent variable.</w:t>
      </w:r>
    </w:p>
    <w:p>
      <w:pPr>
        <w:widowControl/>
        <w:spacing w:line="480" w:lineRule="auto"/>
        <w:jc w:val="left"/>
        <w:rPr>
          <w:rFonts w:hint="default" w:ascii="Times New Roman" w:hAnsi="Times New Roman" w:cs="Times New Roman"/>
          <w:b w:val="0"/>
          <w:bCs w:val="0"/>
          <w:color w:val="000000"/>
          <w:kern w:val="0"/>
          <w:szCs w:val="24"/>
        </w:rPr>
        <w:sectPr>
          <w:pgSz w:w="16838" w:h="11906" w:orient="landscape"/>
          <w:pgMar w:top="1797" w:right="1440" w:bottom="1797" w:left="1440" w:header="851" w:footer="992" w:gutter="0"/>
          <w:cols w:space="425" w:num="1"/>
          <w:docGrid w:linePitch="328" w:charSpace="0"/>
        </w:sectPr>
      </w:pPr>
    </w:p>
    <w:p>
      <w:pPr>
        <w:spacing w:line="480" w:lineRule="auto"/>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T</w:t>
      </w:r>
      <w:r>
        <w:rPr>
          <w:rFonts w:hint="default" w:ascii="Times New Roman" w:hAnsi="Times New Roman" w:cs="Times New Roman" w:eastAsiaTheme="minorEastAsia"/>
          <w:b w:val="0"/>
          <w:bCs w:val="0"/>
          <w:szCs w:val="24"/>
        </w:rPr>
        <w:t>able S13.</w:t>
      </w:r>
      <w:r>
        <w:rPr>
          <w:rFonts w:hint="default" w:ascii="Times New Roman" w:hAnsi="Times New Roman" w:cs="Times New Roman"/>
          <w:b w:val="0"/>
          <w:bCs w:val="0"/>
          <w:color w:val="000000"/>
          <w:kern w:val="0"/>
          <w:szCs w:val="24"/>
        </w:rPr>
        <w:t xml:space="preserve"> 2010 US Census Bureau industry source codes.</w:t>
      </w:r>
    </w:p>
    <w:tbl>
      <w:tblPr>
        <w:tblStyle w:val="6"/>
        <w:tblW w:w="853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Layout w:type="autofit"/>
        <w:tblCellMar>
          <w:top w:w="30" w:type="dxa"/>
          <w:left w:w="30" w:type="dxa"/>
          <w:bottom w:w="30" w:type="dxa"/>
          <w:right w:w="30" w:type="dxa"/>
        </w:tblCellMar>
      </w:tblPr>
      <w:tblGrid>
        <w:gridCol w:w="865"/>
        <w:gridCol w:w="3618"/>
        <w:gridCol w:w="3209"/>
        <w:gridCol w:w="847"/>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Groups</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Industry Group Title</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2010 Census Bureau Industry Classification Source Codes</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Number</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Agriculture, Forestry, Fishing</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0170-0290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9</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2</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Mining</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0370-0490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5</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3</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Utilities</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0570-0690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7</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4</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Construction</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0770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54</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5</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Manufacturing: Durable Goods</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2470-3990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6</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Manufacturing: Non-Durable Goods</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1070-2390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38</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7</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Wholesale Trade</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4070-4590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24</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8</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Retail Trade</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4670-5790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93</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9</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Transportation, Warehousing</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6070-6390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30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10</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Information Services</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6470-6780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11</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Finance, Insurance</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6870-6990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33</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12</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Real Estate, Rental, Leasing</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7070-7190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13</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13</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Professional, Scientific, Technical Services</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7270-7490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14</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Management, Administrative, Waste Services</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7570-7790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15</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Educational Services</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7860-7890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16</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Health Care, Social Assistance</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7970-8470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129</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17</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Arts, Entertainment, Recreation</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8560-8590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24</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18</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Accommodation, Food Services</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8660-8690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68</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19</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Other Services</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8770-9190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31</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20</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Private Household</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9290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21</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Public Administration</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9370-9590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27</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hemeFill="background1"/>
          <w:tblCellMar>
            <w:top w:w="30" w:type="dxa"/>
            <w:left w:w="30" w:type="dxa"/>
            <w:bottom w:w="30" w:type="dxa"/>
            <w:right w:w="30" w:type="dxa"/>
          </w:tblCellMar>
        </w:tblPrEx>
        <w:trPr>
          <w:trHeight w:val="332" w:hRule="atLeast"/>
          <w:jc w:val="center"/>
        </w:trPr>
        <w:tc>
          <w:tcPr>
            <w:tcW w:w="865"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22</w:t>
            </w:r>
          </w:p>
        </w:tc>
        <w:tc>
          <w:tcPr>
            <w:tcW w:w="3707"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Armed Forces</w:t>
            </w:r>
          </w:p>
        </w:tc>
        <w:tc>
          <w:tcPr>
            <w:tcW w:w="3294" w:type="dxa"/>
            <w:tcBorders>
              <w:top w:val="single" w:color="000000" w:sz="6" w:space="0"/>
              <w:left w:val="single" w:color="000000" w:sz="6" w:space="0"/>
              <w:bottom w:val="single" w:color="000000" w:sz="6" w:space="0"/>
              <w:right w:val="single" w:color="000000" w:sz="6" w:space="0"/>
            </w:tcBorders>
            <w:shd w:val="clear" w:color="auto" w:fill="FFFFFF" w:themeFill="background1"/>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cs="Times New Roman"/>
                <w:b w:val="0"/>
                <w:bCs w:val="0"/>
                <w:color w:val="000000"/>
                <w:kern w:val="0"/>
                <w:szCs w:val="24"/>
              </w:rPr>
              <w:t>9670-9870</w:t>
            </w:r>
          </w:p>
        </w:tc>
        <w:tc>
          <w:tcPr>
            <w:tcW w:w="673" w:type="dxa"/>
            <w:tcBorders>
              <w:top w:val="single" w:color="000000" w:sz="6" w:space="0"/>
              <w:left w:val="single" w:color="000000" w:sz="6" w:space="0"/>
              <w:bottom w:val="single" w:color="000000" w:sz="6" w:space="0"/>
              <w:right w:val="single" w:color="000000" w:sz="6" w:space="0"/>
            </w:tcBorders>
            <w:shd w:val="clear" w:color="auto" w:fill="FFFFFF" w:themeFill="background1"/>
            <w:vAlign w:val="center"/>
          </w:tcPr>
          <w:p>
            <w:pPr>
              <w:keepNext w:val="0"/>
              <w:keepLines w:val="0"/>
              <w:widowControl/>
              <w:suppressLineNumbers w:val="0"/>
              <w:spacing w:before="0" w:beforeAutospacing="0" w:after="0" w:afterAutospacing="0"/>
              <w:ind w:left="0" w:right="0"/>
              <w:jc w:val="left"/>
              <w:rPr>
                <w:rFonts w:hint="default" w:ascii="Times New Roman" w:hAnsi="Times New Roman" w:cs="Times New Roman"/>
                <w:b w:val="0"/>
                <w:bCs w:val="0"/>
                <w:color w:val="000000"/>
                <w:kern w:val="0"/>
                <w:szCs w:val="24"/>
              </w:rPr>
            </w:pPr>
            <w:r>
              <w:rPr>
                <w:rFonts w:hint="default" w:ascii="Times New Roman" w:hAnsi="Times New Roman" w:eastAsia="等线" w:cs="Times New Roman"/>
                <w:b w:val="0"/>
                <w:bCs w:val="0"/>
                <w:color w:val="000000"/>
                <w:szCs w:val="24"/>
              </w:rPr>
              <w:t>2</w:t>
            </w:r>
          </w:p>
        </w:tc>
      </w:tr>
    </w:tbl>
    <w:p>
      <w:pPr>
        <w:spacing w:line="480" w:lineRule="auto"/>
        <w:rPr>
          <w:rFonts w:hint="default" w:ascii="Times New Roman" w:hAnsi="Times New Roman" w:cs="Times New Roman"/>
          <w:b w:val="0"/>
          <w:bCs w:val="0"/>
          <w:color w:val="000000"/>
          <w:kern w:val="0"/>
          <w:szCs w:val="24"/>
        </w:rPr>
        <w:sectPr>
          <w:pgSz w:w="11906" w:h="16838"/>
          <w:pgMar w:top="1440" w:right="1797" w:bottom="1440" w:left="1797" w:header="851" w:footer="992" w:gutter="0"/>
          <w:cols w:space="425" w:num="1"/>
          <w:docGrid w:linePitch="328" w:charSpace="0"/>
        </w:sectPr>
      </w:pPr>
    </w:p>
    <w:p>
      <w:pPr>
        <w:spacing w:line="480" w:lineRule="auto"/>
        <w:rPr>
          <w:rFonts w:hint="default" w:ascii="Times New Roman" w:hAnsi="Times New Roman" w:cs="Times New Roman"/>
          <w:b w:val="0"/>
          <w:bCs w:val="0"/>
          <w:szCs w:val="24"/>
        </w:rPr>
      </w:pPr>
      <w:bookmarkStart w:id="45" w:name="_GoBack"/>
      <w:bookmarkEnd w:id="45"/>
    </w:p>
    <w:sectPr>
      <w:pgSz w:w="11906" w:h="16838"/>
      <w:pgMar w:top="1440" w:right="1797" w:bottom="1440" w:left="1797" w:header="851" w:footer="992" w:gutter="0"/>
      <w:cols w:space="425" w:num="1"/>
      <w:docGrid w:linePitch="32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91520B"/>
    <w:rsid w:val="00004FEC"/>
    <w:rsid w:val="00034901"/>
    <w:rsid w:val="00035D45"/>
    <w:rsid w:val="00041389"/>
    <w:rsid w:val="000537EC"/>
    <w:rsid w:val="0009144B"/>
    <w:rsid w:val="000A4F0A"/>
    <w:rsid w:val="000B01A2"/>
    <w:rsid w:val="000B6916"/>
    <w:rsid w:val="000C02E3"/>
    <w:rsid w:val="000F3D9F"/>
    <w:rsid w:val="000F68EF"/>
    <w:rsid w:val="00103446"/>
    <w:rsid w:val="00110950"/>
    <w:rsid w:val="001240F2"/>
    <w:rsid w:val="00142350"/>
    <w:rsid w:val="00150CE9"/>
    <w:rsid w:val="00185399"/>
    <w:rsid w:val="00192739"/>
    <w:rsid w:val="00196E73"/>
    <w:rsid w:val="001F490E"/>
    <w:rsid w:val="001F4C29"/>
    <w:rsid w:val="0021077F"/>
    <w:rsid w:val="00240E58"/>
    <w:rsid w:val="00276FE2"/>
    <w:rsid w:val="002A21D7"/>
    <w:rsid w:val="002A4237"/>
    <w:rsid w:val="002C13E5"/>
    <w:rsid w:val="002C53DD"/>
    <w:rsid w:val="002D3CDA"/>
    <w:rsid w:val="002D64FC"/>
    <w:rsid w:val="002E1255"/>
    <w:rsid w:val="002E5545"/>
    <w:rsid w:val="002E662A"/>
    <w:rsid w:val="00301A27"/>
    <w:rsid w:val="003129E2"/>
    <w:rsid w:val="00350929"/>
    <w:rsid w:val="00385D2A"/>
    <w:rsid w:val="00390436"/>
    <w:rsid w:val="0039750F"/>
    <w:rsid w:val="003B6E6D"/>
    <w:rsid w:val="003C3C3F"/>
    <w:rsid w:val="003C6A28"/>
    <w:rsid w:val="003E11E0"/>
    <w:rsid w:val="003E6982"/>
    <w:rsid w:val="00401EFD"/>
    <w:rsid w:val="0041241F"/>
    <w:rsid w:val="00414E7C"/>
    <w:rsid w:val="00431B34"/>
    <w:rsid w:val="0043585B"/>
    <w:rsid w:val="004505BC"/>
    <w:rsid w:val="00460F15"/>
    <w:rsid w:val="00465A23"/>
    <w:rsid w:val="004708A1"/>
    <w:rsid w:val="004C5B44"/>
    <w:rsid w:val="004D401B"/>
    <w:rsid w:val="004E35F4"/>
    <w:rsid w:val="00511345"/>
    <w:rsid w:val="00527FA4"/>
    <w:rsid w:val="0054120C"/>
    <w:rsid w:val="00554D03"/>
    <w:rsid w:val="00560AF2"/>
    <w:rsid w:val="00572ED3"/>
    <w:rsid w:val="00577259"/>
    <w:rsid w:val="00591066"/>
    <w:rsid w:val="005A0229"/>
    <w:rsid w:val="005A17BF"/>
    <w:rsid w:val="005C0002"/>
    <w:rsid w:val="005E3122"/>
    <w:rsid w:val="0060396D"/>
    <w:rsid w:val="00622D31"/>
    <w:rsid w:val="006260C0"/>
    <w:rsid w:val="00634B58"/>
    <w:rsid w:val="006510CC"/>
    <w:rsid w:val="0065688B"/>
    <w:rsid w:val="00675E07"/>
    <w:rsid w:val="006B0521"/>
    <w:rsid w:val="006E72B6"/>
    <w:rsid w:val="007046EE"/>
    <w:rsid w:val="00720E11"/>
    <w:rsid w:val="007235C1"/>
    <w:rsid w:val="00734FE9"/>
    <w:rsid w:val="007559BD"/>
    <w:rsid w:val="007579FC"/>
    <w:rsid w:val="007952C9"/>
    <w:rsid w:val="007E698B"/>
    <w:rsid w:val="00801BC3"/>
    <w:rsid w:val="00811071"/>
    <w:rsid w:val="00812BF1"/>
    <w:rsid w:val="00816168"/>
    <w:rsid w:val="00851817"/>
    <w:rsid w:val="008544A2"/>
    <w:rsid w:val="00864B83"/>
    <w:rsid w:val="00871282"/>
    <w:rsid w:val="00872C55"/>
    <w:rsid w:val="008766E5"/>
    <w:rsid w:val="0088710F"/>
    <w:rsid w:val="00894097"/>
    <w:rsid w:val="00895CE9"/>
    <w:rsid w:val="008A084B"/>
    <w:rsid w:val="008B10D1"/>
    <w:rsid w:val="008B4D22"/>
    <w:rsid w:val="008E1EC7"/>
    <w:rsid w:val="008E7AC5"/>
    <w:rsid w:val="008F3561"/>
    <w:rsid w:val="00904228"/>
    <w:rsid w:val="0091520B"/>
    <w:rsid w:val="00931439"/>
    <w:rsid w:val="00941D31"/>
    <w:rsid w:val="0094715A"/>
    <w:rsid w:val="00976D59"/>
    <w:rsid w:val="0098281A"/>
    <w:rsid w:val="00982ECD"/>
    <w:rsid w:val="00983311"/>
    <w:rsid w:val="009A0DCD"/>
    <w:rsid w:val="009C2F2C"/>
    <w:rsid w:val="009E49F2"/>
    <w:rsid w:val="00A22C0F"/>
    <w:rsid w:val="00A36FEB"/>
    <w:rsid w:val="00A45CE3"/>
    <w:rsid w:val="00A81EFD"/>
    <w:rsid w:val="00A84301"/>
    <w:rsid w:val="00AA424A"/>
    <w:rsid w:val="00AC4235"/>
    <w:rsid w:val="00AC66E7"/>
    <w:rsid w:val="00AD07DE"/>
    <w:rsid w:val="00AD43BC"/>
    <w:rsid w:val="00AD4677"/>
    <w:rsid w:val="00AF1C7A"/>
    <w:rsid w:val="00B246EF"/>
    <w:rsid w:val="00B32DD8"/>
    <w:rsid w:val="00B41C8E"/>
    <w:rsid w:val="00B5070E"/>
    <w:rsid w:val="00B53FEE"/>
    <w:rsid w:val="00B9797E"/>
    <w:rsid w:val="00BA1DB3"/>
    <w:rsid w:val="00BB25E3"/>
    <w:rsid w:val="00BB66A2"/>
    <w:rsid w:val="00BC065C"/>
    <w:rsid w:val="00C025D0"/>
    <w:rsid w:val="00C05DBF"/>
    <w:rsid w:val="00C06839"/>
    <w:rsid w:val="00C17478"/>
    <w:rsid w:val="00C213E5"/>
    <w:rsid w:val="00C44A15"/>
    <w:rsid w:val="00C62585"/>
    <w:rsid w:val="00C8084A"/>
    <w:rsid w:val="00CD7F31"/>
    <w:rsid w:val="00CF381D"/>
    <w:rsid w:val="00D009F6"/>
    <w:rsid w:val="00D00C16"/>
    <w:rsid w:val="00D02D74"/>
    <w:rsid w:val="00D050AB"/>
    <w:rsid w:val="00D27771"/>
    <w:rsid w:val="00D277D7"/>
    <w:rsid w:val="00D36BD1"/>
    <w:rsid w:val="00D50369"/>
    <w:rsid w:val="00D5703A"/>
    <w:rsid w:val="00D7208A"/>
    <w:rsid w:val="00D92079"/>
    <w:rsid w:val="00DA12E6"/>
    <w:rsid w:val="00DC0FAF"/>
    <w:rsid w:val="00DC5227"/>
    <w:rsid w:val="00DD1D36"/>
    <w:rsid w:val="00DE3535"/>
    <w:rsid w:val="00E3008E"/>
    <w:rsid w:val="00E3046D"/>
    <w:rsid w:val="00E33916"/>
    <w:rsid w:val="00E5049A"/>
    <w:rsid w:val="00E71871"/>
    <w:rsid w:val="00E85143"/>
    <w:rsid w:val="00E938EE"/>
    <w:rsid w:val="00EB6D8D"/>
    <w:rsid w:val="00EC2D8D"/>
    <w:rsid w:val="00EC4D63"/>
    <w:rsid w:val="00EE3266"/>
    <w:rsid w:val="00EE4771"/>
    <w:rsid w:val="00EF0AE6"/>
    <w:rsid w:val="00F03897"/>
    <w:rsid w:val="00F2551E"/>
    <w:rsid w:val="00F37F80"/>
    <w:rsid w:val="00F40328"/>
    <w:rsid w:val="00F503D8"/>
    <w:rsid w:val="00F735AB"/>
    <w:rsid w:val="00F77A5C"/>
    <w:rsid w:val="00F80D13"/>
    <w:rsid w:val="00FA5E22"/>
    <w:rsid w:val="00FD7328"/>
    <w:rsid w:val="00FE08CF"/>
    <w:rsid w:val="00FE5A27"/>
    <w:rsid w:val="192D0BBE"/>
    <w:rsid w:val="1F48139A"/>
    <w:rsid w:val="244F40DF"/>
    <w:rsid w:val="2D873179"/>
    <w:rsid w:val="2E1A2A49"/>
    <w:rsid w:val="34164C19"/>
    <w:rsid w:val="39504729"/>
    <w:rsid w:val="3F6F1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b/>
      <w:bCs/>
      <w:kern w:val="2"/>
      <w:sz w:val="24"/>
      <w:szCs w:val="22"/>
      <w:lang w:val="en-US" w:eastAsia="zh-CN" w:bidi="ar-SA"/>
    </w:rPr>
  </w:style>
  <w:style w:type="character" w:default="1" w:styleId="7">
    <w:name w:val="Default Paragraph Font"/>
    <w:autoRedefine/>
    <w:semiHidden/>
    <w:unhideWhenUsed/>
    <w:uiPriority w:val="1"/>
  </w:style>
  <w:style w:type="table" w:default="1" w:styleId="6">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3"/>
    <w:autoRedefine/>
    <w:semiHidden/>
    <w:unhideWhenUsed/>
    <w:qFormat/>
    <w:uiPriority w:val="99"/>
    <w:pPr>
      <w:jc w:val="left"/>
    </w:pPr>
    <w:rPr>
      <w:b w:val="0"/>
      <w:bCs w:val="0"/>
    </w:rPr>
  </w:style>
  <w:style w:type="paragraph" w:styleId="3">
    <w:name w:val="footer"/>
    <w:basedOn w:val="1"/>
    <w:link w:val="10"/>
    <w:autoRedefine/>
    <w:unhideWhenUsed/>
    <w:qFormat/>
    <w:uiPriority w:val="99"/>
    <w:pPr>
      <w:tabs>
        <w:tab w:val="center" w:pos="4153"/>
        <w:tab w:val="right" w:pos="8306"/>
      </w:tabs>
      <w:snapToGrid w:val="0"/>
      <w:jc w:val="left"/>
    </w:pPr>
    <w:rPr>
      <w:sz w:val="18"/>
      <w:szCs w:val="18"/>
    </w:rPr>
  </w:style>
  <w:style w:type="paragraph" w:styleId="4">
    <w:name w:val="header"/>
    <w:basedOn w:val="1"/>
    <w:link w:val="9"/>
    <w:autoRedefine/>
    <w:unhideWhenUsed/>
    <w:qFormat/>
    <w:uiPriority w:val="99"/>
    <w:pPr>
      <w:tabs>
        <w:tab w:val="center" w:pos="4153"/>
        <w:tab w:val="right" w:pos="8306"/>
      </w:tabs>
      <w:snapToGrid w:val="0"/>
      <w:jc w:val="center"/>
    </w:pPr>
    <w:rPr>
      <w:sz w:val="18"/>
      <w:szCs w:val="18"/>
    </w:rPr>
  </w:style>
  <w:style w:type="paragraph" w:styleId="5">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annotation reference"/>
    <w:basedOn w:val="7"/>
    <w:autoRedefine/>
    <w:semiHidden/>
    <w:unhideWhenUsed/>
    <w:qFormat/>
    <w:uiPriority w:val="99"/>
    <w:rPr>
      <w:sz w:val="21"/>
      <w:szCs w:val="21"/>
    </w:rPr>
  </w:style>
  <w:style w:type="character" w:customStyle="1" w:styleId="9">
    <w:name w:val="页眉 字符"/>
    <w:basedOn w:val="7"/>
    <w:link w:val="4"/>
    <w:autoRedefine/>
    <w:qFormat/>
    <w:uiPriority w:val="99"/>
    <w:rPr>
      <w:sz w:val="18"/>
      <w:szCs w:val="18"/>
    </w:rPr>
  </w:style>
  <w:style w:type="character" w:customStyle="1" w:styleId="10">
    <w:name w:val="页脚 字符"/>
    <w:basedOn w:val="7"/>
    <w:link w:val="3"/>
    <w:autoRedefine/>
    <w:qFormat/>
    <w:uiPriority w:val="99"/>
    <w:rPr>
      <w:sz w:val="18"/>
      <w:szCs w:val="18"/>
    </w:rPr>
  </w:style>
  <w:style w:type="paragraph" w:styleId="11">
    <w:name w:val="List Paragraph"/>
    <w:basedOn w:val="1"/>
    <w:autoRedefine/>
    <w:qFormat/>
    <w:uiPriority w:val="34"/>
    <w:pPr>
      <w:ind w:firstLine="420" w:firstLineChars="200"/>
    </w:pPr>
  </w:style>
  <w:style w:type="paragraph" w:customStyle="1" w:styleId="12">
    <w:name w:val="Revision"/>
    <w:autoRedefine/>
    <w:hidden/>
    <w:semiHidden/>
    <w:qFormat/>
    <w:uiPriority w:val="99"/>
    <w:rPr>
      <w:rFonts w:ascii="Times New Roman" w:hAnsi="Times New Roman" w:eastAsia="宋体" w:cstheme="minorBidi"/>
      <w:b/>
      <w:bCs/>
      <w:kern w:val="2"/>
      <w:sz w:val="24"/>
      <w:szCs w:val="22"/>
      <w:lang w:val="en-US" w:eastAsia="zh-CN" w:bidi="ar-SA"/>
    </w:rPr>
  </w:style>
  <w:style w:type="character" w:customStyle="1" w:styleId="13">
    <w:name w:val="批注文字 字符"/>
    <w:basedOn w:val="7"/>
    <w:link w:val="2"/>
    <w:autoRedefine/>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38</Pages>
  <Words>4338</Words>
  <Characters>25551</Characters>
  <Lines>207</Lines>
  <Paragraphs>58</Paragraphs>
  <TotalTime>60</TotalTime>
  <ScaleCrop>false</ScaleCrop>
  <LinksUpToDate>false</LinksUpToDate>
  <CharactersWithSpaces>29117</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2024-01-10T05:48:00Z</dcterms:created>
  <dc:creator>丹安 王</dc:creator>
  <cp:lastModifiedBy>w&amp;w</cp:lastModifiedBy>
  <dcterms:modified xsi:type="dcterms:W3CDTF">2024-09-21T16:05:31Z</dcterms:modified>
  <cp:revision>167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C444632008C949B4B6520DE5DCE27E6E_13</vt:lpwstr>
  </property>
</Properties>
</file>