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F8088" w14:textId="5A57319D" w:rsidR="00FC3689" w:rsidRPr="00113FEC" w:rsidRDefault="00FC3689" w:rsidP="00FC3689">
      <w:pPr>
        <w:pStyle w:val="Geenafstand"/>
        <w:rPr>
          <w:rFonts w:ascii="Arial" w:hAnsi="Arial" w:cs="Arial"/>
          <w:b/>
          <w:bCs/>
          <w:sz w:val="28"/>
          <w:szCs w:val="28"/>
          <w:lang w:val="en-US"/>
        </w:rPr>
      </w:pPr>
      <w:r w:rsidRPr="00113FEC">
        <w:rPr>
          <w:rFonts w:ascii="Arial" w:hAnsi="Arial" w:cs="Arial"/>
          <w:b/>
          <w:bCs/>
          <w:sz w:val="28"/>
          <w:szCs w:val="28"/>
          <w:lang w:val="en-US"/>
        </w:rPr>
        <w:t xml:space="preserve">Additional file </w:t>
      </w:r>
      <w:r w:rsidR="006754DC">
        <w:rPr>
          <w:rFonts w:ascii="Arial" w:hAnsi="Arial" w:cs="Arial"/>
          <w:b/>
          <w:bCs/>
          <w:sz w:val="28"/>
          <w:szCs w:val="28"/>
          <w:lang w:val="en-US"/>
        </w:rPr>
        <w:t>3</w:t>
      </w:r>
    </w:p>
    <w:p w14:paraId="1FD2C6DD" w14:textId="77777777" w:rsidR="00FC3689" w:rsidRPr="00113FEC" w:rsidRDefault="00FC3689" w:rsidP="00FC3689">
      <w:pPr>
        <w:pStyle w:val="Geenafstand"/>
        <w:rPr>
          <w:rFonts w:ascii="Arial" w:hAnsi="Arial" w:cs="Arial"/>
          <w:lang w:val="en-US"/>
        </w:rPr>
      </w:pPr>
    </w:p>
    <w:p w14:paraId="7423BD83" w14:textId="26E53F42" w:rsidR="00FC3689" w:rsidRDefault="00FC3689" w:rsidP="00FC3689">
      <w:pPr>
        <w:pStyle w:val="Geenafstand"/>
        <w:rPr>
          <w:rFonts w:ascii="Arial" w:hAnsi="Arial" w:cs="Arial"/>
          <w:sz w:val="18"/>
          <w:szCs w:val="18"/>
          <w:lang w:val="en-US"/>
        </w:rPr>
      </w:pPr>
      <w:r w:rsidRPr="00113FEC">
        <w:rPr>
          <w:rFonts w:ascii="Arial" w:hAnsi="Arial" w:cs="Arial"/>
          <w:b/>
          <w:bCs/>
          <w:sz w:val="18"/>
          <w:szCs w:val="18"/>
          <w:lang w:val="en-US"/>
        </w:rPr>
        <w:t>Article title:</w:t>
      </w:r>
      <w:r w:rsidRPr="00113FEC">
        <w:rPr>
          <w:rFonts w:ascii="Arial" w:hAnsi="Arial" w:cs="Arial"/>
          <w:sz w:val="18"/>
          <w:szCs w:val="18"/>
          <w:lang w:val="en-US"/>
        </w:rPr>
        <w:t xml:space="preserve"> Identifying mechanisms that shape the food environment in long-term healthcare facilities</w:t>
      </w:r>
      <w:r w:rsidR="00191B0F">
        <w:rPr>
          <w:rFonts w:ascii="Arial" w:hAnsi="Arial" w:cs="Arial"/>
          <w:sz w:val="18"/>
          <w:szCs w:val="18"/>
          <w:lang w:val="en-US"/>
        </w:rPr>
        <w:t xml:space="preserve"> in the Netherlands</w:t>
      </w:r>
      <w:r w:rsidRPr="00113FEC">
        <w:rPr>
          <w:rFonts w:ascii="Arial" w:hAnsi="Arial" w:cs="Arial"/>
          <w:sz w:val="18"/>
          <w:szCs w:val="18"/>
          <w:lang w:val="en-US"/>
        </w:rPr>
        <w:t>: a participatory system dynamics approach</w:t>
      </w:r>
    </w:p>
    <w:p w14:paraId="1A2A3165" w14:textId="77777777" w:rsidR="00FC3689" w:rsidRDefault="00FC3689" w:rsidP="00FC3689">
      <w:pPr>
        <w:pStyle w:val="Geenafstand"/>
        <w:rPr>
          <w:rFonts w:ascii="Arial" w:hAnsi="Arial" w:cs="Arial"/>
          <w:sz w:val="18"/>
          <w:szCs w:val="18"/>
        </w:rPr>
      </w:pPr>
      <w:proofErr w:type="spellStart"/>
      <w:r w:rsidRPr="00113FEC">
        <w:rPr>
          <w:rFonts w:ascii="Arial" w:hAnsi="Arial" w:cs="Arial"/>
          <w:b/>
          <w:bCs/>
          <w:sz w:val="18"/>
          <w:szCs w:val="18"/>
        </w:rPr>
        <w:t>Authors</w:t>
      </w:r>
      <w:proofErr w:type="spellEnd"/>
      <w:r w:rsidRPr="00113FEC">
        <w:rPr>
          <w:rFonts w:ascii="Arial" w:hAnsi="Arial" w:cs="Arial"/>
          <w:b/>
          <w:bCs/>
          <w:sz w:val="18"/>
          <w:szCs w:val="18"/>
        </w:rPr>
        <w:t>:</w:t>
      </w:r>
      <w:r w:rsidRPr="00113FEC">
        <w:rPr>
          <w:rFonts w:ascii="Arial" w:hAnsi="Arial" w:cs="Arial"/>
          <w:sz w:val="18"/>
          <w:szCs w:val="18"/>
        </w:rPr>
        <w:t xml:space="preserve"> Joline J. Wierda, S. Coosje Dijkstra, Tamika M. Wopereis, Sanne K. Djojosoeparto, Maartje P. Poelman</w:t>
      </w:r>
    </w:p>
    <w:p w14:paraId="13FE05C9" w14:textId="77777777" w:rsidR="00DD62F3" w:rsidRDefault="00DD62F3" w:rsidP="00FC3689">
      <w:pPr>
        <w:pStyle w:val="Geenafstand"/>
        <w:rPr>
          <w:rFonts w:ascii="Arial" w:hAnsi="Arial" w:cs="Arial"/>
          <w:sz w:val="18"/>
          <w:szCs w:val="18"/>
        </w:rPr>
      </w:pPr>
    </w:p>
    <w:p w14:paraId="186AB213" w14:textId="5257F83A" w:rsidR="00896BD2" w:rsidRDefault="00896BD2" w:rsidP="00FC3689">
      <w:pPr>
        <w:pStyle w:val="Geenafstand"/>
        <w:rPr>
          <w:rFonts w:ascii="Arial" w:hAnsi="Arial" w:cs="Arial"/>
          <w:sz w:val="18"/>
          <w:szCs w:val="18"/>
        </w:rPr>
      </w:pPr>
    </w:p>
    <w:p w14:paraId="49C3E7F2" w14:textId="73315326" w:rsidR="00896BD2" w:rsidRPr="005001C2" w:rsidRDefault="00DA60FB" w:rsidP="00896BD2">
      <w:pPr>
        <w:spacing w:after="0" w:line="480" w:lineRule="auto"/>
        <w:jc w:val="both"/>
        <w:rPr>
          <w:rFonts w:ascii="Arial" w:eastAsia="Calibri" w:hAnsi="Arial" w:cs="Arial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D5F88" wp14:editId="1F680A17">
                <wp:simplePos x="0" y="0"/>
                <wp:positionH relativeFrom="column">
                  <wp:posOffset>389626</wp:posOffset>
                </wp:positionH>
                <wp:positionV relativeFrom="paragraph">
                  <wp:posOffset>4718685</wp:posOffset>
                </wp:positionV>
                <wp:extent cx="5472000" cy="0"/>
                <wp:effectExtent l="0" t="76200" r="14605" b="95250"/>
                <wp:wrapNone/>
                <wp:docPr id="97851322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2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402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0.7pt;margin-top:371.55pt;width:430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" strokecolor="#538135 [2409]" strokeweight="1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F50565" wp14:editId="464FC779">
                <wp:simplePos x="0" y="0"/>
                <wp:positionH relativeFrom="column">
                  <wp:posOffset>394780</wp:posOffset>
                </wp:positionH>
                <wp:positionV relativeFrom="paragraph">
                  <wp:posOffset>109220</wp:posOffset>
                </wp:positionV>
                <wp:extent cx="0" cy="4607560"/>
                <wp:effectExtent l="76200" t="38100" r="57150" b="21590"/>
                <wp:wrapNone/>
                <wp:docPr id="464780675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6075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AF1BD" id="Straight Arrow Connector 2" o:spid="_x0000_s1026" type="#_x0000_t32" style="position:absolute;margin-left:31.1pt;margin-top:8.6pt;width:0;height:362.8pt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" strokecolor="#538135 [2409]" strokeweight="1.5pt">
                <v:stroke endarrow="block" joinstyle="miter"/>
              </v:shape>
            </w:pict>
          </mc:Fallback>
        </mc:AlternateContent>
      </w:r>
      <w:r w:rsidR="00896BD2">
        <w:rPr>
          <w:noProof/>
        </w:rPr>
        <w:drawing>
          <wp:inline distT="0" distB="0" distL="0" distR="0" wp14:anchorId="2BD2E3FA" wp14:editId="55ACAD75">
            <wp:extent cx="5979381" cy="5112689"/>
            <wp:effectExtent l="0" t="0" r="2540" b="1206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0AE7EB5-5AFA-4F67-90A5-F1122F9063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7C2F24B" w14:textId="198D7491" w:rsidR="00D57C7F" w:rsidRPr="004E38C5" w:rsidRDefault="00896BD2" w:rsidP="004E38C5">
      <w:pPr>
        <w:spacing w:after="0" w:line="48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t>Figure</w:t>
      </w:r>
      <w:r w:rsidRPr="00B12BF5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>1</w:t>
      </w:r>
      <w:r w:rsidRPr="00B12BF5">
        <w:rPr>
          <w:rFonts w:ascii="Arial" w:eastAsia="Calibri" w:hAnsi="Arial" w:cs="Arial"/>
          <w:b/>
          <w:bCs/>
        </w:rPr>
        <w:t xml:space="preserve"> </w:t>
      </w:r>
      <w:r w:rsidRPr="00B12BF5">
        <w:rPr>
          <w:rFonts w:ascii="Arial" w:eastAsia="Calibri" w:hAnsi="Arial" w:cs="Arial"/>
        </w:rPr>
        <w:t>Changeability and impact of leverage points</w:t>
      </w:r>
      <w:r w:rsidR="00A801CC" w:rsidRPr="007E7EF9">
        <w:rPr>
          <w:rStyle w:val="Voetnootmarkering"/>
          <w:rFonts w:ascii="Arial" w:eastAsia="Calibri" w:hAnsi="Arial" w:cs="Arial"/>
          <w:b/>
          <w:bCs/>
        </w:rPr>
        <w:footnoteReference w:id="1"/>
      </w:r>
      <w:r w:rsidRPr="00B12BF5">
        <w:rPr>
          <w:rFonts w:ascii="Arial" w:eastAsia="Calibri" w:hAnsi="Arial" w:cs="Arial"/>
        </w:rPr>
        <w:t xml:space="preserve"> scored by participants,</w:t>
      </w:r>
      <w:r>
        <w:rPr>
          <w:rFonts w:ascii="Arial" w:eastAsia="Calibri" w:hAnsi="Arial" w:cs="Arial"/>
        </w:rPr>
        <w:t xml:space="preserve"> </w:t>
      </w:r>
      <w:r w:rsidRPr="00B12BF5">
        <w:rPr>
          <w:rFonts w:ascii="Arial" w:eastAsia="Calibri" w:hAnsi="Arial" w:cs="Arial"/>
        </w:rPr>
        <w:t>the numbers in a</w:t>
      </w:r>
      <w:r>
        <w:rPr>
          <w:rFonts w:ascii="Arial" w:eastAsia="Calibri" w:hAnsi="Arial" w:cs="Arial"/>
        </w:rPr>
        <w:t xml:space="preserve"> </w:t>
      </w:r>
      <w:r w:rsidR="00626C60">
        <w:rPr>
          <w:rFonts w:ascii="Arial" w:eastAsia="Calibri" w:hAnsi="Arial" w:cs="Arial"/>
        </w:rPr>
        <w:t xml:space="preserve">yellow </w:t>
      </w:r>
      <w:r>
        <w:rPr>
          <w:rFonts w:ascii="Arial" w:eastAsia="Calibri" w:hAnsi="Arial" w:cs="Arial"/>
        </w:rPr>
        <w:t xml:space="preserve">oval </w:t>
      </w:r>
      <w:r w:rsidRPr="00B12BF5">
        <w:rPr>
          <w:rFonts w:ascii="Arial" w:eastAsia="Calibri" w:hAnsi="Arial" w:cs="Arial"/>
        </w:rPr>
        <w:t xml:space="preserve">shape are the three </w:t>
      </w:r>
      <w:r w:rsidRPr="00AA7223">
        <w:rPr>
          <w:rFonts w:ascii="Arial" w:eastAsia="Calibri" w:hAnsi="Arial" w:cs="Arial"/>
        </w:rPr>
        <w:t>leverage points that had the highest score combination</w:t>
      </w:r>
      <w:r w:rsidR="00CC4378" w:rsidRPr="00AA7223">
        <w:rPr>
          <w:rFonts w:ascii="Arial" w:eastAsia="Calibri" w:hAnsi="Arial" w:cs="Arial"/>
        </w:rPr>
        <w:t xml:space="preserve"> of the sum of impact and changeability</w:t>
      </w:r>
      <w:r w:rsidRPr="00AA7223">
        <w:rPr>
          <w:rFonts w:ascii="Arial" w:eastAsia="Calibri" w:hAnsi="Arial" w:cs="Arial"/>
        </w:rPr>
        <w:t>. The numbers of the leverage points correspond to</w:t>
      </w:r>
      <w:r w:rsidR="00FB707C" w:rsidRPr="00AA7223">
        <w:rPr>
          <w:rFonts w:ascii="Arial" w:eastAsia="Calibri" w:hAnsi="Arial" w:cs="Arial"/>
        </w:rPr>
        <w:t xml:space="preserve"> the underlined</w:t>
      </w:r>
      <w:r w:rsidRPr="00AA7223">
        <w:rPr>
          <w:rFonts w:ascii="Arial" w:eastAsia="Calibri" w:hAnsi="Arial" w:cs="Arial"/>
        </w:rPr>
        <w:t xml:space="preserve"> numbered factors in </w:t>
      </w:r>
      <w:r w:rsidR="00A0334D" w:rsidRPr="00AA7223">
        <w:rPr>
          <w:rFonts w:ascii="Arial" w:eastAsia="Calibri" w:hAnsi="Arial" w:cs="Arial"/>
        </w:rPr>
        <w:t xml:space="preserve">the </w:t>
      </w:r>
      <w:r w:rsidR="004E38C5" w:rsidRPr="00AA7223">
        <w:rPr>
          <w:rFonts w:ascii="Arial" w:eastAsia="Calibri" w:hAnsi="Arial" w:cs="Arial"/>
        </w:rPr>
        <w:t>causal loop diagram</w:t>
      </w:r>
      <w:r w:rsidRPr="00AA7223">
        <w:rPr>
          <w:rFonts w:ascii="Arial" w:eastAsia="Calibri" w:hAnsi="Arial" w:cs="Arial"/>
        </w:rPr>
        <w:t xml:space="preserve"> in Figure </w:t>
      </w:r>
      <w:r w:rsidR="004E38C5" w:rsidRPr="00AA7223">
        <w:rPr>
          <w:rFonts w:ascii="Arial" w:eastAsia="Calibri" w:hAnsi="Arial" w:cs="Arial"/>
        </w:rPr>
        <w:t xml:space="preserve">3 </w:t>
      </w:r>
      <w:r w:rsidR="00FB707C" w:rsidRPr="00AA7223">
        <w:rPr>
          <w:rFonts w:ascii="Arial" w:eastAsia="Calibri" w:hAnsi="Arial" w:cs="Arial"/>
        </w:rPr>
        <w:t>of the Manuscript</w:t>
      </w:r>
      <w:r w:rsidRPr="00AA7223">
        <w:rPr>
          <w:rFonts w:ascii="Arial" w:eastAsia="Calibri" w:hAnsi="Arial" w:cs="Arial"/>
        </w:rPr>
        <w:t>.</w:t>
      </w:r>
    </w:p>
    <w:sectPr w:rsidR="00D57C7F" w:rsidRPr="004E38C5" w:rsidSect="00626C60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01BCB" w14:textId="77777777" w:rsidR="00BA6673" w:rsidRDefault="00BA6673" w:rsidP="00A801CC">
      <w:pPr>
        <w:spacing w:after="0" w:line="240" w:lineRule="auto"/>
      </w:pPr>
      <w:r>
        <w:separator/>
      </w:r>
    </w:p>
  </w:endnote>
  <w:endnote w:type="continuationSeparator" w:id="0">
    <w:p w14:paraId="06D665B1" w14:textId="77777777" w:rsidR="00BA6673" w:rsidRDefault="00BA6673" w:rsidP="00A80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592C7" w14:textId="77777777" w:rsidR="00BA6673" w:rsidRDefault="00BA6673" w:rsidP="00A801CC">
      <w:pPr>
        <w:spacing w:after="0" w:line="240" w:lineRule="auto"/>
      </w:pPr>
      <w:r>
        <w:separator/>
      </w:r>
    </w:p>
  </w:footnote>
  <w:footnote w:type="continuationSeparator" w:id="0">
    <w:p w14:paraId="40CB9A13" w14:textId="77777777" w:rsidR="00BA6673" w:rsidRDefault="00BA6673" w:rsidP="00A801CC">
      <w:pPr>
        <w:spacing w:after="0" w:line="240" w:lineRule="auto"/>
      </w:pPr>
      <w:r>
        <w:continuationSeparator/>
      </w:r>
    </w:p>
  </w:footnote>
  <w:footnote w:id="1">
    <w:p w14:paraId="72395ADE" w14:textId="77777777" w:rsidR="00434882" w:rsidRPr="00434882" w:rsidRDefault="00A801CC" w:rsidP="00434882">
      <w:pPr>
        <w:pStyle w:val="Voetnoottekst"/>
        <w:rPr>
          <w:b/>
          <w:bCs/>
        </w:rPr>
      </w:pPr>
      <w:r>
        <w:rPr>
          <w:rStyle w:val="Voetnootmarkering"/>
        </w:rPr>
        <w:footnoteRef/>
      </w:r>
      <w:r>
        <w:t xml:space="preserve"> </w:t>
      </w:r>
      <w:r w:rsidR="00434882" w:rsidRPr="00434882">
        <w:rPr>
          <w:b/>
          <w:bCs/>
        </w:rPr>
        <w:t xml:space="preserve">Description of the numbered leverage points: </w:t>
      </w:r>
    </w:p>
    <w:p w14:paraId="1D5FE206" w14:textId="77777777" w:rsidR="00434882" w:rsidRDefault="00434882" w:rsidP="00434882">
      <w:pPr>
        <w:pStyle w:val="Voetnoottekst"/>
      </w:pPr>
      <w:r>
        <w:t>1 Nutritional knowledge and skills of patient</w:t>
      </w:r>
    </w:p>
    <w:p w14:paraId="026EBEE6" w14:textId="77777777" w:rsidR="00434882" w:rsidRDefault="00434882" w:rsidP="00434882">
      <w:pPr>
        <w:pStyle w:val="Voetnoottekst"/>
      </w:pPr>
      <w:r>
        <w:t>2 Nutritional knowledge and skills of staff</w:t>
      </w:r>
    </w:p>
    <w:p w14:paraId="6D9E324D" w14:textId="77777777" w:rsidR="00434882" w:rsidRDefault="00434882" w:rsidP="00434882">
      <w:pPr>
        <w:pStyle w:val="Voetnoottekst"/>
      </w:pPr>
      <w:r>
        <w:t>3 (digital) Food marketing</w:t>
      </w:r>
    </w:p>
    <w:p w14:paraId="68FCAF61" w14:textId="77777777" w:rsidR="00434882" w:rsidRDefault="00434882" w:rsidP="00434882">
      <w:pPr>
        <w:pStyle w:val="Voetnoottekst"/>
      </w:pPr>
      <w:r>
        <w:t xml:space="preserve">4 Staff/patient purchases healthy and sustainable food </w:t>
      </w:r>
    </w:p>
    <w:p w14:paraId="40E1134D" w14:textId="77777777" w:rsidR="00434882" w:rsidRDefault="00434882" w:rsidP="00434882">
      <w:pPr>
        <w:pStyle w:val="Voetnoottekst"/>
      </w:pPr>
      <w:r>
        <w:t>5 Budget allocated to healthy and sustainable food</w:t>
      </w:r>
    </w:p>
    <w:p w14:paraId="15AE3C81" w14:textId="77777777" w:rsidR="00434882" w:rsidRDefault="00434882" w:rsidP="00434882">
      <w:pPr>
        <w:pStyle w:val="Voetnoottekst"/>
      </w:pPr>
      <w:r>
        <w:t>6 Healthy and sustainable food is part of (preventive) care plan</w:t>
      </w:r>
    </w:p>
    <w:p w14:paraId="5853D7EF" w14:textId="77777777" w:rsidR="00434882" w:rsidRDefault="00434882" w:rsidP="00434882">
      <w:pPr>
        <w:pStyle w:val="Voetnoottekst"/>
      </w:pPr>
      <w:r>
        <w:t>7 Working interdisciplinary around food</w:t>
      </w:r>
    </w:p>
    <w:p w14:paraId="238FD912" w14:textId="77777777" w:rsidR="00434882" w:rsidRDefault="00434882" w:rsidP="00434882">
      <w:pPr>
        <w:pStyle w:val="Voetnoottekst"/>
      </w:pPr>
      <w:r>
        <w:t>8 Support within entire organization</w:t>
      </w:r>
    </w:p>
    <w:p w14:paraId="60875AEF" w14:textId="77777777" w:rsidR="00434882" w:rsidRDefault="00434882" w:rsidP="00434882">
      <w:pPr>
        <w:pStyle w:val="Voetnoottekst"/>
      </w:pPr>
      <w:r>
        <w:t xml:space="preserve">9 Staff availability in time </w:t>
      </w:r>
    </w:p>
    <w:p w14:paraId="43B86308" w14:textId="77777777" w:rsidR="00434882" w:rsidRDefault="00434882" w:rsidP="00434882">
      <w:pPr>
        <w:pStyle w:val="Voetnoottekst"/>
      </w:pPr>
      <w:r>
        <w:t>10 Policy on food environment formulated and implemented by the organization</w:t>
      </w:r>
    </w:p>
    <w:p w14:paraId="7411A8DA" w14:textId="0CDF7237" w:rsidR="00A801CC" w:rsidRDefault="00434882" w:rsidP="00434882">
      <w:pPr>
        <w:pStyle w:val="Voetnoottekst"/>
      </w:pPr>
      <w:r>
        <w:t>11 (National) Policy on food environment</w:t>
      </w:r>
    </w:p>
    <w:p w14:paraId="4F490EE6" w14:textId="512ABF47" w:rsidR="00434882" w:rsidRPr="008E03A1" w:rsidRDefault="00434882" w:rsidP="00434882">
      <w:pPr>
        <w:pStyle w:val="Voetnoottekst"/>
        <w:rPr>
          <w:lang w:val="en-US"/>
        </w:rPr>
      </w:pPr>
      <w:r w:rsidRPr="008E03A1">
        <w:rPr>
          <w:lang w:val="en-US"/>
        </w:rPr>
        <w:t>12 Lobby and agenda setting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7F"/>
    <w:rsid w:val="00094D24"/>
    <w:rsid w:val="000B1DB4"/>
    <w:rsid w:val="00124417"/>
    <w:rsid w:val="00191B0F"/>
    <w:rsid w:val="001D6D3F"/>
    <w:rsid w:val="002207EC"/>
    <w:rsid w:val="00253C66"/>
    <w:rsid w:val="002607FC"/>
    <w:rsid w:val="00265AF2"/>
    <w:rsid w:val="002E77F4"/>
    <w:rsid w:val="0030267D"/>
    <w:rsid w:val="00311A66"/>
    <w:rsid w:val="003606ED"/>
    <w:rsid w:val="00434882"/>
    <w:rsid w:val="004B4AB8"/>
    <w:rsid w:val="004E38C5"/>
    <w:rsid w:val="005124BE"/>
    <w:rsid w:val="0054395B"/>
    <w:rsid w:val="005A6E8E"/>
    <w:rsid w:val="006001DF"/>
    <w:rsid w:val="006214FD"/>
    <w:rsid w:val="006222C2"/>
    <w:rsid w:val="00626C60"/>
    <w:rsid w:val="006754DC"/>
    <w:rsid w:val="00692577"/>
    <w:rsid w:val="007409FA"/>
    <w:rsid w:val="00765170"/>
    <w:rsid w:val="007753BF"/>
    <w:rsid w:val="007E7EF9"/>
    <w:rsid w:val="00885CBA"/>
    <w:rsid w:val="00896BD2"/>
    <w:rsid w:val="008E03A1"/>
    <w:rsid w:val="009E3444"/>
    <w:rsid w:val="00A0334D"/>
    <w:rsid w:val="00A801CC"/>
    <w:rsid w:val="00AA7223"/>
    <w:rsid w:val="00B21500"/>
    <w:rsid w:val="00B257AA"/>
    <w:rsid w:val="00B27AD7"/>
    <w:rsid w:val="00B71992"/>
    <w:rsid w:val="00B77978"/>
    <w:rsid w:val="00BA1D5A"/>
    <w:rsid w:val="00BA6673"/>
    <w:rsid w:val="00BE3724"/>
    <w:rsid w:val="00C44178"/>
    <w:rsid w:val="00CB73C4"/>
    <w:rsid w:val="00CC4378"/>
    <w:rsid w:val="00CD22D5"/>
    <w:rsid w:val="00D57C7F"/>
    <w:rsid w:val="00DA60FB"/>
    <w:rsid w:val="00DD62F3"/>
    <w:rsid w:val="00E72652"/>
    <w:rsid w:val="00E772DB"/>
    <w:rsid w:val="00EF3774"/>
    <w:rsid w:val="00EF7E21"/>
    <w:rsid w:val="00FB707C"/>
    <w:rsid w:val="00FC23D0"/>
    <w:rsid w:val="00FC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C435"/>
  <w15:chartTrackingRefBased/>
  <w15:docId w15:val="{D8EFEB45-4ED9-48F9-8476-F3E7F43F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6BD2"/>
    <w:rPr>
      <w:kern w:val="0"/>
      <w:lang w:val="en-GB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C3689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91B0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91B0F"/>
    <w:pPr>
      <w:spacing w:line="240" w:lineRule="auto"/>
    </w:pPr>
    <w:rPr>
      <w:kern w:val="2"/>
      <w:sz w:val="20"/>
      <w:szCs w:val="20"/>
      <w:lang w:val="nl-NL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91B0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91B0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91B0F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801C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801CC"/>
    <w:rPr>
      <w:kern w:val="0"/>
      <w:sz w:val="20"/>
      <w:szCs w:val="20"/>
      <w:lang w:val="en-GB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801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wageningenur4-my.sharepoint.com/personal/joline_wierda_wur_nl/Documents/1.%20Phd_Joline_RDFV_2.4/Studie_3%20-%20co-creatie%205%20zorginst/Paper/Resultaten/Scores_knoppen_leverage_points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'April 2024'!$C$2:$C$13</c:f>
              <c:strCache>
                <c:ptCount val="12"/>
                <c:pt idx="0">
                  <c:v>25</c:v>
                </c:pt>
                <c:pt idx="1">
                  <c:v>10</c:v>
                </c:pt>
                <c:pt idx="2">
                  <c:v>60</c:v>
                </c:pt>
                <c:pt idx="3">
                  <c:v>50</c:v>
                </c:pt>
                <c:pt idx="4">
                  <c:v>51</c:v>
                </c:pt>
                <c:pt idx="5">
                  <c:v>43</c:v>
                </c:pt>
                <c:pt idx="6">
                  <c:v>44</c:v>
                </c:pt>
                <c:pt idx="7">
                  <c:v>42</c:v>
                </c:pt>
                <c:pt idx="8">
                  <c:v>47</c:v>
                </c:pt>
                <c:pt idx="9">
                  <c:v>40</c:v>
                </c:pt>
                <c:pt idx="10">
                  <c:v>31</c:v>
                </c:pt>
                <c:pt idx="11">
                  <c:v>34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fld id="{42E52933-C4FF-403E-83E7-86BBE10B5472}" type="CELLRANGE">
                      <a:rPr lang="nl-NL"/>
                      <a:pPr/>
                      <a:t>[CELLRANGE]</a:t>
                    </a:fld>
                    <a:endParaRPr lang="nl-NL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0-85DC-4E9A-9AD8-B7D340B877A2}"/>
                </c:ext>
              </c:extLst>
            </c:dLbl>
            <c:dLbl>
              <c:idx val="1"/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211DF904-4AE1-4458-A773-DF753DDA6B17}" type="CELLRANGE">
                      <a:rPr lang="en-US"/>
                      <a:pPr>
                        <a:defRPr sz="1400" b="1">
                          <a:solidFill>
                            <a:schemeClr val="dk1"/>
                          </a:solidFill>
                        </a:defRPr>
                      </a:pPr>
                      <a:t>[CELLRANGE]</a:t>
                    </a:fld>
                    <a:endParaRPr lang="nl-NL"/>
                  </a:p>
                </c:rich>
              </c:tx>
              <c:spPr>
                <a:solidFill>
                  <a:schemeClr val="accent4">
                    <a:lumMod val="40000"/>
                    <a:lumOff val="60000"/>
                  </a:schemeClr>
                </a:solidFill>
                <a:ln w="12700" cap="flat" cmpd="sng" algn="ctr">
                  <a:solidFill>
                    <a:schemeClr val="dk1"/>
                  </a:solidFill>
                  <a:prstDash val="solid"/>
                  <a:miter lim="800000"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nl-NL"/>
                </a:p>
              </c:txPr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ellipse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6.1539119007681706E-2"/>
                      <c:h val="4.6154339255761276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85DC-4E9A-9AD8-B7D340B877A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7AEBCE6B-84EE-4B2C-8F1C-CB0878B66A42}" type="CELLRANGE">
                      <a:rPr lang="nl-NL"/>
                      <a:pPr/>
                      <a:t>[CELLRANGE]</a:t>
                    </a:fld>
                    <a:endParaRPr lang="nl-NL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85DC-4E9A-9AD8-B7D340B877A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7B4A446B-65F3-4355-9EBF-17BD31DC141A}" type="CELLRANGE">
                      <a:rPr lang="nl-NL"/>
                      <a:pPr/>
                      <a:t>[CELLRANGE]</a:t>
                    </a:fld>
                    <a:endParaRPr lang="nl-NL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85DC-4E9A-9AD8-B7D340B877A2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1896DB36-D57B-4D98-8A31-8A9BEA7B560D}" type="CELLRANGE">
                      <a:rPr lang="nl-NL"/>
                      <a:pPr/>
                      <a:t>[CELLRANGE]</a:t>
                    </a:fld>
                    <a:endParaRPr lang="nl-NL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85DC-4E9A-9AD8-B7D340B877A2}"/>
                </c:ext>
              </c:extLst>
            </c:dLbl>
            <c:dLbl>
              <c:idx val="5"/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CD3ED16-3C32-48AA-9D02-64539F62887C}" type="CELLRANGE">
                      <a:rPr lang="en-US"/>
                      <a:pPr>
                        <a:defRPr sz="1400" b="1">
                          <a:solidFill>
                            <a:schemeClr val="dk1"/>
                          </a:solidFill>
                        </a:defRPr>
                      </a:pPr>
                      <a:t>[CELLRANGE]</a:t>
                    </a:fld>
                    <a:endParaRPr lang="nl-NL"/>
                  </a:p>
                </c:rich>
              </c:tx>
              <c:spPr>
                <a:solidFill>
                  <a:schemeClr val="accent4">
                    <a:lumMod val="40000"/>
                    <a:lumOff val="60000"/>
                  </a:schemeClr>
                </a:solidFill>
                <a:ln w="12700" cap="flat" cmpd="sng" algn="ctr">
                  <a:solidFill>
                    <a:schemeClr val="dk1"/>
                  </a:solidFill>
                  <a:prstDash val="solid"/>
                  <a:miter lim="800000"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nl-NL"/>
                </a:p>
              </c:txPr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ellipse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6.1539119007681706E-2"/>
                      <c:h val="4.6154339255761276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85DC-4E9A-9AD8-B7D340B877A2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F1564E39-FBAD-47CC-A8D9-784CCDC6E292}" type="CELLRANGE">
                      <a:rPr lang="nl-NL"/>
                      <a:pPr/>
                      <a:t>[CELLRANGE]</a:t>
                    </a:fld>
                    <a:endParaRPr lang="nl-NL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6-85DC-4E9A-9AD8-B7D340B877A2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315DA722-CDC5-444D-8ECE-96B908621174}" type="CELLRANGE">
                      <a:rPr lang="nl-NL"/>
                      <a:pPr/>
                      <a:t>[CELLRANGE]</a:t>
                    </a:fld>
                    <a:endParaRPr lang="nl-NL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85DC-4E9A-9AD8-B7D340B877A2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94A0B280-966F-459E-8988-DBE77881921C}" type="CELLRANGE">
                      <a:rPr lang="nl-NL"/>
                      <a:pPr/>
                      <a:t>[CELLRANGE]</a:t>
                    </a:fld>
                    <a:endParaRPr lang="nl-NL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85DC-4E9A-9AD8-B7D340B877A2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5FAED0AD-A822-4040-BE6F-E31EBCC9756A}" type="CELLRANGE">
                      <a:rPr lang="nl-NL"/>
                      <a:pPr/>
                      <a:t>[CELLRANGE]</a:t>
                    </a:fld>
                    <a:endParaRPr lang="nl-NL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85DC-4E9A-9AD8-B7D340B877A2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B124E4C6-F3CF-456F-8A9F-0E5D5DEADAA4}" type="CELLRANGE">
                      <a:rPr lang="nl-NL"/>
                      <a:pPr/>
                      <a:t>[CELLRANGE]</a:t>
                    </a:fld>
                    <a:endParaRPr lang="nl-NL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A-85DC-4E9A-9AD8-B7D340B877A2}"/>
                </c:ext>
              </c:extLst>
            </c:dLbl>
            <c:dLbl>
              <c:idx val="11"/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C693F52-B969-4CBD-AB9E-2AE13C08E15E}" type="CELLRANGE">
                      <a:rPr lang="en-US"/>
                      <a:pPr>
                        <a:defRPr sz="1400" b="1">
                          <a:solidFill>
                            <a:schemeClr val="dk1"/>
                          </a:solidFill>
                        </a:defRPr>
                      </a:pPr>
                      <a:t>[CELLRANGE]</a:t>
                    </a:fld>
                    <a:endParaRPr lang="nl-NL"/>
                  </a:p>
                </c:rich>
              </c:tx>
              <c:spPr>
                <a:solidFill>
                  <a:schemeClr val="accent4">
                    <a:lumMod val="40000"/>
                    <a:lumOff val="60000"/>
                  </a:schemeClr>
                </a:solidFill>
                <a:ln w="12700" cap="flat" cmpd="sng" algn="ctr">
                  <a:solidFill>
                    <a:schemeClr val="dk1"/>
                  </a:solidFill>
                  <a:prstDash val="solid"/>
                  <a:miter lim="800000"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nl-NL"/>
                </a:p>
              </c:txPr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ellipse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6.1539119007681706E-2"/>
                      <c:h val="4.6154339255761276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B-85DC-4E9A-9AD8-B7D340B877A2}"/>
                </c:ext>
              </c:extLst>
            </c:dLbl>
            <c:spPr>
              <a:solidFill>
                <a:schemeClr val="lt1"/>
              </a:solidFill>
              <a:ln w="1270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nl-N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'April 2024'!$H$2:$H$13</c:f>
              <c:numCache>
                <c:formatCode>0.00</c:formatCode>
                <c:ptCount val="12"/>
                <c:pt idx="0">
                  <c:v>5.7777777777777777</c:v>
                </c:pt>
                <c:pt idx="1">
                  <c:v>7</c:v>
                </c:pt>
                <c:pt idx="2">
                  <c:v>6.333333333333333</c:v>
                </c:pt>
                <c:pt idx="3">
                  <c:v>7.1111111111111107</c:v>
                </c:pt>
                <c:pt idx="4">
                  <c:v>7.2222222222222223</c:v>
                </c:pt>
                <c:pt idx="5">
                  <c:v>7.4444444444444446</c:v>
                </c:pt>
                <c:pt idx="6">
                  <c:v>6.666666666666667</c:v>
                </c:pt>
                <c:pt idx="7">
                  <c:v>8</c:v>
                </c:pt>
                <c:pt idx="8">
                  <c:v>7.2222222222222223</c:v>
                </c:pt>
                <c:pt idx="9">
                  <c:v>7</c:v>
                </c:pt>
                <c:pt idx="10">
                  <c:v>7.333333333333333</c:v>
                </c:pt>
                <c:pt idx="11">
                  <c:v>7.333333333333333</c:v>
                </c:pt>
              </c:numCache>
            </c:numRef>
          </c:xVal>
          <c:yVal>
            <c:numRef>
              <c:f>'April 2024'!$F$2:$F$13</c:f>
              <c:numCache>
                <c:formatCode>0.00</c:formatCode>
                <c:ptCount val="12"/>
                <c:pt idx="0">
                  <c:v>5.1111111111111107</c:v>
                </c:pt>
                <c:pt idx="1">
                  <c:v>6.1111111111111107</c:v>
                </c:pt>
                <c:pt idx="2">
                  <c:v>3.4444444444444446</c:v>
                </c:pt>
                <c:pt idx="3">
                  <c:v>5.5555555555555554</c:v>
                </c:pt>
                <c:pt idx="4">
                  <c:v>3.2777777777777777</c:v>
                </c:pt>
                <c:pt idx="5">
                  <c:v>5.4444444444444446</c:v>
                </c:pt>
                <c:pt idx="6">
                  <c:v>6.1111111111111107</c:v>
                </c:pt>
                <c:pt idx="7">
                  <c:v>4.1111111111111107</c:v>
                </c:pt>
                <c:pt idx="8">
                  <c:v>2.8888888888888888</c:v>
                </c:pt>
                <c:pt idx="9">
                  <c:v>4.7777777777777777</c:v>
                </c:pt>
                <c:pt idx="10">
                  <c:v>4.1111111111111107</c:v>
                </c:pt>
                <c:pt idx="11">
                  <c:v>5.666666666666667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'April 2024'!$D$2:$D$13</c15:f>
                <c15:dlblRangeCache>
                  <c:ptCount val="12"/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C-85DC-4E9A-9AD8-B7D340B877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638812720"/>
        <c:axId val="401208096"/>
      </c:scatterChart>
      <c:valAx>
        <c:axId val="638812720"/>
        <c:scaling>
          <c:orientation val="minMax"/>
          <c:min val="5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 sz="1400" b="1"/>
                  <a:t>Impact</a:t>
                </a:r>
                <a:endParaRPr lang="nl-NL" sz="1400" b="1" baseline="0"/>
              </a:p>
            </c:rich>
          </c:tx>
          <c:layout>
            <c:manualLayout>
              <c:xMode val="edge"/>
              <c:yMode val="edge"/>
              <c:x val="0.4615984519564621"/>
              <c:y val="0.9377568395181504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nl-NL"/>
            </a:p>
          </c:txPr>
        </c:title>
        <c:numFmt formatCode="0.00" sourceLinked="1"/>
        <c:majorTickMark val="out"/>
        <c:minorTickMark val="none"/>
        <c:tickLblPos val="nextTo"/>
        <c:crossAx val="401208096"/>
        <c:crossesAt val="0"/>
        <c:crossBetween val="midCat"/>
        <c:majorUnit val="1"/>
      </c:valAx>
      <c:valAx>
        <c:axId val="401208096"/>
        <c:scaling>
          <c:orientation val="minMax"/>
          <c:min val="2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 sz="1400" b="1"/>
                  <a:t>Changeability</a:t>
                </a:r>
              </a:p>
            </c:rich>
          </c:tx>
          <c:layout>
            <c:manualLayout>
              <c:xMode val="edge"/>
              <c:yMode val="edge"/>
              <c:x val="6.3721325403568391E-3"/>
              <c:y val="0.3556885876161516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nl-NL"/>
            </a:p>
          </c:txPr>
        </c:title>
        <c:numFmt formatCode="0.00" sourceLinked="1"/>
        <c:majorTickMark val="out"/>
        <c:minorTickMark val="none"/>
        <c:tickLblPos val="nextTo"/>
        <c:crossAx val="638812720"/>
        <c:crossesAt val="0"/>
        <c:crossBetween val="midCat"/>
        <c:majorUnit val="1"/>
      </c:valAx>
      <c:spPr>
        <a:noFill/>
        <a:ln>
          <a:noFill/>
          <a:beve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>
        <a:alpha val="42000"/>
      </a:schemeClr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0.03857</cdr:x>
      <cdr:y>0.93312</cdr:y>
    </cdr:from>
    <cdr:to>
      <cdr:x>0.1915</cdr:x>
      <cdr:y>0.98606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230588" y="4770480"/>
          <a:ext cx="914400" cy="2706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nl-NL" sz="1400" i="1" baseline="0">
              <a:latin typeface="+mn-lt"/>
            </a:rPr>
            <a:t>Low impact</a:t>
          </a:r>
          <a:endParaRPr lang="nl-NL" sz="1400" i="1">
            <a:latin typeface="+mn-lt"/>
          </a:endParaRPr>
        </a:p>
      </cdr:txBody>
    </cdr:sp>
  </cdr:relSizeAnchor>
  <cdr:relSizeAnchor xmlns:cdr="http://schemas.openxmlformats.org/drawingml/2006/chartDrawing">
    <cdr:from>
      <cdr:x>0.82833</cdr:x>
      <cdr:y>0.93259</cdr:y>
    </cdr:from>
    <cdr:to>
      <cdr:x>0.98126</cdr:x>
      <cdr:y>0.98553</cdr:y>
    </cdr:to>
    <cdr:sp macro="" textlink="">
      <cdr:nvSpPr>
        <cdr:cNvPr id="4" name="Text Box 1"/>
        <cdr:cNvSpPr txBox="1"/>
      </cdr:nvSpPr>
      <cdr:spPr>
        <a:xfrm xmlns:a="http://schemas.openxmlformats.org/drawingml/2006/main">
          <a:off x="4952714" y="4767775"/>
          <a:ext cx="914393" cy="2706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nl-NL" sz="1400" i="1" baseline="0"/>
            <a:t>High impact</a:t>
          </a:r>
          <a:endParaRPr lang="nl-NL" sz="1400" i="1"/>
        </a:p>
      </cdr:txBody>
    </cdr:sp>
  </cdr:relSizeAnchor>
  <cdr:relSizeAnchor xmlns:cdr="http://schemas.openxmlformats.org/drawingml/2006/chartDrawing">
    <cdr:from>
      <cdr:x>0</cdr:x>
      <cdr:y>0.76315</cdr:y>
    </cdr:from>
    <cdr:to>
      <cdr:x>0.04527</cdr:x>
      <cdr:y>0.94201</cdr:y>
    </cdr:to>
    <cdr:sp macro="" textlink="">
      <cdr:nvSpPr>
        <cdr:cNvPr id="2" name="Text Box 1"/>
        <cdr:cNvSpPr txBox="1"/>
      </cdr:nvSpPr>
      <cdr:spPr>
        <a:xfrm xmlns:a="http://schemas.openxmlformats.org/drawingml/2006/main" rot="16200000">
          <a:off x="-321872" y="4223393"/>
          <a:ext cx="914393" cy="2706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nl-NL" sz="1400" i="1" baseline="0">
              <a:latin typeface="+mn-lt"/>
            </a:rPr>
            <a:t>Hard to change</a:t>
          </a:r>
          <a:endParaRPr lang="nl-NL" sz="1400" i="1">
            <a:latin typeface="+mn-lt"/>
          </a:endParaRPr>
        </a:p>
      </cdr:txBody>
    </cdr:sp>
  </cdr:relSizeAnchor>
  <cdr:relSizeAnchor xmlns:cdr="http://schemas.openxmlformats.org/drawingml/2006/chartDrawing">
    <cdr:from>
      <cdr:x>0</cdr:x>
      <cdr:y>0.07523</cdr:y>
    </cdr:from>
    <cdr:to>
      <cdr:x>0.04527</cdr:x>
      <cdr:y>0.25409</cdr:y>
    </cdr:to>
    <cdr:sp macro="" textlink="">
      <cdr:nvSpPr>
        <cdr:cNvPr id="6" name="Text Box 1"/>
        <cdr:cNvSpPr txBox="1"/>
      </cdr:nvSpPr>
      <cdr:spPr>
        <a:xfrm xmlns:a="http://schemas.openxmlformats.org/drawingml/2006/main" rot="16200000">
          <a:off x="-1222203" y="706468"/>
          <a:ext cx="914393" cy="2706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nl-NL" sz="1400" i="1" baseline="0">
              <a:latin typeface="+mn-lt"/>
            </a:rPr>
            <a:t>Easy to change</a:t>
          </a:r>
          <a:endParaRPr lang="nl-NL" sz="1400" i="1">
            <a:latin typeface="+mn-lt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101</Words>
  <Characters>561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Wierda, Joline</dc:creator>
  <cp:keywords/>
  <dc:description/>
  <cp:lastModifiedBy>Wierda, Joline</cp:lastModifiedBy>
  <cp:revision>59</cp:revision>
  <dcterms:created xsi:type="dcterms:W3CDTF">2024-11-05T13:34:00Z</dcterms:created>
  <dcterms:modified xsi:type="dcterms:W3CDTF">2025-01-07T15:39:00Z</dcterms:modified>
</cp:coreProperties>
</file>