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ADDITIONAL FILE 3.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Table 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Pharmacological treatment initiation after a first AMI according to the kind of prescription. Odds Ratios from gender comparison.  </w:t>
      </w:r>
      <w:r w:rsidDel="00000000" w:rsidR="00000000" w:rsidRPr="00000000">
        <w:rPr>
          <w:rtl w:val="0"/>
        </w:rPr>
      </w:r>
    </w:p>
    <w:tbl>
      <w:tblPr>
        <w:tblStyle w:val="Table1"/>
        <w:tblW w:w="13151.0" w:type="dxa"/>
        <w:jc w:val="left"/>
        <w:tblLayout w:type="fixed"/>
        <w:tblLook w:val="0400"/>
      </w:tblPr>
      <w:tblGrid>
        <w:gridCol w:w="3000"/>
        <w:gridCol w:w="1313"/>
        <w:gridCol w:w="1200"/>
        <w:gridCol w:w="1200"/>
        <w:gridCol w:w="1197"/>
        <w:gridCol w:w="1934"/>
        <w:gridCol w:w="1454"/>
        <w:gridCol w:w="1151"/>
        <w:gridCol w:w="702"/>
        <w:tblGridChange w:id="0">
          <w:tblGrid>
            <w:gridCol w:w="3000"/>
            <w:gridCol w:w="1313"/>
            <w:gridCol w:w="1200"/>
            <w:gridCol w:w="1200"/>
            <w:gridCol w:w="1197"/>
            <w:gridCol w:w="1934"/>
            <w:gridCol w:w="1454"/>
            <w:gridCol w:w="1151"/>
            <w:gridCol w:w="70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Initiation New users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Former users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Odds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CI (95%)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p values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Odds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CI (95%)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p values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595959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ptos Narrow" w:cs="Aptos Narrow" w:eastAsia="Aptos Narrow" w:hAnsi="Aptos Narrow"/>
                <w:b w:val="1"/>
                <w:color w:val="ffffff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ffffff"/>
                <w:rtl w:val="0"/>
              </w:rPr>
              <w:t xml:space="preserve">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Main guideline-recommended drugs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Antiplatelets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0.33 – 1.59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3230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0.77 – 1.99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345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Beta-blockers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0.46 – 1.39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2317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0.88 – 1.83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593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Lipid modifying agents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0.40 – 1.20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2791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0.97 – 1.81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756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ACE-I/ARBs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0.44 – 1.52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0.83 – 1.35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1181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MRA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0.11 – 5.17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0.09 – 1.25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57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Comedications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Rivaroxaban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26704232.14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0.00 – 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0.19 – 2.11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0.475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47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Dabigatran etexilate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0.00 – Inf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148691304.95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0.00 – 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Nitrates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0.87 – 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0.212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1327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0.88 – 2.22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361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CCBs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0.30 – 3.74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0.85 – 2.64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276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PPIs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0.56 – 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0.934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2032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1.06 – 1.75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b w:val="1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color w:val="000000"/>
                <w:rtl w:val="0"/>
              </w:rPr>
              <w:t xml:space="preserve">0.016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right"/>
              <w:rPr>
                <w:rFonts w:ascii="Aptos Narrow" w:cs="Aptos Narrow" w:eastAsia="Aptos Narrow" w:hAnsi="Aptos Narrow"/>
                <w:color w:val="000000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1432</w:t>
            </w:r>
          </w:p>
        </w:tc>
      </w:tr>
    </w:tbl>
    <w:p w:rsidR="00000000" w:rsidDel="00000000" w:rsidP="00000000" w:rsidRDefault="00000000" w:rsidRPr="00000000" w14:paraId="00000082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CI: Confidence interval 95%. p: statistical significance p&lt;0.05 N: number.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ACE-I: angiotensin-converting enzyme inhibitors; ARB: angiotensin receptor blocker. 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MRA: mineralocorticoid receptor antagonist; CCB: calcium channel blockers, PPIs: proton pump inhibitors.</w:t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New users: population who started a new treatment with the drug of interest within 30 days after AMI.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Former users: population who had an active prescription before the AMI and continued with the treatment after.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ptos Narro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E64202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E64202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E64202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E64202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E64202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E64202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E64202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E64202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E64202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E6420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E6420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E6420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E6420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E64202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E6420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E64202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E6420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E6420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E64202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E6420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E64202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E6420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E6420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E64202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E64202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E64202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E6420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E64202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E64202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grJawNlCOYlcoiVQQWOUqK18SQ==">CgMxLjA4AGouChRzdWdnZXN0LnV1eXZxaDZ2ZWM5MBIWSXNhYmVsIEFndWlsYXIgUGFsYWNpb2ouChRzdWdnZXN0LmJ0dXQ5anpjdGRoMxIWSXNhYmVsIEFndWlsYXIgUGFsYWNpb2otChNzdWdnZXN0LmFqeXMycHl4d2wwEhZJc2FiZWwgQWd1aWxhciBQYWxhY2lvai4KFHN1Z2dlc3QudDJ0em9rYWh0cTJhEhZJc2FiZWwgQWd1aWxhciBQYWxhY2lvciExbDBMU2RNQkltdjc5V2lZZ1dwVFJwOXZpM0U5bnZhX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2024-08-07T10:53:00Z</dcterms:created>
  <dc:creator>Irene López Ferreruela</dc:creator>
</cp:coreProperties>
</file>