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695B51" w:rsidRDefault="00AA04E5" w:rsidP="00AE3D79">
      <w:pPr>
        <w:spacing w:after="0" w:line="360" w:lineRule="auto"/>
        <w:rPr>
          <w:rFonts w:ascii="Times New Roman" w:hAnsi="Times New Roman" w:cs="Times New Roman"/>
          <w:b/>
          <w:sz w:val="28"/>
          <w:szCs w:val="28"/>
        </w:rPr>
      </w:pPr>
      <w:r w:rsidRPr="00695B51">
        <w:rPr>
          <w:rFonts w:ascii="Times New Roman" w:hAnsi="Times New Roman" w:cs="Times New Roman"/>
          <w:b/>
          <w:sz w:val="28"/>
          <w:szCs w:val="28"/>
        </w:rPr>
        <w:t xml:space="preserve">Main characteristics of the 31 provincial-level administrative regions </w:t>
      </w:r>
      <w:r w:rsidR="00581A61" w:rsidRPr="00695B51">
        <w:rPr>
          <w:rFonts w:ascii="Times New Roman" w:hAnsi="Times New Roman" w:cs="Times New Roman"/>
          <w:b/>
          <w:sz w:val="28"/>
          <w:szCs w:val="28"/>
        </w:rPr>
        <w:t xml:space="preserve">(excluding Hong Kong, Macao and Taiwan) </w:t>
      </w:r>
      <w:r w:rsidRPr="00695B51">
        <w:rPr>
          <w:rFonts w:ascii="Times New Roman" w:hAnsi="Times New Roman" w:cs="Times New Roman"/>
          <w:b/>
          <w:sz w:val="28"/>
          <w:szCs w:val="28"/>
        </w:rPr>
        <w:t>in mainland China</w:t>
      </w:r>
    </w:p>
    <w:p w:rsidR="00113512" w:rsidRDefault="00113512" w:rsidP="00AE3D79">
      <w:pPr>
        <w:spacing w:after="0" w:line="360" w:lineRule="auto"/>
        <w:rPr>
          <w:rFonts w:ascii="Times New Roman" w:hAnsi="Times New Roman" w:cs="Times New Roman"/>
          <w:sz w:val="24"/>
          <w:szCs w:val="28"/>
        </w:rPr>
      </w:pPr>
    </w:p>
    <w:p w:rsidR="00AA04E5" w:rsidRDefault="00113512" w:rsidP="00AE3D79">
      <w:pPr>
        <w:spacing w:after="0" w:line="360" w:lineRule="auto"/>
        <w:rPr>
          <w:rFonts w:ascii="Times New Roman" w:hAnsi="Times New Roman" w:cs="Times New Roman"/>
          <w:sz w:val="24"/>
          <w:szCs w:val="28"/>
        </w:rPr>
      </w:pPr>
      <w:r w:rsidRPr="00113512">
        <w:rPr>
          <w:rFonts w:ascii="Times New Roman" w:hAnsi="Times New Roman" w:cs="Times New Roman"/>
          <w:sz w:val="24"/>
          <w:szCs w:val="28"/>
        </w:rPr>
        <w:t>The 31 provincial-level administrative regions in mainland China (excluding Hong Kong, Macao and Taiwan) include 22 provinces, 5 autonomous regions and 4 municipalities directly under the central government.</w:t>
      </w:r>
      <w:r w:rsidR="00142858" w:rsidRPr="00142858">
        <w:t xml:space="preserve"> </w:t>
      </w:r>
      <w:r w:rsidR="00142858" w:rsidRPr="00142858">
        <w:rPr>
          <w:rFonts w:ascii="Times New Roman" w:hAnsi="Times New Roman" w:cs="Times New Roman"/>
          <w:sz w:val="24"/>
          <w:szCs w:val="28"/>
        </w:rPr>
        <w:t xml:space="preserve">Provincial-level administrative units in China are the highest level of local administrative regions </w:t>
      </w:r>
      <w:r w:rsidR="00C23CD1" w:rsidRPr="00C23CD1">
        <w:rPr>
          <w:rFonts w:ascii="Times New Roman" w:hAnsi="Times New Roman" w:cs="Times New Roman"/>
          <w:sz w:val="24"/>
          <w:szCs w:val="28"/>
        </w:rPr>
        <w:t>directly</w:t>
      </w:r>
      <w:r w:rsidR="00C23CD1">
        <w:rPr>
          <w:rFonts w:ascii="Times New Roman" w:hAnsi="Times New Roman" w:cs="Times New Roman" w:hint="eastAsia"/>
          <w:sz w:val="24"/>
          <w:szCs w:val="28"/>
        </w:rPr>
        <w:t xml:space="preserve"> </w:t>
      </w:r>
      <w:r w:rsidR="00142858" w:rsidRPr="00142858">
        <w:rPr>
          <w:rFonts w:ascii="Times New Roman" w:hAnsi="Times New Roman" w:cs="Times New Roman"/>
          <w:sz w:val="24"/>
          <w:szCs w:val="28"/>
        </w:rPr>
        <w:t xml:space="preserve">under the Central People's Government. The main responsibility of provincial-level governments is to </w:t>
      </w:r>
      <w:r w:rsidR="009769F7" w:rsidRPr="009769F7">
        <w:rPr>
          <w:rFonts w:ascii="Times New Roman" w:hAnsi="Times New Roman" w:cs="Times New Roman"/>
          <w:sz w:val="24"/>
          <w:szCs w:val="28"/>
        </w:rPr>
        <w:t>guide</w:t>
      </w:r>
      <w:r w:rsidR="00142858" w:rsidRPr="00142858">
        <w:rPr>
          <w:rFonts w:ascii="Times New Roman" w:hAnsi="Times New Roman" w:cs="Times New Roman"/>
          <w:sz w:val="24"/>
          <w:szCs w:val="28"/>
        </w:rPr>
        <w:t xml:space="preserve"> the political, economic, cultural and social development of their regions.</w:t>
      </w:r>
      <w:r w:rsidR="00EB3339" w:rsidRPr="00EB3339">
        <w:t xml:space="preserve"> </w:t>
      </w:r>
      <w:r w:rsidR="00EB3339" w:rsidRPr="00EB3339">
        <w:rPr>
          <w:rFonts w:ascii="Times New Roman" w:hAnsi="Times New Roman" w:cs="Times New Roman"/>
          <w:sz w:val="24"/>
          <w:szCs w:val="28"/>
        </w:rPr>
        <w:t>Specifically, provincial-level governments are responsible for such tasks as formulating development strategies and plans for their regions, formulating policies and regulations, managing the region's resources and environment, and maintaining social stability. Provincial-level governments also have a certain degree of legislative and judicial power, and are able to implement special policies in response to the particular circumstances of their regions.</w:t>
      </w:r>
    </w:p>
    <w:p w:rsidR="00EB3339" w:rsidRDefault="00EC4D4F" w:rsidP="00EC4D4F">
      <w:pPr>
        <w:spacing w:after="0" w:line="360" w:lineRule="auto"/>
        <w:ind w:firstLineChars="200" w:firstLine="480"/>
        <w:rPr>
          <w:rFonts w:ascii="Times New Roman" w:hAnsi="Times New Roman" w:cs="Times New Roman"/>
          <w:sz w:val="24"/>
          <w:szCs w:val="28"/>
        </w:rPr>
      </w:pPr>
      <w:r w:rsidRPr="00EC4D4F">
        <w:rPr>
          <w:rFonts w:ascii="Times New Roman" w:hAnsi="Times New Roman" w:cs="Times New Roman"/>
          <w:sz w:val="24"/>
          <w:szCs w:val="28"/>
        </w:rPr>
        <w:t xml:space="preserve">The characteristics of population distribution in China are that the eastern coastal region is the region where economic development is more concentrated, with a relatively large population size. The western region has a lower population density </w:t>
      </w:r>
      <w:r w:rsidR="00717473" w:rsidRPr="00717473">
        <w:rPr>
          <w:rFonts w:ascii="Times New Roman" w:hAnsi="Times New Roman" w:cs="Times New Roman"/>
          <w:sz w:val="24"/>
          <w:szCs w:val="28"/>
        </w:rPr>
        <w:t>than</w:t>
      </w:r>
      <w:r w:rsidRPr="00EC4D4F">
        <w:rPr>
          <w:rFonts w:ascii="Times New Roman" w:hAnsi="Times New Roman" w:cs="Times New Roman"/>
          <w:sz w:val="24"/>
          <w:szCs w:val="28"/>
        </w:rPr>
        <w:t xml:space="preserve"> the eastern coastal region.</w:t>
      </w:r>
      <w:r w:rsidR="00933895" w:rsidRPr="00933895">
        <w:t xml:space="preserve"> </w:t>
      </w:r>
      <w:r w:rsidR="00933895" w:rsidRPr="00933895">
        <w:rPr>
          <w:rFonts w:ascii="Times New Roman" w:hAnsi="Times New Roman" w:cs="Times New Roman"/>
          <w:sz w:val="24"/>
          <w:szCs w:val="28"/>
        </w:rPr>
        <w:t xml:space="preserve">With </w:t>
      </w:r>
      <w:r w:rsidR="00AC5E3E" w:rsidRPr="00AC5E3E">
        <w:rPr>
          <w:rFonts w:ascii="Times New Roman" w:hAnsi="Times New Roman" w:cs="Times New Roman"/>
          <w:sz w:val="24"/>
          <w:szCs w:val="28"/>
        </w:rPr>
        <w:t>the progress of urbanization</w:t>
      </w:r>
      <w:r w:rsidR="00933895" w:rsidRPr="00933895">
        <w:rPr>
          <w:rFonts w:ascii="Times New Roman" w:hAnsi="Times New Roman" w:cs="Times New Roman"/>
          <w:sz w:val="24"/>
          <w:szCs w:val="28"/>
        </w:rPr>
        <w:t>, the size of urban population in China is increasing, and part of the rural population is gradually moving to cities for employment and residence, but there is still a large rural population in China, which is mainly distributed in the central and western regions and more remote places.</w:t>
      </w:r>
    </w:p>
    <w:p w:rsidR="006A7DF4" w:rsidRDefault="00740A4F" w:rsidP="00740A4F">
      <w:pPr>
        <w:spacing w:after="0" w:line="360" w:lineRule="auto"/>
        <w:ind w:firstLineChars="200" w:firstLine="480"/>
        <w:rPr>
          <w:rFonts w:ascii="Times New Roman" w:hAnsi="Times New Roman" w:cs="Times New Roman"/>
          <w:sz w:val="24"/>
          <w:szCs w:val="28"/>
        </w:rPr>
      </w:pPr>
      <w:r w:rsidRPr="00740A4F">
        <w:rPr>
          <w:rFonts w:ascii="Times New Roman" w:hAnsi="Times New Roman" w:cs="Times New Roman"/>
          <w:sz w:val="24"/>
          <w:szCs w:val="28"/>
        </w:rPr>
        <w:t xml:space="preserve">The characteristics of economic distribution in China are that the eastern region is the core region of economic development in China, with its total economic output and per capita income ranking </w:t>
      </w:r>
      <w:r w:rsidR="00821AA3" w:rsidRPr="00821AA3">
        <w:rPr>
          <w:rFonts w:ascii="Times New Roman" w:hAnsi="Times New Roman" w:cs="Times New Roman"/>
          <w:sz w:val="24"/>
          <w:szCs w:val="28"/>
        </w:rPr>
        <w:t>first</w:t>
      </w:r>
      <w:r w:rsidRPr="00740A4F">
        <w:rPr>
          <w:rFonts w:ascii="Times New Roman" w:hAnsi="Times New Roman" w:cs="Times New Roman"/>
          <w:sz w:val="24"/>
          <w:szCs w:val="28"/>
        </w:rPr>
        <w:t xml:space="preserve"> in China. The central region has greater advantages in areas such as equipment manufacturing and raw materials, which are important supports for economic development in China.</w:t>
      </w:r>
      <w:r w:rsidR="00DC0F53" w:rsidRPr="00DC0F53">
        <w:t xml:space="preserve"> </w:t>
      </w:r>
      <w:r w:rsidR="00DC0F53" w:rsidRPr="00DC0F53">
        <w:rPr>
          <w:rFonts w:ascii="Times New Roman" w:hAnsi="Times New Roman" w:cs="Times New Roman"/>
          <w:sz w:val="24"/>
          <w:szCs w:val="28"/>
        </w:rPr>
        <w:t>The western region has rich natural resources and tourism, and is accelerating infrastructure development in order to promote high-quality economic development. The northeastern region is one of</w:t>
      </w:r>
      <w:r w:rsidR="00821AA3">
        <w:rPr>
          <w:rFonts w:ascii="Times New Roman" w:hAnsi="Times New Roman" w:cs="Times New Roman" w:hint="eastAsia"/>
          <w:sz w:val="24"/>
          <w:szCs w:val="28"/>
        </w:rPr>
        <w:t xml:space="preserve"> the</w:t>
      </w:r>
      <w:r w:rsidR="00DC0F53" w:rsidRPr="00DC0F53">
        <w:rPr>
          <w:rFonts w:ascii="Times New Roman" w:hAnsi="Times New Roman" w:cs="Times New Roman"/>
          <w:sz w:val="24"/>
          <w:szCs w:val="28"/>
        </w:rPr>
        <w:t xml:space="preserve"> old industrial bases in China, and its economic development is beginning to experience a slowdown and a gradual decline in economic growth rates.</w:t>
      </w:r>
    </w:p>
    <w:p w:rsidR="00DC0F53" w:rsidRDefault="00DC0F53" w:rsidP="00DC0F53">
      <w:pPr>
        <w:spacing w:after="0" w:line="360" w:lineRule="auto"/>
        <w:rPr>
          <w:rFonts w:ascii="Times New Roman" w:hAnsi="Times New Roman" w:cs="Times New Roman"/>
          <w:sz w:val="24"/>
          <w:szCs w:val="28"/>
        </w:rPr>
      </w:pPr>
    </w:p>
    <w:tbl>
      <w:tblPr>
        <w:tblW w:w="9777" w:type="dxa"/>
        <w:jc w:val="center"/>
        <w:tblInd w:w="93" w:type="dxa"/>
        <w:tblLook w:val="04A0"/>
      </w:tblPr>
      <w:tblGrid>
        <w:gridCol w:w="1580"/>
        <w:gridCol w:w="1265"/>
        <w:gridCol w:w="1265"/>
        <w:gridCol w:w="1265"/>
        <w:gridCol w:w="1265"/>
        <w:gridCol w:w="1270"/>
        <w:gridCol w:w="1867"/>
      </w:tblGrid>
      <w:tr w:rsidR="00DC0F53" w:rsidRPr="00DC0F53" w:rsidTr="00DC0F53">
        <w:trPr>
          <w:trHeight w:val="388"/>
          <w:jc w:val="center"/>
        </w:trPr>
        <w:tc>
          <w:tcPr>
            <w:tcW w:w="9777" w:type="dxa"/>
            <w:gridSpan w:val="7"/>
            <w:tcBorders>
              <w:top w:val="nil"/>
              <w:left w:val="nil"/>
              <w:bottom w:val="single" w:sz="12" w:space="0" w:color="auto"/>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仿宋" w:hAnsi="Times New Roman" w:cs="Times New Roman"/>
                <w:b/>
                <w:sz w:val="21"/>
                <w:szCs w:val="21"/>
              </w:rPr>
            </w:pPr>
            <w:r w:rsidRPr="00DC0F53">
              <w:rPr>
                <w:rFonts w:ascii="Times New Roman" w:eastAsia="仿宋" w:hAnsi="Times New Roman" w:cs="Times New Roman"/>
                <w:b/>
                <w:sz w:val="21"/>
                <w:szCs w:val="21"/>
              </w:rPr>
              <w:lastRenderedPageBreak/>
              <w:t>Table 1 Basic information on the 31 provincial administrative-level regions in mainland China</w:t>
            </w:r>
          </w:p>
        </w:tc>
      </w:tr>
      <w:tr w:rsidR="00DC0F53" w:rsidRPr="00DC0F53" w:rsidTr="00DC0F53">
        <w:trPr>
          <w:trHeight w:val="388"/>
          <w:jc w:val="center"/>
        </w:trPr>
        <w:tc>
          <w:tcPr>
            <w:tcW w:w="1580" w:type="dxa"/>
            <w:vMerge w:val="restart"/>
            <w:tcBorders>
              <w:top w:val="nil"/>
              <w:left w:val="nil"/>
              <w:bottom w:val="single" w:sz="4" w:space="0" w:color="000000"/>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仿宋" w:hAnsi="Times New Roman" w:cs="Times New Roman"/>
                <w:sz w:val="21"/>
                <w:szCs w:val="21"/>
              </w:rPr>
            </w:pPr>
            <w:r w:rsidRPr="00DC0F53">
              <w:rPr>
                <w:rFonts w:ascii="Times New Roman" w:eastAsia="宋体" w:hAnsi="Times New Roman" w:cs="Times New Roman"/>
                <w:color w:val="000000"/>
                <w:sz w:val="21"/>
                <w:szCs w:val="21"/>
              </w:rPr>
              <w:t>Regions</w:t>
            </w:r>
          </w:p>
        </w:tc>
        <w:tc>
          <w:tcPr>
            <w:tcW w:w="6330" w:type="dxa"/>
            <w:gridSpan w:val="5"/>
            <w:tcBorders>
              <w:top w:val="nil"/>
              <w:left w:val="nil"/>
              <w:bottom w:val="single" w:sz="4" w:space="0" w:color="auto"/>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仿宋" w:hAnsi="Times New Roman" w:cs="Times New Roman"/>
                <w:sz w:val="21"/>
                <w:szCs w:val="21"/>
              </w:rPr>
            </w:pPr>
            <w:r w:rsidRPr="00DC0F53">
              <w:rPr>
                <w:rFonts w:ascii="Times New Roman" w:eastAsia="仿宋" w:hAnsi="Times New Roman" w:cs="Times New Roman"/>
                <w:sz w:val="21"/>
                <w:szCs w:val="21"/>
              </w:rPr>
              <w:t>Number of resident population (thousands)</w:t>
            </w:r>
          </w:p>
        </w:tc>
        <w:tc>
          <w:tcPr>
            <w:tcW w:w="1867" w:type="dxa"/>
            <w:vMerge w:val="restart"/>
            <w:tcBorders>
              <w:top w:val="nil"/>
              <w:left w:val="nil"/>
              <w:bottom w:val="single" w:sz="4" w:space="0" w:color="000000"/>
              <w:right w:val="nil"/>
            </w:tcBorders>
            <w:shd w:val="clear" w:color="auto" w:fill="auto"/>
            <w:vAlign w:val="center"/>
            <w:hideMark/>
          </w:tcPr>
          <w:p w:rsidR="00DC0F53" w:rsidRPr="00DC0F53" w:rsidRDefault="00DC0F53" w:rsidP="0059667B">
            <w:pPr>
              <w:adjustRightInd/>
              <w:snapToGrid/>
              <w:spacing w:after="0"/>
              <w:jc w:val="center"/>
              <w:rPr>
                <w:rFonts w:ascii="Times New Roman" w:eastAsia="仿宋" w:hAnsi="Times New Roman" w:cs="Times New Roman"/>
                <w:sz w:val="21"/>
                <w:szCs w:val="21"/>
              </w:rPr>
            </w:pPr>
            <w:r w:rsidRPr="00DC0F53">
              <w:rPr>
                <w:rFonts w:ascii="Times New Roman" w:eastAsia="仿宋" w:hAnsi="Times New Roman" w:cs="Times New Roman"/>
                <w:sz w:val="21"/>
                <w:szCs w:val="21"/>
              </w:rPr>
              <w:t>Geographical area (square kilometers)</w:t>
            </w:r>
          </w:p>
        </w:tc>
      </w:tr>
      <w:tr w:rsidR="00DC0F53" w:rsidRPr="00DC0F53" w:rsidTr="00DC0F53">
        <w:trPr>
          <w:trHeight w:val="365"/>
          <w:jc w:val="center"/>
        </w:trPr>
        <w:tc>
          <w:tcPr>
            <w:tcW w:w="1580" w:type="dxa"/>
            <w:vMerge/>
            <w:tcBorders>
              <w:top w:val="nil"/>
              <w:left w:val="nil"/>
              <w:bottom w:val="single" w:sz="4" w:space="0" w:color="000000"/>
              <w:right w:val="nil"/>
            </w:tcBorders>
            <w:vAlign w:val="center"/>
            <w:hideMark/>
          </w:tcPr>
          <w:p w:rsidR="00DC0F53" w:rsidRPr="00DC0F53" w:rsidRDefault="00DC0F53" w:rsidP="0059667B">
            <w:pPr>
              <w:adjustRightInd/>
              <w:snapToGrid/>
              <w:spacing w:after="0"/>
              <w:rPr>
                <w:rFonts w:ascii="Times New Roman" w:eastAsia="仿宋" w:hAnsi="Times New Roman" w:cs="Times New Roman"/>
                <w:sz w:val="21"/>
                <w:szCs w:val="21"/>
              </w:rPr>
            </w:pPr>
          </w:p>
        </w:tc>
        <w:tc>
          <w:tcPr>
            <w:tcW w:w="1265" w:type="dxa"/>
            <w:tcBorders>
              <w:top w:val="nil"/>
              <w:left w:val="nil"/>
              <w:bottom w:val="single" w:sz="4" w:space="0" w:color="auto"/>
              <w:right w:val="nil"/>
            </w:tcBorders>
            <w:shd w:val="clear" w:color="auto" w:fill="auto"/>
            <w:noWrap/>
            <w:vAlign w:val="center"/>
            <w:hideMark/>
          </w:tcPr>
          <w:p w:rsidR="00DC0F53" w:rsidRPr="00DC0F53" w:rsidRDefault="00DC0F53" w:rsidP="001341D9">
            <w:pPr>
              <w:adjustRightInd/>
              <w:snapToGrid/>
              <w:spacing w:after="0"/>
              <w:jc w:val="right"/>
              <w:rPr>
                <w:rFonts w:ascii="Times New Roman" w:eastAsia="仿宋" w:hAnsi="Times New Roman" w:cs="Times New Roman"/>
                <w:sz w:val="21"/>
                <w:szCs w:val="21"/>
              </w:rPr>
            </w:pPr>
            <w:r w:rsidRPr="00DC0F53">
              <w:rPr>
                <w:rFonts w:ascii="Times New Roman" w:eastAsia="仿宋" w:hAnsi="Times New Roman" w:cs="Times New Roman"/>
                <w:sz w:val="21"/>
                <w:szCs w:val="21"/>
              </w:rPr>
              <w:t>2018</w:t>
            </w:r>
          </w:p>
        </w:tc>
        <w:tc>
          <w:tcPr>
            <w:tcW w:w="1265" w:type="dxa"/>
            <w:tcBorders>
              <w:top w:val="nil"/>
              <w:left w:val="nil"/>
              <w:bottom w:val="single" w:sz="4" w:space="0" w:color="auto"/>
              <w:right w:val="nil"/>
            </w:tcBorders>
            <w:shd w:val="clear" w:color="auto" w:fill="auto"/>
            <w:noWrap/>
            <w:vAlign w:val="center"/>
            <w:hideMark/>
          </w:tcPr>
          <w:p w:rsidR="00DC0F53" w:rsidRPr="00DC0F53" w:rsidRDefault="00DC0F53" w:rsidP="001341D9">
            <w:pPr>
              <w:adjustRightInd/>
              <w:snapToGrid/>
              <w:spacing w:after="0"/>
              <w:jc w:val="right"/>
              <w:rPr>
                <w:rFonts w:ascii="Times New Roman" w:eastAsia="仿宋" w:hAnsi="Times New Roman" w:cs="Times New Roman"/>
                <w:sz w:val="21"/>
                <w:szCs w:val="21"/>
              </w:rPr>
            </w:pPr>
            <w:r w:rsidRPr="00DC0F53">
              <w:rPr>
                <w:rFonts w:ascii="Times New Roman" w:eastAsia="仿宋" w:hAnsi="Times New Roman" w:cs="Times New Roman"/>
                <w:sz w:val="21"/>
                <w:szCs w:val="21"/>
              </w:rPr>
              <w:t>2019</w:t>
            </w:r>
          </w:p>
        </w:tc>
        <w:tc>
          <w:tcPr>
            <w:tcW w:w="1265" w:type="dxa"/>
            <w:tcBorders>
              <w:top w:val="nil"/>
              <w:left w:val="nil"/>
              <w:bottom w:val="single" w:sz="4" w:space="0" w:color="auto"/>
              <w:right w:val="nil"/>
            </w:tcBorders>
            <w:shd w:val="clear" w:color="auto" w:fill="auto"/>
            <w:noWrap/>
            <w:vAlign w:val="center"/>
            <w:hideMark/>
          </w:tcPr>
          <w:p w:rsidR="00DC0F53" w:rsidRPr="00DC0F53" w:rsidRDefault="00DC0F53" w:rsidP="001341D9">
            <w:pPr>
              <w:adjustRightInd/>
              <w:snapToGrid/>
              <w:spacing w:after="0"/>
              <w:jc w:val="right"/>
              <w:rPr>
                <w:rFonts w:ascii="Times New Roman" w:eastAsia="仿宋" w:hAnsi="Times New Roman" w:cs="Times New Roman"/>
                <w:sz w:val="21"/>
                <w:szCs w:val="21"/>
              </w:rPr>
            </w:pPr>
            <w:r w:rsidRPr="00DC0F53">
              <w:rPr>
                <w:rFonts w:ascii="Times New Roman" w:eastAsia="仿宋" w:hAnsi="Times New Roman" w:cs="Times New Roman"/>
                <w:sz w:val="21"/>
                <w:szCs w:val="21"/>
              </w:rPr>
              <w:t>2020</w:t>
            </w:r>
          </w:p>
        </w:tc>
        <w:tc>
          <w:tcPr>
            <w:tcW w:w="1265" w:type="dxa"/>
            <w:tcBorders>
              <w:top w:val="nil"/>
              <w:left w:val="nil"/>
              <w:bottom w:val="single" w:sz="4" w:space="0" w:color="auto"/>
              <w:right w:val="nil"/>
            </w:tcBorders>
            <w:shd w:val="clear" w:color="auto" w:fill="auto"/>
            <w:noWrap/>
            <w:vAlign w:val="center"/>
            <w:hideMark/>
          </w:tcPr>
          <w:p w:rsidR="00DC0F53" w:rsidRPr="00DC0F53" w:rsidRDefault="00DC0F53" w:rsidP="001341D9">
            <w:pPr>
              <w:adjustRightInd/>
              <w:snapToGrid/>
              <w:spacing w:after="0"/>
              <w:jc w:val="right"/>
              <w:rPr>
                <w:rFonts w:ascii="Times New Roman" w:eastAsia="仿宋" w:hAnsi="Times New Roman" w:cs="Times New Roman"/>
                <w:sz w:val="21"/>
                <w:szCs w:val="21"/>
              </w:rPr>
            </w:pPr>
            <w:r w:rsidRPr="00DC0F53">
              <w:rPr>
                <w:rFonts w:ascii="Times New Roman" w:eastAsia="仿宋" w:hAnsi="Times New Roman" w:cs="Times New Roman"/>
                <w:sz w:val="21"/>
                <w:szCs w:val="21"/>
              </w:rPr>
              <w:t>2021</w:t>
            </w:r>
          </w:p>
        </w:tc>
        <w:tc>
          <w:tcPr>
            <w:tcW w:w="1269" w:type="dxa"/>
            <w:tcBorders>
              <w:top w:val="nil"/>
              <w:left w:val="nil"/>
              <w:bottom w:val="single" w:sz="4" w:space="0" w:color="auto"/>
              <w:right w:val="nil"/>
            </w:tcBorders>
            <w:shd w:val="clear" w:color="auto" w:fill="auto"/>
            <w:noWrap/>
            <w:vAlign w:val="center"/>
            <w:hideMark/>
          </w:tcPr>
          <w:p w:rsidR="00DC0F53" w:rsidRPr="00DC0F53" w:rsidRDefault="00DC0F53" w:rsidP="001341D9">
            <w:pPr>
              <w:adjustRightInd/>
              <w:snapToGrid/>
              <w:spacing w:after="0"/>
              <w:jc w:val="right"/>
              <w:rPr>
                <w:rFonts w:ascii="Times New Roman" w:eastAsia="仿宋" w:hAnsi="Times New Roman" w:cs="Times New Roman"/>
                <w:sz w:val="21"/>
                <w:szCs w:val="21"/>
              </w:rPr>
            </w:pPr>
            <w:r w:rsidRPr="00DC0F53">
              <w:rPr>
                <w:rFonts w:ascii="Times New Roman" w:eastAsia="仿宋" w:hAnsi="Times New Roman" w:cs="Times New Roman"/>
                <w:sz w:val="21"/>
                <w:szCs w:val="21"/>
              </w:rPr>
              <w:t>2022</w:t>
            </w:r>
          </w:p>
        </w:tc>
        <w:tc>
          <w:tcPr>
            <w:tcW w:w="1867" w:type="dxa"/>
            <w:vMerge/>
            <w:tcBorders>
              <w:top w:val="nil"/>
              <w:left w:val="nil"/>
              <w:bottom w:val="single" w:sz="4" w:space="0" w:color="000000"/>
              <w:right w:val="nil"/>
            </w:tcBorders>
            <w:vAlign w:val="center"/>
            <w:hideMark/>
          </w:tcPr>
          <w:p w:rsidR="00DC0F53" w:rsidRPr="00DC0F53" w:rsidRDefault="00DC0F53" w:rsidP="0059667B">
            <w:pPr>
              <w:adjustRightInd/>
              <w:snapToGrid/>
              <w:spacing w:after="0"/>
              <w:rPr>
                <w:rFonts w:ascii="Times New Roman" w:eastAsia="仿宋" w:hAnsi="Times New Roman" w:cs="Times New Roman"/>
                <w:sz w:val="21"/>
                <w:szCs w:val="21"/>
              </w:rPr>
            </w:pP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宋体" w:hAnsi="Times New Roman" w:cs="Times New Roman"/>
                <w:color w:val="000000"/>
                <w:sz w:val="21"/>
                <w:szCs w:val="21"/>
              </w:rPr>
              <w:t>Beijing</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21 540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21 540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21 890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21 890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21 840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16 411</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Tianjin</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15 600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15 620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13 870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13 730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13 630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11 917</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Hebei</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75 560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75 920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74 610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74 480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74 200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188 434</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Shanxi</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37 180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37 290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34 920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34 800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34 810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156 711</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Theme="minorEastAsia" w:hAnsi="Times New Roman" w:cs="Times New Roman"/>
                <w:color w:val="000000"/>
                <w:sz w:val="21"/>
                <w:szCs w:val="21"/>
              </w:rPr>
            </w:pPr>
            <w:r w:rsidRPr="00DC0F53">
              <w:rPr>
                <w:rFonts w:ascii="Times New Roman" w:eastAsiaTheme="minorEastAsia" w:hAnsi="Times New Roman" w:cs="Times New Roman"/>
                <w:color w:val="000000"/>
                <w:sz w:val="21"/>
                <w:szCs w:val="21"/>
              </w:rPr>
              <w:t>Inner Mongolia</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25 340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25 400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24 050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24 000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24 010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1 145 121</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Liaoning</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43 590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43 520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42 590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42 290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41 970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148 064</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Jilin</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27 040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26 910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24 070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23 750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23 480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191 124</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Heilongjiang</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37 730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37 510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31 850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31 250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30 990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452 645</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Shanghai</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24 240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24 280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24 870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24 890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24 750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8 239</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Jiangsu</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80 510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80 700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84 750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85 050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85 150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106 742</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Zhejiang</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57 370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58 500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64 570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65 400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65 770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105 397</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Anhui</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63 240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63 660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61 030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61 130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61 270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140 126</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Fujian</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39 410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39 730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41 540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41 870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41 880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124 016</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Jiangxi</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46 480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46 660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45 190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45 170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45 280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166 894</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Shandong</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100 470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100 700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101 530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101 700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101 630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157 126</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Henan</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96 050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96 400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99 370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98 830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98 720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165 536</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Hubei</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59 170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59 270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57 750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58 300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58 440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185 888</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Hunan</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68 990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69 180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66 440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66 220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66 040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211 855</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Guangdong</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113 460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115 210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126 010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126 840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126 570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179 813</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Guangxi</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49 260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49 600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50 130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50 370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50 470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237 558</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Hainan</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9 340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9 450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10 080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10 200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10 270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35 354</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Chongqing</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31 020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31 240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32 050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32 120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32 130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82 269</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Sichuan</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83 410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83 750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83 670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83 720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83 740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484 056</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Guizhou</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36 000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36 230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38 560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38 520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38 560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176 152</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Yunnan</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48 300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48 580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47 210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46 900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46 930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383 194</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Tibet</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3 440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3 510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3 650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3 660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3 640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1 202 072</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Shaanxi</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38 640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38 760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39 530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39 540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39 560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205 795</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Gansu</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26 370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26 470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25 020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24 900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24 920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404 091</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Qinghai</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6 030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6 080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5 920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5 940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5 950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717 481</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Ningxia</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6 880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6 950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7 200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7 250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7 280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51 954</w:t>
            </w:r>
          </w:p>
        </w:tc>
      </w:tr>
      <w:tr w:rsidR="00DC0F53" w:rsidRPr="00DC0F53" w:rsidTr="00DC0F53">
        <w:trPr>
          <w:trHeight w:val="365"/>
          <w:jc w:val="center"/>
        </w:trPr>
        <w:tc>
          <w:tcPr>
            <w:tcW w:w="1580" w:type="dxa"/>
            <w:tcBorders>
              <w:top w:val="nil"/>
              <w:left w:val="nil"/>
              <w:bottom w:val="nil"/>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宋体" w:hAnsi="Times New Roman" w:cs="Times New Roman"/>
                <w:color w:val="000000"/>
                <w:sz w:val="21"/>
                <w:szCs w:val="21"/>
              </w:rPr>
            </w:pPr>
            <w:r w:rsidRPr="00DC0F53">
              <w:rPr>
                <w:rFonts w:ascii="Times New Roman" w:eastAsiaTheme="minorEastAsia" w:hAnsi="Times New Roman" w:cs="Times New Roman"/>
                <w:color w:val="000000"/>
                <w:sz w:val="21"/>
                <w:szCs w:val="21"/>
              </w:rPr>
              <w:t>Xinjiang</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24 870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25 230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25 850</w:t>
            </w:r>
          </w:p>
        </w:tc>
        <w:tc>
          <w:tcPr>
            <w:tcW w:w="1265"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25 890</w:t>
            </w:r>
          </w:p>
        </w:tc>
        <w:tc>
          <w:tcPr>
            <w:tcW w:w="1269"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25 870</w:t>
            </w:r>
          </w:p>
        </w:tc>
        <w:tc>
          <w:tcPr>
            <w:tcW w:w="1867" w:type="dxa"/>
            <w:tcBorders>
              <w:top w:val="nil"/>
              <w:left w:val="nil"/>
              <w:bottom w:val="nil"/>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1 664 897</w:t>
            </w:r>
          </w:p>
        </w:tc>
      </w:tr>
      <w:tr w:rsidR="00DC0F53" w:rsidRPr="00DC0F53" w:rsidTr="00DC0F53">
        <w:trPr>
          <w:trHeight w:val="388"/>
          <w:jc w:val="center"/>
        </w:trPr>
        <w:tc>
          <w:tcPr>
            <w:tcW w:w="1580" w:type="dxa"/>
            <w:tcBorders>
              <w:top w:val="nil"/>
              <w:left w:val="nil"/>
              <w:bottom w:val="single" w:sz="12" w:space="0" w:color="auto"/>
              <w:right w:val="nil"/>
            </w:tcBorders>
            <w:shd w:val="clear" w:color="auto" w:fill="auto"/>
            <w:noWrap/>
            <w:vAlign w:val="center"/>
            <w:hideMark/>
          </w:tcPr>
          <w:p w:rsidR="00DC0F53" w:rsidRPr="00DC0F53" w:rsidRDefault="00DC0F53" w:rsidP="0059667B">
            <w:pPr>
              <w:adjustRightInd/>
              <w:snapToGrid/>
              <w:spacing w:after="0"/>
              <w:jc w:val="center"/>
              <w:rPr>
                <w:rFonts w:ascii="Times New Roman" w:eastAsia="仿宋" w:hAnsi="Times New Roman" w:cs="Times New Roman"/>
                <w:sz w:val="21"/>
                <w:szCs w:val="21"/>
              </w:rPr>
            </w:pPr>
            <w:r w:rsidRPr="00DC0F53">
              <w:rPr>
                <w:rFonts w:ascii="Times New Roman" w:eastAsia="仿宋" w:hAnsi="Times New Roman" w:cs="Times New Roman"/>
                <w:sz w:val="21"/>
                <w:szCs w:val="21"/>
              </w:rPr>
              <w:t>China</w:t>
            </w:r>
          </w:p>
        </w:tc>
        <w:tc>
          <w:tcPr>
            <w:tcW w:w="1265" w:type="dxa"/>
            <w:tcBorders>
              <w:top w:val="nil"/>
              <w:left w:val="nil"/>
              <w:bottom w:val="single" w:sz="12" w:space="0" w:color="auto"/>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1 396 530</w:t>
            </w:r>
          </w:p>
        </w:tc>
        <w:tc>
          <w:tcPr>
            <w:tcW w:w="1265" w:type="dxa"/>
            <w:tcBorders>
              <w:top w:val="nil"/>
              <w:left w:val="nil"/>
              <w:bottom w:val="single" w:sz="12" w:space="0" w:color="auto"/>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1 403 850</w:t>
            </w:r>
          </w:p>
        </w:tc>
        <w:tc>
          <w:tcPr>
            <w:tcW w:w="1265" w:type="dxa"/>
            <w:tcBorders>
              <w:top w:val="nil"/>
              <w:left w:val="nil"/>
              <w:bottom w:val="single" w:sz="12" w:space="0" w:color="auto"/>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1 409 770</w:t>
            </w:r>
          </w:p>
        </w:tc>
        <w:tc>
          <w:tcPr>
            <w:tcW w:w="1265" w:type="dxa"/>
            <w:tcBorders>
              <w:top w:val="nil"/>
              <w:left w:val="nil"/>
              <w:bottom w:val="single" w:sz="12" w:space="0" w:color="auto"/>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1 410 600</w:t>
            </w:r>
          </w:p>
        </w:tc>
        <w:tc>
          <w:tcPr>
            <w:tcW w:w="1269" w:type="dxa"/>
            <w:tcBorders>
              <w:top w:val="nil"/>
              <w:left w:val="nil"/>
              <w:bottom w:val="single" w:sz="12" w:space="0" w:color="auto"/>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1 409 750</w:t>
            </w:r>
          </w:p>
        </w:tc>
        <w:tc>
          <w:tcPr>
            <w:tcW w:w="1867" w:type="dxa"/>
            <w:tcBorders>
              <w:top w:val="nil"/>
              <w:left w:val="nil"/>
              <w:bottom w:val="single" w:sz="12" w:space="0" w:color="auto"/>
              <w:right w:val="nil"/>
            </w:tcBorders>
            <w:shd w:val="clear" w:color="auto" w:fill="auto"/>
            <w:noWrap/>
            <w:vAlign w:val="center"/>
            <w:hideMark/>
          </w:tcPr>
          <w:p w:rsidR="00DC0F53" w:rsidRPr="00DC0F53" w:rsidRDefault="00DC0F53" w:rsidP="00A729EA">
            <w:pPr>
              <w:adjustRightInd/>
              <w:snapToGrid/>
              <w:spacing w:after="0"/>
              <w:jc w:val="right"/>
              <w:rPr>
                <w:rFonts w:ascii="Times New Roman" w:eastAsia="仿宋" w:hAnsi="Times New Roman" w:cs="Times New Roman"/>
                <w:color w:val="000000"/>
                <w:sz w:val="21"/>
                <w:szCs w:val="21"/>
              </w:rPr>
            </w:pPr>
            <w:r w:rsidRPr="00DC0F53">
              <w:rPr>
                <w:rFonts w:ascii="Times New Roman" w:eastAsia="仿宋" w:hAnsi="Times New Roman" w:cs="Times New Roman"/>
                <w:color w:val="000000"/>
                <w:sz w:val="21"/>
                <w:szCs w:val="21"/>
              </w:rPr>
              <w:t>9 506 932</w:t>
            </w:r>
          </w:p>
        </w:tc>
      </w:tr>
    </w:tbl>
    <w:p w:rsidR="00DC0F53" w:rsidRPr="00113512" w:rsidRDefault="00DC0F53" w:rsidP="00740A4F">
      <w:pPr>
        <w:spacing w:after="0" w:line="360" w:lineRule="auto"/>
        <w:ind w:firstLineChars="200" w:firstLine="480"/>
        <w:rPr>
          <w:rFonts w:ascii="Times New Roman" w:hAnsi="Times New Roman" w:cs="Times New Roman"/>
          <w:sz w:val="24"/>
          <w:szCs w:val="28"/>
        </w:rPr>
      </w:pPr>
    </w:p>
    <w:sectPr w:rsidR="00DC0F53" w:rsidRPr="00113512"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characterSpacingControl w:val="doNotCompress"/>
  <w:compat>
    <w:useFELayout/>
  </w:compat>
  <w:rsids>
    <w:rsidRoot w:val="00D31D50"/>
    <w:rsid w:val="000A6EA2"/>
    <w:rsid w:val="00113512"/>
    <w:rsid w:val="001341D9"/>
    <w:rsid w:val="00142858"/>
    <w:rsid w:val="00323B43"/>
    <w:rsid w:val="003D37D8"/>
    <w:rsid w:val="00426133"/>
    <w:rsid w:val="004358AB"/>
    <w:rsid w:val="004F6F2A"/>
    <w:rsid w:val="00581A61"/>
    <w:rsid w:val="00674EBE"/>
    <w:rsid w:val="00695B51"/>
    <w:rsid w:val="006A7DF4"/>
    <w:rsid w:val="00717473"/>
    <w:rsid w:val="00740A4F"/>
    <w:rsid w:val="007C6D6C"/>
    <w:rsid w:val="00821AA3"/>
    <w:rsid w:val="008B7726"/>
    <w:rsid w:val="00933895"/>
    <w:rsid w:val="009769F7"/>
    <w:rsid w:val="00A729EA"/>
    <w:rsid w:val="00AA04E5"/>
    <w:rsid w:val="00AC5E3E"/>
    <w:rsid w:val="00AE0D1A"/>
    <w:rsid w:val="00AE3D79"/>
    <w:rsid w:val="00C23CD1"/>
    <w:rsid w:val="00D31D50"/>
    <w:rsid w:val="00DC0F53"/>
    <w:rsid w:val="00EB3339"/>
    <w:rsid w:val="00EC4D4F"/>
    <w:rsid w:val="00FB4B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641</Words>
  <Characters>3657</Characters>
  <Application>Microsoft Office Word</Application>
  <DocSecurity>0</DocSecurity>
  <Lines>30</Lines>
  <Paragraphs>8</Paragraphs>
  <ScaleCrop>false</ScaleCrop>
  <Company/>
  <LinksUpToDate>false</LinksUpToDate>
  <CharactersWithSpaces>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wh</cp:lastModifiedBy>
  <cp:revision>23</cp:revision>
  <dcterms:created xsi:type="dcterms:W3CDTF">2008-09-11T17:20:00Z</dcterms:created>
  <dcterms:modified xsi:type="dcterms:W3CDTF">2024-10-26T08:07:00Z</dcterms:modified>
</cp:coreProperties>
</file>