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1A83" w14:textId="0297248D" w:rsidR="0013155C" w:rsidRPr="008037D0" w:rsidRDefault="349AE3DE" w:rsidP="008037D0">
      <w:pPr>
        <w:spacing w:line="480" w:lineRule="auto"/>
        <w:jc w:val="both"/>
        <w:rPr>
          <w:rFonts w:cs="Calibri"/>
        </w:rPr>
      </w:pPr>
      <w:r w:rsidRPr="008037D0">
        <w:rPr>
          <w:rFonts w:cs="Calibri"/>
          <w:b/>
          <w:bCs/>
        </w:rPr>
        <w:t>Additional file 1</w:t>
      </w:r>
      <w:r w:rsidR="00D837C9" w:rsidRPr="008037D0">
        <w:rPr>
          <w:rFonts w:cs="Calibri"/>
          <w:b/>
          <w:bCs/>
        </w:rPr>
        <w:t xml:space="preserve"> - </w:t>
      </w:r>
      <w:r w:rsidR="0013155C" w:rsidRPr="008037D0">
        <w:rPr>
          <w:rFonts w:cs="Calibri"/>
          <w:b/>
          <w:bCs/>
        </w:rPr>
        <w:t>Glossary</w:t>
      </w:r>
    </w:p>
    <w:p w14:paraId="58ABA7DE" w14:textId="3C970F91" w:rsidR="0013155C" w:rsidRPr="008037D0" w:rsidRDefault="0013155C" w:rsidP="008037D0">
      <w:pPr>
        <w:spacing w:line="480" w:lineRule="auto"/>
        <w:jc w:val="both"/>
        <w:rPr>
          <w:rFonts w:cs="Calibri"/>
        </w:rPr>
      </w:pPr>
      <w:r w:rsidRPr="008037D0">
        <w:rPr>
          <w:rFonts w:cs="Calibri"/>
          <w:b/>
          <w:bCs/>
        </w:rPr>
        <w:t>Adaptation</w:t>
      </w:r>
      <w:r w:rsidRPr="008037D0">
        <w:rPr>
          <w:rFonts w:cs="Calibri"/>
        </w:rPr>
        <w:t>: “</w:t>
      </w:r>
      <w:r w:rsidR="00D45974">
        <w:rPr>
          <w:rFonts w:cs="Calibri"/>
        </w:rPr>
        <w:t>I</w:t>
      </w:r>
      <w:r w:rsidRPr="008037D0">
        <w:rPr>
          <w:rFonts w:cs="Calibri"/>
        </w:rPr>
        <w:t xml:space="preserve">ntentional modification(s) of an evidence-informed intervention to achieve a better fit between an intervention and a new context” </w:t>
      </w:r>
      <w:r w:rsidRPr="008037D0">
        <w:rPr>
          <w:rFonts w:cs="Calibri"/>
          <w:lang w:val="en-US"/>
        </w:rPr>
        <w:fldChar w:fldCharType="begin"/>
      </w:r>
      <w:r w:rsidR="00C52F05" w:rsidRPr="008037D0">
        <w:rPr>
          <w:rFonts w:cs="Calibri"/>
          <w:lang w:val="en-US"/>
        </w:rPr>
        <w:instrText xml:space="preserve"> ADDIN ZOTERO_ITEM CSL_CITATION {"citationID":"qHgX3khJ","properties":{"formattedCitation":"(1)","plainCitation":"(1)","noteIndex":0},"citationItems":[{"id":253,"uris":["http://zotero.org/users/9330380/items/NLGDFK6L"],"itemData":{"id":253,"type":"article-journal","container-title":"BMJ","DOI":"10.1136/bmj.n1679","ISSN":"1756-1833","journalAbbreviation":"BMJ","language":"en","page":"n1679","source":"DOI.org (Crossref)","title":"Adapting interventions to new contexts—the ADAPT guidance","author":[{"family":"Moore","given":"Graham"},{"family":"Campbell","given":"Mhairi"},{"family":"Copeland","given":"Lauren"},{"family":"Craig","given":"Peter"},{"family":"Movsisyan","given":"Ani"},{"family":"Hoddinott","given":"Pat"},{"family":"Littlecott","given":"Hannah"},{"family":"O’Cathain","given":"Alicia"},{"family":"Pfadenhauer","given":"Lisa"},{"family":"Rehfuess","given":"Eva"},{"family":"Segrott","given":"Jeremy"},{"family":"Hawe","given":"Penelope"},{"family":"Kee","given":"Frank"},{"family":"Couturiaux","given":"Danielle"},{"family":"Hallingberg","given":"Britt"},{"family":"Evans","given":"Rhiannon"}],"issued":{"date-parts":[["2021",8,3]]}}}],"schema":"https://github.com/citation-style-language/schema/raw/master/csl-citation.json"} </w:instrText>
      </w:r>
      <w:r w:rsidRPr="008037D0">
        <w:rPr>
          <w:rFonts w:cs="Calibri"/>
          <w:lang w:val="en-US"/>
        </w:rPr>
        <w:fldChar w:fldCharType="separate"/>
      </w:r>
      <w:r w:rsidR="00C52F05" w:rsidRPr="008037D0">
        <w:rPr>
          <w:rFonts w:cs="Calibri"/>
        </w:rPr>
        <w:t>(1)</w:t>
      </w:r>
      <w:r w:rsidRPr="008037D0">
        <w:rPr>
          <w:rFonts w:cs="Calibri"/>
          <w:lang w:val="en-US"/>
        </w:rPr>
        <w:fldChar w:fldCharType="end"/>
      </w:r>
      <w:r w:rsidRPr="008037D0">
        <w:rPr>
          <w:rFonts w:cs="Calibri"/>
        </w:rPr>
        <w:t xml:space="preserve"> and might entail an adaptation of the intervention itself and/or the implementation of the intervention.</w:t>
      </w:r>
    </w:p>
    <w:p w14:paraId="30ABA6C2" w14:textId="28991CDE" w:rsidR="00D45974" w:rsidRDefault="0013155C" w:rsidP="008037D0">
      <w:pPr>
        <w:spacing w:line="480" w:lineRule="auto"/>
        <w:jc w:val="both"/>
        <w:rPr>
          <w:rFonts w:cs="Calibri"/>
          <w:b/>
          <w:bCs/>
        </w:rPr>
      </w:pPr>
      <w:r w:rsidRPr="008037D0">
        <w:rPr>
          <w:rFonts w:cs="Calibri"/>
          <w:b/>
          <w:bCs/>
        </w:rPr>
        <w:t>Co-adaptation</w:t>
      </w:r>
      <w:r w:rsidRPr="008037D0">
        <w:rPr>
          <w:rFonts w:cs="Calibri"/>
        </w:rPr>
        <w:t xml:space="preserve">: </w:t>
      </w:r>
      <w:r w:rsidR="00D45974">
        <w:rPr>
          <w:rFonts w:cs="Calibri"/>
        </w:rPr>
        <w:t>A</w:t>
      </w:r>
      <w:r w:rsidR="00D45974" w:rsidRPr="00D45974">
        <w:rPr>
          <w:rFonts w:cs="Calibri"/>
        </w:rPr>
        <w:t xml:space="preserve"> collaborative adaptation process that applies co-creation principles to either adapt an intervention (co-created or not co-created) to a new context (e.g., a new (cultural) setting, another population of interest) and/or adapt the co-creation process itself</w:t>
      </w:r>
      <w:r w:rsidR="00D45974">
        <w:rPr>
          <w:rFonts w:cs="Calibri"/>
          <w:b/>
          <w:bCs/>
        </w:rPr>
        <w:t>.</w:t>
      </w:r>
    </w:p>
    <w:p w14:paraId="16CF1850" w14:textId="398C57CF" w:rsidR="492D2D5B" w:rsidRPr="008037D0" w:rsidRDefault="492D2D5B" w:rsidP="008037D0">
      <w:pPr>
        <w:spacing w:line="480" w:lineRule="auto"/>
        <w:jc w:val="both"/>
        <w:rPr>
          <w:rFonts w:cs="Calibri"/>
        </w:rPr>
      </w:pPr>
      <w:r w:rsidRPr="008037D0">
        <w:rPr>
          <w:rFonts w:cs="Calibri"/>
          <w:b/>
          <w:bCs/>
        </w:rPr>
        <w:t>Co-creation</w:t>
      </w:r>
      <w:r w:rsidRPr="008037D0">
        <w:rPr>
          <w:rFonts w:cs="Calibri"/>
        </w:rPr>
        <w:t xml:space="preserve">: </w:t>
      </w:r>
      <w:r w:rsidR="00D45974">
        <w:rPr>
          <w:rFonts w:cs="Calibri"/>
        </w:rPr>
        <w:t>T</w:t>
      </w:r>
      <w:r w:rsidR="2B847CCE" w:rsidRPr="008037D0">
        <w:rPr>
          <w:rFonts w:cs="Calibri"/>
        </w:rPr>
        <w:t xml:space="preserve">he collective intelligence of different stakeholders to collaboratively address real-world challenges across all stages of a project, including development, implementation, and evaluation </w:t>
      </w:r>
      <w:r w:rsidR="00C52F05" w:rsidRPr="008037D0">
        <w:rPr>
          <w:rFonts w:cs="Calibri"/>
        </w:rPr>
        <w:fldChar w:fldCharType="begin"/>
      </w:r>
      <w:r w:rsidR="00C52F05" w:rsidRPr="008037D0">
        <w:rPr>
          <w:rFonts w:cs="Calibri"/>
        </w:rPr>
        <w:instrText xml:space="preserve"> ADDIN ZOTERO_ITEM CSL_CITATION {"citationID":"oH89iewu","properties":{"formattedCitation":"(2)","plainCitation":"(2)","noteIndex":0},"citationItems":[{"id":33836,"uris":["http://zotero.org/users/9330380/items/IVS79XTJ"],"itemData":{"id":33836,"type":"article-journal","abstract":"Collaboration between community members, researchers, and policy makers drives efforts to solve complex health problems such as obesity, alcohol misuse, and type 2 diabetes. Community participation is essential to ensure the optimal design, implementation and evaluation of resulting initiatives. The terms ‘co-creation’, ‘co-design’ and ‘co-production’ have been used interchangeably to describe the development of initiatives involving multiple stakeholders. While commonalities exist across these concepts, they have essential distinctions for public health, particularly related to the role of stakeholders and the extent and timing of their engagement. We summarise these similarities and differences drawing from the crossdisciplinary literature, including public administration and governance, service management, design, marketing and public health. Co-creation is an overarching guiding principle encompassing co-design and co-production. A clear definition of these terms clarifies aspects of participatory action research for community-based public health initiatives.","container-title":"Public Health Research &amp; Practice","DOI":"10.17061/phrp3222211","ISSN":"22042091","issue":"2","journalAbbreviation":"Public Health Res Pract.","language":"en","source":"DOI.org (Crossref)","title":"Co-creation, co-design, co-production for public health – a perspective on definition and distinctions","volume":"32","author":[{"family":"Vargas","given":"Carmen"},{"family":"Whelan","given":"Jill"},{"family":"Brimblecombe","given":"Julie"},{"family":"Allender","given":"Steven"}],"issued":{"date-parts":[["2022"]]}}}],"schema":"https://github.com/citation-style-language/schema/raw/master/csl-citation.json"} </w:instrText>
      </w:r>
      <w:r w:rsidR="00C52F05" w:rsidRPr="008037D0">
        <w:rPr>
          <w:rFonts w:cs="Calibri"/>
        </w:rPr>
        <w:fldChar w:fldCharType="separate"/>
      </w:r>
      <w:r w:rsidR="00C52F05" w:rsidRPr="008037D0">
        <w:rPr>
          <w:rFonts w:cs="Calibri"/>
        </w:rPr>
        <w:t>(2)</w:t>
      </w:r>
      <w:r w:rsidR="00C52F05" w:rsidRPr="008037D0">
        <w:rPr>
          <w:rFonts w:cs="Calibri"/>
        </w:rPr>
        <w:fldChar w:fldCharType="end"/>
      </w:r>
      <w:r w:rsidRPr="008037D0">
        <w:rPr>
          <w:rFonts w:cs="Calibri"/>
        </w:rPr>
        <w:t>.</w:t>
      </w:r>
    </w:p>
    <w:p w14:paraId="46D5AB2F" w14:textId="430AF4B3" w:rsidR="03897E8C" w:rsidRPr="008037D0" w:rsidRDefault="03897E8C" w:rsidP="008037D0">
      <w:pPr>
        <w:spacing w:line="480" w:lineRule="auto"/>
        <w:jc w:val="both"/>
        <w:rPr>
          <w:rFonts w:cs="Calibri"/>
        </w:rPr>
      </w:pPr>
      <w:r w:rsidRPr="008037D0">
        <w:rPr>
          <w:rFonts w:cs="Calibri"/>
          <w:b/>
          <w:bCs/>
        </w:rPr>
        <w:t>Mode 2 research:</w:t>
      </w:r>
      <w:r w:rsidRPr="008037D0">
        <w:rPr>
          <w:rFonts w:cs="Calibri"/>
        </w:rPr>
        <w:t xml:space="preserve"> </w:t>
      </w:r>
      <w:r w:rsidR="002575EA" w:rsidRPr="008037D0">
        <w:rPr>
          <w:rFonts w:cs="Calibri"/>
        </w:rPr>
        <w:t xml:space="preserve">Knowledge production within the context of its utilisation through active stakeholder engagement </w:t>
      </w:r>
      <w:r w:rsidR="00C52F05" w:rsidRPr="008037D0">
        <w:rPr>
          <w:rFonts w:cs="Calibri"/>
        </w:rPr>
        <w:fldChar w:fldCharType="begin"/>
      </w:r>
      <w:r w:rsidR="00C52F05" w:rsidRPr="008037D0">
        <w:rPr>
          <w:rFonts w:cs="Calibri"/>
        </w:rPr>
        <w:instrText xml:space="preserve"> ADDIN ZOTERO_ITEM CSL_CITATION {"citationID":"KyAlsk6B","properties":{"formattedCitation":"(3)","plainCitation":"(3)","noteIndex":0},"citationItems":[{"id":34347,"uris":["http://zotero.org/users/9330380/items/Y8PGZVTS"],"itemData":{"id":34347,"type":"article-journal","abstract":"The notion of context-sensitive science is put forward as a way to approach what might be meant by interactive social science. Universities are now operating in a social environment which values research but which also has the ability and in some cases the resources to play a greater role in influencing what research is carried out and how. The environment is ‘speaking back’ to science and society is looking for leadership in the production of context-sensitive science.","container-title":"Science and Public Policy","DOI":"10.3152/147154300781782011","ISSN":"0302-3427","issue":"3","journalAbbreviation":"Science and Public Policy","page":"159-163","source":"Silverchair","title":"Mode 2 society and the emergence of context-sensitive science","volume":"27","author":[{"family":"Gibbons","given":"Michael"}],"issued":{"date-parts":[["2000",6,1]]}}}],"schema":"https://github.com/citation-style-language/schema/raw/master/csl-citation.json"} </w:instrText>
      </w:r>
      <w:r w:rsidR="00C52F05" w:rsidRPr="008037D0">
        <w:rPr>
          <w:rFonts w:cs="Calibri"/>
        </w:rPr>
        <w:fldChar w:fldCharType="separate"/>
      </w:r>
      <w:r w:rsidR="00C52F05" w:rsidRPr="008037D0">
        <w:rPr>
          <w:rFonts w:cs="Calibri"/>
        </w:rPr>
        <w:t>(3)</w:t>
      </w:r>
      <w:r w:rsidR="00C52F05" w:rsidRPr="008037D0">
        <w:rPr>
          <w:rFonts w:cs="Calibri"/>
        </w:rPr>
        <w:fldChar w:fldCharType="end"/>
      </w:r>
      <w:r w:rsidR="002575EA" w:rsidRPr="008037D0">
        <w:rPr>
          <w:rFonts w:cs="Calibri"/>
        </w:rPr>
        <w:t>.</w:t>
      </w:r>
    </w:p>
    <w:p w14:paraId="2AB02E97" w14:textId="73BC947A" w:rsidR="1310F84D" w:rsidRPr="008037D0" w:rsidRDefault="1310F84D" w:rsidP="008037D0">
      <w:pPr>
        <w:spacing w:line="480" w:lineRule="auto"/>
        <w:jc w:val="both"/>
        <w:rPr>
          <w:rFonts w:cs="Calibri"/>
        </w:rPr>
      </w:pPr>
      <w:r w:rsidRPr="008037D0">
        <w:rPr>
          <w:rFonts w:cs="Calibri"/>
          <w:b/>
          <w:bCs/>
        </w:rPr>
        <w:t>Planned adaptations</w:t>
      </w:r>
      <w:r w:rsidRPr="008037D0">
        <w:rPr>
          <w:rFonts w:cs="Calibri"/>
        </w:rPr>
        <w:t xml:space="preserve">: Adaptations that are made during the development phase of the co-creation process or the development phase of the intervention </w:t>
      </w:r>
      <w:r w:rsidRPr="008037D0">
        <w:rPr>
          <w:rFonts w:cs="Calibri"/>
          <w:lang w:val="en-US"/>
        </w:rPr>
        <w:fldChar w:fldCharType="begin"/>
      </w:r>
      <w:r w:rsidR="00C52F05" w:rsidRPr="008037D0">
        <w:rPr>
          <w:rFonts w:cs="Calibri"/>
          <w:lang w:val="en-US"/>
        </w:rPr>
        <w:instrText xml:space="preserve"> ADDIN ZOTERO_ITEM CSL_CITATION {"citationID":"BHCzqVAN","properties":{"formattedCitation":"(1,4)","plainCitation":"(1,4)","noteIndex":0},"citationItems":[{"id":253,"uris":["http://zotero.org/users/9330380/items/NLGDFK6L"],"itemData":{"id":253,"type":"article-journal","container-title":"BMJ","DOI":"10.1136/bmj.n1679","ISSN":"1756-1833","journalAbbreviation":"BMJ","language":"en","page":"n1679","source":"DOI.org (Crossref)","title":"Adapting interventions to new contexts—the ADAPT guidance","author":[{"family":"Moore","given":"Graham"},{"family":"Campbell","given":"Mhairi"},{"family":"Copeland","given":"Lauren"},{"family":"Craig","given":"Peter"},{"family":"Movsisyan","given":"Ani"},{"family":"Hoddinott","given":"Pat"},{"family":"Littlecott","given":"Hannah"},{"family":"O’Cathain","given":"Alicia"},{"family":"Pfadenhauer","given":"Lisa"},{"family":"Rehfuess","given":"Eva"},{"family":"Segrott","given":"Jeremy"},{"family":"Hawe","given":"Penelope"},{"family":"Kee","given":"Frank"},{"family":"Couturiaux","given":"Danielle"},{"family":"Hallingberg","given":"Britt"},{"family":"Evans","given":"Rhiannon"}],"issued":{"date-parts":[["2021",8,3]]}}},{"id":627,"uris":["http://zotero.org/users/9330380/items/JS2N9FNA"],"itemData":{"id":627,"type":"article-journal","abstract":"BACKGROUND: People with impaired mobility (IM) disabilities have a higher prevalence of obesity and obesity-related chronic conditions; however, lifestyle interventions that address the unique needs of people with IM are lacking. OBJECTIVE: This paper describes an adapted evidence-based lifestyle intervention developed through community-based participatory research (CBPR). METHODS: Individuals with IM, health professionals, disability group representatives, and researchers formed an advisory board to guide the process of thoroughly adapting the Diabetes Prevention Program Group Lifestyle Balance (DPP GLB) intervention after a successful pilot in people with IM. The process involved two phases: 1) planned adaptations to DPP GLB content and delivery, and 2) responsive adaptations to address issues that emerged during intervention delivery. RESULTS: Planned adaptations included combining in-person sessions with conference calls, providing arm-based activity trackers, and adding content on adaptive cooking, adaptive physical activity, injury prevention, unique health considerations, self-advocacy, and caregiver support. During the intervention, participants encountered numerous barriers, including health and mental health issues, transportation, caregivers, employment, adjusting to disability, and functional limitations. We addressed barriers with responsive adaptations, such as supporting electronic self-monitoring, offering make up sessions, and adding content and activities on goal setting, problem solving, planning, peer support, reflection, and motivation. CONCLUSIONS: Given the lack of evidence on lifestyle change in people with disabilities, it is critical to involve the community in intervention planning and respond to real-time barriers as participants engage in change. A randomized controlled trial (RCT) is underway to examine the usability, feasibility, and preliminary effectiveness of the adapted intervention.","DOI":"10.1016/j.dhjo.2017.10.008","title":"Reducing barriers to healthy weight: Planned and responsive adaptations to a lifestyle intervention to serve people with impaired mobility","author":[{"family":"Betts","given":"Andrea C."},{"family":"Froehlich-Grobe","given":"Katherine"},{"family":"Driver","given":"Simon"},{"family":"Carlton","given":"Danielle"},{"family":"Kramer","given":"M. Kaye"}],"issued":{"date-parts":[["2018",4]]}}}],"schema":"https://github.com/citation-style-language/schema/raw/master/csl-citation.json"} </w:instrText>
      </w:r>
      <w:r w:rsidRPr="008037D0">
        <w:rPr>
          <w:rFonts w:cs="Calibri"/>
          <w:lang w:val="en-US"/>
        </w:rPr>
        <w:fldChar w:fldCharType="separate"/>
      </w:r>
      <w:r w:rsidR="00C52F05" w:rsidRPr="008037D0">
        <w:rPr>
          <w:rFonts w:cs="Calibri"/>
        </w:rPr>
        <w:t>(1,4)</w:t>
      </w:r>
      <w:r w:rsidRPr="008037D0">
        <w:rPr>
          <w:rFonts w:cs="Calibri"/>
          <w:lang w:val="en-US"/>
        </w:rPr>
        <w:fldChar w:fldCharType="end"/>
      </w:r>
      <w:r w:rsidRPr="008037D0">
        <w:rPr>
          <w:rFonts w:cs="Calibri"/>
        </w:rPr>
        <w:t>.</w:t>
      </w:r>
    </w:p>
    <w:p w14:paraId="42236467" w14:textId="3C25C0C2" w:rsidR="0D0AB0E8" w:rsidRPr="008037D0" w:rsidRDefault="0D0AB0E8" w:rsidP="008037D0">
      <w:pPr>
        <w:spacing w:line="480" w:lineRule="auto"/>
        <w:jc w:val="both"/>
        <w:rPr>
          <w:rFonts w:cs="Calibri"/>
        </w:rPr>
      </w:pPr>
      <w:r w:rsidRPr="008037D0">
        <w:rPr>
          <w:rFonts w:cs="Calibri"/>
          <w:b/>
          <w:bCs/>
        </w:rPr>
        <w:t xml:space="preserve">Public </w:t>
      </w:r>
      <w:r w:rsidR="6C533AD6" w:rsidRPr="008037D0">
        <w:rPr>
          <w:rFonts w:cs="Calibri"/>
          <w:b/>
          <w:bCs/>
        </w:rPr>
        <w:t>h</w:t>
      </w:r>
      <w:r w:rsidRPr="008037D0">
        <w:rPr>
          <w:rFonts w:cs="Calibri"/>
          <w:b/>
          <w:bCs/>
        </w:rPr>
        <w:t>ealth:</w:t>
      </w:r>
      <w:r w:rsidRPr="008037D0">
        <w:rPr>
          <w:rFonts w:cs="Calibri"/>
        </w:rPr>
        <w:t xml:space="preserve"> </w:t>
      </w:r>
      <w:r w:rsidR="001D2DD1">
        <w:rPr>
          <w:rFonts w:cs="Calibri"/>
        </w:rPr>
        <w:t>“</w:t>
      </w:r>
      <w:r w:rsidR="00BE1F58" w:rsidRPr="008037D0">
        <w:rPr>
          <w:rFonts w:cs="Calibri"/>
        </w:rPr>
        <w:t>A</w:t>
      </w:r>
      <w:r w:rsidRPr="008037D0">
        <w:rPr>
          <w:rFonts w:cs="Calibri"/>
        </w:rPr>
        <w:t>ll organised measures (whether public or private) to prevent disease, promote health, and prolong life among the population as a whole. Its activities aim to provide conditions in which people can be healthy and focus on entire populations, not on individual patients or diseases</w:t>
      </w:r>
      <w:r w:rsidR="001D2DD1">
        <w:rPr>
          <w:rFonts w:cs="Calibri"/>
        </w:rPr>
        <w:t>”</w:t>
      </w:r>
      <w:r w:rsidRPr="008037D0">
        <w:rPr>
          <w:rFonts w:cs="Calibri"/>
        </w:rPr>
        <w:t xml:space="preserve"> </w:t>
      </w:r>
      <w:r w:rsidR="00C52F05" w:rsidRPr="008037D0">
        <w:rPr>
          <w:rFonts w:cs="Calibri"/>
        </w:rPr>
        <w:fldChar w:fldCharType="begin"/>
      </w:r>
      <w:r w:rsidR="00C52F05" w:rsidRPr="008037D0">
        <w:rPr>
          <w:rFonts w:cs="Calibri"/>
        </w:rPr>
        <w:instrText xml:space="preserve"> ADDIN ZOTERO_ITEM CSL_CITATION {"citationID":"n89MQrdL","properties":{"formattedCitation":"(5)","plainCitation":"(5)","noteIndex":0},"citationItems":[{"id":34915,"uris":["http://zotero.org/users/9330380/items/XASJCFWW"],"itemData":{"id":34915,"type":"article-journal","container-title":"Systematic Reviews","DOI":"10.1186/s13643-016-0235-3","ISSN":"2046-4053","issue":"1","journalAbbreviation":"Syst Rev","language":"en","license":"http://www.springer.com/tdm","note":"publisher: Springer Science and Business Media LLC","source":"Crossref","title":"The effects of public health policies on population health and health inequalities in European welfare states: protocol for an umbrella review","title-short":"The effects of public health policies on population health and health inequalities in European welfare states","URL":"http://systematicreviewsjournal.biomedcentral.com/articles/10.1186/s13643-016-0235-3","volume":"5","author":[{"family":"Thomson","given":"Katie"},{"family":"Bambra","given":"Clare"},{"family":"McNamara","given":"Courtney"},{"family":"Huijts","given":"Tim"},{"family":"Todd","given":"Adam"}],"accessed":{"date-parts":[["2024",9,17]]},"issued":{"date-parts":[["2016",12]]}}}],"schema":"https://github.com/citation-style-language/schema/raw/master/csl-citation.json"} </w:instrText>
      </w:r>
      <w:r w:rsidR="00C52F05" w:rsidRPr="008037D0">
        <w:rPr>
          <w:rFonts w:cs="Calibri"/>
        </w:rPr>
        <w:fldChar w:fldCharType="separate"/>
      </w:r>
      <w:r w:rsidR="00C52F05" w:rsidRPr="008037D0">
        <w:rPr>
          <w:rFonts w:cs="Calibri"/>
        </w:rPr>
        <w:t>(5)</w:t>
      </w:r>
      <w:r w:rsidR="00C52F05" w:rsidRPr="008037D0">
        <w:rPr>
          <w:rFonts w:cs="Calibri"/>
        </w:rPr>
        <w:fldChar w:fldCharType="end"/>
      </w:r>
      <w:r w:rsidRPr="008037D0">
        <w:rPr>
          <w:rFonts w:cs="Calibri"/>
        </w:rPr>
        <w:t>.</w:t>
      </w:r>
    </w:p>
    <w:p w14:paraId="3F9E1296" w14:textId="75C7C696" w:rsidR="0013155C" w:rsidRPr="008037D0" w:rsidRDefault="14BCFA92" w:rsidP="008037D0">
      <w:pPr>
        <w:spacing w:line="480" w:lineRule="auto"/>
        <w:jc w:val="both"/>
        <w:rPr>
          <w:rFonts w:cs="Calibri"/>
        </w:rPr>
      </w:pPr>
      <w:r w:rsidRPr="008037D0">
        <w:rPr>
          <w:rFonts w:cs="Calibri"/>
          <w:b/>
          <w:bCs/>
        </w:rPr>
        <w:t>Public health intervention:</w:t>
      </w:r>
      <w:r w:rsidRPr="008037D0">
        <w:rPr>
          <w:rFonts w:cs="Calibri"/>
        </w:rPr>
        <w:t xml:space="preserve"> Is a set of actions </w:t>
      </w:r>
      <w:r w:rsidR="1AFC76FA" w:rsidRPr="008037D0">
        <w:rPr>
          <w:rFonts w:cs="Calibri"/>
        </w:rPr>
        <w:t>designed</w:t>
      </w:r>
      <w:r w:rsidR="49F6F018" w:rsidRPr="008037D0">
        <w:rPr>
          <w:rFonts w:cs="Calibri"/>
        </w:rPr>
        <w:t xml:space="preserve"> to promote or protect health or prevent ill health in communities or p</w:t>
      </w:r>
      <w:r w:rsidR="184B192F" w:rsidRPr="008037D0">
        <w:rPr>
          <w:rFonts w:cs="Calibri"/>
        </w:rPr>
        <w:t xml:space="preserve">opulations. These actions </w:t>
      </w:r>
      <w:r w:rsidR="74BC964E" w:rsidRPr="008037D0">
        <w:rPr>
          <w:rFonts w:cs="Calibri"/>
        </w:rPr>
        <w:t>aim to drive change or achieve specific, measurable outcomes</w:t>
      </w:r>
      <w:r w:rsidR="54E1851D" w:rsidRPr="008037D0">
        <w:rPr>
          <w:rFonts w:cs="Calibri"/>
        </w:rPr>
        <w:t>. Public health interventions can</w:t>
      </w:r>
      <w:r w:rsidR="5DAF11A1" w:rsidRPr="008037D0">
        <w:rPr>
          <w:rFonts w:cs="Calibri"/>
        </w:rPr>
        <w:t xml:space="preserve"> include policy</w:t>
      </w:r>
      <w:r w:rsidR="5D218AFD" w:rsidRPr="008037D0">
        <w:rPr>
          <w:rFonts w:cs="Calibri"/>
        </w:rPr>
        <w:t xml:space="preserve"> and </w:t>
      </w:r>
      <w:r w:rsidR="5DAF11A1" w:rsidRPr="008037D0">
        <w:rPr>
          <w:rFonts w:cs="Calibri"/>
        </w:rPr>
        <w:t xml:space="preserve">regulatory initiatives, </w:t>
      </w:r>
      <w:r w:rsidR="5DAF11A1" w:rsidRPr="008037D0">
        <w:rPr>
          <w:rFonts w:cs="Calibri"/>
        </w:rPr>
        <w:lastRenderedPageBreak/>
        <w:t>single s</w:t>
      </w:r>
      <w:r w:rsidR="43481A63" w:rsidRPr="008037D0">
        <w:rPr>
          <w:rFonts w:cs="Calibri"/>
        </w:rPr>
        <w:t>trategy projects or mult</w:t>
      </w:r>
      <w:r w:rsidR="5943ECA9" w:rsidRPr="008037D0">
        <w:rPr>
          <w:rFonts w:cs="Calibri"/>
        </w:rPr>
        <w:t>i</w:t>
      </w:r>
      <w:r w:rsidR="43481A63" w:rsidRPr="008037D0">
        <w:rPr>
          <w:rFonts w:cs="Calibri"/>
        </w:rPr>
        <w:t>-component programmes</w:t>
      </w:r>
      <w:r w:rsidR="57908F72" w:rsidRPr="008037D0">
        <w:rPr>
          <w:rFonts w:cs="Calibri"/>
        </w:rPr>
        <w:t xml:space="preserve"> that address various health determinants</w:t>
      </w:r>
      <w:r w:rsidR="5D6C5E46" w:rsidRPr="008037D0">
        <w:rPr>
          <w:rFonts w:cs="Calibri"/>
        </w:rPr>
        <w:t xml:space="preserve"> </w:t>
      </w:r>
      <w:r w:rsidR="00C52F05" w:rsidRPr="008037D0">
        <w:rPr>
          <w:rFonts w:cs="Calibri"/>
        </w:rPr>
        <w:fldChar w:fldCharType="begin"/>
      </w:r>
      <w:r w:rsidR="00C52F05" w:rsidRPr="008037D0">
        <w:rPr>
          <w:rFonts w:cs="Calibri"/>
        </w:rPr>
        <w:instrText xml:space="preserve"> ADDIN ZOTERO_ITEM CSL_CITATION {"citationID":"sQDGqT9k","properties":{"formattedCitation":"(6)","plainCitation":"(6)","noteIndex":0},"citationItems":[{"id":35218,"uris":["http://zotero.org/users/9330380/items/NZ6LLF7Y"],"itemData":{"id":35218,"type":"article-journal","container-title":"Journal of Epidemiology &amp; Community Health","DOI":"10.1136/jech.56.2.119","ISSN":"0143005X","issue":"2","language":"en","page":"119-127","source":"DOI.org (Crossref)","title":"Criteria for evaluating evidence on public health interventions","volume":"56","author":[{"family":"Rychetnik","given":"L"},{"family":"Frommer","given":"M"},{"family":"Hawe","given":"P"},{"family":"Shiell","given":"A"}],"issued":{"date-parts":[["2002",2,1]]}}}],"schema":"https://github.com/citation-style-language/schema/raw/master/csl-citation.json"} </w:instrText>
      </w:r>
      <w:r w:rsidR="00C52F05" w:rsidRPr="008037D0">
        <w:rPr>
          <w:rFonts w:cs="Calibri"/>
        </w:rPr>
        <w:fldChar w:fldCharType="separate"/>
      </w:r>
      <w:r w:rsidR="00C52F05" w:rsidRPr="008037D0">
        <w:rPr>
          <w:rFonts w:cs="Calibri"/>
        </w:rPr>
        <w:t>(6)</w:t>
      </w:r>
      <w:r w:rsidR="00C52F05" w:rsidRPr="008037D0">
        <w:rPr>
          <w:rFonts w:cs="Calibri"/>
        </w:rPr>
        <w:fldChar w:fldCharType="end"/>
      </w:r>
      <w:r w:rsidR="1CC88555" w:rsidRPr="008037D0">
        <w:rPr>
          <w:rFonts w:cs="Calibri"/>
        </w:rPr>
        <w:t>.</w:t>
      </w:r>
    </w:p>
    <w:p w14:paraId="00B10032" w14:textId="64A4AA42" w:rsidR="0013155C" w:rsidRPr="008037D0" w:rsidRDefault="0013155C" w:rsidP="008037D0">
      <w:pPr>
        <w:spacing w:line="480" w:lineRule="auto"/>
        <w:jc w:val="both"/>
        <w:rPr>
          <w:rFonts w:cs="Calibri"/>
        </w:rPr>
      </w:pPr>
      <w:r w:rsidRPr="008037D0">
        <w:rPr>
          <w:rFonts w:cs="Calibri"/>
          <w:b/>
          <w:bCs/>
        </w:rPr>
        <w:t>Responsive adaptations</w:t>
      </w:r>
      <w:r w:rsidRPr="008037D0">
        <w:rPr>
          <w:rFonts w:cs="Calibri"/>
        </w:rPr>
        <w:t xml:space="preserve">: Adaptations that are made during the co-creation process or during the implementation of the intervention </w:t>
      </w:r>
      <w:r w:rsidRPr="008037D0">
        <w:rPr>
          <w:rFonts w:cs="Calibri"/>
          <w:lang w:val="en-US"/>
        </w:rPr>
        <w:fldChar w:fldCharType="begin"/>
      </w:r>
      <w:r w:rsidR="00C52F05" w:rsidRPr="008037D0">
        <w:rPr>
          <w:rFonts w:cs="Calibri"/>
          <w:lang w:val="en-US"/>
        </w:rPr>
        <w:instrText xml:space="preserve"> ADDIN ZOTERO_ITEM CSL_CITATION {"citationID":"yGNobYSE","properties":{"formattedCitation":"(1,4)","plainCitation":"(1,4)","noteIndex":0},"citationItems":[{"id":253,"uris":["http://zotero.org/users/9330380/items/NLGDFK6L"],"itemData":{"id":253,"type":"article-journal","container-title":"BMJ","DOI":"10.1136/bmj.n1679","ISSN":"1756-1833","journalAbbreviation":"BMJ","language":"en","page":"n1679","source":"DOI.org (Crossref)","title":"Adapting interventions to new contexts—the ADAPT guidance","author":[{"family":"Moore","given":"Graham"},{"family":"Campbell","given":"Mhairi"},{"family":"Copeland","given":"Lauren"},{"family":"Craig","given":"Peter"},{"family":"Movsisyan","given":"Ani"},{"family":"Hoddinott","given":"Pat"},{"family":"Littlecott","given":"Hannah"},{"family":"O’Cathain","given":"Alicia"},{"family":"Pfadenhauer","given":"Lisa"},{"family":"Rehfuess","given":"Eva"},{"family":"Segrott","given":"Jeremy"},{"family":"Hawe","given":"Penelope"},{"family":"Kee","given":"Frank"},{"family":"Couturiaux","given":"Danielle"},{"family":"Hallingberg","given":"Britt"},{"family":"Evans","given":"Rhiannon"}],"issued":{"date-parts":[["2021",8,3]]}}},{"id":627,"uris":["http://zotero.org/users/9330380/items/JS2N9FNA"],"itemData":{"id":627,"type":"article-journal","abstract":"BACKGROUND: People with impaired mobility (IM) disabilities have a higher prevalence of obesity and obesity-related chronic conditions; however, lifestyle interventions that address the unique needs of people with IM are lacking. OBJECTIVE: This paper describes an adapted evidence-based lifestyle intervention developed through community-based participatory research (CBPR). METHODS: Individuals with IM, health professionals, disability group representatives, and researchers formed an advisory board to guide the process of thoroughly adapting the Diabetes Prevention Program Group Lifestyle Balance (DPP GLB) intervention after a successful pilot in people with IM. The process involved two phases: 1) planned adaptations to DPP GLB content and delivery, and 2) responsive adaptations to address issues that emerged during intervention delivery. RESULTS: Planned adaptations included combining in-person sessions with conference calls, providing arm-based activity trackers, and adding content on adaptive cooking, adaptive physical activity, injury prevention, unique health considerations, self-advocacy, and caregiver support. During the intervention, participants encountered numerous barriers, including health and mental health issues, transportation, caregivers, employment, adjusting to disability, and functional limitations. We addressed barriers with responsive adaptations, such as supporting electronic self-monitoring, offering make up sessions, and adding content and activities on goal setting, problem solving, planning, peer support, reflection, and motivation. CONCLUSIONS: Given the lack of evidence on lifestyle change in people with disabilities, it is critical to involve the community in intervention planning and respond to real-time barriers as participants engage in change. A randomized controlled trial (RCT) is underway to examine the usability, feasibility, and preliminary effectiveness of the adapted intervention.","DOI":"10.1016/j.dhjo.2017.10.008","title":"Reducing barriers to healthy weight: Planned and responsive adaptations to a lifestyle intervention to serve people with impaired mobility","author":[{"family":"Betts","given":"Andrea C."},{"family":"Froehlich-Grobe","given":"Katherine"},{"family":"Driver","given":"Simon"},{"family":"Carlton","given":"Danielle"},{"family":"Kramer","given":"M. Kaye"}],"issued":{"date-parts":[["2018",4]]}}}],"schema":"https://github.com/citation-style-language/schema/raw/master/csl-citation.json"} </w:instrText>
      </w:r>
      <w:r w:rsidRPr="008037D0">
        <w:rPr>
          <w:rFonts w:cs="Calibri"/>
          <w:lang w:val="en-US"/>
        </w:rPr>
        <w:fldChar w:fldCharType="separate"/>
      </w:r>
      <w:r w:rsidR="00C52F05" w:rsidRPr="008037D0">
        <w:rPr>
          <w:rFonts w:cs="Calibri"/>
        </w:rPr>
        <w:t>(1,4)</w:t>
      </w:r>
      <w:r w:rsidRPr="008037D0">
        <w:rPr>
          <w:rFonts w:cs="Calibri"/>
          <w:lang w:val="en-US"/>
        </w:rPr>
        <w:fldChar w:fldCharType="end"/>
      </w:r>
      <w:r w:rsidRPr="008037D0">
        <w:rPr>
          <w:rFonts w:cs="Calibri"/>
        </w:rPr>
        <w:t>.</w:t>
      </w:r>
    </w:p>
    <w:p w14:paraId="79494C38" w14:textId="53ECA216" w:rsidR="00B67D82" w:rsidRDefault="581F6317" w:rsidP="008037D0">
      <w:pPr>
        <w:spacing w:line="480" w:lineRule="auto"/>
        <w:jc w:val="both"/>
        <w:rPr>
          <w:rFonts w:cs="Calibri"/>
        </w:rPr>
      </w:pPr>
      <w:r w:rsidRPr="008037D0">
        <w:rPr>
          <w:rFonts w:cs="Calibri"/>
          <w:b/>
          <w:bCs/>
        </w:rPr>
        <w:t>Stakeholder</w:t>
      </w:r>
      <w:r w:rsidR="37AAACBF" w:rsidRPr="008037D0">
        <w:rPr>
          <w:rFonts w:cs="Calibri"/>
          <w:b/>
          <w:bCs/>
        </w:rPr>
        <w:t>s</w:t>
      </w:r>
      <w:r w:rsidRPr="008037D0">
        <w:rPr>
          <w:rFonts w:cs="Calibri"/>
          <w:b/>
          <w:bCs/>
        </w:rPr>
        <w:t>:</w:t>
      </w:r>
      <w:r w:rsidRPr="008037D0">
        <w:rPr>
          <w:rFonts w:cs="Calibri"/>
        </w:rPr>
        <w:t xml:space="preserve"> </w:t>
      </w:r>
      <w:r w:rsidR="4D0CB1D8" w:rsidRPr="008037D0">
        <w:rPr>
          <w:rFonts w:cs="Calibri"/>
        </w:rPr>
        <w:t>“</w:t>
      </w:r>
      <w:r w:rsidR="022791E1" w:rsidRPr="008037D0">
        <w:rPr>
          <w:rFonts w:cs="Calibri"/>
        </w:rPr>
        <w:t>All individuals</w:t>
      </w:r>
      <w:r w:rsidR="4D0CB1D8" w:rsidRPr="008037D0">
        <w:rPr>
          <w:rFonts w:cs="Calibri"/>
        </w:rPr>
        <w:t xml:space="preserve"> who are targeted by the intervention, involved in its development or delivery, or more broadly those whose personal or professional interests are affected” </w:t>
      </w:r>
      <w:r w:rsidR="00C52F05" w:rsidRPr="008037D0">
        <w:rPr>
          <w:rFonts w:cs="Calibri"/>
        </w:rPr>
        <w:fldChar w:fldCharType="begin"/>
      </w:r>
      <w:r w:rsidR="00C52F05" w:rsidRPr="008037D0">
        <w:rPr>
          <w:rFonts w:cs="Calibri"/>
        </w:rPr>
        <w:instrText xml:space="preserve"> ADDIN ZOTERO_ITEM CSL_CITATION {"citationID":"LNYRuzuX","properties":{"formattedCitation":"(7)","plainCitation":"(7)","noteIndex":0},"citationItems":[{"id":35045,"uris":["http://zotero.org/users/9330380/items/YENIT55Y"],"itemData":{"id":35045,"type":"article-journal","container-title":"BMJ","DOI":"10.1136/bmj.n2061","ISSN":"1756-1833","journalAbbreviation":"BMJ","language":"en","page":"n2061","source":"DOI.org (Crossref)","title":"A new framework for developing and evaluating complex interventions: update of Medical Research Council guidance","title-short":"A new framework for developing and evaluating complex interventions","author":[{"family":"Skivington","given":"Kathryn"},{"family":"Matthews","given":"Lynsay"},{"family":"Simpson","given":"Sharon Anne"},{"family":"Craig","given":"Peter"},{"family":"Baird","given":"Janis"},{"family":"Blazeby","given":"Jane M"},{"family":"Boyd","given":"Kathleen Anne"},{"family":"Craig","given":"Neil"},{"family":"French","given":"David P"},{"family":"McIntosh","given":"Emma"},{"family":"Petticrew","given":"Mark"},{"family":"Rycroft-Malone","given":"Jo"},{"family":"White","given":"Martin"},{"family":"Moore","given":"Laurence"}],"issued":{"date-parts":[["2021",9,30]]}}}],"schema":"https://github.com/citation-style-language/schema/raw/master/csl-citation.json"} </w:instrText>
      </w:r>
      <w:r w:rsidR="00C52F05" w:rsidRPr="008037D0">
        <w:rPr>
          <w:rFonts w:cs="Calibri"/>
        </w:rPr>
        <w:fldChar w:fldCharType="separate"/>
      </w:r>
      <w:r w:rsidR="00C52F05" w:rsidRPr="008037D0">
        <w:rPr>
          <w:rFonts w:cs="Calibri"/>
        </w:rPr>
        <w:t>(7)</w:t>
      </w:r>
      <w:r w:rsidR="00C52F05" w:rsidRPr="008037D0">
        <w:rPr>
          <w:rFonts w:cs="Calibri"/>
        </w:rPr>
        <w:fldChar w:fldCharType="end"/>
      </w:r>
      <w:r w:rsidR="4D0CB1D8" w:rsidRPr="008037D0">
        <w:rPr>
          <w:rFonts w:cs="Calibri"/>
        </w:rPr>
        <w:t>.</w:t>
      </w:r>
    </w:p>
    <w:p w14:paraId="4EC575B5" w14:textId="77777777" w:rsidR="008037D0" w:rsidRPr="008037D0" w:rsidRDefault="008037D0" w:rsidP="008037D0">
      <w:pPr>
        <w:spacing w:line="480" w:lineRule="auto"/>
        <w:jc w:val="both"/>
        <w:rPr>
          <w:rFonts w:cs="Calibri"/>
        </w:rPr>
      </w:pPr>
    </w:p>
    <w:p w14:paraId="1BC4FA87" w14:textId="5D6CA5F1" w:rsidR="00B67D82" w:rsidRPr="008037D0" w:rsidRDefault="0013155C" w:rsidP="008037D0">
      <w:pPr>
        <w:spacing w:line="480" w:lineRule="auto"/>
        <w:jc w:val="both"/>
        <w:rPr>
          <w:rFonts w:cs="Calibri"/>
          <w:b/>
          <w:bCs/>
        </w:rPr>
      </w:pPr>
      <w:r w:rsidRPr="008037D0">
        <w:rPr>
          <w:rFonts w:cs="Calibri"/>
          <w:b/>
          <w:bCs/>
        </w:rPr>
        <w:t>References</w:t>
      </w:r>
    </w:p>
    <w:p w14:paraId="1DB07452" w14:textId="77777777" w:rsidR="00C52F05" w:rsidRPr="008037D0" w:rsidRDefault="0013155C" w:rsidP="008037D0">
      <w:pPr>
        <w:pStyle w:val="Bibliography"/>
        <w:spacing w:line="480" w:lineRule="auto"/>
        <w:jc w:val="both"/>
        <w:rPr>
          <w:rFonts w:cs="Calibri"/>
        </w:rPr>
      </w:pPr>
      <w:r w:rsidRPr="008037D0">
        <w:rPr>
          <w:rFonts w:cs="Calibri"/>
          <w:lang w:val="en-US"/>
        </w:rPr>
        <w:fldChar w:fldCharType="begin"/>
      </w:r>
      <w:r w:rsidRPr="008037D0">
        <w:rPr>
          <w:rFonts w:cs="Calibri"/>
          <w:lang w:val="en-US"/>
        </w:rPr>
        <w:instrText xml:space="preserve"> ADDIN ZOTERO_BIBL {"uncited":[],"omitted":[],"custom":[]} CSL_BIBLIOGRAPHY </w:instrText>
      </w:r>
      <w:r w:rsidRPr="008037D0">
        <w:rPr>
          <w:rFonts w:cs="Calibri"/>
          <w:lang w:val="en-US"/>
        </w:rPr>
        <w:fldChar w:fldCharType="separate"/>
      </w:r>
      <w:r w:rsidR="00C52F05" w:rsidRPr="008037D0">
        <w:rPr>
          <w:rFonts w:cs="Calibri"/>
        </w:rPr>
        <w:t>1.</w:t>
      </w:r>
      <w:r w:rsidR="00C52F05" w:rsidRPr="008037D0">
        <w:rPr>
          <w:rFonts w:cs="Calibri"/>
        </w:rPr>
        <w:tab/>
        <w:t xml:space="preserve">Moore G, Campbell M, Copeland L, Craig P, Movsisyan A, Hoddinott P, et al. Adapting interventions to new contexts—the ADAPT guidance. BMJ. 2021 Aug 3;n1679. </w:t>
      </w:r>
    </w:p>
    <w:p w14:paraId="156B3C64" w14:textId="77777777" w:rsidR="00C52F05" w:rsidRPr="008037D0" w:rsidRDefault="00C52F05" w:rsidP="008037D0">
      <w:pPr>
        <w:pStyle w:val="Bibliography"/>
        <w:spacing w:line="480" w:lineRule="auto"/>
        <w:jc w:val="both"/>
        <w:rPr>
          <w:rFonts w:cs="Calibri"/>
        </w:rPr>
      </w:pPr>
      <w:r w:rsidRPr="008037D0">
        <w:rPr>
          <w:rFonts w:cs="Calibri"/>
        </w:rPr>
        <w:t>2.</w:t>
      </w:r>
      <w:r w:rsidRPr="008037D0">
        <w:rPr>
          <w:rFonts w:cs="Calibri"/>
        </w:rPr>
        <w:tab/>
        <w:t xml:space="preserve">Vargas C, Whelan J, Brimblecombe J, Allender S. Co-creation, co-design, co-production for public health – a perspective on definition and distinctions. Public Health Res Pract. 2022;32(2). </w:t>
      </w:r>
    </w:p>
    <w:p w14:paraId="4DF8908F" w14:textId="77777777" w:rsidR="00C52F05" w:rsidRPr="008037D0" w:rsidRDefault="00C52F05" w:rsidP="008037D0">
      <w:pPr>
        <w:pStyle w:val="Bibliography"/>
        <w:spacing w:line="480" w:lineRule="auto"/>
        <w:jc w:val="both"/>
        <w:rPr>
          <w:rFonts w:cs="Calibri"/>
        </w:rPr>
      </w:pPr>
      <w:r w:rsidRPr="008037D0">
        <w:rPr>
          <w:rFonts w:cs="Calibri"/>
        </w:rPr>
        <w:t>3.</w:t>
      </w:r>
      <w:r w:rsidRPr="008037D0">
        <w:rPr>
          <w:rFonts w:cs="Calibri"/>
        </w:rPr>
        <w:tab/>
        <w:t xml:space="preserve">Gibbons M. Mode 2 society and the emergence of context-sensitive science. Sci Public Policy. 2000 Jun 1;27(3):159–63. </w:t>
      </w:r>
    </w:p>
    <w:p w14:paraId="53CE9BAF" w14:textId="77777777" w:rsidR="00C52F05" w:rsidRPr="008037D0" w:rsidRDefault="00C52F05" w:rsidP="008037D0">
      <w:pPr>
        <w:pStyle w:val="Bibliography"/>
        <w:spacing w:line="480" w:lineRule="auto"/>
        <w:jc w:val="both"/>
        <w:rPr>
          <w:rFonts w:cs="Calibri"/>
        </w:rPr>
      </w:pPr>
      <w:r w:rsidRPr="008037D0">
        <w:rPr>
          <w:rFonts w:cs="Calibri"/>
        </w:rPr>
        <w:t>4.</w:t>
      </w:r>
      <w:r w:rsidRPr="008037D0">
        <w:rPr>
          <w:rFonts w:cs="Calibri"/>
        </w:rPr>
        <w:tab/>
        <w:t xml:space="preserve">Betts AC, Froehlich-Grobe K, Driver S, Carlton D, Kramer MK. Reducing barriers to healthy weight: Planned and responsive adaptations to a lifestyle intervention to serve people with impaired mobility. 2018 Apr; </w:t>
      </w:r>
    </w:p>
    <w:p w14:paraId="38376B55" w14:textId="77777777" w:rsidR="00C52F05" w:rsidRPr="008037D0" w:rsidRDefault="00C52F05" w:rsidP="008037D0">
      <w:pPr>
        <w:pStyle w:val="Bibliography"/>
        <w:spacing w:line="480" w:lineRule="auto"/>
        <w:jc w:val="both"/>
        <w:rPr>
          <w:rFonts w:cs="Calibri"/>
        </w:rPr>
      </w:pPr>
      <w:r w:rsidRPr="008037D0">
        <w:rPr>
          <w:rFonts w:cs="Calibri"/>
        </w:rPr>
        <w:t>5.</w:t>
      </w:r>
      <w:r w:rsidRPr="008037D0">
        <w:rPr>
          <w:rFonts w:cs="Calibri"/>
        </w:rPr>
        <w:tab/>
        <w:t>Thomson K, Bambra C, McNamara C, Huijts T, Todd A. The effects of public health policies on population health and health inequalities in European welfare states: protocol for an umbrella review. Syst Rev [Internet]. 2016 Dec [cited 2024 Sep 17];5(1). Available from: http://systematicreviewsjournal.biomedcentral.com/articles/10.1186/s13643-016-0235-3</w:t>
      </w:r>
    </w:p>
    <w:p w14:paraId="411D5ECA" w14:textId="77777777" w:rsidR="00C52F05" w:rsidRPr="008037D0" w:rsidRDefault="00C52F05" w:rsidP="008037D0">
      <w:pPr>
        <w:pStyle w:val="Bibliography"/>
        <w:spacing w:line="480" w:lineRule="auto"/>
        <w:jc w:val="both"/>
        <w:rPr>
          <w:rFonts w:cs="Calibri"/>
        </w:rPr>
      </w:pPr>
      <w:r w:rsidRPr="008037D0">
        <w:rPr>
          <w:rFonts w:cs="Calibri"/>
        </w:rPr>
        <w:lastRenderedPageBreak/>
        <w:t>6.</w:t>
      </w:r>
      <w:r w:rsidRPr="008037D0">
        <w:rPr>
          <w:rFonts w:cs="Calibri"/>
        </w:rPr>
        <w:tab/>
        <w:t xml:space="preserve">Rychetnik L, Frommer M, Hawe P, Shiell A. Criteria for evaluating evidence on public health interventions. J Epidemiol Community Health. 2002 Feb 1;56(2):119–27. </w:t>
      </w:r>
    </w:p>
    <w:p w14:paraId="1ECA4D17" w14:textId="77777777" w:rsidR="00C52F05" w:rsidRPr="008037D0" w:rsidRDefault="00C52F05" w:rsidP="008037D0">
      <w:pPr>
        <w:pStyle w:val="Bibliography"/>
        <w:spacing w:line="480" w:lineRule="auto"/>
        <w:jc w:val="both"/>
        <w:rPr>
          <w:rFonts w:cs="Calibri"/>
        </w:rPr>
      </w:pPr>
      <w:r w:rsidRPr="008037D0">
        <w:rPr>
          <w:rFonts w:cs="Calibri"/>
        </w:rPr>
        <w:t>7.</w:t>
      </w:r>
      <w:r w:rsidRPr="008037D0">
        <w:rPr>
          <w:rFonts w:cs="Calibri"/>
        </w:rPr>
        <w:tab/>
        <w:t xml:space="preserve">Skivington K, Matthews L, Simpson SA, Craig P, Baird J, Blazeby JM, et al. A new framework for developing and evaluating complex interventions: update of Medical Research Council guidance. BMJ. 2021 Sep 30;n2061. </w:t>
      </w:r>
    </w:p>
    <w:p w14:paraId="10330542" w14:textId="0A7D0302" w:rsidR="0013155C" w:rsidRPr="008037D0" w:rsidRDefault="0013155C" w:rsidP="008037D0">
      <w:pPr>
        <w:spacing w:line="480" w:lineRule="auto"/>
        <w:jc w:val="both"/>
        <w:rPr>
          <w:rFonts w:cs="Calibri"/>
        </w:rPr>
      </w:pPr>
      <w:r w:rsidRPr="008037D0">
        <w:rPr>
          <w:rFonts w:cs="Calibri"/>
          <w:lang w:val="en-US"/>
        </w:rPr>
        <w:fldChar w:fldCharType="end"/>
      </w:r>
    </w:p>
    <w:sectPr w:rsidR="0013155C" w:rsidRPr="00803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9169"/>
    <w:multiLevelType w:val="hybridMultilevel"/>
    <w:tmpl w:val="C304EE7C"/>
    <w:lvl w:ilvl="0" w:tplc="89B453C0">
      <w:start w:val="1"/>
      <w:numFmt w:val="bullet"/>
      <w:lvlText w:val="-"/>
      <w:lvlJc w:val="left"/>
      <w:pPr>
        <w:ind w:left="720" w:hanging="360"/>
      </w:pPr>
      <w:rPr>
        <w:rFonts w:ascii="Aptos" w:hAnsi="Aptos" w:hint="default"/>
      </w:rPr>
    </w:lvl>
    <w:lvl w:ilvl="1" w:tplc="84D0BD16">
      <w:start w:val="1"/>
      <w:numFmt w:val="bullet"/>
      <w:lvlText w:val="o"/>
      <w:lvlJc w:val="left"/>
      <w:pPr>
        <w:ind w:left="1440" w:hanging="360"/>
      </w:pPr>
      <w:rPr>
        <w:rFonts w:ascii="Courier New" w:hAnsi="Courier New" w:hint="default"/>
      </w:rPr>
    </w:lvl>
    <w:lvl w:ilvl="2" w:tplc="AA224C36">
      <w:start w:val="1"/>
      <w:numFmt w:val="bullet"/>
      <w:lvlText w:val=""/>
      <w:lvlJc w:val="left"/>
      <w:pPr>
        <w:ind w:left="2160" w:hanging="360"/>
      </w:pPr>
      <w:rPr>
        <w:rFonts w:ascii="Wingdings" w:hAnsi="Wingdings" w:hint="default"/>
      </w:rPr>
    </w:lvl>
    <w:lvl w:ilvl="3" w:tplc="485C6866">
      <w:start w:val="1"/>
      <w:numFmt w:val="bullet"/>
      <w:lvlText w:val=""/>
      <w:lvlJc w:val="left"/>
      <w:pPr>
        <w:ind w:left="2880" w:hanging="360"/>
      </w:pPr>
      <w:rPr>
        <w:rFonts w:ascii="Symbol" w:hAnsi="Symbol" w:hint="default"/>
      </w:rPr>
    </w:lvl>
    <w:lvl w:ilvl="4" w:tplc="72F8272E">
      <w:start w:val="1"/>
      <w:numFmt w:val="bullet"/>
      <w:lvlText w:val="o"/>
      <w:lvlJc w:val="left"/>
      <w:pPr>
        <w:ind w:left="3600" w:hanging="360"/>
      </w:pPr>
      <w:rPr>
        <w:rFonts w:ascii="Courier New" w:hAnsi="Courier New" w:hint="default"/>
      </w:rPr>
    </w:lvl>
    <w:lvl w:ilvl="5" w:tplc="93A0E902">
      <w:start w:val="1"/>
      <w:numFmt w:val="bullet"/>
      <w:lvlText w:val=""/>
      <w:lvlJc w:val="left"/>
      <w:pPr>
        <w:ind w:left="4320" w:hanging="360"/>
      </w:pPr>
      <w:rPr>
        <w:rFonts w:ascii="Wingdings" w:hAnsi="Wingdings" w:hint="default"/>
      </w:rPr>
    </w:lvl>
    <w:lvl w:ilvl="6" w:tplc="99BAFDA4">
      <w:start w:val="1"/>
      <w:numFmt w:val="bullet"/>
      <w:lvlText w:val=""/>
      <w:lvlJc w:val="left"/>
      <w:pPr>
        <w:ind w:left="5040" w:hanging="360"/>
      </w:pPr>
      <w:rPr>
        <w:rFonts w:ascii="Symbol" w:hAnsi="Symbol" w:hint="default"/>
      </w:rPr>
    </w:lvl>
    <w:lvl w:ilvl="7" w:tplc="3F808AB4">
      <w:start w:val="1"/>
      <w:numFmt w:val="bullet"/>
      <w:lvlText w:val="o"/>
      <w:lvlJc w:val="left"/>
      <w:pPr>
        <w:ind w:left="5760" w:hanging="360"/>
      </w:pPr>
      <w:rPr>
        <w:rFonts w:ascii="Courier New" w:hAnsi="Courier New" w:hint="default"/>
      </w:rPr>
    </w:lvl>
    <w:lvl w:ilvl="8" w:tplc="AABC7386">
      <w:start w:val="1"/>
      <w:numFmt w:val="bullet"/>
      <w:lvlText w:val=""/>
      <w:lvlJc w:val="left"/>
      <w:pPr>
        <w:ind w:left="6480" w:hanging="360"/>
      </w:pPr>
      <w:rPr>
        <w:rFonts w:ascii="Wingdings" w:hAnsi="Wingdings" w:hint="default"/>
      </w:rPr>
    </w:lvl>
  </w:abstractNum>
  <w:num w:numId="1" w16cid:durableId="1531146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5C"/>
    <w:rsid w:val="0008034E"/>
    <w:rsid w:val="0013155C"/>
    <w:rsid w:val="00165BD7"/>
    <w:rsid w:val="001D2DD1"/>
    <w:rsid w:val="001E2C30"/>
    <w:rsid w:val="002575EA"/>
    <w:rsid w:val="002F2B31"/>
    <w:rsid w:val="004F26BC"/>
    <w:rsid w:val="008037D0"/>
    <w:rsid w:val="00906AD6"/>
    <w:rsid w:val="00A0239A"/>
    <w:rsid w:val="00B314D5"/>
    <w:rsid w:val="00B67D82"/>
    <w:rsid w:val="00BE1F58"/>
    <w:rsid w:val="00C52F05"/>
    <w:rsid w:val="00C63CAE"/>
    <w:rsid w:val="00D45974"/>
    <w:rsid w:val="00D47836"/>
    <w:rsid w:val="00D7328C"/>
    <w:rsid w:val="00D837C9"/>
    <w:rsid w:val="00EA3FA8"/>
    <w:rsid w:val="022791E1"/>
    <w:rsid w:val="03897E8C"/>
    <w:rsid w:val="0416A9EC"/>
    <w:rsid w:val="08FB1898"/>
    <w:rsid w:val="0CD24720"/>
    <w:rsid w:val="0CE5605D"/>
    <w:rsid w:val="0D0AB0E8"/>
    <w:rsid w:val="1120FCAB"/>
    <w:rsid w:val="12DA232D"/>
    <w:rsid w:val="1310F84D"/>
    <w:rsid w:val="14BCFA92"/>
    <w:rsid w:val="184B192F"/>
    <w:rsid w:val="18D61E4A"/>
    <w:rsid w:val="1AFC76FA"/>
    <w:rsid w:val="1CC88555"/>
    <w:rsid w:val="1E28A6FC"/>
    <w:rsid w:val="20252219"/>
    <w:rsid w:val="20C97F81"/>
    <w:rsid w:val="21349212"/>
    <w:rsid w:val="2257F46E"/>
    <w:rsid w:val="242EDCC9"/>
    <w:rsid w:val="29EBB8D1"/>
    <w:rsid w:val="2B847CCE"/>
    <w:rsid w:val="316F5165"/>
    <w:rsid w:val="349AE3DE"/>
    <w:rsid w:val="37AAACBF"/>
    <w:rsid w:val="3ACAE778"/>
    <w:rsid w:val="3C1A2ED2"/>
    <w:rsid w:val="3FE15851"/>
    <w:rsid w:val="40315533"/>
    <w:rsid w:val="43481A63"/>
    <w:rsid w:val="445008DC"/>
    <w:rsid w:val="44CFCE3D"/>
    <w:rsid w:val="46485108"/>
    <w:rsid w:val="48DEAF41"/>
    <w:rsid w:val="492D2D5B"/>
    <w:rsid w:val="49F6F018"/>
    <w:rsid w:val="4D0CB1D8"/>
    <w:rsid w:val="4D712C3A"/>
    <w:rsid w:val="4DA65445"/>
    <w:rsid w:val="5005FE51"/>
    <w:rsid w:val="51C479EA"/>
    <w:rsid w:val="54E1851D"/>
    <w:rsid w:val="56344599"/>
    <w:rsid w:val="568F61B4"/>
    <w:rsid w:val="57908F72"/>
    <w:rsid w:val="581F6317"/>
    <w:rsid w:val="5943ECA9"/>
    <w:rsid w:val="5C58FCCB"/>
    <w:rsid w:val="5D218AFD"/>
    <w:rsid w:val="5D2394CE"/>
    <w:rsid w:val="5D6C5E46"/>
    <w:rsid w:val="5DAF11A1"/>
    <w:rsid w:val="6C533AD6"/>
    <w:rsid w:val="6C62FC08"/>
    <w:rsid w:val="6D43A0D7"/>
    <w:rsid w:val="6EF99289"/>
    <w:rsid w:val="7093E156"/>
    <w:rsid w:val="7395092B"/>
    <w:rsid w:val="74BC964E"/>
    <w:rsid w:val="780492A2"/>
    <w:rsid w:val="795DC928"/>
    <w:rsid w:val="7C7377AA"/>
    <w:rsid w:val="7E359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A2C7"/>
  <w15:chartTrackingRefBased/>
  <w15:docId w15:val="{E63C7C74-2F31-4A9D-AD7D-96125417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31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55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3155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3155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3155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3155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3155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3155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3155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3155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31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55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31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55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3155C"/>
    <w:pPr>
      <w:spacing w:before="160"/>
      <w:jc w:val="center"/>
    </w:pPr>
    <w:rPr>
      <w:i/>
      <w:iCs/>
      <w:color w:val="404040" w:themeColor="text1" w:themeTint="BF"/>
    </w:rPr>
  </w:style>
  <w:style w:type="character" w:customStyle="1" w:styleId="QuoteChar">
    <w:name w:val="Quote Char"/>
    <w:basedOn w:val="DefaultParagraphFont"/>
    <w:link w:val="Quote"/>
    <w:uiPriority w:val="29"/>
    <w:rsid w:val="0013155C"/>
    <w:rPr>
      <w:i/>
      <w:iCs/>
      <w:color w:val="404040" w:themeColor="text1" w:themeTint="BF"/>
      <w:lang w:val="en-GB"/>
    </w:rPr>
  </w:style>
  <w:style w:type="paragraph" w:styleId="ListParagraph">
    <w:name w:val="List Paragraph"/>
    <w:basedOn w:val="Normal"/>
    <w:uiPriority w:val="34"/>
    <w:qFormat/>
    <w:rsid w:val="0013155C"/>
    <w:pPr>
      <w:ind w:left="720"/>
      <w:contextualSpacing/>
    </w:pPr>
  </w:style>
  <w:style w:type="character" w:styleId="IntenseEmphasis">
    <w:name w:val="Intense Emphasis"/>
    <w:basedOn w:val="DefaultParagraphFont"/>
    <w:uiPriority w:val="21"/>
    <w:qFormat/>
    <w:rsid w:val="0013155C"/>
    <w:rPr>
      <w:i/>
      <w:iCs/>
      <w:color w:val="0F4761" w:themeColor="accent1" w:themeShade="BF"/>
    </w:rPr>
  </w:style>
  <w:style w:type="paragraph" w:styleId="IntenseQuote">
    <w:name w:val="Intense Quote"/>
    <w:basedOn w:val="Normal"/>
    <w:next w:val="Normal"/>
    <w:link w:val="IntenseQuoteChar"/>
    <w:uiPriority w:val="30"/>
    <w:qFormat/>
    <w:rsid w:val="00131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55C"/>
    <w:rPr>
      <w:i/>
      <w:iCs/>
      <w:color w:val="0F4761" w:themeColor="accent1" w:themeShade="BF"/>
      <w:lang w:val="en-GB"/>
    </w:rPr>
  </w:style>
  <w:style w:type="character" w:styleId="IntenseReference">
    <w:name w:val="Intense Reference"/>
    <w:basedOn w:val="DefaultParagraphFont"/>
    <w:uiPriority w:val="32"/>
    <w:qFormat/>
    <w:rsid w:val="0013155C"/>
    <w:rPr>
      <w:b/>
      <w:bCs/>
      <w:smallCaps/>
      <w:color w:val="0F4761" w:themeColor="accent1" w:themeShade="BF"/>
      <w:spacing w:val="5"/>
    </w:rPr>
  </w:style>
  <w:style w:type="paragraph" w:styleId="Bibliography">
    <w:name w:val="Bibliography"/>
    <w:basedOn w:val="Normal"/>
    <w:next w:val="Normal"/>
    <w:uiPriority w:val="37"/>
    <w:unhideWhenUsed/>
    <w:rsid w:val="0013155C"/>
    <w:pPr>
      <w:tabs>
        <w:tab w:val="left" w:pos="264"/>
      </w:tabs>
      <w:spacing w:after="240" w:line="240" w:lineRule="auto"/>
      <w:ind w:left="264" w:hanging="264"/>
    </w:pPr>
  </w:style>
  <w:style w:type="character" w:styleId="CommentReference">
    <w:name w:val="annotation reference"/>
    <w:basedOn w:val="DefaultParagraphFont"/>
    <w:uiPriority w:val="99"/>
    <w:semiHidden/>
    <w:unhideWhenUsed/>
    <w:rsid w:val="00EA3FA8"/>
    <w:rPr>
      <w:sz w:val="16"/>
      <w:szCs w:val="16"/>
    </w:rPr>
  </w:style>
  <w:style w:type="paragraph" w:styleId="CommentText">
    <w:name w:val="annotation text"/>
    <w:basedOn w:val="Normal"/>
    <w:link w:val="CommentTextChar"/>
    <w:uiPriority w:val="99"/>
    <w:unhideWhenUsed/>
    <w:rsid w:val="00EA3FA8"/>
    <w:pPr>
      <w:spacing w:line="240" w:lineRule="auto"/>
    </w:pPr>
    <w:rPr>
      <w:sz w:val="20"/>
      <w:szCs w:val="20"/>
    </w:rPr>
  </w:style>
  <w:style w:type="character" w:customStyle="1" w:styleId="CommentTextChar">
    <w:name w:val="Comment Text Char"/>
    <w:basedOn w:val="DefaultParagraphFont"/>
    <w:link w:val="CommentText"/>
    <w:uiPriority w:val="99"/>
    <w:rsid w:val="00EA3FA8"/>
    <w:rPr>
      <w:sz w:val="20"/>
      <w:szCs w:val="20"/>
      <w:lang w:val="en-GB"/>
    </w:rPr>
  </w:style>
  <w:style w:type="paragraph" w:styleId="CommentSubject">
    <w:name w:val="annotation subject"/>
    <w:basedOn w:val="CommentText"/>
    <w:next w:val="CommentText"/>
    <w:link w:val="CommentSubjectChar"/>
    <w:uiPriority w:val="99"/>
    <w:semiHidden/>
    <w:unhideWhenUsed/>
    <w:rsid w:val="00EA3FA8"/>
    <w:rPr>
      <w:b/>
      <w:bCs/>
    </w:rPr>
  </w:style>
  <w:style w:type="character" w:customStyle="1" w:styleId="CommentSubjectChar">
    <w:name w:val="Comment Subject Char"/>
    <w:basedOn w:val="CommentTextChar"/>
    <w:link w:val="CommentSubject"/>
    <w:uiPriority w:val="99"/>
    <w:semiHidden/>
    <w:rsid w:val="00EA3FA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66302">
      <w:bodyDiv w:val="1"/>
      <w:marLeft w:val="0"/>
      <w:marRight w:val="0"/>
      <w:marTop w:val="0"/>
      <w:marBottom w:val="0"/>
      <w:divBdr>
        <w:top w:val="none" w:sz="0" w:space="0" w:color="auto"/>
        <w:left w:val="none" w:sz="0" w:space="0" w:color="auto"/>
        <w:bottom w:val="none" w:sz="0" w:space="0" w:color="auto"/>
        <w:right w:val="none" w:sz="0" w:space="0" w:color="auto"/>
      </w:divBdr>
      <w:divsChild>
        <w:div w:id="1904678576">
          <w:marLeft w:val="0"/>
          <w:marRight w:val="0"/>
          <w:marTop w:val="0"/>
          <w:marBottom w:val="0"/>
          <w:divBdr>
            <w:top w:val="none" w:sz="0" w:space="0" w:color="auto"/>
            <w:left w:val="none" w:sz="0" w:space="0" w:color="auto"/>
            <w:bottom w:val="none" w:sz="0" w:space="0" w:color="auto"/>
            <w:right w:val="none" w:sz="0" w:space="0" w:color="auto"/>
          </w:divBdr>
        </w:div>
        <w:div w:id="1928077011">
          <w:marLeft w:val="0"/>
          <w:marRight w:val="0"/>
          <w:marTop w:val="0"/>
          <w:marBottom w:val="0"/>
          <w:divBdr>
            <w:top w:val="none" w:sz="0" w:space="0" w:color="auto"/>
            <w:left w:val="none" w:sz="0" w:space="0" w:color="auto"/>
            <w:bottom w:val="none" w:sz="0" w:space="0" w:color="auto"/>
            <w:right w:val="none" w:sz="0" w:space="0" w:color="auto"/>
          </w:divBdr>
        </w:div>
        <w:div w:id="456216817">
          <w:marLeft w:val="0"/>
          <w:marRight w:val="0"/>
          <w:marTop w:val="0"/>
          <w:marBottom w:val="0"/>
          <w:divBdr>
            <w:top w:val="none" w:sz="0" w:space="0" w:color="auto"/>
            <w:left w:val="none" w:sz="0" w:space="0" w:color="auto"/>
            <w:bottom w:val="none" w:sz="0" w:space="0" w:color="auto"/>
            <w:right w:val="none" w:sz="0" w:space="0" w:color="auto"/>
          </w:divBdr>
        </w:div>
        <w:div w:id="1513103882">
          <w:marLeft w:val="0"/>
          <w:marRight w:val="0"/>
          <w:marTop w:val="0"/>
          <w:marBottom w:val="0"/>
          <w:divBdr>
            <w:top w:val="none" w:sz="0" w:space="0" w:color="auto"/>
            <w:left w:val="none" w:sz="0" w:space="0" w:color="auto"/>
            <w:bottom w:val="none" w:sz="0" w:space="0" w:color="auto"/>
            <w:right w:val="none" w:sz="0" w:space="0" w:color="auto"/>
          </w:divBdr>
        </w:div>
        <w:div w:id="1528056363">
          <w:marLeft w:val="0"/>
          <w:marRight w:val="0"/>
          <w:marTop w:val="0"/>
          <w:marBottom w:val="0"/>
          <w:divBdr>
            <w:top w:val="none" w:sz="0" w:space="0" w:color="auto"/>
            <w:left w:val="none" w:sz="0" w:space="0" w:color="auto"/>
            <w:bottom w:val="none" w:sz="0" w:space="0" w:color="auto"/>
            <w:right w:val="none" w:sz="0" w:space="0" w:color="auto"/>
          </w:divBdr>
        </w:div>
        <w:div w:id="53042801">
          <w:marLeft w:val="0"/>
          <w:marRight w:val="0"/>
          <w:marTop w:val="0"/>
          <w:marBottom w:val="0"/>
          <w:divBdr>
            <w:top w:val="none" w:sz="0" w:space="0" w:color="auto"/>
            <w:left w:val="none" w:sz="0" w:space="0" w:color="auto"/>
            <w:bottom w:val="none" w:sz="0" w:space="0" w:color="auto"/>
            <w:right w:val="none" w:sz="0" w:space="0" w:color="auto"/>
          </w:divBdr>
        </w:div>
        <w:div w:id="1244682701">
          <w:marLeft w:val="0"/>
          <w:marRight w:val="0"/>
          <w:marTop w:val="0"/>
          <w:marBottom w:val="0"/>
          <w:divBdr>
            <w:top w:val="none" w:sz="0" w:space="0" w:color="auto"/>
            <w:left w:val="none" w:sz="0" w:space="0" w:color="auto"/>
            <w:bottom w:val="none" w:sz="0" w:space="0" w:color="auto"/>
            <w:right w:val="none" w:sz="0" w:space="0" w:color="auto"/>
          </w:divBdr>
        </w:div>
        <w:div w:id="1038509174">
          <w:marLeft w:val="0"/>
          <w:marRight w:val="0"/>
          <w:marTop w:val="0"/>
          <w:marBottom w:val="0"/>
          <w:divBdr>
            <w:top w:val="none" w:sz="0" w:space="0" w:color="auto"/>
            <w:left w:val="none" w:sz="0" w:space="0" w:color="auto"/>
            <w:bottom w:val="none" w:sz="0" w:space="0" w:color="auto"/>
            <w:right w:val="none" w:sz="0" w:space="0" w:color="auto"/>
          </w:divBdr>
        </w:div>
        <w:div w:id="504126873">
          <w:marLeft w:val="0"/>
          <w:marRight w:val="0"/>
          <w:marTop w:val="0"/>
          <w:marBottom w:val="0"/>
          <w:divBdr>
            <w:top w:val="none" w:sz="0" w:space="0" w:color="auto"/>
            <w:left w:val="none" w:sz="0" w:space="0" w:color="auto"/>
            <w:bottom w:val="none" w:sz="0" w:space="0" w:color="auto"/>
            <w:right w:val="none" w:sz="0" w:space="0" w:color="auto"/>
          </w:divBdr>
        </w:div>
        <w:div w:id="1724593867">
          <w:marLeft w:val="0"/>
          <w:marRight w:val="0"/>
          <w:marTop w:val="0"/>
          <w:marBottom w:val="0"/>
          <w:divBdr>
            <w:top w:val="none" w:sz="0" w:space="0" w:color="auto"/>
            <w:left w:val="none" w:sz="0" w:space="0" w:color="auto"/>
            <w:bottom w:val="none" w:sz="0" w:space="0" w:color="auto"/>
            <w:right w:val="none" w:sz="0" w:space="0" w:color="auto"/>
          </w:divBdr>
        </w:div>
      </w:divsChild>
    </w:div>
    <w:div w:id="2057468547">
      <w:bodyDiv w:val="1"/>
      <w:marLeft w:val="0"/>
      <w:marRight w:val="0"/>
      <w:marTop w:val="0"/>
      <w:marBottom w:val="0"/>
      <w:divBdr>
        <w:top w:val="none" w:sz="0" w:space="0" w:color="auto"/>
        <w:left w:val="none" w:sz="0" w:space="0" w:color="auto"/>
        <w:bottom w:val="none" w:sz="0" w:space="0" w:color="auto"/>
        <w:right w:val="none" w:sz="0" w:space="0" w:color="auto"/>
      </w:divBdr>
      <w:divsChild>
        <w:div w:id="320232547">
          <w:marLeft w:val="0"/>
          <w:marRight w:val="0"/>
          <w:marTop w:val="0"/>
          <w:marBottom w:val="0"/>
          <w:divBdr>
            <w:top w:val="none" w:sz="0" w:space="0" w:color="auto"/>
            <w:left w:val="none" w:sz="0" w:space="0" w:color="auto"/>
            <w:bottom w:val="none" w:sz="0" w:space="0" w:color="auto"/>
            <w:right w:val="none" w:sz="0" w:space="0" w:color="auto"/>
          </w:divBdr>
        </w:div>
        <w:div w:id="1602686619">
          <w:marLeft w:val="0"/>
          <w:marRight w:val="0"/>
          <w:marTop w:val="0"/>
          <w:marBottom w:val="0"/>
          <w:divBdr>
            <w:top w:val="none" w:sz="0" w:space="0" w:color="auto"/>
            <w:left w:val="none" w:sz="0" w:space="0" w:color="auto"/>
            <w:bottom w:val="none" w:sz="0" w:space="0" w:color="auto"/>
            <w:right w:val="none" w:sz="0" w:space="0" w:color="auto"/>
          </w:divBdr>
        </w:div>
        <w:div w:id="1650131614">
          <w:marLeft w:val="0"/>
          <w:marRight w:val="0"/>
          <w:marTop w:val="0"/>
          <w:marBottom w:val="0"/>
          <w:divBdr>
            <w:top w:val="none" w:sz="0" w:space="0" w:color="auto"/>
            <w:left w:val="none" w:sz="0" w:space="0" w:color="auto"/>
            <w:bottom w:val="none" w:sz="0" w:space="0" w:color="auto"/>
            <w:right w:val="none" w:sz="0" w:space="0" w:color="auto"/>
          </w:divBdr>
        </w:div>
        <w:div w:id="1702432762">
          <w:marLeft w:val="0"/>
          <w:marRight w:val="0"/>
          <w:marTop w:val="0"/>
          <w:marBottom w:val="0"/>
          <w:divBdr>
            <w:top w:val="none" w:sz="0" w:space="0" w:color="auto"/>
            <w:left w:val="none" w:sz="0" w:space="0" w:color="auto"/>
            <w:bottom w:val="none" w:sz="0" w:space="0" w:color="auto"/>
            <w:right w:val="none" w:sz="0" w:space="0" w:color="auto"/>
          </w:divBdr>
        </w:div>
        <w:div w:id="1838422830">
          <w:marLeft w:val="0"/>
          <w:marRight w:val="0"/>
          <w:marTop w:val="0"/>
          <w:marBottom w:val="0"/>
          <w:divBdr>
            <w:top w:val="none" w:sz="0" w:space="0" w:color="auto"/>
            <w:left w:val="none" w:sz="0" w:space="0" w:color="auto"/>
            <w:bottom w:val="none" w:sz="0" w:space="0" w:color="auto"/>
            <w:right w:val="none" w:sz="0" w:space="0" w:color="auto"/>
          </w:divBdr>
        </w:div>
        <w:div w:id="930166479">
          <w:marLeft w:val="0"/>
          <w:marRight w:val="0"/>
          <w:marTop w:val="0"/>
          <w:marBottom w:val="0"/>
          <w:divBdr>
            <w:top w:val="none" w:sz="0" w:space="0" w:color="auto"/>
            <w:left w:val="none" w:sz="0" w:space="0" w:color="auto"/>
            <w:bottom w:val="none" w:sz="0" w:space="0" w:color="auto"/>
            <w:right w:val="none" w:sz="0" w:space="0" w:color="auto"/>
          </w:divBdr>
        </w:div>
        <w:div w:id="766730656">
          <w:marLeft w:val="0"/>
          <w:marRight w:val="0"/>
          <w:marTop w:val="0"/>
          <w:marBottom w:val="0"/>
          <w:divBdr>
            <w:top w:val="none" w:sz="0" w:space="0" w:color="auto"/>
            <w:left w:val="none" w:sz="0" w:space="0" w:color="auto"/>
            <w:bottom w:val="none" w:sz="0" w:space="0" w:color="auto"/>
            <w:right w:val="none" w:sz="0" w:space="0" w:color="auto"/>
          </w:divBdr>
        </w:div>
        <w:div w:id="1514219476">
          <w:marLeft w:val="0"/>
          <w:marRight w:val="0"/>
          <w:marTop w:val="0"/>
          <w:marBottom w:val="0"/>
          <w:divBdr>
            <w:top w:val="none" w:sz="0" w:space="0" w:color="auto"/>
            <w:left w:val="none" w:sz="0" w:space="0" w:color="auto"/>
            <w:bottom w:val="none" w:sz="0" w:space="0" w:color="auto"/>
            <w:right w:val="none" w:sz="0" w:space="0" w:color="auto"/>
          </w:divBdr>
        </w:div>
        <w:div w:id="1974288214">
          <w:marLeft w:val="0"/>
          <w:marRight w:val="0"/>
          <w:marTop w:val="0"/>
          <w:marBottom w:val="0"/>
          <w:divBdr>
            <w:top w:val="none" w:sz="0" w:space="0" w:color="auto"/>
            <w:left w:val="none" w:sz="0" w:space="0" w:color="auto"/>
            <w:bottom w:val="none" w:sz="0" w:space="0" w:color="auto"/>
            <w:right w:val="none" w:sz="0" w:space="0" w:color="auto"/>
          </w:divBdr>
        </w:div>
        <w:div w:id="1609118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67EBEBD67554CB5FBAB5BA2F03B52" ma:contentTypeVersion="18" ma:contentTypeDescription="Create a new document." ma:contentTypeScope="" ma:versionID="3126ea4ee9dc91cc22aaa1f96773c271">
  <xsd:schema xmlns:xsd="http://www.w3.org/2001/XMLSchema" xmlns:xs="http://www.w3.org/2001/XMLSchema" xmlns:p="http://schemas.microsoft.com/office/2006/metadata/properties" xmlns:ns2="4607e655-9306-41e1-9f27-6a3c3fd9ee0d" xmlns:ns3="d3ca156c-4fff-4b16-a7cc-784fd133b48d" targetNamespace="http://schemas.microsoft.com/office/2006/metadata/properties" ma:root="true" ma:fieldsID="cdf3548fd3fa555e1afe4a285699ac4f" ns2:_="" ns3:_="">
    <xsd:import namespace="4607e655-9306-41e1-9f27-6a3c3fd9ee0d"/>
    <xsd:import namespace="d3ca156c-4fff-4b16-a7cc-784fd133b4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7e655-9306-41e1-9f27-6a3c3fd9e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a156c-4fff-4b16-a7cc-784fd133b4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09143c-bee3-4bf6-9c5e-824003f7f2e8}" ma:internalName="TaxCatchAll" ma:showField="CatchAllData" ma:web="d3ca156c-4fff-4b16-a7cc-784fd133b4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ca156c-4fff-4b16-a7cc-784fd133b48d" xsi:nil="true"/>
    <lcf76f155ced4ddcb4097134ff3c332f xmlns="4607e655-9306-41e1-9f27-6a3c3fd9ee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DA71B-068C-4E28-9897-05AFC7101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7e655-9306-41e1-9f27-6a3c3fd9ee0d"/>
    <ds:schemaRef ds:uri="d3ca156c-4fff-4b16-a7cc-784fd133b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BC54CC-E7C3-4C35-8D6E-6D3D768AC314}">
  <ds:schemaRefs>
    <ds:schemaRef ds:uri="http://schemas.microsoft.com/office/2006/metadata/properties"/>
    <ds:schemaRef ds:uri="http://schemas.microsoft.com/office/infopath/2007/PartnerControls"/>
    <ds:schemaRef ds:uri="d3ca156c-4fff-4b16-a7cc-784fd133b48d"/>
    <ds:schemaRef ds:uri="4607e655-9306-41e1-9f27-6a3c3fd9ee0d"/>
  </ds:schemaRefs>
</ds:datastoreItem>
</file>

<file path=customXml/itemProps3.xml><?xml version="1.0" encoding="utf-8"?>
<ds:datastoreItem xmlns:ds="http://schemas.openxmlformats.org/officeDocument/2006/customXml" ds:itemID="{8A733A2C-4D51-4C7B-8DFD-9651DF49A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2839</Words>
  <Characters>16185</Characters>
  <Application>Microsoft Office Word</Application>
  <DocSecurity>0</DocSecurity>
  <Lines>134</Lines>
  <Paragraphs>37</Paragraphs>
  <ScaleCrop>false</ScaleCrop>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de Boer</dc:creator>
  <cp:keywords/>
  <dc:description/>
  <cp:lastModifiedBy>Lea Delfmann</cp:lastModifiedBy>
  <cp:revision>2</cp:revision>
  <dcterms:created xsi:type="dcterms:W3CDTF">2025-01-22T11:14:00Z</dcterms:created>
  <dcterms:modified xsi:type="dcterms:W3CDTF">2025-01-22T11:14:00Z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id="H6DWJS9r"/&gt;&lt;style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0x0101009EB67EBEBD67554CB5FBAB5BA2F03B52</vt:lpwstr>
  </property>
  <property fmtid="{D5CDD505-2E9C-101B-9397-08002B2CF9AE}" pid="5" name="MediaServiceImageTags">
    <vt:lpwstr/>
  </property>
</Properties>
</file>