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val="en-US" w:eastAsia="zh-CN"/>
        </w:rPr>
      </w:pPr>
      <w:r>
        <w:rPr>
          <w:rFonts w:ascii="Times New Roman" w:hAnsi="Times New Roman"/>
          <w:b/>
          <w:spacing w:val="8"/>
          <w:sz w:val="24"/>
          <w:szCs w:val="24"/>
          <w:lang w:eastAsia="zh-Hans"/>
        </w:rPr>
        <w:t xml:space="preserve">Supplementary Table </w:t>
      </w:r>
      <w:r>
        <w:rPr>
          <w:rFonts w:hint="eastAsia" w:ascii="Times New Roman" w:hAnsi="Times New Roman"/>
          <w:b/>
          <w:spacing w:val="8"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/>
          <w:spacing w:val="8"/>
          <w:sz w:val="24"/>
          <w:szCs w:val="24"/>
          <w:lang w:eastAsia="zh-Hans"/>
        </w:rPr>
        <w:t xml:space="preserve">. </w:t>
      </w:r>
      <w:r>
        <w:rPr>
          <w:rFonts w:hint="eastAsia" w:ascii="Times New Roman" w:hAnsi="Times New Roman"/>
          <w:b w:val="0"/>
          <w:bCs/>
          <w:spacing w:val="8"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/>
          <w:b w:val="0"/>
          <w:bCs/>
          <w:spacing w:val="8"/>
          <w:sz w:val="24"/>
          <w:szCs w:val="24"/>
          <w:lang w:eastAsia="zh-Hans"/>
        </w:rPr>
        <w:t xml:space="preserve">onsistent condom use in the past 6 months and the most recent </w:t>
      </w:r>
      <w:r>
        <w:rPr>
          <w:rFonts w:hint="eastAsia" w:ascii="Times New Roman" w:hAnsi="Times New Roman"/>
          <w:b w:val="0"/>
          <w:bCs/>
          <w:spacing w:val="8"/>
          <w:sz w:val="24"/>
          <w:szCs w:val="24"/>
          <w:lang w:val="en-US" w:eastAsia="zh-CN"/>
        </w:rPr>
        <w:t>sexual behaviors</w:t>
      </w:r>
      <w:r>
        <w:rPr>
          <w:rFonts w:hint="eastAsia" w:ascii="Times New Roman" w:hAnsi="Times New Roman"/>
          <w:b w:val="0"/>
          <w:bCs/>
          <w:spacing w:val="8"/>
          <w:sz w:val="24"/>
          <w:szCs w:val="24"/>
          <w:lang w:eastAsia="zh-Hans"/>
        </w:rPr>
        <w:t xml:space="preserve"> with different types of sexual partners (regular, commercial, and casual partners) among the older adults</w:t>
      </w:r>
      <w:r>
        <w:rPr>
          <w:rFonts w:hint="eastAsia" w:ascii="Times New Roman" w:hAnsi="Times New Roman"/>
          <w:b w:val="0"/>
          <w:bCs/>
          <w:spacing w:val="8"/>
          <w:sz w:val="24"/>
          <w:szCs w:val="24"/>
          <w:lang w:val="en-US" w:eastAsia="zh-CN"/>
        </w:rPr>
        <w:t>.</w:t>
      </w:r>
    </w:p>
    <w:tbl>
      <w:tblPr>
        <w:tblStyle w:val="2"/>
        <w:tblW w:w="0" w:type="auto"/>
        <w:jc w:val="center"/>
        <w:tblBorders>
          <w:top w:val="none" w:color="auto" w:sz="0" w:space="0"/>
          <w:left w:val="single" w:color="auto" w:sz="2" w:space="0"/>
          <w:bottom w:val="single" w:color="E5E7EB" w:sz="2" w:space="0"/>
          <w:right w:val="single" w:color="E5E7EB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4"/>
        <w:gridCol w:w="1430"/>
        <w:gridCol w:w="2526"/>
        <w:gridCol w:w="2306"/>
      </w:tblGrid>
      <w:tr>
        <w:tblPrEx>
          <w:tblBorders>
            <w:top w:val="none" w:color="auto" w:sz="0" w:space="0"/>
            <w:left w:val="single" w:color="auto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417" w:hRule="atLeast"/>
          <w:tblHeader/>
          <w:jc w:val="center"/>
        </w:trPr>
        <w:tc>
          <w:tcPr>
            <w:tcW w:w="3777" w:type="dxa"/>
            <w:tcBorders>
              <w:top w:val="single" w:color="000000" w:sz="12" w:space="0"/>
              <w:left w:val="nil"/>
              <w:bottom w:val="single" w:color="000000" w:sz="4" w:space="0"/>
              <w:tl2br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Types of partners whom have sex with</w:t>
            </w:r>
          </w:p>
        </w:tc>
        <w:tc>
          <w:tcPr>
            <w:tcW w:w="169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Sample</w:t>
            </w:r>
          </w:p>
        </w:tc>
        <w:tc>
          <w:tcPr>
            <w:tcW w:w="3929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Consistent condom use in the past 6 months</w:t>
            </w:r>
          </w:p>
        </w:tc>
        <w:tc>
          <w:tcPr>
            <w:tcW w:w="3399" w:type="dxa"/>
            <w:tcBorders>
              <w:top w:val="single" w:color="000000" w:sz="12" w:space="0"/>
              <w:bottom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Consistent condom use in the most recent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jc w:val="center"/>
        </w:trPr>
        <w:tc>
          <w:tcPr>
            <w:tcW w:w="3777" w:type="dxa"/>
            <w:tcBorders>
              <w:top w:val="single" w:color="000000" w:sz="4" w:space="0"/>
              <w:lef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Regular partners</w:t>
            </w:r>
          </w:p>
        </w:tc>
        <w:tc>
          <w:tcPr>
            <w:tcW w:w="1699" w:type="dxa"/>
            <w:tcBorders>
              <w:top w:val="single" w:color="000000" w:sz="4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3929" w:type="dxa"/>
            <w:tcBorders>
              <w:top w:val="single" w:color="000000" w:sz="4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62/477 (13.0%)</w:t>
            </w:r>
          </w:p>
        </w:tc>
        <w:tc>
          <w:tcPr>
            <w:tcW w:w="3399" w:type="dxa"/>
            <w:tcBorders>
              <w:top w:val="single" w:color="000000" w:sz="4" w:space="0"/>
              <w:righ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174/477 (36.5%)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jc w:val="center"/>
        </w:trPr>
        <w:tc>
          <w:tcPr>
            <w:tcW w:w="3777" w:type="dxa"/>
            <w:tcBorders>
              <w:lef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Commercial partners</w:t>
            </w:r>
          </w:p>
        </w:tc>
        <w:tc>
          <w:tcPr>
            <w:tcW w:w="1699" w:type="dxa"/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29" w:type="dxa"/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11/35 (31.4%)</w:t>
            </w:r>
          </w:p>
        </w:tc>
        <w:tc>
          <w:tcPr>
            <w:tcW w:w="3399" w:type="dxa"/>
            <w:tcBorders>
              <w:righ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17/35 (48.6%)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E5E7EB" w:sz="2" w:space="0"/>
            <w:right w:val="single" w:color="E5E7EB" w:sz="2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jc w:val="center"/>
        </w:trPr>
        <w:tc>
          <w:tcPr>
            <w:tcW w:w="3777" w:type="dxa"/>
            <w:tcBorders>
              <w:left w:val="nil"/>
              <w:bottom w:val="single" w:color="000000" w:sz="12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Casual partners</w:t>
            </w:r>
          </w:p>
        </w:tc>
        <w:tc>
          <w:tcPr>
            <w:tcW w:w="1699" w:type="dxa"/>
            <w:tcBorders>
              <w:bottom w:val="single" w:color="000000" w:sz="12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29" w:type="dxa"/>
            <w:tcBorders>
              <w:bottom w:val="single" w:color="000000" w:sz="12" w:space="0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4/27 (14.8%)</w:t>
            </w:r>
          </w:p>
        </w:tc>
        <w:tc>
          <w:tcPr>
            <w:tcW w:w="3399" w:type="dxa"/>
            <w:tcBorders>
              <w:bottom w:val="single" w:color="000000" w:sz="12" w:space="0"/>
              <w:right w:val="nil"/>
            </w:tcBorders>
            <w:shd w:val="clear" w:color="auto" w:fill="FFFFFF"/>
            <w:tcMar>
              <w:top w:w="120" w:type="dxa"/>
              <w:left w:w="260" w:type="dxa"/>
              <w:bottom w:w="120" w:type="dxa"/>
              <w:right w:w="2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Helvetica" w:cs="Times New Roman Regular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10/27 (37.0%)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DA1CB"/>
    <w:rsid w:val="6FBDA1CB"/>
    <w:rsid w:val="CDF6B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ethod"/>
    <w:basedOn w:val="1"/>
    <w:uiPriority w:val="0"/>
    <w:pPr>
      <w:spacing w:line="276" w:lineRule="auto"/>
      <w:ind w:firstLine="0" w:firstLineChars="0"/>
      <w:jc w:val="left"/>
    </w:pPr>
    <w:rPr>
      <w:rFonts w:hint="default" w:ascii="Times New Roman" w:hAnsi="Times New Roman" w:cs="Times New Roman Regular"/>
      <w:b/>
      <w:bCs/>
      <w:sz w:val="32"/>
      <w:szCs w:val="32"/>
      <w:lang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2024-04-16T13:13:00Z</dcterms:created>
  <dc:creator>Wenwen</dc:creator>
  <cp:lastModifiedBy>Wenwen</cp:lastModifiedBy>
  <dcterms:modified xsi:type="dcterms:W3CDTF">2024-04-16T13:13:55Z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E96CB36D5AB347F7E6081E6605008B70_41</vt:lpwstr>
  </property>
</Properties>
</file>