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657E28">
      <w:pPr>
        <w:widowControl/>
        <w:spacing w:line="360" w:lineRule="auto"/>
        <w:jc w:val="center"/>
        <w:rPr>
          <w:rFonts w:ascii="Times New Roman Regular" w:hAnsi="Times New Roman Regular" w:cs="Times New Roman Regular"/>
          <w:sz w:val="24"/>
          <w:szCs w:val="24"/>
          <w:lang w:bidi="ar"/>
        </w:rPr>
      </w:pPr>
      <w:r>
        <w:rPr>
          <w:rFonts w:hint="eastAsia" w:ascii="Times New Roman Regular" w:hAnsi="Times New Roman Regular" w:cs="Times New Roman Regular"/>
          <w:b/>
          <w:bCs/>
          <w:sz w:val="24"/>
          <w:szCs w:val="24"/>
          <w:highlight w:val="none"/>
          <w:lang w:bidi="ar"/>
        </w:rPr>
        <w:t xml:space="preserve">Supplementary Table </w:t>
      </w:r>
      <w:r>
        <w:rPr>
          <w:rFonts w:hint="eastAsia" w:ascii="Times New Roman Regular" w:hAnsi="Times New Roman Regular" w:cs="Times New Roman Regular"/>
          <w:b/>
          <w:bCs/>
          <w:sz w:val="24"/>
          <w:szCs w:val="24"/>
          <w:highlight w:val="none"/>
          <w:lang w:val="en-US" w:eastAsia="zh-CN" w:bidi="ar"/>
        </w:rPr>
        <w:t>5</w:t>
      </w:r>
      <w:r>
        <w:rPr>
          <w:rFonts w:hint="eastAsia" w:ascii="Times New Roman Regular" w:hAnsi="Times New Roman Regular" w:cs="Times New Roman Regular"/>
          <w:sz w:val="24"/>
          <w:szCs w:val="24"/>
          <w:lang w:bidi="ar"/>
        </w:rPr>
        <w:t xml:space="preserve">. Predicted results of condom use with regular partners in the 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 w:bidi="ar"/>
        </w:rPr>
        <w:t xml:space="preserve">most recent and the </w:t>
      </w:r>
      <w:r>
        <w:rPr>
          <w:rFonts w:hint="eastAsia" w:ascii="Times New Roman Regular" w:hAnsi="Times New Roman Regular" w:cs="Times New Roman Regular"/>
          <w:sz w:val="24"/>
          <w:szCs w:val="24"/>
          <w:lang w:bidi="ar"/>
        </w:rPr>
        <w:t>past 6 months</w:t>
      </w:r>
      <w:r>
        <w:rPr>
          <w:rFonts w:ascii="Times New Roman Regular" w:hAnsi="Times New Roman Regular" w:cs="Times New Roman Regular"/>
          <w:sz w:val="24"/>
          <w:szCs w:val="24"/>
          <w:lang w:bidi="ar"/>
        </w:rPr>
        <w:t>’</w:t>
      </w:r>
      <w:r>
        <w:rPr>
          <w:rFonts w:hint="eastAsia" w:ascii="Times New Roman Regular" w:hAnsi="Times New Roman Regular" w:cs="Times New Roman Regular"/>
          <w:sz w:val="24"/>
          <w:szCs w:val="24"/>
          <w:lang w:bidi="ar"/>
        </w:rPr>
        <w:t xml:space="preserve"> sexual behavior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 w:bidi="ar"/>
        </w:rPr>
        <w:t>s</w:t>
      </w:r>
      <w:r>
        <w:rPr>
          <w:rFonts w:hint="eastAsia" w:ascii="Times New Roman Regular" w:hAnsi="Times New Roman Regular" w:cs="Times New Roman Regular"/>
          <w:sz w:val="24"/>
          <w:szCs w:val="24"/>
          <w:lang w:bidi="ar"/>
        </w:rPr>
        <w:t xml:space="preserve"> in older adults by assessing condom-related stigma.</w:t>
      </w:r>
    </w:p>
    <w:tbl>
      <w:tblPr>
        <w:tblStyle w:val="2"/>
        <w:tblW w:w="1007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6"/>
        <w:gridCol w:w="1390"/>
        <w:gridCol w:w="1376"/>
        <w:gridCol w:w="1143"/>
        <w:gridCol w:w="1572"/>
        <w:gridCol w:w="1584"/>
        <w:gridCol w:w="1095"/>
      </w:tblGrid>
      <w:tr w14:paraId="0BF2EDA1">
        <w:trPr>
          <w:trHeight w:val="720" w:hRule="atLeast"/>
          <w:jc w:val="center"/>
        </w:trPr>
        <w:tc>
          <w:tcPr>
            <w:tcW w:w="1916" w:type="dxa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170F28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Reality</w:t>
            </w:r>
          </w:p>
        </w:tc>
        <w:tc>
          <w:tcPr>
            <w:tcW w:w="2766" w:type="dxa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0ABDD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Prediction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Y</w:t>
            </w:r>
            <w:r>
              <w:rPr>
                <w:rFonts w:hint="eastAsia" w:ascii="Times New Roman Regular" w:hAnsi="Times New Roman Regular" w:cs="Times New Roman Regular"/>
                <w:color w:val="000000"/>
                <w:sz w:val="24"/>
                <w:szCs w:val="24"/>
                <w:vertAlign w:val="subscript"/>
                <w:lang w:bidi="ar"/>
              </w:rPr>
              <w:t>1</w:t>
            </w:r>
            <w:r>
              <w:rPr>
                <w:rFonts w:hint="eastAsia" w:ascii="Times New Roman Regular" w:hAnsi="Times New Roman Regular" w:cs="Times New Roman Regular"/>
                <w:color w:val="000000"/>
                <w:sz w:val="24"/>
                <w:szCs w:val="24"/>
                <w:vertAlign w:val="superscript"/>
                <w:lang w:bidi="ar"/>
              </w:rPr>
              <w:t>1</w:t>
            </w:r>
          </w:p>
        </w:tc>
        <w:tc>
          <w:tcPr>
            <w:tcW w:w="1143" w:type="dxa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6B315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 xml:space="preserve">Correct </w:t>
            </w:r>
            <w:r>
              <w:rPr>
                <w:rFonts w:hint="default" w:ascii="Times New Roman Regular" w:hAnsi="Times New Roman Regular" w:cs="Times New Roman Regular"/>
                <w:color w:val="000000"/>
              </w:rPr>
              <w:t>(%)</w:t>
            </w:r>
          </w:p>
        </w:tc>
        <w:tc>
          <w:tcPr>
            <w:tcW w:w="3156" w:type="dxa"/>
            <w:gridSpan w:val="2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606F90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Prediction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Times New Roman Regular" w:hAnsi="Times New Roman Regular" w:cs="Times New Roman Regular"/>
                <w:color w:val="000000"/>
                <w:sz w:val="24"/>
                <w:szCs w:val="24"/>
                <w:lang w:bidi="ar"/>
              </w:rPr>
              <w:t>Y</w:t>
            </w:r>
            <w:r>
              <w:rPr>
                <w:rFonts w:hint="eastAsia" w:ascii="Times New Roman Regular" w:hAnsi="Times New Roman Regular" w:cs="Times New Roman Regular"/>
                <w:color w:val="000000"/>
                <w:sz w:val="24"/>
                <w:szCs w:val="24"/>
                <w:vertAlign w:val="subscript"/>
                <w:lang w:bidi="ar"/>
              </w:rPr>
              <w:t>2</w:t>
            </w:r>
            <w:r>
              <w:rPr>
                <w:rFonts w:hint="eastAsia" w:ascii="Times New Roman Regular" w:hAnsi="Times New Roman Regular" w:cs="Times New Roman Regular"/>
                <w:color w:val="000000"/>
                <w:sz w:val="24"/>
                <w:szCs w:val="24"/>
                <w:vertAlign w:val="superscript"/>
                <w:lang w:bidi="ar"/>
              </w:rPr>
              <w:t>2</w:t>
            </w:r>
          </w:p>
        </w:tc>
        <w:tc>
          <w:tcPr>
            <w:tcW w:w="1095" w:type="dxa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FFFFFF"/>
            <w:vAlign w:val="center"/>
          </w:tcPr>
          <w:p w14:paraId="66C7D7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 xml:space="preserve">Correct </w:t>
            </w:r>
            <w:r>
              <w:rPr>
                <w:rFonts w:hint="default" w:ascii="Times New Roman Regular" w:hAnsi="Times New Roman Regular" w:cs="Times New Roman Regular"/>
                <w:color w:val="000000"/>
              </w:rPr>
              <w:t>(%)</w:t>
            </w:r>
          </w:p>
        </w:tc>
      </w:tr>
      <w:tr w14:paraId="305CE69A">
        <w:trPr>
          <w:trHeight w:val="401" w:hRule="atLeast"/>
          <w:jc w:val="center"/>
        </w:trPr>
        <w:tc>
          <w:tcPr>
            <w:tcW w:w="1916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6B2882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5F53EA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Consistent use</w:t>
            </w:r>
          </w:p>
        </w:tc>
        <w:tc>
          <w:tcPr>
            <w:tcW w:w="137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4BEC0D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Inconsistent use</w:t>
            </w:r>
          </w:p>
        </w:tc>
        <w:tc>
          <w:tcPr>
            <w:tcW w:w="1143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bottom"/>
          </w:tcPr>
          <w:p w14:paraId="104277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1E2FE5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Consistent use</w:t>
            </w:r>
          </w:p>
        </w:tc>
        <w:tc>
          <w:tcPr>
            <w:tcW w:w="158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4B6CC8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 xml:space="preserve">Inconsistent </w:t>
            </w:r>
            <w:r>
              <w:rPr>
                <w:rFonts w:hint="eastAsia" w:ascii="Times New Roman Regular" w:hAnsi="Times New Roman Regular" w:cs="Times New Roman Regular"/>
                <w:color w:val="000000"/>
                <w:sz w:val="24"/>
                <w:szCs w:val="24"/>
                <w:lang w:val="en-US" w:eastAsia="zh-CN"/>
              </w:rPr>
              <w:t>use</w:t>
            </w:r>
          </w:p>
        </w:tc>
        <w:tc>
          <w:tcPr>
            <w:tcW w:w="1095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FFFFFF"/>
            <w:vAlign w:val="bottom"/>
          </w:tcPr>
          <w:p w14:paraId="7472DE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</w:p>
        </w:tc>
      </w:tr>
      <w:tr w14:paraId="6AA64EA5">
        <w:trPr>
          <w:trHeight w:val="420" w:hRule="atLeast"/>
          <w:jc w:val="center"/>
        </w:trPr>
        <w:tc>
          <w:tcPr>
            <w:tcW w:w="191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71A9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Consistent use</w:t>
            </w:r>
          </w:p>
        </w:tc>
        <w:tc>
          <w:tcPr>
            <w:tcW w:w="139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2499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137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025C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51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1669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17.7</w:t>
            </w:r>
          </w:p>
        </w:tc>
        <w:tc>
          <w:tcPr>
            <w:tcW w:w="1572" w:type="dxa"/>
            <w:tcBorders>
              <w:top w:val="single" w:color="auto" w:sz="4" w:space="0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39BE16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lang w:bidi="ar"/>
              </w:rPr>
              <w:t>18</w:t>
            </w:r>
          </w:p>
        </w:tc>
        <w:tc>
          <w:tcPr>
            <w:tcW w:w="1584" w:type="dxa"/>
            <w:tcBorders>
              <w:top w:val="single" w:color="auto" w:sz="4" w:space="0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74BB77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lang w:bidi="ar"/>
              </w:rPr>
              <w:t>156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1639EB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lang w:bidi="ar"/>
              </w:rPr>
              <w:t>10.3</w:t>
            </w:r>
          </w:p>
        </w:tc>
      </w:tr>
      <w:tr w14:paraId="570E7FDE">
        <w:trPr>
          <w:trHeight w:val="420" w:hRule="atLeast"/>
          <w:jc w:val="center"/>
        </w:trPr>
        <w:tc>
          <w:tcPr>
            <w:tcW w:w="191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EBB5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FE8B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7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9729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4C82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  <w:bookmarkStart w:id="0" w:name="_GoBack"/>
            <w:bookmarkEnd w:id="0"/>
          </w:p>
        </w:tc>
        <w:tc>
          <w:tcPr>
            <w:tcW w:w="1572" w:type="dxa"/>
            <w:tcBorders>
              <w:top w:val="single" w:color="auto" w:sz="4" w:space="0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34304F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 Regular" w:hAnsi="Times New Roman Regular" w:cs="Times New Roman Regular"/>
                <w:color w:val="000000"/>
                <w:kern w:val="0"/>
                <w:lang w:bidi="ar"/>
              </w:rPr>
            </w:pPr>
          </w:p>
        </w:tc>
        <w:tc>
          <w:tcPr>
            <w:tcW w:w="1584" w:type="dxa"/>
            <w:tcBorders>
              <w:top w:val="single" w:color="auto" w:sz="4" w:space="0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254E63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 Regular" w:hAnsi="Times New Roman Regular" w:cs="Times New Roman Regular"/>
                <w:color w:val="000000"/>
                <w:kern w:val="0"/>
                <w:lang w:bidi="ar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52168B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 Regular" w:hAnsi="Times New Roman Regular" w:cs="Times New Roman Regular"/>
                <w:color w:val="000000"/>
                <w:kern w:val="0"/>
                <w:lang w:bidi="ar"/>
              </w:rPr>
            </w:pPr>
          </w:p>
        </w:tc>
      </w:tr>
      <w:tr w14:paraId="48CE91D6">
        <w:trPr>
          <w:trHeight w:val="420" w:hRule="atLeast"/>
          <w:jc w:val="center"/>
        </w:trPr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6DE7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Inconsistent use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5FD4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B634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409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4555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98.6</w:t>
            </w:r>
          </w:p>
        </w:tc>
        <w:tc>
          <w:tcPr>
            <w:tcW w:w="1572" w:type="dxa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B466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lang w:bidi="ar"/>
              </w:rPr>
              <w:t>10</w:t>
            </w:r>
          </w:p>
        </w:tc>
        <w:tc>
          <w:tcPr>
            <w:tcW w:w="1584" w:type="dxa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33E3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lang w:bidi="ar"/>
              </w:rPr>
              <w:t>293</w:t>
            </w:r>
          </w:p>
        </w:tc>
        <w:tc>
          <w:tcPr>
            <w:tcW w:w="1095" w:type="dxa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2497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lang w:bidi="ar"/>
              </w:rPr>
              <w:t>96.7</w:t>
            </w:r>
          </w:p>
        </w:tc>
      </w:tr>
      <w:tr w14:paraId="7FB910A7">
        <w:trPr>
          <w:trHeight w:val="420" w:hRule="atLeast"/>
          <w:jc w:val="center"/>
        </w:trPr>
        <w:tc>
          <w:tcPr>
            <w:tcW w:w="191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C0E77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top"/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4"/>
                <w:szCs w:val="24"/>
              </w:rPr>
              <w:t>Overall</w:t>
            </w:r>
            <w:r>
              <w:rPr>
                <w:rFonts w:hint="eastAsia" w:ascii="Times New Roman Regular" w:hAnsi="Times New Roman Regular" w:eastAsia="宋体" w:cs="Times New Roman Regular"/>
                <w:color w:val="000000"/>
                <w:sz w:val="24"/>
                <w:szCs w:val="24"/>
                <w:lang w:val="en-US" w:eastAsia="zh-CN"/>
              </w:rPr>
              <w:t xml:space="preserve"> percent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4"/>
                <w:szCs w:val="24"/>
              </w:rPr>
              <w:t>(%)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92384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4986C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181A11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88.1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56FF9B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3EFF3F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3C89AF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lang w:bidi="ar"/>
              </w:rPr>
              <w:t>65.2</w:t>
            </w:r>
          </w:p>
        </w:tc>
      </w:tr>
    </w:tbl>
    <w:p w14:paraId="12EB17B4">
      <w:pPr>
        <w:widowControl/>
        <w:jc w:val="left"/>
        <w:rPr>
          <w:rFonts w:ascii="Times New Roman Regular" w:hAnsi="Times New Roman Regular" w:eastAsia="楷体" w:cs="Times New Roman Regular"/>
          <w:color w:val="000000"/>
          <w:kern w:val="0"/>
          <w:lang w:bidi="ar"/>
        </w:rPr>
      </w:pPr>
      <w:r>
        <w:rPr>
          <w:rFonts w:ascii="Times New Roman Regular" w:hAnsi="Times New Roman Regular" w:eastAsia="楷体" w:cs="Times New Roman Regular"/>
          <w:color w:val="000000"/>
          <w:kern w:val="0"/>
          <w:vertAlign w:val="superscript"/>
          <w:lang w:bidi="ar"/>
        </w:rPr>
        <w:t>1</w:t>
      </w:r>
      <w:r>
        <w:rPr>
          <w:rFonts w:hint="eastAsia" w:ascii="Times New Roman Regular" w:hAnsi="Times New Roman Regular" w:cs="Times New Roman Regular"/>
          <w:sz w:val="24"/>
          <w:szCs w:val="24"/>
          <w:lang w:bidi="ar"/>
        </w:rPr>
        <w:t>Y</w:t>
      </w:r>
      <w:r>
        <w:rPr>
          <w:rFonts w:hint="eastAsia" w:ascii="Times New Roman Regular" w:hAnsi="Times New Roman Regular" w:cs="Times New Roman Regular"/>
          <w:sz w:val="24"/>
          <w:szCs w:val="24"/>
          <w:vertAlign w:val="subscript"/>
          <w:lang w:bidi="ar"/>
        </w:rPr>
        <w:t>1</w:t>
      </w:r>
      <w:r>
        <w:rPr>
          <w:rFonts w:ascii="Times New Roman Regular" w:hAnsi="Times New Roman Regular" w:eastAsia="楷体" w:cs="Times New Roman Regular"/>
          <w:color w:val="000000"/>
          <w:kern w:val="0"/>
          <w:lang w:bidi="ar"/>
        </w:rPr>
        <w:t>: Condom use with regular partners in the past 6 months’ sexual behaviors.</w:t>
      </w:r>
    </w:p>
    <w:p w14:paraId="3054B39C">
      <w:pPr>
        <w:widowControl/>
        <w:spacing w:after="156" w:afterLines="50"/>
        <w:jc w:val="left"/>
        <w:rPr>
          <w:rFonts w:ascii="Times New Roman Regular" w:hAnsi="Times New Roman Regular" w:eastAsia="楷体" w:cs="Times New Roman Regular"/>
          <w:color w:val="000000"/>
          <w:kern w:val="0"/>
          <w:lang w:bidi="ar"/>
        </w:rPr>
      </w:pPr>
      <w:r>
        <w:rPr>
          <w:rFonts w:hint="eastAsia" w:ascii="Times New Roman Regular" w:hAnsi="Times New Roman Regular" w:eastAsia="楷体" w:cs="Times New Roman Regular"/>
          <w:color w:val="000000"/>
          <w:kern w:val="0"/>
          <w:vertAlign w:val="superscript"/>
          <w:lang w:bidi="ar"/>
        </w:rPr>
        <w:t>2</w:t>
      </w:r>
      <w:r>
        <w:rPr>
          <w:rFonts w:hint="eastAsia" w:ascii="Times New Roman Regular" w:hAnsi="Times New Roman Regular" w:cs="Times New Roman Regular"/>
          <w:sz w:val="24"/>
          <w:szCs w:val="24"/>
          <w:lang w:bidi="ar"/>
        </w:rPr>
        <w:t>Y</w:t>
      </w:r>
      <w:r>
        <w:rPr>
          <w:rFonts w:hint="eastAsia" w:ascii="Times New Roman Regular" w:hAnsi="Times New Roman Regular" w:cs="Times New Roman Regular"/>
          <w:sz w:val="24"/>
          <w:szCs w:val="24"/>
          <w:vertAlign w:val="subscript"/>
          <w:lang w:bidi="ar"/>
        </w:rPr>
        <w:t>2</w:t>
      </w:r>
      <w:r>
        <w:rPr>
          <w:rFonts w:ascii="Times New Roman Regular" w:hAnsi="Times New Roman Regular" w:eastAsia="楷体" w:cs="Times New Roman Regular"/>
          <w:color w:val="000000"/>
          <w:kern w:val="0"/>
          <w:lang w:bidi="ar"/>
        </w:rPr>
        <w:t xml:space="preserve">: Condom use with regular partners in the </w:t>
      </w:r>
      <w:r>
        <w:rPr>
          <w:rFonts w:hint="eastAsia" w:ascii="Times New Roman Regular" w:hAnsi="Times New Roman Regular" w:eastAsia="楷体" w:cs="Times New Roman Regular"/>
          <w:color w:val="000000"/>
          <w:kern w:val="0"/>
          <w:lang w:bidi="ar"/>
        </w:rPr>
        <w:t>recent</w:t>
      </w:r>
      <w:r>
        <w:rPr>
          <w:rFonts w:ascii="Times New Roman Regular" w:hAnsi="Times New Roman Regular" w:eastAsia="楷体" w:cs="Times New Roman Regular"/>
          <w:color w:val="000000"/>
          <w:kern w:val="0"/>
          <w:lang w:bidi="ar"/>
        </w:rPr>
        <w:t xml:space="preserve"> sexual behaviors.</w:t>
      </w:r>
    </w:p>
    <w:p w14:paraId="028459E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BE3CD3"/>
    <w:rsid w:val="59E905AF"/>
    <w:rsid w:val="7FBE3CD3"/>
    <w:rsid w:val="CDF6B87F"/>
    <w:rsid w:val="FFFF3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method"/>
    <w:basedOn w:val="1"/>
    <w:qFormat/>
    <w:uiPriority w:val="0"/>
    <w:pPr>
      <w:spacing w:line="276" w:lineRule="auto"/>
      <w:ind w:firstLine="0" w:firstLineChars="0"/>
      <w:jc w:val="left"/>
    </w:pPr>
    <w:rPr>
      <w:rFonts w:hint="default" w:ascii="Times New Roman" w:hAnsi="Times New Roman" w:cs="Times New Roman Regular"/>
      <w:b/>
      <w:bCs/>
      <w:sz w:val="32"/>
      <w:szCs w:val="32"/>
      <w:lang w:eastAsia="zh-Han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Office_6.8.2.8850_F1E327BC-269C-435d-A152-05C5408002CA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2024-04-16T21:14:00Z</dcterms:created>
  <dc:creator>Wenwen</dc:creator>
  <cp:lastModifiedBy>ww</cp:lastModifiedBy>
  <dcterms:modified xsi:type="dcterms:W3CDTF">2025-01-19T15:17:41Z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2052-6.8.2.8850</vt:lpwstr>
  </property>
  <property fmtid="{D5CDD505-2E9C-101B-9397-08002B2CF9AE}" pid="3" name="ICV">
    <vt:lpwstr>F403BA582C03EBB827091E66C014FC1A_41</vt:lpwstr>
  </property>
</Properties>
</file>