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3822" w14:textId="5FBD3A07" w:rsidR="0083618A" w:rsidRDefault="0083618A" w:rsidP="0083618A">
      <w:r>
        <w:rPr>
          <w:noProof/>
        </w:rPr>
        <w:drawing>
          <wp:inline distT="0" distB="0" distL="0" distR="0" wp14:anchorId="796811B5" wp14:editId="39FE065C">
            <wp:extent cx="5943600" cy="2494915"/>
            <wp:effectExtent l="0" t="0" r="0" b="635"/>
            <wp:docPr id="699333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33220" name="Picture 6993332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1B793" w14:textId="6C0EC277" w:rsidR="0083618A" w:rsidRPr="0083618A" w:rsidRDefault="0083618A" w:rsidP="0083618A">
      <w:r w:rsidRPr="0083618A">
        <w:t xml:space="preserve">Fig. S1 Average annual percentage change of CRD burden attributable to tobacco from 1990 to 2021. (A) </w:t>
      </w:r>
      <w:proofErr w:type="spellStart"/>
      <w:r w:rsidRPr="0083618A">
        <w:t>Joinpoint</w:t>
      </w:r>
      <w:proofErr w:type="spellEnd"/>
      <w:r w:rsidRPr="0083618A">
        <w:t xml:space="preserve"> regression analysis of ASMR; (B) </w:t>
      </w:r>
      <w:proofErr w:type="spellStart"/>
      <w:r w:rsidRPr="0083618A">
        <w:t>Joinpoint</w:t>
      </w:r>
      <w:proofErr w:type="spellEnd"/>
      <w:r w:rsidRPr="0083618A">
        <w:t xml:space="preserve"> regression analysis of ASDR. CRD, chronic respiratory disease; DALYs: disability-adjusted life-years; ASDR, age-standardized rate of DALYs; ASMR, age-standardized rates of mortality.</w:t>
      </w:r>
    </w:p>
    <w:p w14:paraId="7ADD411C" w14:textId="77777777" w:rsidR="009402AA" w:rsidRDefault="009402AA"/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8A"/>
    <w:rsid w:val="00273337"/>
    <w:rsid w:val="0083618A"/>
    <w:rsid w:val="009402AA"/>
    <w:rsid w:val="00E11C0F"/>
    <w:rsid w:val="00F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781120"/>
  <w14:defaultImageDpi w14:val="32767"/>
  <w15:chartTrackingRefBased/>
  <w15:docId w15:val="{EE2EB62D-B9E8-4BD9-8F2F-064AAF07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Springer Nature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2025-01-30T09:30:00Z</dcterms:created>
  <dcterms:modified xsi:type="dcterms:W3CDTF">2025-01-30T09:31:00Z</dcterms:modified>
</cp:coreProperties>
</file>