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C4AA1" w14:textId="77777777" w:rsidR="00CD7E5F" w:rsidRPr="000E28CF" w:rsidRDefault="00CD7E5F" w:rsidP="00CD7E5F">
      <w:pPr>
        <w:pStyle w:val="Normalwebb"/>
        <w:shd w:val="clear" w:color="auto" w:fill="FFFFFF"/>
        <w:spacing w:line="360" w:lineRule="auto"/>
        <w:textAlignment w:val="baseline"/>
        <w:rPr>
          <w:rFonts w:cstheme="minorHAnsi"/>
          <w:color w:val="242424"/>
          <w:bdr w:val="none" w:sz="0" w:space="0" w:color="auto" w:frame="1"/>
        </w:rPr>
      </w:pPr>
      <w:r w:rsidRPr="000E28CF">
        <w:rPr>
          <w:rFonts w:ascii="Times New Roman" w:hAnsi="Times New Roman" w:cs="Times New Roman"/>
          <w:sz w:val="20"/>
          <w:szCs w:val="20"/>
        </w:rPr>
        <w:t xml:space="preserve">Title: </w:t>
      </w:r>
      <w:r w:rsidRPr="000E28CF">
        <w:rPr>
          <w:rFonts w:ascii="Times New Roman" w:hAnsi="Times New Roman" w:cs="Times New Roman"/>
          <w:color w:val="242424"/>
          <w:sz w:val="20"/>
          <w:szCs w:val="20"/>
          <w:bdr w:val="none" w:sz="0" w:space="0" w:color="auto" w:frame="1"/>
        </w:rPr>
        <w:t xml:space="preserve">Specialized mental healthcare use for common mental disorders and prescription of antidepressants before and during the COVID-19 pandemic among working-age refugees and Swedish-born individuals </w:t>
      </w:r>
      <w:r w:rsidRPr="000E28CF">
        <w:rPr>
          <w:rFonts w:ascii="Times New Roman" w:hAnsi="Times New Roman" w:cs="Times New Roman"/>
          <w:sz w:val="20"/>
          <w:szCs w:val="20"/>
        </w:rPr>
        <w:t>– a nationwide register-based study</w:t>
      </w:r>
    </w:p>
    <w:p w14:paraId="19F8D295" w14:textId="77777777" w:rsidR="00CD7E5F" w:rsidRPr="000E28CF" w:rsidRDefault="00CD7E5F" w:rsidP="00CD7E5F">
      <w:pPr>
        <w:spacing w:line="360" w:lineRule="auto"/>
        <w:rPr>
          <w:rFonts w:ascii="Times New Roman" w:hAnsi="Times New Roman" w:cs="Times New Roman"/>
          <w:sz w:val="20"/>
          <w:szCs w:val="20"/>
        </w:rPr>
      </w:pPr>
      <w:r w:rsidRPr="000E28CF">
        <w:rPr>
          <w:rFonts w:ascii="Times New Roman" w:hAnsi="Times New Roman" w:cs="Times New Roman"/>
          <w:sz w:val="20"/>
          <w:szCs w:val="20"/>
        </w:rPr>
        <w:t>Authors:</w:t>
      </w:r>
    </w:p>
    <w:p w14:paraId="79B35A85" w14:textId="0681DB37" w:rsidR="00CD7E5F" w:rsidRPr="000E28CF" w:rsidRDefault="00CD7E5F" w:rsidP="00CD7E5F">
      <w:pPr>
        <w:pStyle w:val="Kommentarer"/>
        <w:spacing w:line="360" w:lineRule="auto"/>
        <w:rPr>
          <w:rFonts w:ascii="Times New Roman" w:hAnsi="Times New Roman" w:cs="Times New Roman"/>
        </w:rPr>
      </w:pPr>
      <w:bookmarkStart w:id="0" w:name="_Hlk188032609"/>
      <w:r w:rsidRPr="000E28CF">
        <w:rPr>
          <w:rFonts w:ascii="Times New Roman" w:hAnsi="Times New Roman" w:cs="Times New Roman"/>
        </w:rPr>
        <w:t>Vera Atarodi MSc</w:t>
      </w:r>
      <w:r w:rsidRPr="000E28CF">
        <w:rPr>
          <w:rFonts w:ascii="Times New Roman" w:hAnsi="Times New Roman" w:cs="Times New Roman"/>
          <w:vertAlign w:val="superscript"/>
        </w:rPr>
        <w:t>1</w:t>
      </w:r>
      <w:r w:rsidRPr="000E28CF">
        <w:rPr>
          <w:rFonts w:ascii="Times New Roman" w:hAnsi="Times New Roman" w:cs="Times New Roman"/>
        </w:rPr>
        <w:t>, Ellenor Mittendorfer-Rutz PhD</w:t>
      </w:r>
      <w:r w:rsidRPr="000E28CF">
        <w:rPr>
          <w:rFonts w:ascii="Times New Roman" w:hAnsi="Times New Roman" w:cs="Times New Roman"/>
          <w:vertAlign w:val="superscript"/>
        </w:rPr>
        <w:t>1</w:t>
      </w:r>
      <w:r w:rsidRPr="000E28CF">
        <w:rPr>
          <w:rFonts w:ascii="Times New Roman" w:hAnsi="Times New Roman" w:cs="Times New Roman"/>
        </w:rPr>
        <w:t>, Daniel Morillo-Cuadrado PhD</w:t>
      </w:r>
      <w:r w:rsidRPr="000E28CF">
        <w:rPr>
          <w:rFonts w:ascii="Times New Roman" w:hAnsi="Times New Roman" w:cs="Times New Roman"/>
          <w:vertAlign w:val="superscript"/>
        </w:rPr>
        <w:t>2,3</w:t>
      </w:r>
      <w:r w:rsidR="00FD620B" w:rsidRPr="000E28CF">
        <w:rPr>
          <w:rFonts w:ascii="Times New Roman" w:hAnsi="Times New Roman" w:cs="Times New Roman"/>
          <w:vertAlign w:val="superscript"/>
        </w:rPr>
        <w:t>,4</w:t>
      </w:r>
      <w:r w:rsidRPr="000E28CF">
        <w:rPr>
          <w:rFonts w:ascii="Times New Roman" w:hAnsi="Times New Roman" w:cs="Times New Roman"/>
        </w:rPr>
        <w:t>, Roberto Mediavilla PhD</w:t>
      </w:r>
      <w:r w:rsidRPr="000E28CF">
        <w:rPr>
          <w:rFonts w:ascii="Times New Roman" w:hAnsi="Times New Roman" w:cs="Times New Roman"/>
          <w:vertAlign w:val="superscript"/>
        </w:rPr>
        <w:t>3,4</w:t>
      </w:r>
      <w:r w:rsidR="00F03F17" w:rsidRPr="000E28CF">
        <w:rPr>
          <w:rFonts w:ascii="Times New Roman" w:hAnsi="Times New Roman" w:cs="Times New Roman"/>
          <w:vertAlign w:val="superscript"/>
        </w:rPr>
        <w:t>,5</w:t>
      </w:r>
      <w:r w:rsidRPr="000E28CF">
        <w:rPr>
          <w:rFonts w:ascii="Times New Roman" w:hAnsi="Times New Roman" w:cs="Times New Roman"/>
        </w:rPr>
        <w:t>, Mireia Felez-Nobrega PhD</w:t>
      </w:r>
      <w:r w:rsidR="00F03F17" w:rsidRPr="000E28CF">
        <w:rPr>
          <w:rFonts w:ascii="Times New Roman" w:hAnsi="Times New Roman" w:cs="Times New Roman"/>
          <w:vertAlign w:val="superscript"/>
        </w:rPr>
        <w:t>6</w:t>
      </w:r>
      <w:r w:rsidRPr="000E28CF">
        <w:rPr>
          <w:rFonts w:ascii="Times New Roman" w:hAnsi="Times New Roman" w:cs="Times New Roman"/>
          <w:vertAlign w:val="superscript"/>
        </w:rPr>
        <w:t>,</w:t>
      </w:r>
      <w:r w:rsidR="00F03F17" w:rsidRPr="000E28CF">
        <w:rPr>
          <w:rFonts w:ascii="Times New Roman" w:hAnsi="Times New Roman" w:cs="Times New Roman"/>
          <w:vertAlign w:val="superscript"/>
        </w:rPr>
        <w:t>4</w:t>
      </w:r>
      <w:r w:rsidRPr="000E28CF">
        <w:rPr>
          <w:rFonts w:ascii="Times New Roman" w:hAnsi="Times New Roman" w:cs="Times New Roman"/>
        </w:rPr>
        <w:t>, Anna Monistrol-Mula MSc</w:t>
      </w:r>
      <w:r w:rsidR="00F03F17" w:rsidRPr="000E28CF">
        <w:rPr>
          <w:rFonts w:ascii="Times New Roman" w:hAnsi="Times New Roman" w:cs="Times New Roman"/>
          <w:vertAlign w:val="superscript"/>
        </w:rPr>
        <w:t>6,4</w:t>
      </w:r>
      <w:r w:rsidRPr="000E28CF">
        <w:rPr>
          <w:rFonts w:ascii="Times New Roman" w:hAnsi="Times New Roman" w:cs="Times New Roman"/>
        </w:rPr>
        <w:t>, Pierre Smith PhD</w:t>
      </w:r>
      <w:r w:rsidRPr="000E28CF">
        <w:rPr>
          <w:rFonts w:ascii="Times New Roman" w:hAnsi="Times New Roman" w:cs="Times New Roman"/>
          <w:vertAlign w:val="superscript"/>
        </w:rPr>
        <w:t>7</w:t>
      </w:r>
      <w:r w:rsidR="00F03F17" w:rsidRPr="000E28CF">
        <w:rPr>
          <w:rFonts w:ascii="Times New Roman" w:hAnsi="Times New Roman" w:cs="Times New Roman"/>
          <w:vertAlign w:val="superscript"/>
        </w:rPr>
        <w:t>,8</w:t>
      </w:r>
      <w:r w:rsidRPr="000E28CF">
        <w:rPr>
          <w:rFonts w:ascii="Times New Roman" w:hAnsi="Times New Roman" w:cs="Times New Roman"/>
        </w:rPr>
        <w:t>, Vincent Lorant PhD</w:t>
      </w:r>
      <w:r w:rsidR="00F03F17" w:rsidRPr="000E28CF">
        <w:rPr>
          <w:rFonts w:ascii="Times New Roman" w:hAnsi="Times New Roman" w:cs="Times New Roman"/>
          <w:vertAlign w:val="superscript"/>
        </w:rPr>
        <w:t>8</w:t>
      </w:r>
      <w:r w:rsidRPr="000E28CF">
        <w:rPr>
          <w:rFonts w:ascii="Times New Roman" w:hAnsi="Times New Roman" w:cs="Times New Roman"/>
        </w:rPr>
        <w:t xml:space="preserve">, </w:t>
      </w:r>
      <w:r w:rsidRPr="000E28CF">
        <w:rPr>
          <w:rFonts w:ascii="Times New Roman" w:hAnsi="Times New Roman" w:cs="Times New Roman"/>
          <w:color w:val="000000"/>
        </w:rPr>
        <w:t xml:space="preserve">Papoula Petri-Romão </w:t>
      </w:r>
      <w:r w:rsidRPr="000E28CF">
        <w:rPr>
          <w:rFonts w:ascii="Times New Roman" w:hAnsi="Times New Roman" w:cs="Times New Roman"/>
        </w:rPr>
        <w:t>MSc</w:t>
      </w:r>
      <w:r w:rsidR="002E48C8" w:rsidRPr="000E28CF">
        <w:rPr>
          <w:rFonts w:ascii="Times New Roman" w:hAnsi="Times New Roman" w:cs="Times New Roman"/>
          <w:vertAlign w:val="superscript"/>
        </w:rPr>
        <w:t>9</w:t>
      </w:r>
      <w:r w:rsidRPr="000E28CF">
        <w:rPr>
          <w:rFonts w:ascii="Times New Roman" w:hAnsi="Times New Roman" w:cs="Times New Roman"/>
          <w:color w:val="000000"/>
        </w:rPr>
        <w:t xml:space="preserve">, </w:t>
      </w:r>
      <w:r w:rsidRPr="000E28CF">
        <w:rPr>
          <w:rFonts w:ascii="Times New Roman" w:hAnsi="Times New Roman" w:cs="Times New Roman"/>
        </w:rPr>
        <w:t>Marit Sijbrandij PhD</w:t>
      </w:r>
      <w:r w:rsidR="002E48C8" w:rsidRPr="000E28CF">
        <w:rPr>
          <w:rFonts w:ascii="Times New Roman" w:hAnsi="Times New Roman" w:cs="Times New Roman"/>
          <w:vertAlign w:val="superscript"/>
        </w:rPr>
        <w:t>10</w:t>
      </w:r>
      <w:r w:rsidRPr="000E28CF">
        <w:rPr>
          <w:rFonts w:ascii="Times New Roman" w:hAnsi="Times New Roman" w:cs="Times New Roman"/>
        </w:rPr>
        <w:t>, Anke B. Witteveen PhD</w:t>
      </w:r>
      <w:r w:rsidR="002E48C8" w:rsidRPr="000E28CF">
        <w:rPr>
          <w:rFonts w:ascii="Times New Roman" w:hAnsi="Times New Roman" w:cs="Times New Roman"/>
          <w:vertAlign w:val="superscript"/>
        </w:rPr>
        <w:t>10</w:t>
      </w:r>
      <w:r w:rsidRPr="000E28CF">
        <w:rPr>
          <w:rFonts w:ascii="Times New Roman" w:hAnsi="Times New Roman" w:cs="Times New Roman"/>
        </w:rPr>
        <w:t>, Irene Pinucci MSc</w:t>
      </w:r>
      <w:r w:rsidRPr="000E28CF">
        <w:rPr>
          <w:rFonts w:ascii="Times New Roman" w:hAnsi="Times New Roman" w:cs="Times New Roman"/>
          <w:vertAlign w:val="superscript"/>
        </w:rPr>
        <w:t>1</w:t>
      </w:r>
      <w:r w:rsidR="002E48C8" w:rsidRPr="000E28CF">
        <w:rPr>
          <w:rFonts w:ascii="Times New Roman" w:hAnsi="Times New Roman" w:cs="Times New Roman"/>
          <w:vertAlign w:val="superscript"/>
        </w:rPr>
        <w:t>1</w:t>
      </w:r>
      <w:r w:rsidRPr="000E28CF">
        <w:rPr>
          <w:rFonts w:ascii="Times New Roman" w:hAnsi="Times New Roman" w:cs="Times New Roman"/>
        </w:rPr>
        <w:t>, Matteo Monzio Compagnoni PhD</w:t>
      </w:r>
      <w:r w:rsidRPr="000E28CF">
        <w:rPr>
          <w:rFonts w:ascii="Times New Roman" w:hAnsi="Times New Roman" w:cs="Times New Roman"/>
          <w:vertAlign w:val="superscript"/>
        </w:rPr>
        <w:t>1</w:t>
      </w:r>
      <w:r w:rsidR="002E48C8" w:rsidRPr="000E28CF">
        <w:rPr>
          <w:rFonts w:ascii="Times New Roman" w:hAnsi="Times New Roman" w:cs="Times New Roman"/>
          <w:vertAlign w:val="superscript"/>
        </w:rPr>
        <w:t>2</w:t>
      </w:r>
      <w:r w:rsidRPr="000E28CF">
        <w:rPr>
          <w:rFonts w:ascii="Times New Roman" w:hAnsi="Times New Roman" w:cs="Times New Roman"/>
        </w:rPr>
        <w:t>, Claudia Conflitti MSc</w:t>
      </w:r>
      <w:r w:rsidRPr="000E28CF">
        <w:rPr>
          <w:rFonts w:ascii="Times New Roman" w:hAnsi="Times New Roman" w:cs="Times New Roman"/>
          <w:vertAlign w:val="superscript"/>
        </w:rPr>
        <w:t>1</w:t>
      </w:r>
      <w:r w:rsidR="002E48C8" w:rsidRPr="000E28CF">
        <w:rPr>
          <w:rFonts w:ascii="Times New Roman" w:hAnsi="Times New Roman" w:cs="Times New Roman"/>
          <w:vertAlign w:val="superscript"/>
        </w:rPr>
        <w:t>2</w:t>
      </w:r>
      <w:r w:rsidRPr="000E28CF">
        <w:rPr>
          <w:rFonts w:ascii="Times New Roman" w:hAnsi="Times New Roman" w:cs="Times New Roman"/>
        </w:rPr>
        <w:t>, Giulia Caggiu MSc</w:t>
      </w:r>
      <w:r w:rsidRPr="000E28CF">
        <w:rPr>
          <w:rFonts w:ascii="Times New Roman" w:hAnsi="Times New Roman" w:cs="Times New Roman"/>
          <w:vertAlign w:val="superscript"/>
        </w:rPr>
        <w:t>1</w:t>
      </w:r>
      <w:r w:rsidR="002E48C8" w:rsidRPr="000E28CF">
        <w:rPr>
          <w:rFonts w:ascii="Times New Roman" w:hAnsi="Times New Roman" w:cs="Times New Roman"/>
          <w:vertAlign w:val="superscript"/>
        </w:rPr>
        <w:t>2</w:t>
      </w:r>
      <w:r w:rsidRPr="000E28CF">
        <w:rPr>
          <w:rFonts w:ascii="Times New Roman" w:hAnsi="Times New Roman" w:cs="Times New Roman"/>
          <w:vertAlign w:val="superscript"/>
        </w:rPr>
        <w:t>, 1</w:t>
      </w:r>
      <w:r w:rsidR="002E48C8" w:rsidRPr="000E28CF">
        <w:rPr>
          <w:rFonts w:ascii="Times New Roman" w:hAnsi="Times New Roman" w:cs="Times New Roman"/>
          <w:vertAlign w:val="superscript"/>
        </w:rPr>
        <w:t>3</w:t>
      </w:r>
      <w:r w:rsidRPr="000E28CF">
        <w:rPr>
          <w:rFonts w:ascii="Times New Roman" w:hAnsi="Times New Roman" w:cs="Times New Roman"/>
        </w:rPr>
        <w:t>, Maria Melchior PhD</w:t>
      </w:r>
      <w:r w:rsidRPr="000E28CF">
        <w:rPr>
          <w:rFonts w:ascii="Times New Roman" w:hAnsi="Times New Roman" w:cs="Times New Roman"/>
          <w:vertAlign w:val="superscript"/>
        </w:rPr>
        <w:t>1</w:t>
      </w:r>
      <w:r w:rsidR="002E48C8" w:rsidRPr="000E28CF">
        <w:rPr>
          <w:rFonts w:ascii="Times New Roman" w:hAnsi="Times New Roman" w:cs="Times New Roman"/>
          <w:vertAlign w:val="superscript"/>
        </w:rPr>
        <w:t>4</w:t>
      </w:r>
      <w:r w:rsidRPr="000E28CF">
        <w:rPr>
          <w:rFonts w:ascii="Times New Roman" w:hAnsi="Times New Roman" w:cs="Times New Roman"/>
        </w:rPr>
        <w:t>, Cécile Vuillermoz PhD</w:t>
      </w:r>
      <w:r w:rsidRPr="000E28CF">
        <w:rPr>
          <w:rFonts w:ascii="Times New Roman" w:hAnsi="Times New Roman" w:cs="Times New Roman"/>
          <w:vertAlign w:val="superscript"/>
        </w:rPr>
        <w:t>1</w:t>
      </w:r>
      <w:r w:rsidR="002E48C8" w:rsidRPr="000E28CF">
        <w:rPr>
          <w:rFonts w:ascii="Times New Roman" w:hAnsi="Times New Roman" w:cs="Times New Roman"/>
          <w:vertAlign w:val="superscript"/>
        </w:rPr>
        <w:t>4</w:t>
      </w:r>
      <w:r w:rsidRPr="000E28CF">
        <w:rPr>
          <w:rFonts w:ascii="Times New Roman" w:hAnsi="Times New Roman" w:cs="Times New Roman"/>
        </w:rPr>
        <w:t>, Jakob Bergström MSc</w:t>
      </w:r>
      <w:r w:rsidRPr="000E28CF">
        <w:rPr>
          <w:rFonts w:ascii="Times New Roman" w:hAnsi="Times New Roman" w:cs="Times New Roman"/>
          <w:vertAlign w:val="superscript"/>
        </w:rPr>
        <w:t>1</w:t>
      </w:r>
      <w:r w:rsidRPr="000E28CF">
        <w:rPr>
          <w:rFonts w:ascii="Times New Roman" w:hAnsi="Times New Roman" w:cs="Times New Roman"/>
        </w:rPr>
        <w:t>, Katalin Gémes PhD</w:t>
      </w:r>
      <w:r w:rsidRPr="000E28CF">
        <w:rPr>
          <w:rFonts w:ascii="Times New Roman" w:hAnsi="Times New Roman" w:cs="Times New Roman"/>
          <w:vertAlign w:val="superscript"/>
        </w:rPr>
        <w:t>1</w:t>
      </w:r>
    </w:p>
    <w:bookmarkEnd w:id="0"/>
    <w:p w14:paraId="70A48997" w14:textId="6D37F876" w:rsidR="00CD7E5F" w:rsidRPr="000E28CF" w:rsidRDefault="00CD7E5F" w:rsidP="00CD7E5F">
      <w:pPr>
        <w:pStyle w:val="Liststycke"/>
        <w:numPr>
          <w:ilvl w:val="0"/>
          <w:numId w:val="2"/>
        </w:numPr>
        <w:spacing w:line="360" w:lineRule="auto"/>
        <w:rPr>
          <w:rFonts w:ascii="Times New Roman" w:hAnsi="Times New Roman" w:cs="Times New Roman"/>
          <w:sz w:val="20"/>
          <w:szCs w:val="20"/>
        </w:rPr>
      </w:pPr>
      <w:r w:rsidRPr="000E28CF">
        <w:rPr>
          <w:rFonts w:ascii="Times New Roman" w:hAnsi="Times New Roman" w:cs="Times New Roman"/>
          <w:sz w:val="20"/>
          <w:szCs w:val="20"/>
        </w:rPr>
        <w:t xml:space="preserve">Department of Clinical Neuroscience, Karolinska Institutet, </w:t>
      </w:r>
      <w:r w:rsidR="00000AAF" w:rsidRPr="000E28CF">
        <w:rPr>
          <w:rFonts w:ascii="Times New Roman" w:hAnsi="Times New Roman" w:cs="Times New Roman"/>
          <w:sz w:val="20"/>
          <w:szCs w:val="20"/>
        </w:rPr>
        <w:t xml:space="preserve">Stockholm, </w:t>
      </w:r>
      <w:r w:rsidRPr="000E28CF">
        <w:rPr>
          <w:rFonts w:ascii="Times New Roman" w:hAnsi="Times New Roman" w:cs="Times New Roman"/>
          <w:sz w:val="20"/>
          <w:szCs w:val="20"/>
        </w:rPr>
        <w:t>Sweden</w:t>
      </w:r>
    </w:p>
    <w:p w14:paraId="0B16E13E" w14:textId="14BD5B94" w:rsidR="00F03F17" w:rsidRPr="000E28CF" w:rsidRDefault="00F03F17" w:rsidP="00F03F17">
      <w:pPr>
        <w:pStyle w:val="Liststycke"/>
        <w:numPr>
          <w:ilvl w:val="0"/>
          <w:numId w:val="2"/>
        </w:numPr>
        <w:spacing w:line="360" w:lineRule="auto"/>
        <w:rPr>
          <w:rFonts w:ascii="Times New Roman" w:hAnsi="Times New Roman" w:cs="Times New Roman"/>
          <w:sz w:val="20"/>
          <w:szCs w:val="20"/>
        </w:rPr>
      </w:pPr>
      <w:r w:rsidRPr="000E28CF">
        <w:rPr>
          <w:rFonts w:ascii="Times New Roman" w:hAnsi="Times New Roman" w:cs="Times New Roman"/>
          <w:sz w:val="20"/>
          <w:szCs w:val="20"/>
        </w:rPr>
        <w:t xml:space="preserve">School of Psychology, Universidad Nacional de Educación a Distancia (UNED), </w:t>
      </w:r>
      <w:r w:rsidR="00000AAF" w:rsidRPr="000E28CF">
        <w:rPr>
          <w:rFonts w:ascii="Times New Roman" w:hAnsi="Times New Roman" w:cs="Times New Roman"/>
          <w:sz w:val="20"/>
          <w:szCs w:val="20"/>
        </w:rPr>
        <w:t xml:space="preserve">Madrid, </w:t>
      </w:r>
      <w:r w:rsidRPr="000E28CF">
        <w:rPr>
          <w:rFonts w:ascii="Times New Roman" w:hAnsi="Times New Roman" w:cs="Times New Roman"/>
          <w:sz w:val="20"/>
          <w:szCs w:val="20"/>
        </w:rPr>
        <w:t>Spain</w:t>
      </w:r>
    </w:p>
    <w:p w14:paraId="733F47A2" w14:textId="62199931" w:rsidR="00CD7E5F" w:rsidRPr="000E28CF" w:rsidRDefault="00CD7E5F" w:rsidP="00CD7E5F">
      <w:pPr>
        <w:pStyle w:val="Liststycke"/>
        <w:numPr>
          <w:ilvl w:val="0"/>
          <w:numId w:val="2"/>
        </w:numPr>
        <w:spacing w:line="360" w:lineRule="auto"/>
        <w:rPr>
          <w:rFonts w:ascii="Times New Roman" w:hAnsi="Times New Roman" w:cs="Times New Roman"/>
          <w:sz w:val="20"/>
          <w:szCs w:val="20"/>
        </w:rPr>
      </w:pPr>
      <w:r w:rsidRPr="000E28CF">
        <w:rPr>
          <w:rFonts w:ascii="Times New Roman" w:hAnsi="Times New Roman" w:cs="Times New Roman"/>
          <w:sz w:val="20"/>
          <w:szCs w:val="20"/>
        </w:rPr>
        <w:t>Instituto de Investigación Sanitaria del Hospital Universitario La Princesa (IIS-Princesa), Madrid, Spain</w:t>
      </w:r>
    </w:p>
    <w:p w14:paraId="5DAC13B3" w14:textId="77777777" w:rsidR="00CD7E5F" w:rsidRPr="000E28CF" w:rsidRDefault="00CD7E5F" w:rsidP="00CD7E5F">
      <w:pPr>
        <w:pStyle w:val="Liststycke"/>
        <w:numPr>
          <w:ilvl w:val="0"/>
          <w:numId w:val="2"/>
        </w:numPr>
        <w:spacing w:line="360" w:lineRule="auto"/>
        <w:rPr>
          <w:rFonts w:ascii="Times New Roman" w:hAnsi="Times New Roman" w:cs="Times New Roman"/>
          <w:sz w:val="20"/>
          <w:szCs w:val="20"/>
        </w:rPr>
      </w:pPr>
      <w:r w:rsidRPr="000E28CF">
        <w:rPr>
          <w:rFonts w:ascii="Times New Roman" w:hAnsi="Times New Roman" w:cs="Times New Roman"/>
          <w:sz w:val="20"/>
          <w:szCs w:val="20"/>
        </w:rPr>
        <w:t>Centro de Investigación Biomédica en Red de Salud Mental (CIBERSAM), Instituto de Salud Carlos III, Madrid, Spain</w:t>
      </w:r>
    </w:p>
    <w:p w14:paraId="2D7CB1FD" w14:textId="77777777" w:rsidR="00CD7E5F" w:rsidRPr="000E28CF" w:rsidRDefault="00CD7E5F" w:rsidP="00CD7E5F">
      <w:pPr>
        <w:pStyle w:val="Liststycke"/>
        <w:numPr>
          <w:ilvl w:val="0"/>
          <w:numId w:val="2"/>
        </w:numPr>
        <w:spacing w:line="360" w:lineRule="auto"/>
        <w:rPr>
          <w:rFonts w:ascii="Times New Roman" w:hAnsi="Times New Roman" w:cs="Times New Roman"/>
          <w:sz w:val="20"/>
          <w:szCs w:val="20"/>
        </w:rPr>
      </w:pPr>
      <w:r w:rsidRPr="000E28CF">
        <w:rPr>
          <w:rFonts w:ascii="Times New Roman" w:hAnsi="Times New Roman" w:cs="Times New Roman"/>
          <w:sz w:val="20"/>
          <w:szCs w:val="20"/>
        </w:rPr>
        <w:t>Department of Psychiatry, Universidad Autónoma de Madrid, Madrid (UAM), Spain</w:t>
      </w:r>
    </w:p>
    <w:p w14:paraId="23C50955" w14:textId="77777777" w:rsidR="00CD7E5F" w:rsidRPr="000E28CF" w:rsidRDefault="00CD7E5F" w:rsidP="00CD7E5F">
      <w:pPr>
        <w:pStyle w:val="Liststycke"/>
        <w:numPr>
          <w:ilvl w:val="0"/>
          <w:numId w:val="2"/>
        </w:numPr>
        <w:spacing w:line="360" w:lineRule="auto"/>
        <w:rPr>
          <w:rFonts w:ascii="Times New Roman" w:hAnsi="Times New Roman" w:cs="Times New Roman"/>
          <w:sz w:val="20"/>
          <w:szCs w:val="20"/>
        </w:rPr>
      </w:pPr>
      <w:r w:rsidRPr="000E28CF">
        <w:rPr>
          <w:rFonts w:ascii="Times New Roman" w:hAnsi="Times New Roman" w:cs="Times New Roman"/>
          <w:sz w:val="20"/>
          <w:szCs w:val="20"/>
        </w:rPr>
        <w:t>Group of Epidemiology of mental disorders and Ageing, Institut de Recerca Sant Joan de Deu (IRSJD), Parc Sanitari Sant Joan de Deu, Sant Boi de Llobregat, Spain</w:t>
      </w:r>
    </w:p>
    <w:p w14:paraId="5903D439" w14:textId="77777777" w:rsidR="00CD7E5F" w:rsidRPr="000E28CF" w:rsidRDefault="00CD7E5F" w:rsidP="00CD7E5F">
      <w:pPr>
        <w:pStyle w:val="Liststycke"/>
        <w:numPr>
          <w:ilvl w:val="0"/>
          <w:numId w:val="2"/>
        </w:numPr>
        <w:spacing w:line="360" w:lineRule="auto"/>
        <w:rPr>
          <w:rFonts w:ascii="Times New Roman" w:hAnsi="Times New Roman" w:cs="Times New Roman"/>
          <w:sz w:val="20"/>
          <w:szCs w:val="20"/>
        </w:rPr>
      </w:pPr>
      <w:r w:rsidRPr="000E28CF">
        <w:rPr>
          <w:rFonts w:ascii="Times New Roman" w:hAnsi="Times New Roman" w:cs="Times New Roman"/>
          <w:sz w:val="20"/>
          <w:szCs w:val="20"/>
        </w:rPr>
        <w:t>Department of Epidemiology and Public Health, Sciensano Belgian Institute of Health, Brussels, Belgium</w:t>
      </w:r>
    </w:p>
    <w:p w14:paraId="02F18074" w14:textId="77777777" w:rsidR="00CD7E5F" w:rsidRPr="000E28CF" w:rsidRDefault="00CD7E5F" w:rsidP="00CD7E5F">
      <w:pPr>
        <w:pStyle w:val="Liststycke"/>
        <w:numPr>
          <w:ilvl w:val="0"/>
          <w:numId w:val="2"/>
        </w:numPr>
        <w:spacing w:line="360" w:lineRule="auto"/>
        <w:rPr>
          <w:rFonts w:ascii="Times New Roman" w:hAnsi="Times New Roman" w:cs="Times New Roman"/>
          <w:sz w:val="20"/>
          <w:szCs w:val="20"/>
        </w:rPr>
      </w:pPr>
      <w:r w:rsidRPr="000E28CF">
        <w:rPr>
          <w:rFonts w:ascii="Times New Roman" w:hAnsi="Times New Roman" w:cs="Times New Roman"/>
          <w:sz w:val="20"/>
          <w:szCs w:val="20"/>
        </w:rPr>
        <w:t>Institute of Health and Society, Université catholique de Louvain, Brussels, Belgium</w:t>
      </w:r>
    </w:p>
    <w:p w14:paraId="05D98B48" w14:textId="77777777" w:rsidR="00CD7E5F" w:rsidRPr="000E28CF" w:rsidRDefault="00CD7E5F" w:rsidP="00CD7E5F">
      <w:pPr>
        <w:pStyle w:val="Liststycke"/>
        <w:numPr>
          <w:ilvl w:val="0"/>
          <w:numId w:val="2"/>
        </w:numPr>
        <w:spacing w:line="360" w:lineRule="auto"/>
        <w:rPr>
          <w:rFonts w:ascii="Times New Roman" w:hAnsi="Times New Roman" w:cs="Times New Roman"/>
          <w:sz w:val="20"/>
          <w:szCs w:val="20"/>
        </w:rPr>
      </w:pPr>
      <w:r w:rsidRPr="000E28CF">
        <w:rPr>
          <w:rFonts w:ascii="Times New Roman" w:hAnsi="Times New Roman" w:cs="Times New Roman"/>
          <w:sz w:val="20"/>
          <w:szCs w:val="20"/>
        </w:rPr>
        <w:t>Leibniz Institute for Resilience Research, Wallstr 7 55122, Mainz, Germany</w:t>
      </w:r>
      <w:r w:rsidRPr="000E28CF">
        <w:rPr>
          <w:rFonts w:ascii="Times New Roman" w:hAnsi="Times New Roman" w:cs="Times New Roman"/>
          <w:color w:val="000000"/>
          <w:sz w:val="20"/>
          <w:szCs w:val="20"/>
        </w:rPr>
        <w:t xml:space="preserve"> </w:t>
      </w:r>
    </w:p>
    <w:p w14:paraId="07027661" w14:textId="77777777" w:rsidR="00F03F17" w:rsidRPr="000E28CF" w:rsidRDefault="00F03F17" w:rsidP="00F03F17">
      <w:pPr>
        <w:pStyle w:val="Liststycke"/>
        <w:numPr>
          <w:ilvl w:val="0"/>
          <w:numId w:val="2"/>
        </w:numPr>
        <w:shd w:val="clear" w:color="auto" w:fill="FFFFFF"/>
        <w:spacing w:after="0" w:line="360" w:lineRule="auto"/>
        <w:rPr>
          <w:rFonts w:ascii="Times New Roman" w:eastAsia="Times New Roman" w:hAnsi="Times New Roman" w:cs="Times New Roman"/>
          <w:color w:val="212121"/>
          <w:sz w:val="20"/>
          <w:szCs w:val="20"/>
          <w:lang w:eastAsia="sv-SE"/>
        </w:rPr>
      </w:pPr>
      <w:r w:rsidRPr="000E28CF">
        <w:rPr>
          <w:rFonts w:ascii="Times New Roman" w:hAnsi="Times New Roman" w:cs="Times New Roman"/>
          <w:color w:val="000000"/>
          <w:sz w:val="20"/>
          <w:szCs w:val="20"/>
        </w:rPr>
        <w:t>Department of Clinical, Neuro- and Developmental Psychology, Amsterdam Public Health Institute and World Health Organization Collaborating Center for Research and Dissemination of Psychological Interventions, Vrije Universiteit, Amsterdam, Netherlands</w:t>
      </w:r>
    </w:p>
    <w:p w14:paraId="27D83267" w14:textId="77777777" w:rsidR="00F03F17" w:rsidRPr="000E28CF" w:rsidRDefault="00F03F17" w:rsidP="00F03F17">
      <w:pPr>
        <w:pStyle w:val="Liststycke"/>
        <w:numPr>
          <w:ilvl w:val="0"/>
          <w:numId w:val="2"/>
        </w:numPr>
        <w:shd w:val="clear" w:color="auto" w:fill="FFFFFF"/>
        <w:spacing w:after="0" w:line="360" w:lineRule="auto"/>
        <w:rPr>
          <w:rFonts w:ascii="Times New Roman" w:eastAsia="Times New Roman" w:hAnsi="Times New Roman" w:cs="Times New Roman"/>
          <w:color w:val="212121"/>
          <w:sz w:val="20"/>
          <w:szCs w:val="20"/>
          <w:lang w:eastAsia="sv-SE"/>
        </w:rPr>
      </w:pPr>
      <w:r w:rsidRPr="000E28CF">
        <w:rPr>
          <w:rFonts w:ascii="Times New Roman" w:hAnsi="Times New Roman" w:cs="Times New Roman"/>
          <w:sz w:val="20"/>
          <w:szCs w:val="20"/>
        </w:rPr>
        <w:t>Department of Human Neurosciences, Sapienza University of Rome, Rome, Italy</w:t>
      </w:r>
    </w:p>
    <w:p w14:paraId="19AFA6FC" w14:textId="77777777" w:rsidR="00F03F17" w:rsidRPr="000E28CF" w:rsidRDefault="00F03F17" w:rsidP="00F03F17">
      <w:pPr>
        <w:pStyle w:val="Liststycke"/>
        <w:numPr>
          <w:ilvl w:val="0"/>
          <w:numId w:val="2"/>
        </w:numPr>
        <w:shd w:val="clear" w:color="auto" w:fill="FFFFFF"/>
        <w:spacing w:after="0" w:line="360" w:lineRule="auto"/>
        <w:rPr>
          <w:rFonts w:ascii="Times New Roman" w:eastAsia="Times New Roman" w:hAnsi="Times New Roman" w:cs="Times New Roman"/>
          <w:color w:val="212121"/>
          <w:sz w:val="20"/>
          <w:szCs w:val="20"/>
          <w:lang w:eastAsia="sv-SE"/>
        </w:rPr>
      </w:pPr>
      <w:r w:rsidRPr="000E28CF">
        <w:rPr>
          <w:rFonts w:ascii="Times New Roman" w:hAnsi="Times New Roman" w:cs="Times New Roman"/>
          <w:sz w:val="20"/>
          <w:szCs w:val="20"/>
        </w:rPr>
        <w:t>Department of Statistics and Quantitative Methods, University of Milano-Bicocca, Milan, Italy</w:t>
      </w:r>
    </w:p>
    <w:p w14:paraId="2F3FCE43" w14:textId="77777777" w:rsidR="00F03F17" w:rsidRPr="000E28CF" w:rsidRDefault="00F03F17" w:rsidP="00F03F17">
      <w:pPr>
        <w:pStyle w:val="Liststycke"/>
        <w:numPr>
          <w:ilvl w:val="0"/>
          <w:numId w:val="2"/>
        </w:numPr>
        <w:shd w:val="clear" w:color="auto" w:fill="FFFFFF"/>
        <w:spacing w:after="0" w:line="360" w:lineRule="auto"/>
        <w:rPr>
          <w:rFonts w:ascii="Times New Roman" w:eastAsia="Times New Roman" w:hAnsi="Times New Roman" w:cs="Times New Roman"/>
          <w:color w:val="212121"/>
          <w:sz w:val="20"/>
          <w:szCs w:val="20"/>
          <w:lang w:eastAsia="sv-SE"/>
        </w:rPr>
      </w:pPr>
      <w:r w:rsidRPr="000E28CF">
        <w:rPr>
          <w:rFonts w:ascii="Times New Roman" w:hAnsi="Times New Roman" w:cs="Times New Roman"/>
          <w:sz w:val="20"/>
          <w:szCs w:val="20"/>
        </w:rPr>
        <w:t>Department of Mental Health and Addiction Services, ASST Lecco, Lecco, Italy.</w:t>
      </w:r>
    </w:p>
    <w:p w14:paraId="0B1D85F4" w14:textId="77777777" w:rsidR="00F03F17" w:rsidRPr="000E28CF" w:rsidRDefault="00F03F17" w:rsidP="00F03F17">
      <w:pPr>
        <w:pStyle w:val="Liststycke"/>
        <w:numPr>
          <w:ilvl w:val="0"/>
          <w:numId w:val="2"/>
        </w:numPr>
        <w:shd w:val="clear" w:color="auto" w:fill="FFFFFF"/>
        <w:spacing w:after="0" w:line="360" w:lineRule="auto"/>
        <w:rPr>
          <w:rFonts w:ascii="Times New Roman" w:eastAsia="Times New Roman" w:hAnsi="Times New Roman" w:cs="Times New Roman"/>
          <w:color w:val="212121"/>
          <w:sz w:val="20"/>
          <w:szCs w:val="20"/>
          <w:lang w:eastAsia="sv-SE"/>
        </w:rPr>
      </w:pPr>
      <w:r w:rsidRPr="000E28CF">
        <w:rPr>
          <w:rFonts w:ascii="Times New Roman" w:hAnsi="Times New Roman" w:cs="Times New Roman"/>
          <w:color w:val="212121"/>
          <w:sz w:val="20"/>
          <w:szCs w:val="20"/>
          <w:shd w:val="clear" w:color="auto" w:fill="FFFFFF"/>
        </w:rPr>
        <w:t>Equipe de Recherche en Epidémiologie Sociale (ERES), Institut Pierre Louis d'Epidémiologie et de Santé Publique (IPLESP), INSERM, Sorbonne Université, Faculté de Médecine St Antoine, Paris, France.</w:t>
      </w:r>
    </w:p>
    <w:p w14:paraId="1BD990F7" w14:textId="77777777" w:rsidR="00F03F17" w:rsidRPr="000E28CF" w:rsidRDefault="00F03F17" w:rsidP="00F03F17">
      <w:pPr>
        <w:pStyle w:val="Liststycke"/>
        <w:spacing w:line="360" w:lineRule="auto"/>
        <w:rPr>
          <w:rFonts w:ascii="Times New Roman" w:hAnsi="Times New Roman" w:cs="Times New Roman"/>
          <w:sz w:val="20"/>
          <w:szCs w:val="20"/>
        </w:rPr>
      </w:pPr>
    </w:p>
    <w:p w14:paraId="59C0751E" w14:textId="0EEFD6EC" w:rsidR="00CD7E5F" w:rsidRPr="000E28CF" w:rsidRDefault="00CD7E5F" w:rsidP="00CD7E5F">
      <w:pPr>
        <w:spacing w:line="360" w:lineRule="auto"/>
        <w:rPr>
          <w:rFonts w:ascii="Times New Roman" w:hAnsi="Times New Roman" w:cs="Times New Roman"/>
          <w:sz w:val="20"/>
          <w:szCs w:val="20"/>
        </w:rPr>
      </w:pPr>
      <w:r w:rsidRPr="000E28CF">
        <w:rPr>
          <w:rFonts w:ascii="Times New Roman" w:hAnsi="Times New Roman" w:cs="Times New Roman"/>
          <w:sz w:val="20"/>
          <w:szCs w:val="20"/>
        </w:rPr>
        <w:t>Corresponding author:</w:t>
      </w:r>
      <w:r w:rsidR="00FC3EFA" w:rsidRPr="000E28CF">
        <w:rPr>
          <w:rFonts w:ascii="Times New Roman" w:hAnsi="Times New Roman" w:cs="Times New Roman"/>
          <w:sz w:val="20"/>
          <w:szCs w:val="20"/>
        </w:rPr>
        <w:br/>
      </w:r>
      <w:r w:rsidRPr="000E28CF">
        <w:rPr>
          <w:rFonts w:ascii="Times New Roman" w:hAnsi="Times New Roman" w:cs="Times New Roman"/>
          <w:sz w:val="20"/>
          <w:szCs w:val="20"/>
        </w:rPr>
        <w:t>Vera Atarodi</w:t>
      </w:r>
      <w:r w:rsidR="00FC3EFA" w:rsidRPr="000E28CF">
        <w:rPr>
          <w:rFonts w:ascii="Times New Roman" w:hAnsi="Times New Roman" w:cs="Times New Roman"/>
          <w:sz w:val="20"/>
          <w:szCs w:val="20"/>
        </w:rPr>
        <w:br/>
      </w:r>
      <w:r w:rsidRPr="000E28CF">
        <w:rPr>
          <w:rFonts w:ascii="Times New Roman" w:hAnsi="Times New Roman" w:cs="Times New Roman"/>
          <w:sz w:val="20"/>
          <w:szCs w:val="20"/>
        </w:rPr>
        <w:t>Email: vera.atarodi@ki.se</w:t>
      </w:r>
    </w:p>
    <w:p w14:paraId="6083D0FB" w14:textId="587F0B4B" w:rsidR="00CD7E5F" w:rsidRPr="000E28CF" w:rsidRDefault="00CD7E5F" w:rsidP="00CD7E5F">
      <w:pPr>
        <w:spacing w:line="360" w:lineRule="auto"/>
        <w:rPr>
          <w:rFonts w:ascii="Times New Roman" w:hAnsi="Times New Roman" w:cs="Times New Roman"/>
          <w:sz w:val="20"/>
          <w:szCs w:val="20"/>
        </w:rPr>
      </w:pPr>
      <w:r w:rsidRPr="000E28CF">
        <w:rPr>
          <w:rFonts w:ascii="Times New Roman" w:hAnsi="Times New Roman" w:cs="Times New Roman"/>
          <w:sz w:val="20"/>
          <w:szCs w:val="20"/>
        </w:rPr>
        <w:t>Keywords: Common mental disorders; COVID-19; interrupted time-series; population-based cohort; mental health; refugees</w:t>
      </w:r>
      <w:r w:rsidR="00FC3EFA" w:rsidRPr="000E28CF">
        <w:rPr>
          <w:rFonts w:ascii="Times New Roman" w:hAnsi="Times New Roman" w:cs="Times New Roman"/>
          <w:sz w:val="20"/>
          <w:szCs w:val="20"/>
        </w:rPr>
        <w:br/>
      </w:r>
      <w:r w:rsidRPr="000E28CF">
        <w:rPr>
          <w:rFonts w:ascii="Times New Roman" w:hAnsi="Times New Roman" w:cs="Times New Roman"/>
          <w:sz w:val="20"/>
          <w:szCs w:val="20"/>
        </w:rPr>
        <w:t>Word count: 3</w:t>
      </w:r>
      <w:r w:rsidR="002E48C8" w:rsidRPr="000E28CF">
        <w:rPr>
          <w:rFonts w:ascii="Times New Roman" w:hAnsi="Times New Roman" w:cs="Times New Roman"/>
          <w:sz w:val="20"/>
          <w:szCs w:val="20"/>
        </w:rPr>
        <w:t>985</w:t>
      </w:r>
    </w:p>
    <w:p w14:paraId="3BF51928" w14:textId="77777777" w:rsidR="00CD7E5F" w:rsidRPr="000E28CF" w:rsidRDefault="00CD7E5F" w:rsidP="00CD7E5F">
      <w:pPr>
        <w:spacing w:line="360" w:lineRule="auto"/>
        <w:rPr>
          <w:rFonts w:ascii="Times New Roman" w:hAnsi="Times New Roman" w:cs="Times New Roman"/>
          <w:sz w:val="20"/>
          <w:szCs w:val="20"/>
        </w:rPr>
      </w:pPr>
      <w:r w:rsidRPr="000E28CF">
        <w:rPr>
          <w:rFonts w:ascii="Times New Roman" w:hAnsi="Times New Roman" w:cs="Times New Roman"/>
          <w:b/>
          <w:sz w:val="20"/>
          <w:szCs w:val="20"/>
        </w:rPr>
        <w:lastRenderedPageBreak/>
        <w:t>Abstract</w:t>
      </w:r>
      <w:r w:rsidRPr="000E28CF">
        <w:rPr>
          <w:rFonts w:ascii="Times New Roman" w:hAnsi="Times New Roman" w:cs="Times New Roman"/>
          <w:sz w:val="20"/>
          <w:szCs w:val="20"/>
        </w:rPr>
        <w:t xml:space="preserve"> </w:t>
      </w:r>
    </w:p>
    <w:p w14:paraId="44D2E38E" w14:textId="77777777" w:rsidR="00CD7E5F" w:rsidRPr="000E28CF" w:rsidRDefault="00CD7E5F" w:rsidP="00CD7E5F">
      <w:pPr>
        <w:spacing w:line="360" w:lineRule="auto"/>
        <w:rPr>
          <w:rFonts w:ascii="Times New Roman" w:hAnsi="Times New Roman" w:cs="Times New Roman"/>
          <w:sz w:val="20"/>
          <w:szCs w:val="20"/>
        </w:rPr>
      </w:pPr>
      <w:r w:rsidRPr="000E28CF">
        <w:rPr>
          <w:rFonts w:ascii="Times New Roman" w:hAnsi="Times New Roman" w:cs="Times New Roman"/>
          <w:b/>
          <w:sz w:val="20"/>
          <w:szCs w:val="20"/>
          <w:shd w:val="clear" w:color="auto" w:fill="FFFFFF"/>
        </w:rPr>
        <w:t>Background:</w:t>
      </w:r>
      <w:r w:rsidRPr="000E28CF">
        <w:rPr>
          <w:rFonts w:ascii="Times New Roman" w:hAnsi="Times New Roman" w:cs="Times New Roman"/>
          <w:sz w:val="20"/>
          <w:szCs w:val="20"/>
          <w:shd w:val="clear" w:color="auto" w:fill="FFFFFF"/>
        </w:rPr>
        <w:t xml:space="preserve"> </w:t>
      </w:r>
      <w:r w:rsidRPr="000E28CF">
        <w:rPr>
          <w:rFonts w:ascii="Times New Roman" w:hAnsi="Times New Roman" w:cs="Times New Roman"/>
          <w:sz w:val="20"/>
          <w:szCs w:val="20"/>
        </w:rPr>
        <w:t xml:space="preserve">It is known that refugees have an elevated risk of common mental disorders (CMDs, including depression, anxiety, and stress-related disorders). </w:t>
      </w:r>
      <w:r w:rsidRPr="000E28CF">
        <w:rPr>
          <w:rFonts w:ascii="Times New Roman" w:hAnsi="Times New Roman" w:cs="Times New Roman"/>
          <w:sz w:val="20"/>
          <w:szCs w:val="20"/>
          <w:shd w:val="clear" w:color="auto" w:fill="FFFFFF"/>
        </w:rPr>
        <w:t>The effect of the</w:t>
      </w:r>
      <w:r w:rsidRPr="000E28CF">
        <w:rPr>
          <w:rFonts w:ascii="Times New Roman" w:hAnsi="Times New Roman" w:cs="Times New Roman"/>
          <w:sz w:val="20"/>
          <w:szCs w:val="20"/>
        </w:rPr>
        <w:t xml:space="preserve"> coronavirus disease pandemic on healthcare use due to CMDs in refugees is yet unknown, especially in socioeconomically deprived groups. We conducted a population-wide study comparing </w:t>
      </w:r>
      <w:r w:rsidRPr="000E28CF">
        <w:rPr>
          <w:rFonts w:ascii="Times New Roman" w:hAnsi="Times New Roman" w:cs="Times New Roman"/>
          <w:sz w:val="20"/>
          <w:szCs w:val="20"/>
          <w:shd w:val="clear" w:color="auto" w:fill="FFFFFF"/>
        </w:rPr>
        <w:t>specialized</w:t>
      </w:r>
      <w:r w:rsidRPr="000E28CF">
        <w:rPr>
          <w:rFonts w:ascii="Times New Roman" w:hAnsi="Times New Roman" w:cs="Times New Roman"/>
          <w:sz w:val="20"/>
          <w:szCs w:val="20"/>
        </w:rPr>
        <w:t xml:space="preserve"> healthcare use for CMDs and antidepressant prescriptions before and during the pandemic in refugees and Swedish-born, and investigated differences by labor market marginalization and education.</w:t>
      </w:r>
    </w:p>
    <w:p w14:paraId="6970981F" w14:textId="77777777" w:rsidR="00CD7E5F" w:rsidRPr="000E28CF" w:rsidRDefault="00CD7E5F" w:rsidP="00CD7E5F">
      <w:pPr>
        <w:spacing w:line="360" w:lineRule="auto"/>
        <w:rPr>
          <w:rFonts w:ascii="Times New Roman" w:hAnsi="Times New Roman" w:cs="Times New Roman"/>
          <w:sz w:val="20"/>
          <w:szCs w:val="20"/>
          <w:shd w:val="clear" w:color="auto" w:fill="FFFFFF"/>
        </w:rPr>
      </w:pPr>
      <w:r w:rsidRPr="000E28CF">
        <w:rPr>
          <w:rFonts w:ascii="Times New Roman" w:hAnsi="Times New Roman" w:cs="Times New Roman"/>
          <w:b/>
          <w:sz w:val="20"/>
          <w:szCs w:val="20"/>
          <w:shd w:val="clear" w:color="auto" w:fill="FFFFFF"/>
        </w:rPr>
        <w:t>Methods:</w:t>
      </w:r>
      <w:r w:rsidRPr="000E28CF">
        <w:rPr>
          <w:rFonts w:ascii="Times New Roman" w:hAnsi="Times New Roman" w:cs="Times New Roman"/>
          <w:sz w:val="20"/>
          <w:szCs w:val="20"/>
          <w:shd w:val="clear" w:color="auto" w:fill="FFFFFF"/>
        </w:rPr>
        <w:t xml:space="preserve"> An interrupted time series analysis of quarterly cohorts (2018.01.01-2021.12.31) of a</w:t>
      </w:r>
      <w:r w:rsidRPr="000E28CF">
        <w:rPr>
          <w:rFonts w:ascii="Times New Roman" w:hAnsi="Times New Roman" w:cs="Times New Roman"/>
          <w:sz w:val="20"/>
          <w:szCs w:val="20"/>
        </w:rPr>
        <w:t>ll refugees and Swedish-born, aged 19 to 65 was applied.</w:t>
      </w:r>
      <w:r w:rsidRPr="000E28CF">
        <w:rPr>
          <w:rFonts w:ascii="Times New Roman" w:hAnsi="Times New Roman" w:cs="Times New Roman"/>
          <w:sz w:val="20"/>
          <w:szCs w:val="20"/>
          <w:shd w:val="clear" w:color="auto" w:fill="FFFFFF"/>
        </w:rPr>
        <w:t xml:space="preserve"> Information on outcome measures and covariates were linked individually from administrative registers. We applied interrupted time series and estimated incidence rate ratios (IRR) of the incidence rates (IR) and their corresponding confidence intervals (CI) before and during the pandemic. </w:t>
      </w:r>
    </w:p>
    <w:p w14:paraId="1F88DFCA" w14:textId="77777777" w:rsidR="00CD7E5F" w:rsidRPr="000E28CF" w:rsidRDefault="00CD7E5F" w:rsidP="00CD7E5F">
      <w:pPr>
        <w:spacing w:line="360" w:lineRule="auto"/>
        <w:rPr>
          <w:rFonts w:ascii="Times New Roman" w:hAnsi="Times New Roman" w:cs="Times New Roman"/>
          <w:color w:val="000000"/>
          <w:sz w:val="20"/>
          <w:szCs w:val="20"/>
        </w:rPr>
      </w:pPr>
      <w:r w:rsidRPr="000E28CF">
        <w:rPr>
          <w:rFonts w:ascii="Times New Roman" w:hAnsi="Times New Roman" w:cs="Times New Roman"/>
          <w:b/>
          <w:sz w:val="20"/>
          <w:szCs w:val="20"/>
          <w:shd w:val="clear" w:color="auto" w:fill="FFFFFF"/>
        </w:rPr>
        <w:t xml:space="preserve">Results: </w:t>
      </w:r>
      <w:r w:rsidRPr="000E28CF">
        <w:rPr>
          <w:rFonts w:ascii="Times New Roman" w:hAnsi="Times New Roman" w:cs="Times New Roman"/>
          <w:sz w:val="20"/>
          <w:szCs w:val="20"/>
        </w:rPr>
        <w:t xml:space="preserve">A total of 4,932,916 individuals, of whom 488,299 (9.9%) were refugees, were included at baseline. </w:t>
      </w:r>
      <w:r w:rsidRPr="000E28CF">
        <w:rPr>
          <w:rFonts w:ascii="Times New Roman" w:hAnsi="Times New Roman" w:cs="Times New Roman"/>
          <w:color w:val="000000"/>
          <w:sz w:val="20"/>
          <w:szCs w:val="20"/>
        </w:rPr>
        <w:t xml:space="preserve">We observed a </w:t>
      </w:r>
      <w:r w:rsidRPr="000E28CF">
        <w:rPr>
          <w:rStyle w:val="normaltextrun"/>
          <w:rFonts w:ascii="Times New Roman" w:hAnsi="Times New Roman" w:cs="Times New Roman"/>
          <w:color w:val="000000"/>
          <w:sz w:val="20"/>
          <w:szCs w:val="20"/>
          <w:shd w:val="clear" w:color="auto" w:fill="FFFFFF"/>
        </w:rPr>
        <w:t>3% (95% CI: 1%, 5%)</w:t>
      </w:r>
      <w:r w:rsidRPr="000E28CF">
        <w:rPr>
          <w:rStyle w:val="eop"/>
          <w:rFonts w:ascii="Times New Roman" w:hAnsi="Times New Roman" w:cs="Times New Roman"/>
          <w:color w:val="000000"/>
          <w:sz w:val="20"/>
          <w:szCs w:val="20"/>
          <w:shd w:val="clear" w:color="auto" w:fill="FFFFFF"/>
        </w:rPr>
        <w:t xml:space="preserve"> quarterly increase in trends of healthcare use due to CMDs in refugees, but no changes in</w:t>
      </w:r>
      <w:r w:rsidRPr="000E28CF">
        <w:rPr>
          <w:rFonts w:ascii="Times New Roman" w:hAnsi="Times New Roman" w:cs="Times New Roman"/>
          <w:color w:val="000000"/>
          <w:sz w:val="20"/>
          <w:szCs w:val="20"/>
        </w:rPr>
        <w:t xml:space="preserve"> Swedish-born individuals. The IRRs were larger in refugees whose labor market position was marginalized (IRR: </w:t>
      </w:r>
      <w:r w:rsidRPr="000E28CF">
        <w:rPr>
          <w:rFonts w:ascii="Times New Roman" w:hAnsi="Times New Roman" w:cs="Times New Roman"/>
          <w:color w:val="000000"/>
          <w:sz w:val="20"/>
          <w:szCs w:val="20"/>
          <w:shd w:val="clear" w:color="auto" w:fill="FFFFFF"/>
        </w:rPr>
        <w:t xml:space="preserve">6%, (3%, 9%)), and refugees with low education level (IRR: 4% (1%, 7%)). </w:t>
      </w:r>
      <w:r w:rsidRPr="000E28CF">
        <w:rPr>
          <w:rFonts w:ascii="Times New Roman" w:hAnsi="Times New Roman" w:cs="Times New Roman"/>
          <w:color w:val="000000"/>
          <w:sz w:val="20"/>
          <w:szCs w:val="20"/>
        </w:rPr>
        <w:t>There were no substantial changes in antidepressant prescription.</w:t>
      </w:r>
    </w:p>
    <w:p w14:paraId="60FE0BE4" w14:textId="77777777" w:rsidR="00CD7E5F" w:rsidRPr="000E28CF" w:rsidRDefault="00CD7E5F" w:rsidP="00CD7E5F">
      <w:pPr>
        <w:pStyle w:val="Brdtext"/>
        <w:spacing w:line="360" w:lineRule="auto"/>
        <w:rPr>
          <w:rFonts w:ascii="Times New Roman" w:hAnsi="Times New Roman"/>
          <w:szCs w:val="20"/>
          <w:shd w:val="clear" w:color="auto" w:fill="FFFFFF"/>
        </w:rPr>
      </w:pPr>
      <w:r w:rsidRPr="000E28CF">
        <w:rPr>
          <w:rFonts w:ascii="Times New Roman" w:hAnsi="Times New Roman"/>
          <w:b/>
          <w:szCs w:val="20"/>
          <w:shd w:val="clear" w:color="auto" w:fill="FFFFFF"/>
        </w:rPr>
        <w:t>Conclusion:</w:t>
      </w:r>
      <w:r w:rsidRPr="000E28CF">
        <w:rPr>
          <w:rFonts w:ascii="Times New Roman" w:hAnsi="Times New Roman"/>
          <w:szCs w:val="20"/>
          <w:shd w:val="clear" w:color="auto" w:fill="FFFFFF"/>
        </w:rPr>
        <w:t xml:space="preserve"> Refugees, especially those already in a marginalized position, </w:t>
      </w:r>
      <w:r w:rsidRPr="000E28CF">
        <w:rPr>
          <w:rFonts w:ascii="Times New Roman" w:hAnsi="Times New Roman"/>
          <w:szCs w:val="20"/>
        </w:rPr>
        <w:t xml:space="preserve">had </w:t>
      </w:r>
      <w:r w:rsidRPr="000E28CF">
        <w:rPr>
          <w:rFonts w:ascii="Times New Roman" w:hAnsi="Times New Roman"/>
          <w:szCs w:val="20"/>
          <w:shd w:val="clear" w:color="auto" w:fill="FFFFFF"/>
        </w:rPr>
        <w:t xml:space="preserve">increased CMD-related mental healthcare use during the pandemic. </w:t>
      </w:r>
      <w:r w:rsidRPr="000E28CF">
        <w:rPr>
          <w:rFonts w:ascii="Times New Roman" w:hAnsi="Times New Roman"/>
          <w:szCs w:val="20"/>
        </w:rPr>
        <w:t>Strategies to meet the mental health care needs of marginalized refugees are of outmost public health importance.</w:t>
      </w:r>
    </w:p>
    <w:p w14:paraId="0D1B1CEC" w14:textId="77777777" w:rsidR="00CD7E5F" w:rsidRPr="000E28CF" w:rsidRDefault="00CD7E5F" w:rsidP="00CD7E5F">
      <w:pPr>
        <w:pStyle w:val="Brdtext"/>
        <w:spacing w:line="360" w:lineRule="auto"/>
        <w:rPr>
          <w:rFonts w:ascii="Times New Roman" w:hAnsi="Times New Roman"/>
          <w:color w:val="000000" w:themeColor="text1"/>
          <w:szCs w:val="20"/>
        </w:rPr>
      </w:pPr>
    </w:p>
    <w:p w14:paraId="64313D35" w14:textId="77777777" w:rsidR="00CD7E5F" w:rsidRPr="000E28CF" w:rsidRDefault="00CD7E5F" w:rsidP="00CD7E5F">
      <w:pPr>
        <w:shd w:val="clear" w:color="auto" w:fill="FFFFFF"/>
        <w:spacing w:line="360" w:lineRule="auto"/>
        <w:rPr>
          <w:rFonts w:ascii="Times New Roman" w:eastAsia="Times New Roman" w:hAnsi="Times New Roman" w:cs="Times New Roman"/>
          <w:color w:val="272727"/>
          <w:sz w:val="20"/>
          <w:szCs w:val="20"/>
          <w:lang w:eastAsia="en-GB"/>
        </w:rPr>
      </w:pPr>
      <w:r w:rsidRPr="000E28CF">
        <w:rPr>
          <w:rFonts w:ascii="Times New Roman" w:hAnsi="Times New Roman" w:cs="Times New Roman"/>
          <w:color w:val="000000" w:themeColor="text1"/>
          <w:sz w:val="20"/>
          <w:szCs w:val="20"/>
        </w:rPr>
        <w:t xml:space="preserve">Funding: </w:t>
      </w:r>
      <w:r w:rsidRPr="000E28CF">
        <w:rPr>
          <w:rFonts w:ascii="Times New Roman" w:eastAsia="Times New Roman" w:hAnsi="Times New Roman" w:cs="Times New Roman"/>
          <w:color w:val="272727"/>
          <w:sz w:val="20"/>
          <w:szCs w:val="20"/>
          <w:lang w:eastAsia="en-GB"/>
        </w:rPr>
        <w:t xml:space="preserve">European Union’s Horizon 2020 research and innovation programme; GrNr. 101016127. </w:t>
      </w:r>
      <w:r w:rsidRPr="000E28CF">
        <w:rPr>
          <w:rFonts w:ascii="Times New Roman" w:hAnsi="Times New Roman" w:cs="Times New Roman"/>
          <w:sz w:val="20"/>
          <w:szCs w:val="20"/>
          <w:lang w:eastAsia="en-GB"/>
        </w:rPr>
        <w:t xml:space="preserve">We utilized data from the REWHARD consortium supported by the Swedish Research Council (grant number 2021-00154). </w:t>
      </w:r>
    </w:p>
    <w:p w14:paraId="5006124A" w14:textId="77777777" w:rsidR="00CD7E5F" w:rsidRPr="000E28CF" w:rsidRDefault="00CD7E5F" w:rsidP="00CD7E5F">
      <w:pPr>
        <w:spacing w:line="360" w:lineRule="auto"/>
        <w:rPr>
          <w:rFonts w:ascii="Times New Roman" w:hAnsi="Times New Roman" w:cs="Times New Roman"/>
          <w:sz w:val="20"/>
          <w:szCs w:val="20"/>
        </w:rPr>
      </w:pPr>
    </w:p>
    <w:p w14:paraId="13F87A46" w14:textId="77777777" w:rsidR="00CD7E5F" w:rsidRPr="000E28CF" w:rsidRDefault="00CD7E5F" w:rsidP="00CD7E5F">
      <w:pPr>
        <w:spacing w:line="360" w:lineRule="auto"/>
        <w:rPr>
          <w:rFonts w:ascii="Times New Roman" w:hAnsi="Times New Roman" w:cs="Times New Roman"/>
          <w:sz w:val="20"/>
          <w:szCs w:val="20"/>
        </w:rPr>
      </w:pPr>
      <w:r w:rsidRPr="000E28CF">
        <w:rPr>
          <w:rFonts w:ascii="Times New Roman" w:hAnsi="Times New Roman" w:cs="Times New Roman"/>
          <w:sz w:val="20"/>
          <w:szCs w:val="20"/>
        </w:rPr>
        <w:br w:type="column"/>
      </w:r>
      <w:r w:rsidRPr="000E28CF">
        <w:rPr>
          <w:rFonts w:ascii="Times New Roman" w:hAnsi="Times New Roman" w:cs="Times New Roman"/>
          <w:b/>
          <w:bCs/>
          <w:sz w:val="20"/>
          <w:szCs w:val="20"/>
        </w:rPr>
        <w:lastRenderedPageBreak/>
        <w:t>Background</w:t>
      </w:r>
    </w:p>
    <w:p w14:paraId="3E779DA8" w14:textId="4DF9BB4B" w:rsidR="00CD7E5F" w:rsidRPr="000E28CF" w:rsidRDefault="00CD7E5F" w:rsidP="00CD7E5F">
      <w:pPr>
        <w:spacing w:line="360" w:lineRule="auto"/>
        <w:rPr>
          <w:rFonts w:ascii="Times New Roman" w:hAnsi="Times New Roman" w:cs="Times New Roman"/>
          <w:sz w:val="20"/>
          <w:szCs w:val="20"/>
        </w:rPr>
      </w:pPr>
      <w:r w:rsidRPr="000E28CF">
        <w:rPr>
          <w:rFonts w:ascii="Times New Roman" w:hAnsi="Times New Roman" w:cs="Times New Roman"/>
          <w:sz w:val="20"/>
          <w:szCs w:val="20"/>
        </w:rPr>
        <w:t xml:space="preserve">The coronavirus disease 2019 (COVID-19) pandemic is one of the most significant recent public health emergencies leading to a strong increase in mortality and adverse somatic health outcomes around the world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{"citationID":"y2qnJvJW","properties":{"formattedCitation":"(1)","plainCitation":"(1)","noteIndex":0},"citationItems":[{"id":753,"uris":["http://zotero.org/users/11004987/items/BDF22JNN"],"itemData":{"id":753,"type":"webpage","language":"en","title":"Coronavirus disease (COVID-19) pandemic","URL":"https://www.who.int/europe/emergencies/situations/covid-19","author":[{"family":"World Health Organization","given":""}],"accessed":{"date-parts":[["2023",2,20]]},"issued":{"date-parts":[["2023"]]}}}],"schema":"https://github.com/citation-style-language/schema/raw/master/csl-citation.json"}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(1)</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w:t>
      </w:r>
      <w:r w:rsidRPr="000E28CF">
        <w:rPr>
          <w:rFonts w:ascii="Times New Roman" w:hAnsi="Times New Roman" w:cs="Times New Roman"/>
          <w:color w:val="000000"/>
          <w:sz w:val="20"/>
          <w:szCs w:val="20"/>
        </w:rPr>
        <w:t xml:space="preserve"> Fear of infection, public health mitigation strategies to decrease interpersonal contacts </w:t>
      </w:r>
      <w:r w:rsidRPr="000E28CF">
        <w:rPr>
          <w:rFonts w:ascii="Times New Roman" w:hAnsi="Times New Roman" w:cs="Times New Roman"/>
          <w:color w:val="000000"/>
          <w:sz w:val="20"/>
          <w:szCs w:val="20"/>
        </w:rPr>
        <w:fldChar w:fldCharType="begin"/>
      </w:r>
      <w:r w:rsidRPr="000E28CF">
        <w:rPr>
          <w:rFonts w:ascii="Times New Roman" w:hAnsi="Times New Roman" w:cs="Times New Roman"/>
          <w:color w:val="000000"/>
          <w:sz w:val="20"/>
          <w:szCs w:val="20"/>
        </w:rPr>
        <w:instrText xml:space="preserve"> ADDIN ZOTERO_ITEM CSL_CITATION {"citationID":"y5mjkVng","properties":{"formattedCitation":"(2,3)","plainCitation":"(2,3)","noteIndex":0},"citationItems":[{"id":1133,"uris":["http://zotero.org/users/11004987/items/JKKUYC8Q","http://zotero.org/users/11004987/items/FEMV299L"],"itemData":{"id":1133,"type":"article-journal","container-title":"New England Journal of Medicine","DOI":"10.1056/NEJMp2008017","ISSN":"0028-4793, 1533-4406","issue":"6","journalAbbreviation":"N Engl J Med","language":"en","page":"510-512","source":"DOI.org (Crossref)","title":"Mental Health and the Covid-19 Pandemic","volume":"383","author":[{"family":"Pfefferbaum","given":"Betty"},{"family":"North","given":"Carol S."}],"issued":{"date-parts":[["2020",8,6]]}},"label":"page"},{"id":607,"uris":["http://zotero.org/users/11004987/items/95U4IJJJ"],"itemData":{"id":607,"type":"report","language":"English","page":"17","title":"United Nations Policy Brief: COVID-19 and the Need for Action on Mental Health","URL":"https://unsdg.un.org/resources/policy-brief-covid-19-and-need-action-mental-health","author":[{"family":"United Nation Sustainable Development Group","given":""}],"accessed":{"date-parts":[["2023",5,3]]},"issued":{"date-parts":[["2020",5,13]]}},"label":"page"}],"schema":"https://github.com/citation-style-language/schema/raw/master/csl-citation.json"} </w:instrText>
      </w:r>
      <w:r w:rsidRPr="000E28CF">
        <w:rPr>
          <w:rFonts w:ascii="Times New Roman" w:hAnsi="Times New Roman" w:cs="Times New Roman"/>
          <w:color w:val="000000"/>
          <w:sz w:val="20"/>
          <w:szCs w:val="20"/>
        </w:rPr>
        <w:fldChar w:fldCharType="separate"/>
      </w:r>
      <w:r w:rsidR="000E28CF" w:rsidRPr="000E28CF">
        <w:rPr>
          <w:rFonts w:ascii="Times New Roman" w:hAnsi="Times New Roman" w:cs="Times New Roman"/>
          <w:sz w:val="20"/>
        </w:rPr>
        <w:t>(2,3)</w:t>
      </w:r>
      <w:r w:rsidRPr="000E28CF">
        <w:rPr>
          <w:rFonts w:ascii="Times New Roman" w:hAnsi="Times New Roman" w:cs="Times New Roman"/>
          <w:color w:val="000000"/>
          <w:sz w:val="20"/>
          <w:szCs w:val="20"/>
        </w:rPr>
        <w:fldChar w:fldCharType="end"/>
      </w:r>
      <w:r w:rsidRPr="000E28CF">
        <w:rPr>
          <w:rFonts w:ascii="Times New Roman" w:hAnsi="Times New Roman" w:cs="Times New Roman"/>
          <w:color w:val="000000"/>
          <w:sz w:val="20"/>
          <w:szCs w:val="20"/>
        </w:rPr>
        <w:t xml:space="preserve"> and the disruption of mental health and social care services </w:t>
      </w:r>
      <w:r w:rsidRPr="000E28CF">
        <w:rPr>
          <w:rFonts w:ascii="Times New Roman" w:hAnsi="Times New Roman" w:cs="Times New Roman"/>
          <w:color w:val="000000"/>
          <w:sz w:val="20"/>
          <w:szCs w:val="20"/>
        </w:rPr>
        <w:fldChar w:fldCharType="begin"/>
      </w:r>
      <w:r w:rsidRPr="000E28CF">
        <w:rPr>
          <w:rFonts w:ascii="Times New Roman" w:hAnsi="Times New Roman" w:cs="Times New Roman"/>
          <w:color w:val="000000"/>
          <w:sz w:val="20"/>
          <w:szCs w:val="20"/>
        </w:rPr>
        <w:instrText xml:space="preserve"> ADDIN ZOTERO_ITEM CSL_CITATION {"citationID":"TuJ8cWfB","properties":{"formattedCitation":"(4,5)","plainCitation":"(4,5)","noteIndex":0},"citationItems":[{"id":1111,"uris":["http://zotero.org/users/11004987/items/ARQT53BU","http://zotero.org/users/11004987/items/TG2UIRJX"],"itemData":{"id":1111,"type":"article-journal","abstract":"Mitigating the COVID-19 related disruptions in mental health care services is crucial in a time of increased mental health disorders. Numerous reviews have been conducted on the process of implementing technology-based mental health care during the pandemic. The research question of this umbrella review was to examine what the impact of COVID-19 was on access and delivery of mental health services and how mental health services have changed during the pandemic. A systematic search for systematic reviews and meta-analyses was conducted up to August 12, 2022, and 38 systematic reviews were identified. Main disruptions during COVID-19 were reduced access to outpatient mental health care and reduced admissions and earlier discharge from inpatient care. In response, synchronous telemental health tools such as videoconferencing were used to provide remote care similar to pre-COVID care, and to a lesser extent asynchronous virtual mental health tools such as apps. Implementation of synchronous tools were facilitated by time-efficiency and flexibility during the pandemic but there was a lack of accessibility for specific vulnerable populations. Main barriers among practitioners and patients to use digital mental health tools were poor technological literacy, particularly when preexisting inequalities existed, and beliefs about reduced therapeutic alliance particularly in case of severe mental disorders. Absence of organizational support for technological implementation of digital mental health interventions due to inadequate IT infrastructure, lack of funding, as well as lack of privacy and safety, challenged implementation during COVID-19. Reviews were of low to moderate quality, covered heterogeneously designed primary studies and lacked findings of implementation in low- and middle-income countries. These gaps in the evidence were particularly prevalent in studies conducted early in the pandemic. This umbrella review shows that during the COVID-19 pandemic, practitioners and mental health care institutions mainly used synchronous telemental health tools, and to a lesser degree asynchronous tools to enable continued access to mental health care for patients. Numerous barriers to these tools were identified, and call for further improvements. In addition, more high quality research into comparative effectiveness and working mechanisms may improve scalability of mental health care in general and in future infectious disease outbreaks.","container-title":"Behaviour Research and Therapy","DOI":"10.1016/j.brat.2022.104226","ISSN":"0005-7967","journalAbbreviation":"Behaviour Research and Therapy","language":"en","page":"104226","source":"ScienceDirect","title":"Remote mental health care interventions during the COVID-19 pandemic: An umbrella review","title-short":"Remote mental health care interventions during the COVID-19 pandemic","volume":"159","author":[{"family":"Witteveen","given":"A. B."},{"family":"Young","given":"S."},{"family":"Cuijpers","given":"P."},{"family":"Ayuso-Mateos","given":"J. L."},{"family":"Barbui","given":"C."},{"family":"Bertolini","given":"F."},{"family":"Cabello","given":"M."},{"family":"Cadorin","given":"C."},{"family":"Downes","given":"N."},{"family":"Franzoi","given":"D."},{"family":"Gasior","given":"M."},{"family":"John","given":"A."},{"family":"Melchior","given":"M."},{"family":"McDaid","given":"D."},{"family":"Palantza","given":"C."},{"family":"Purgato","given":"M."},{"family":"Van der Waerden","given":"J."},{"family":"Wang","given":"S."},{"family":"Sijbrandij","given":"M."}],"issued":{"date-parts":[["2022",12,1]]}},"label":"page"},{"id":429,"uris":["http://zotero.org/users/11004987/items/LY9SI3TB"],"itemData":{"id":429,"type":"report","event-place":"Geneva","number":"978-92-4-001245-5","publisher-place":"Geneva","title":"The impact of COVID-19 on  mental, neurological and  substance use services:  results of a rapid assessment","author":[{"literal":"World Health Organization"}],"issued":{"date-parts":[["2020"]]}},"label":"page"}],"schema":"https://github.com/citation-style-language/schema/raw/master/csl-citation.json"} </w:instrText>
      </w:r>
      <w:r w:rsidRPr="000E28CF">
        <w:rPr>
          <w:rFonts w:ascii="Times New Roman" w:hAnsi="Times New Roman" w:cs="Times New Roman"/>
          <w:color w:val="000000"/>
          <w:sz w:val="20"/>
          <w:szCs w:val="20"/>
        </w:rPr>
        <w:fldChar w:fldCharType="separate"/>
      </w:r>
      <w:r w:rsidR="000E28CF" w:rsidRPr="000E28CF">
        <w:rPr>
          <w:rFonts w:ascii="Times New Roman" w:hAnsi="Times New Roman" w:cs="Times New Roman"/>
          <w:sz w:val="20"/>
        </w:rPr>
        <w:t>(4,5)</w:t>
      </w:r>
      <w:r w:rsidRPr="000E28CF">
        <w:rPr>
          <w:rFonts w:ascii="Times New Roman" w:hAnsi="Times New Roman" w:cs="Times New Roman"/>
          <w:color w:val="000000"/>
          <w:sz w:val="20"/>
          <w:szCs w:val="20"/>
        </w:rPr>
        <w:fldChar w:fldCharType="end"/>
      </w:r>
      <w:r w:rsidRPr="000E28CF">
        <w:rPr>
          <w:rFonts w:ascii="Times New Roman" w:hAnsi="Times New Roman" w:cs="Times New Roman"/>
          <w:color w:val="000000"/>
          <w:sz w:val="20"/>
          <w:szCs w:val="20"/>
        </w:rPr>
        <w:t xml:space="preserve"> are all factors that might have increased the risk of mental ill-health. However, so far current evidence on the COVID-19 pandemic’s effect on mental health is contradictory. Population-based studies find no change or even a decrease in the rate of severe mental disorders and suicide in several countries </w:t>
      </w:r>
      <w:r w:rsidRPr="000E28CF">
        <w:rPr>
          <w:rFonts w:ascii="Times New Roman" w:hAnsi="Times New Roman" w:cs="Times New Roman"/>
          <w:color w:val="000000"/>
          <w:sz w:val="20"/>
          <w:szCs w:val="20"/>
        </w:rPr>
        <w:fldChar w:fldCharType="begin"/>
      </w:r>
      <w:r w:rsidRPr="000E28CF">
        <w:rPr>
          <w:rFonts w:ascii="Times New Roman" w:hAnsi="Times New Roman" w:cs="Times New Roman"/>
          <w:color w:val="000000"/>
          <w:sz w:val="20"/>
          <w:szCs w:val="20"/>
        </w:rPr>
        <w:instrText xml:space="preserve"> ADDIN ZOTERO_ITEM CSL_CITATION {"citationID":"ViYyZaPg","properties":{"formattedCitation":"(6\\uc0\\u8211{}9)","plainCitation":"(6–9)","noteIndex":0},"citationItems":[{"id":407,"uris":["http://zotero.org/users/11004987/items/5XVFWV98"],"itemData":{"id":407,"type":"article-journal","abstract":"The COVID-19 pandemic caused immediate and far-reaching disruption to society, the economy, and health-care services. We synthesised evidence on the effect of the pandemic on mental health and mental health care in high-income European countries. We included 177 longitudinal and repeated cross-sectional studies comparing prevalence or incidence of mental health problems, mental health symptom severity in people with pre-existing mental health conditions, or mental health service use before versus during the pandemic, or between different timepoints of the pandemic. We found that epidemiological studies reported higher prevalence of some mental health problems during the pandemic compared with before it, but that in most cases this increase reduced over time. Conversely, studies of health records showed reduced incidence of new diagnoses at the start of the pandemic, which further declined during 2020. Mental health service use also declined at the onset of the pandemic but increased later in 2020 and through 2021, although rates of use did not return to pre-pandemic levels for some services. We found mixed patterns of effects of the pandemic on mental health and social outcome for adults already living with mental health conditions.","container-title":"The Lancet. Psychiatry","DOI":"10.1016/S2215-0366(23)00113-X","ISSN":"2215-0366","issue":"7","journalAbbreviation":"Lancet Psychiatry","note":"PMID: 37321240\nPMCID: PMC10259832","page":"537-556","source":"PubMed Central","title":"Mental health in Europe during the COVID-19 pandemic: a systematic review","title-short":"Mental health in Europe during the COVID-19 pandemic","volume":"10","author":[{"family":"Ahmed","given":"Nafiso"},{"family":"Barnett","given":"Phoebe"},{"family":"Greenburgh","given":"Anna"},{"family":"Pemovska","given":"Tamara"},{"family":"Stefanidou","given":"Theodora"},{"family":"Lyons","given":"Natasha"},{"family":"Ikhtabi","given":"Sarah"},{"family":"Talwar","given":"Shivangi"},{"family":"Francis","given":"Emma R"},{"family":"Harris","given":"Samantha M"},{"family":"Shah","given":"Prisha"},{"family":"Machin","given":"Karen"},{"family":"Jeffreys","given":"Stephen"},{"family":"Mitchell","given":"Lizzie"},{"family":"Lynch","given":"Chris"},{"family":"Foye","given":"Una"},{"family":"Schlief","given":"Merle"},{"family":"Appleton","given":"Rebecca"},{"family":"Saunders","given":"Katherine R K"},{"family":"Baldwin","given":"Helen"},{"family":"Allan","given":"Sophie M"},{"family":"Sheridan-Rains","given":"Luke"},{"family":"Kharboutly","given":"Omaya"},{"family":"Kular","given":"Ariana"},{"family":"Goldblatt","given":"Peter"},{"family":"Stewart","given":"Robert"},{"family":"Kirkbride","given":"James B"},{"family":"Lloyd-Evans","given":"Brynmor"},{"family":"Johnson","given":"Sonia"}],"issued":{"date-parts":[["2023",7]]}},"label":"page"},{"id":406,"uris":["http://zotero.org/users/11004987/items/97NHMHQU"],"itemData":{"id":406,"type":"article-journal","abstract":"The Coronavirus Disease 2019 (COVID-19) pandemic has threatened global mental health, both indirectly via disruptive societal changes and directly via neuropsychiatric sequelae after SARS-CoV-2 infection. Despite a small increase in self-reported mental health problems, this has (so far) not translated into objectively measurable increased rates of mental disorders, self-harm or suicide rates at the population level. This could suggest effective resilience and adaptation, but there is substantial heterogeneity among subgroups, and time-lag effects may also exist. With regard to COVID-19 itself, both acute and post-acute neuropsychiatric sequelae have become apparent, with high prevalence of fatigue, cognitive impairments and anxiety and depressive symptoms, even months after infection. To understand how COVID-19 continues to shape mental health in the longer term, fine-grained, well-controlled longitudinal data at the (neuro)biological, individual and societal levels remain essential. For future pandemics, policymakers and clinicians should prioritize mental health from the outset to identify and protect those at risk and promote long-term resilience.","container-title":"Nature Medicine","DOI":"10.1038/s41591-022-02028-2","ISSN":"1546-170X","issue":"10","journalAbbreviation":"Nat Med","language":"en","license":"2022 Springer Nature America, Inc.","note":"number: 10\npublisher: Nature Publishing Group","page":"2027-2037","source":"www.nature.com","title":"How COVID-19 shaped mental health: from infection to pandemic effects","title-short":"How COVID-19 shaped mental health","volume":"28","author":[{"family":"Penninx","given":"Brenda W. J. H."},{"family":"Benros","given":"Michael E."},{"family":"Klein","given":"Robyn S."},{"family":"Vinkers","given":"Christiaan H."}],"issued":{"date-parts":[["2022",10]]}},"label":"page"},{"id":1106,"uris":["http://zotero.org/users/11004987/items/N7MGKGXP"],"itemData":{"id":1106,"type":"article-journal","abstract":"BACKGROUND: Predicted increases in suicide were not generally observed in the early months of the COVID-19 pandemic. However, the picture may be changing and patterns might vary across demographic groups. We aimed to provide a timely, granular picture of the pandemic's impact on suicides globally.\nMETHODS: We identified suicide data from official public-sector sources for countries/areas-within-countries, searching websites and academic literature and contacting data custodians and authors as necessary. We sent our first data request on 22nd June 2021 and stopped collecting data on 31st October 2021. We used interrupted time series (ITS) analyses to model the association between the pandemic's emergence and total suicides and suicides by sex-, age- and sex-by-age in each country/area-within-country. We compared the observed and expected numbers of suicides in the pandemic's first nine and first 10-15 months and used meta-regression to explore sources of variation.\nFINDINGS: We sourced data from 33 countries (24 high-income, six upper-middle-income, three lower-middle-income; 25 with whole-country data, 12 with data for area(s)-within-the-country, four with both). There was no evidence of greater-than-expected numbers of suicides in the majority of countries/areas-within-countries in any analysis; more commonly, there was evidence of lower-than-expected numbers. Certain sex, age and sex-by-age groups stood out as potentially concerning, but these were not consistent across countries/areas-within-countries. In the meta-regression, different patterns were not explained by countries' COVID-19 mortality rate, stringency of public health response, economic support level, or presence of a national suicide prevention strategy. Nor were they explained by countries' income level, although the meta-regression only included data from high-income and upper-middle-income countries, and there were suggestions from the ITS analyses that lower-middle-income countries fared less well.\nINTERPRETATION: Although there are some countries/areas-within-countries where overall suicide numbers and numbers for certain sex- and age-based groups are greater-than-expected, these countries/areas-within-countries are in the minority. Any upward movement in suicide numbers in any place or group is concerning, and we need to remain alert to and respond to changes as the pandemic and its mental health and economic consequences continue.\nFUNDING: None.","container-title":"EClinicalMedicine","DOI":"10.1016/j.eclinm.2022.101573","ISSN":"2589-5370","journalAbbreviation":"EClinicalMedicine","language":"eng","note":"PMID: 35935344\nPMCID: PMC9344880","page":"101573","source":"PubMed","title":"Suicide numbers during the first 9-15 months of the COVID-19 pandemic compared with pre-existing trends: An interrupted time series analysis in 33 countries","title-short":"Suicide numbers during the first 9-15 months of the COVID-19 pandemic compared with pre-existing trends","volume":"51","author":[{"family":"Pirkis","given":"Jane"},{"family":"Gunnell","given":"David"},{"family":"Shin","given":"Sangsoo"},{"family":"Del Pozo-Banos","given":"Marcos"},{"family":"Arya","given":"Vikas"},{"family":"Aguilar","given":"Pablo Analuisa"},{"family":"Appleby","given":"Louis"},{"family":"Arafat","given":"S. M. Yasir"},{"family":"Arensman","given":"Ella"},{"family":"Ayuso-Mateos","given":"Jose Luis"},{"family":"Balhara","given":"Yatan Pal Singh"},{"family":"Bantjes","given":"Jason"},{"family":"Baran","given":"Anna"},{"family":"Behera","given":"Chittaranjan"},{"family":"Bertolote","given":"Jose"},{"family":"Borges","given":"Guilherme"},{"family":"Bray","given":"Michael"},{"family":"Brečić","given":"Petrana"},{"family":"Caine","given":"Eric"},{"family":"Calati","given":"Raffaella"},{"family":"Carli","given":"Vladimir"},{"family":"Castelpietra","given":"Giulio"},{"family":"Chan","given":"Lai Fong"},{"family":"Chang","given":"Shu-Sen"},{"family":"Colchester","given":"David"},{"family":"Coss-Guzmán","given":"Maria"},{"family":"Crompton","given":"David"},{"family":"Ćurković","given":"Marko"},{"family":"Dandona","given":"Rakhi"},{"family":"De Jaegere","given":"Eva"},{"family":"De Leo","given":"Diego"},{"family":"Deisenhammer","given":"Eberhard A."},{"family":"Dwyer","given":"Jeremy"},{"family":"Erlangsen","given":"Annette"},{"family":"Faust","given":"Jeremy S."},{"family":"Fornaro","given":"Michele"},{"family":"Fortune","given":"Sarah"},{"family":"Garrett","given":"Andrew"},{"family":"Gentile","given":"Guendalina"},{"family":"Gerstner","given":"Rebekka"},{"family":"Gilissen","given":"Renske"},{"family":"Gould","given":"Madelyn"},{"family":"Gupta","given":"Sudhir Kumar"},{"family":"Hawton","given":"Keith"},{"family":"Holz","given":"Franziska"},{"family":"Kamenshchikov","given":"Iurii"},{"family":"Kapur","given":"Navneet"},{"family":"Kasal","given":"Alexandr"},{"family":"Khan","given":"Murad"},{"family":"Kirtley","given":"Olivia J."},{"family":"Knipe","given":"Duleeka"},{"family":"Kõlves","given":"Kairi"},{"family":"Kölzer","given":"Sarah C."},{"family":"Krivda","given":"Hryhorii"},{"family":"Leske","given":"Stuart"},{"family":"Madeddu","given":"Fabio"},{"family":"Marshall","given":"Andrew"},{"family":"Memon","given":"Anjum"},{"family":"Mittendorfer-Rutz","given":"Ellenor"},{"family":"Nestadt","given":"Paul"},{"family":"Neznanov","given":"Nikolay"},{"family":"Niederkrotenthaler","given":"Thomas"},{"family":"Nielsen","given":"Emma"},{"family":"Nordentoft","given":"Merete"},{"family":"Oberlerchner","given":"Herwig"},{"family":"O'Connor","given":"Rory C."},{"family":"Papsdorf","given":"Rainer"},{"family":"Partonen","given":"Timo"},{"family":"Phillips","given":"Michael R."},{"family":"Platt","given":"Steve"},{"family":"Portzky","given":"Gwendolyn"},{"family":"Psota","given":"Georg"},{"family":"Qin","given":"Ping"},{"family":"Radeloff","given":"Daniel"},{"family":"Reif","given":"Andreas"},{"family":"Reif-Leonhard","given":"Christine"},{"family":"Rezaeian","given":"Mohsen"},{"family":"Román-Vázquez","given":"Nayda"},{"family":"Roskar","given":"Saska"},{"family":"Rozanov","given":"Vsevolod"},{"family":"Sara","given":"Grant"},{"family":"Scavacini","given":"Karen"},{"family":"Schneider","given":"Barbara"},{"family":"Semenova","given":"Natalia"},{"family":"Sinyor","given":"Mark"},{"family":"Tambuzzi","given":"Stefano"},{"family":"Townsend","given":"Ellen"},{"family":"Ueda","given":"Michiko"},{"family":"Wasserman","given":"Danuta"},{"family":"Webb","given":"Roger T."},{"family":"Winkler","given":"Petr"},{"family":"Yip","given":"Paul S. F."},{"family":"Zalsman","given":"Gil"},{"family":"Zoja","given":"Riccardo"},{"family":"John","given":"Ann"},{"family":"Spittal","given":"Matthew J."}],"issued":{"date-parts":[["2022",9]]}},"label":"page"},{"id":755,"uris":["http://zotero.org/users/11004987/items/HS62FWGS"],"itemData":{"id":755,"type":"article-journal","abstract":"Objective To synthesise results of mental health outcomes in cohorts before and during the covid-19 pandemic.\nDesign Systematic review.\nData sources Medline, PsycINFO, CINAHL, Embase, Web of Science, China National Knowledge Infrastructure, Wanfang, medRxiv, and Open Science Framework Preprints.\nEligibility criteria for selecting studies Studies comparing general mental health, anxiety symptoms, or depression symptoms assessed from 1 January 2020 or later with outcomes collected from 1 January 2018 to 31 December 2019 in any population, and comprising ≥90% of the same participants before and during the covid-19 pandemic or using statistical methods to account for missing data. Restricted maximum likelihood random effects meta-analyses (worse covid-19 outcomes representing positive change) were performed. Risk of bias was assessed using an adapted Joanna Briggs Institute Checklist for Prevalence Studies.\nResults As of 11 April 2022, 94 411 unique titles and abstracts including 137 unique studies from 134 cohorts were reviewed. Most of the studies were from high income (n=105, 77%) or upper middle income (n=28, 20%) countries. Among general population studies, no changes were found for general mental health (standardised mean difference (SMD)change 0.11, 95% confidence interval −0.00 to 0.22) or anxiety symptoms (0.05, −0.04 to 0.13), but depression symptoms worsened minimally (0.12, 0.01 to 0.24). Among women or female participants, general mental health (0.22, 0.08 to 0.35), anxiety symptoms (0.20, 0.12 to 0.29), and depression symptoms (0.22, 0.05 to 0.40) worsened by minimal to small amounts. In 27 other analyses across outcome domains among subgroups other than women or female participants, five analyses suggested that symptoms worsened by minimal or small amounts, and two suggested minimal or small improvements. No other subgroup experienced changes across all outcome domains. In three studies with data from March to April 2020 and late 2020, symptoms were unchanged from pre-covid-19 levels at both assessments or increased initially then returned to pre-covid-19 levels. Substantial heterogeneity and risk of bias were present across analyses.\nConclusions High risk of bias in many studies and substantial heterogeneity suggest caution in interpreting results. Nonetheless, most symptom change estimates for general mental health, anxiety symptoms, and depression symptoms were close to zero and not statistically significant, and significant changes were of minimal to small magnitudes. Small negative changes occurred for women or female participants in all domains. The authors will update the results of this systematic review as more evidence accrues, with study results posted online (https://www.depressd.ca/covid-19-mental-health).\nReview registration PROSPERO CRD42020179703.","container-title":"BMJ","DOI":"10.1136/bmj-2022-074224","ISSN":"1756-1833","journalAbbreviation":"BMJ","language":"en","license":"© Author(s) (or their employer(s)) 2019.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and the use is non-commercial. See: http://creativecommons.org/licenses/by-nc/4.0/.","note":"publisher: British Medical Journal Publishing Group\nsection: Research\nPMID: 36889797","page":"e074224","source":"www.bmj.com","title":"Comparison of mental health symptoms before and during the covid-19 pandemic: evidence from a systematic review and meta-analysis of 134 cohorts","title-short":"Comparison of mental health symptoms before and during the covid-19 pandemic","volume":"380","author":[{"family":"Sun","given":"Ying"},{"family":"Wu","given":"Yin"},{"family":"Fan","given":"Suiqiong"},{"family":"Santo","given":"Tiffany Dal"},{"family":"Li","given":"Letong"},{"family":"Jiang","given":"Xiaowen"},{"family":"Li","given":"Kexin"},{"family":"Wang","given":"Yutong"},{"family":"Tasleem","given":"Amina"},{"family":"Krishnan","given":"Ankur"},{"family":"He","given":"Chen"},{"family":"Bonardi","given":"Olivia"},{"family":"Boruff","given":"Jill T."},{"family":"Rice","given":"Danielle B."},{"family":"Markham","given":"Sarah"},{"family":"Levis","given":"Brooke"},{"family":"Azar","given":"Marleine"},{"family":"Thombs-Vite","given":"Ian"},{"family":"Neupane","given":"Dipika"},{"family":"Agic","given":"Branka"},{"family":"Fahim","given":"Christine"},{"family":"Martin","given":"Michael S."},{"family":"Sockalingam","given":"Sanjeev"},{"family":"Turecki","given":"Gustavo"},{"family":"Benedetti","given":"Andrea"},{"family":"Thombs","given":"Brett D."}],"issued":{"date-parts":[["2023",3,8]]}},"label":"page"}],"schema":"https://github.com/citation-style-language/schema/raw/master/csl-citation.json"} </w:instrText>
      </w:r>
      <w:r w:rsidRPr="000E28CF">
        <w:rPr>
          <w:rFonts w:ascii="Times New Roman" w:hAnsi="Times New Roman" w:cs="Times New Roman"/>
          <w:color w:val="000000"/>
          <w:sz w:val="20"/>
          <w:szCs w:val="20"/>
        </w:rPr>
        <w:fldChar w:fldCharType="separate"/>
      </w:r>
      <w:r w:rsidR="000E28CF" w:rsidRPr="000E28CF">
        <w:rPr>
          <w:rFonts w:ascii="Times New Roman" w:hAnsi="Times New Roman" w:cs="Times New Roman"/>
          <w:sz w:val="20"/>
        </w:rPr>
        <w:t>(6–9)</w:t>
      </w:r>
      <w:r w:rsidRPr="000E28CF">
        <w:rPr>
          <w:rFonts w:ascii="Times New Roman" w:hAnsi="Times New Roman" w:cs="Times New Roman"/>
          <w:color w:val="000000"/>
          <w:sz w:val="20"/>
          <w:szCs w:val="20"/>
        </w:rPr>
        <w:fldChar w:fldCharType="end"/>
      </w:r>
      <w:r w:rsidRPr="000E28CF">
        <w:rPr>
          <w:rFonts w:ascii="Times New Roman" w:hAnsi="Times New Roman" w:cs="Times New Roman"/>
          <w:color w:val="000000"/>
          <w:sz w:val="20"/>
          <w:szCs w:val="20"/>
        </w:rPr>
        <w:t xml:space="preserve">. Recent meta-analyses of longitudinal European studies concluded an evidence of high-moderate certainty that the prevalence of depression, generalized anxiety disorder and non-specific mental health problems increased slightly during the first months of the pandemic, but remained stable or decreased to pre-pandemic levels later during the pandemic </w:t>
      </w:r>
      <w:r w:rsidRPr="000E28CF">
        <w:rPr>
          <w:rFonts w:ascii="Times New Roman" w:hAnsi="Times New Roman" w:cs="Times New Roman"/>
          <w:color w:val="000000"/>
          <w:sz w:val="20"/>
          <w:szCs w:val="20"/>
        </w:rPr>
        <w:fldChar w:fldCharType="begin"/>
      </w:r>
      <w:r w:rsidRPr="000E28CF">
        <w:rPr>
          <w:rFonts w:ascii="Times New Roman" w:hAnsi="Times New Roman" w:cs="Times New Roman"/>
          <w:color w:val="000000"/>
          <w:sz w:val="20"/>
          <w:szCs w:val="20"/>
        </w:rPr>
        <w:instrText xml:space="preserve"> ADDIN ZOTERO_ITEM CSL_CITATION {"citationID":"7MF7YqBO","properties":{"formattedCitation":"(6,10)","plainCitation":"(6,10)","noteIndex":0},"citationItems":[{"id":407,"uris":["http://zotero.org/users/11004987/items/5XVFWV98"],"itemData":{"id":407,"type":"article-journal","abstract":"The COVID-19 pandemic caused immediate and far-reaching disruption to society, the economy, and health-care services. We synthesised evidence on the effect of the pandemic on mental health and mental health care in high-income European countries. We included 177 longitudinal and repeated cross-sectional studies comparing prevalence or incidence of mental health problems, mental health symptom severity in people with pre-existing mental health conditions, or mental health service use before versus during the pandemic, or between different timepoints of the pandemic. We found that epidemiological studies reported higher prevalence of some mental health problems during the pandemic compared with before it, but that in most cases this increase reduced over time. Conversely, studies of health records showed reduced incidence of new diagnoses at the start of the pandemic, which further declined during 2020. Mental health service use also declined at the onset of the pandemic but increased later in 2020 and through 2021, although rates of use did not return to pre-pandemic levels for some services. We found mixed patterns of effects of the pandemic on mental health and social outcome for adults already living with mental health conditions.","container-title":"The Lancet. Psychiatry","DOI":"10.1016/S2215-0366(23)00113-X","ISSN":"2215-0366","issue":"7","journalAbbreviation":"Lancet Psychiatry","note":"PMID: 37321240\nPMCID: PMC10259832","page":"537-556","source":"PubMed Central","title":"Mental health in Europe during the COVID-19 pandemic: a systematic review","title-short":"Mental health in Europe during the COVID-19 pandemic","volume":"10","author":[{"family":"Ahmed","given":"Nafiso"},{"family":"Barnett","given":"Phoebe"},{"family":"Greenburgh","given":"Anna"},{"family":"Pemovska","given":"Tamara"},{"family":"Stefanidou","given":"Theodora"},{"family":"Lyons","given":"Natasha"},{"family":"Ikhtabi","given":"Sarah"},{"family":"Talwar","given":"Shivangi"},{"family":"Francis","given":"Emma R"},{"family":"Harris","given":"Samantha M"},{"family":"Shah","given":"Prisha"},{"family":"Machin","given":"Karen"},{"family":"Jeffreys","given":"Stephen"},{"family":"Mitchell","given":"Lizzie"},{"family":"Lynch","given":"Chris"},{"family":"Foye","given":"Una"},{"family":"Schlief","given":"Merle"},{"family":"Appleton","given":"Rebecca"},{"family":"Saunders","given":"Katherine R K"},{"family":"Baldwin","given":"Helen"},{"family":"Allan","given":"Sophie M"},{"family":"Sheridan-Rains","given":"Luke"},{"family":"Kharboutly","given":"Omaya"},{"family":"Kular","given":"Ariana"},{"family":"Goldblatt","given":"Peter"},{"family":"Stewart","given":"Robert"},{"family":"Kirkbride","given":"James B"},{"family":"Lloyd-Evans","given":"Brynmor"},{"family":"Johnson","given":"Sonia"}],"issued":{"date-parts":[["2023",7]]}},"label":"page"},{"id":1113,"uris":["http://zotero.org/users/11004987/items/FE9I5YAW","http://zotero.org/users/11004987/items/UZVF9LR3"],"itemData":{"id":1113,"type":"article-journal","abstract":"Up-to-date information on the prevalence and trends of common mental disorders is relevant to health care policy and planning, owing to the high burden associated with these disorders. In the first wave of the third Netherlands Mental Health Survey and Incidence Study (NEMESIS-3), a nationally representative sample was interviewed face-to-face from November 2019 to March 2022 (6,194 subjects; 1,576 interviewed before and 4,618 during the COVID-19 pandemic; age range: 18-75 years). A slightly modified version of the Composite International Diagnostic Interview 3.0 was used to assess DSM-IV and DSM-5 diagnoses. Trends in 12-month prevalence rates of DSM-IV mental disorders were examined by comparing these rates between NEMESIS-3 and NEMESIS-2 (6,646 subjects; age range: 18-64 years; interviewed from November 2007 to July 2009). Lifetime DSM-5 prevalence estimates in NEMESIS-3 were 28.6% for anxiety disorders, 27.6% for mood disorders, 16.7% for substance use disorders, and 3.6% for attention-deficit/hyperactivity disorder. Over the last 12 months, prevalence rates were 15.2%, 9.8%, 7.1%, and 3.2%, respectively. No differences in 12-month prevalence rates before vs. during the COVID-19 pandemic were found (26.7% pre-pandemic vs. 25.7% during the pandemic), even after controlling for differences in socio-demographic characteristics of the respondents interviewed in these two periods. This was the case for all four disorder categories. From 2007-2009 to 2019-2022, the 12-month prevalence rate of any DSM-IV disorder significantly increased from 17.4% to 26.1%. A stronger increase in prevalence was found for students, younger adults (18-34 years) and city dwellers. These data suggest that the prevalence of mental disorders has increased in the past decade, but this is not explained by the COVID-19 pandemic. The already high mental disorder risk of young adults has particularly further increased in recent years.","container-title":"World Psychiatry","DOI":"10.1002/wps.21087","ISSN":"2051-5545","issue":"2","language":"en","license":"© 2023 World Psychiatric Association.","note":"_eprint: https://onlinelibrary.wiley.com/doi/pdf/10.1002/wps.21087","page":"275-285","source":"Wiley Online Library","title":"Prevalence and trends of common mental disorders from 2007-2009 to 2019-2022: results from the Netherlands Mental Health Survey and Incidence Studies (NEMESIS), including comparison of prevalence rates before vs. during the COVID-19 pandemic","title-short":"Prevalence and trends of common mental disorders from 2007-2009 to 2019-2022","volume":"22","author":[{"family":"Have","given":"Margreet","non-dropping-particle":"ten"},{"family":"Tuithof","given":"Marlous"},{"family":"Dorsselaer","given":"Saskia","non-dropping-particle":"van"},{"family":"Schouten","given":"Frederiek"},{"family":"Luik","given":"Annemarie I."},{"family":"Graaf","given":"Ron","non-dropping-particle":"de"}],"issued":{"date-parts":[["2023"]]}},"label":"page"}],"schema":"https://github.com/citation-style-language/schema/raw/master/csl-citation.json"} </w:instrText>
      </w:r>
      <w:r w:rsidRPr="000E28CF">
        <w:rPr>
          <w:rFonts w:ascii="Times New Roman" w:hAnsi="Times New Roman" w:cs="Times New Roman"/>
          <w:color w:val="000000"/>
          <w:sz w:val="20"/>
          <w:szCs w:val="20"/>
        </w:rPr>
        <w:fldChar w:fldCharType="separate"/>
      </w:r>
      <w:r w:rsidR="000E28CF" w:rsidRPr="000E28CF">
        <w:rPr>
          <w:rFonts w:ascii="Times New Roman" w:hAnsi="Times New Roman" w:cs="Times New Roman"/>
          <w:sz w:val="20"/>
        </w:rPr>
        <w:t>(6,10)</w:t>
      </w:r>
      <w:r w:rsidRPr="000E28CF">
        <w:rPr>
          <w:rFonts w:ascii="Times New Roman" w:hAnsi="Times New Roman" w:cs="Times New Roman"/>
          <w:color w:val="000000"/>
          <w:sz w:val="20"/>
          <w:szCs w:val="20"/>
        </w:rPr>
        <w:fldChar w:fldCharType="end"/>
      </w:r>
      <w:r w:rsidRPr="000E28CF">
        <w:rPr>
          <w:rFonts w:ascii="Times New Roman" w:hAnsi="Times New Roman" w:cs="Times New Roman"/>
          <w:color w:val="000000"/>
          <w:sz w:val="20"/>
          <w:szCs w:val="20"/>
        </w:rPr>
        <w:t xml:space="preserve">. Studies investigating patterns in healthcare use in various European countries have either found no changes or even a reduction in healthcare use due to depression, anxiety and stress-related disorders (i.e. common mental disorders, CMDs) at the beginning of the pandemic </w:t>
      </w:r>
      <w:r w:rsidRPr="000E28CF">
        <w:rPr>
          <w:rFonts w:ascii="Times New Roman" w:hAnsi="Times New Roman" w:cs="Times New Roman"/>
          <w:color w:val="000000"/>
          <w:sz w:val="20"/>
          <w:szCs w:val="20"/>
        </w:rPr>
        <w:fldChar w:fldCharType="begin"/>
      </w:r>
      <w:r w:rsidRPr="000E28CF">
        <w:rPr>
          <w:rFonts w:ascii="Times New Roman" w:hAnsi="Times New Roman" w:cs="Times New Roman"/>
          <w:color w:val="000000"/>
          <w:sz w:val="20"/>
          <w:szCs w:val="20"/>
        </w:rPr>
        <w:instrText xml:space="preserve"> ADDIN ZOTERO_ITEM CSL_CITATION {"citationID":"089qMdA6","properties":{"formattedCitation":"(6,11,12)","plainCitation":"(6,11,12)","noteIndex":0},"citationItems":[{"id":407,"uris":["http://zotero.org/users/11004987/items/5XVFWV98"],"itemData":{"id":407,"type":"article-journal","abstract":"The COVID-19 pandemic caused immediate and far-reaching disruption to society, the economy, and health-care services. We synthesised evidence on the effect of the pandemic on mental health and mental health care in high-income European countries. We included 177 longitudinal and repeated cross-sectional studies comparing prevalence or incidence of mental health problems, mental health symptom severity in people with pre-existing mental health conditions, or mental health service use before versus during the pandemic, or between different timepoints of the pandemic. We found that epidemiological studies reported higher prevalence of some mental health problems during the pandemic compared with before it, but that in most cases this increase reduced over time. Conversely, studies of health records showed reduced incidence of new diagnoses at the start of the pandemic, which further declined during 2020. Mental health service use also declined at the onset of the pandemic but increased later in 2020 and through 2021, although rates of use did not return to pre-pandemic levels for some services. We found mixed patterns of effects of the pandemic on mental health and social outcome for adults already living with mental health conditions.","container-title":"The Lancet. Psychiatry","DOI":"10.1016/S2215-0366(23)00113-X","ISSN":"2215-0366","issue":"7","journalAbbreviation":"Lancet Psychiatry","note":"PMID: 37321240\nPMCID: PMC10259832","page":"537-556","source":"PubMed Central","title":"Mental health in Europe during the COVID-19 pandemic: a systematic review","title-short":"Mental health in Europe during the COVID-19 pandemic","volume":"10","author":[{"family":"Ahmed","given":"Nafiso"},{"family":"Barnett","given":"Phoebe"},{"family":"Greenburgh","given":"Anna"},{"family":"Pemovska","given":"Tamara"},{"family":"Stefanidou","given":"Theodora"},{"family":"Lyons","given":"Natasha"},{"family":"Ikhtabi","given":"Sarah"},{"family":"Talwar","given":"Shivangi"},{"family":"Francis","given":"Emma R"},{"family":"Harris","given":"Samantha M"},{"family":"Shah","given":"Prisha"},{"family":"Machin","given":"Karen"},{"family":"Jeffreys","given":"Stephen"},{"family":"Mitchell","given":"Lizzie"},{"family":"Lynch","given":"Chris"},{"family":"Foye","given":"Una"},{"family":"Schlief","given":"Merle"},{"family":"Appleton","given":"Rebecca"},{"family":"Saunders","given":"Katherine R K"},{"family":"Baldwin","given":"Helen"},{"family":"Allan","given":"Sophie M"},{"family":"Sheridan-Rains","given":"Luke"},{"family":"Kharboutly","given":"Omaya"},{"family":"Kular","given":"Ariana"},{"family":"Goldblatt","given":"Peter"},{"family":"Stewart","given":"Robert"},{"family":"Kirkbride","given":"James B"},{"family":"Lloyd-Evans","given":"Brynmor"},{"family":"Johnson","given":"Sonia"}],"issued":{"date-parts":[["2023",7]]}},"label":"page"},{"id":275,"uris":["http://zotero.org/users/11004987/items/EH5PH4RM"],"itemData":{"id":275,"type":"article-journal","abstract":"Background\nThe COVID-19 pandemic is commonly believed to have increased common mental disorders (CMD, i.e., depression and anxiety), either directly due to COVID-19 contractions (death of near ones or residual conditions), or indirectly by increasing stress, economic uncertainty, and disruptions in daily life resulting from containment measure. Whereas studies reporting on initial changes in self-reported data frequently have reported increases in CMD, pandemic related changes in CMD related to primary care utilization are less well known. Analyzing time series of routinely and continuously sampled primary healthcare data from Sweden, Norway, Netherlands, and Latvia, we aimed to characterize the impact of the pandemic on CMD recorded prevalence in primary care. Furthermore, by relating these changes to country specific time-trajectories of two classes of containment measures, we evaluated the differential impact of containment strategies on CMD rates. Specifically, we wanted to test whether school restrictions would preferentially affect age groups corresponding to those of school children or their parents.\n\nMethods\nFor the four investigated countries, we collected time-series of monthly counts of unique CMD patients in primary healthcare from the year 2015 (or 2017) until 2021. Using pre-pandemic timepoints to train seasonal Auto Regressive Integrated Moving Average (ARIMA) models, we predicted healthcare utilization during the pandemic. Discrepancies between observed and expected time series were quantified to infer pandemic related changes. To evaluate the effects of COVID-19 measures on CMD related primary care utilization, the predicted time series were related to country specific time series of levels of social distancing and school restrictions.\n\nResults\nIn all countries except Latvia there was an initial (April 2020) decrease in CMD care prevalence, where largest drops were found in Sweden (Prevalence Ratio, PR = 0.85; 95% CI 0.81–0.90), followed by Netherlands (0.86; 95% CI 0.76–1.02) and Norway (0.90; 95% CI 0.83–0.98). Latvia on the other hand experienced increased rates (1.25; 95% CI 1.08–1.49). Whereas PRs in Norway and Netherlands normalized during the latter half of 2020, PRs stayed low in Sweden and elevated in Latvia. The overall changes in PR during the pandemic year 2020 was significantly changed only for Sweden (0.91; 95% CI 0.90–0.93) and Latvia (1.20; 95% CI 1.14–1.26). Overall, the relationship between containment measures and CMD care prevalence were weak and non-significant. In particular, we could not observe any relationship of school restriction to CMD care prevalence for the age groups best corresponding to school children or their parents.\n\nConclusion\nCommon mental disorders prevalence in primary care decreased during the initial phase of the COVID-19 pandemic in all countries except from Latvia, but normalized in Norway and Netherlands by the latter half of 2020. The onset of the pandemic and the containment strategies were highly correlated within each country, limiting strong conclusions on whether restriction policy had any effects on mental health. Specifically, we found no evidence of associations between school restrictions and CMD care prevalence. Overall, current results lend no support to the common belief that the pandemic severely impacted the mental health of the general population as indicated by healthcare utilization, apart from in Latvia. However, since healthcare utilization is affected by multiple factors in addition to actual need, future studies should combine complementary types of data to better understand the mental health impacts of the pandemic.","container-title":"Frontiers in Psychiatry","DOI":"10.3389/fpsyt.2022.1045325","ISSN":"1664-0640","journalAbbreviation":"Front Psychiatry","note":"PMID: 36699500\nPMCID: PMC9868724","page":"1045325","source":"PubMed Central","title":"Differential impact of the COVID-19 pandemic on primary care utilization related to common mental disorders in four European countries: A retrospective observational study","title-short":"Differential impact of the COVID-19 pandemic on primary care utilization related to common mental disorders in four European countries","volume":"13","author":[{"family":"Flodin","given":"Pär"},{"family":"Sörberg Wallin","given":"Alma"},{"family":"Tarantino","given":"Barbara"},{"family":"Cerchiello","given":"Paola"},{"family":"Mladá","given":"Karolína"},{"family":"Kuklová","given":"Marie"},{"family":"Kondrátová","given":"Lucie"},{"family":"Parimbelli","given":"Enea"},{"family":"Osika","given":"Walter"},{"family":"Hollander","given":"Anna-Clara"},{"family":"Dalman","given":"Christina"}],"issued":{"date-parts":[["2023",1,9]]}},"label":"page"},{"id":399,"uris":["http://zotero.org/users/11004987/items/CW6X8JVI"],"itemData":{"id":399,"type":"article-journal","abstract":"Existing research has found adverse short-term effects of the COVID-19 pandemic on mental health, but longer-term effects have been less documented. Using newly released register data on all general practitioner consultations in Norway through 2020 (about 14 million consultations in total), we find that during the spring and early summer 2020, the number of psychological cases initially increased relative to prior years, but then fell back towards the level of prior years during the summer 2020. In early September 2020, the number of cases accelerated, a pattern that held up through December 2020, so that the gap between 2020 and prior years became largest end-of-year. Our findings suggest that the accumulated adverse effects of the COVID-19 pandemic on mental health far exceeds the short-term effects. The effects are particularly strong for females and for residents in urban areas.","container-title":"European Journal of Epidemiology","DOI":"10.1007/s10654-021-00836-3","ISSN":"1573-7284","issue":"2","journalAbbreviation":"Eur J Epidemiol","language":"en","page":"167-172","source":"Springer Link","title":"COVID-19 and mental health: a longitudinal population study from Norway","title-short":"COVID-19 and mental health","volume":"37","author":[{"family":"Hvide","given":"Hans K."},{"family":"Johnsen","given":"Julian"}],"issued":{"date-parts":[["2022",2,1]]}},"label":"page"}],"schema":"https://github.com/citation-style-language/schema/raw/master/csl-citation.json"} </w:instrText>
      </w:r>
      <w:r w:rsidRPr="000E28CF">
        <w:rPr>
          <w:rFonts w:ascii="Times New Roman" w:hAnsi="Times New Roman" w:cs="Times New Roman"/>
          <w:color w:val="000000"/>
          <w:sz w:val="20"/>
          <w:szCs w:val="20"/>
        </w:rPr>
        <w:fldChar w:fldCharType="separate"/>
      </w:r>
      <w:r w:rsidR="000E28CF" w:rsidRPr="000E28CF">
        <w:rPr>
          <w:rFonts w:ascii="Times New Roman" w:hAnsi="Times New Roman" w:cs="Times New Roman"/>
          <w:sz w:val="20"/>
        </w:rPr>
        <w:t>(6,11,12)</w:t>
      </w:r>
      <w:r w:rsidRPr="000E28CF">
        <w:rPr>
          <w:rFonts w:ascii="Times New Roman" w:hAnsi="Times New Roman" w:cs="Times New Roman"/>
          <w:color w:val="000000"/>
          <w:sz w:val="20"/>
          <w:szCs w:val="20"/>
        </w:rPr>
        <w:fldChar w:fldCharType="end"/>
      </w:r>
      <w:r w:rsidRPr="000E28CF">
        <w:rPr>
          <w:rFonts w:ascii="Times New Roman" w:hAnsi="Times New Roman" w:cs="Times New Roman"/>
          <w:color w:val="000000"/>
          <w:sz w:val="20"/>
          <w:szCs w:val="20"/>
        </w:rPr>
        <w:t xml:space="preserve">. These trends have been followed by a later slight increase, and for some services this increase was above the pre-pandemic level </w:t>
      </w:r>
      <w:r w:rsidRPr="000E28CF">
        <w:rPr>
          <w:rFonts w:ascii="Times New Roman" w:hAnsi="Times New Roman" w:cs="Times New Roman"/>
          <w:color w:val="000000"/>
          <w:sz w:val="20"/>
          <w:szCs w:val="20"/>
        </w:rPr>
        <w:fldChar w:fldCharType="begin"/>
      </w:r>
      <w:r w:rsidRPr="000E28CF">
        <w:rPr>
          <w:rFonts w:ascii="Times New Roman" w:hAnsi="Times New Roman" w:cs="Times New Roman"/>
          <w:color w:val="000000"/>
          <w:sz w:val="20"/>
          <w:szCs w:val="20"/>
        </w:rPr>
        <w:instrText xml:space="preserve"> ADDIN ZOTERO_ITEM CSL_CITATION {"citationID":"qfGdDKHD","properties":{"formattedCitation":"(11,13)","plainCitation":"(11,13)","noteIndex":0},"citationItems":[{"id":275,"uris":["http://zotero.org/users/11004987/items/EH5PH4RM"],"itemData":{"id":275,"type":"article-journal","abstract":"Background\nThe COVID-19 pandemic is commonly believed to have increased common mental disorders (CMD, i.e., depression and anxiety), either directly due to COVID-19 contractions (death of near ones or residual conditions), or indirectly by increasing stress, economic uncertainty, and disruptions in daily life resulting from containment measure. Whereas studies reporting on initial changes in self-reported data frequently have reported increases in CMD, pandemic related changes in CMD related to primary care utilization are less well known. Analyzing time series of routinely and continuously sampled primary healthcare data from Sweden, Norway, Netherlands, and Latvia, we aimed to characterize the impact of the pandemic on CMD recorded prevalence in primary care. Furthermore, by relating these changes to country specific time-trajectories of two classes of containment measures, we evaluated the differential impact of containment strategies on CMD rates. Specifically, we wanted to test whether school restrictions would preferentially affect age groups corresponding to those of school children or their parents.\n\nMethods\nFor the four investigated countries, we collected time-series of monthly counts of unique CMD patients in primary healthcare from the year 2015 (or 2017) until 2021. Using pre-pandemic timepoints to train seasonal Auto Regressive Integrated Moving Average (ARIMA) models, we predicted healthcare utilization during the pandemic. Discrepancies between observed and expected time series were quantified to infer pandemic related changes. To evaluate the effects of COVID-19 measures on CMD related primary care utilization, the predicted time series were related to country specific time series of levels of social distancing and school restrictions.\n\nResults\nIn all countries except Latvia there was an initial (April 2020) decrease in CMD care prevalence, where largest drops were found in Sweden (Prevalence Ratio, PR = 0.85; 95% CI 0.81–0.90), followed by Netherlands (0.86; 95% CI 0.76–1.02) and Norway (0.90; 95% CI 0.83–0.98). Latvia on the other hand experienced increased rates (1.25; 95% CI 1.08–1.49). Whereas PRs in Norway and Netherlands normalized during the latter half of 2020, PRs stayed low in Sweden and elevated in Latvia. The overall changes in PR during the pandemic year 2020 was significantly changed only for Sweden (0.91; 95% CI 0.90–0.93) and Latvia (1.20; 95% CI 1.14–1.26). Overall, the relationship between containment measures and CMD care prevalence were weak and non-significant. In particular, we could not observe any relationship of school restriction to CMD care prevalence for the age groups best corresponding to school children or their parents.\n\nConclusion\nCommon mental disorders prevalence in primary care decreased during the initial phase of the COVID-19 pandemic in all countries except from Latvia, but normalized in Norway and Netherlands by the latter half of 2020. The onset of the pandemic and the containment strategies were highly correlated within each country, limiting strong conclusions on whether restriction policy had any effects on mental health. Specifically, we found no evidence of associations between school restrictions and CMD care prevalence. Overall, current results lend no support to the common belief that the pandemic severely impacted the mental health of the general population as indicated by healthcare utilization, apart from in Latvia. However, since healthcare utilization is affected by multiple factors in addition to actual need, future studies should combine complementary types of data to better understand the mental health impacts of the pandemic.","container-title":"Frontiers in Psychiatry","DOI":"10.3389/fpsyt.2022.1045325","ISSN":"1664-0640","journalAbbreviation":"Front Psychiatry","note":"PMID: 36699500\nPMCID: PMC9868724","page":"1045325","source":"PubMed Central","title":"Differential impact of the COVID-19 pandemic on primary care utilization related to common mental disorders in four European countries: A retrospective observational study","title-short":"Differential impact of the COVID-19 pandemic on primary care utilization related to common mental disorders in four European countries","volume":"13","author":[{"family":"Flodin","given":"Pär"},{"family":"Sörberg Wallin","given":"Alma"},{"family":"Tarantino","given":"Barbara"},{"family":"Cerchiello","given":"Paola"},{"family":"Mladá","given":"Karolína"},{"family":"Kuklová","given":"Marie"},{"family":"Kondrátová","given":"Lucie"},{"family":"Parimbelli","given":"Enea"},{"family":"Osika","given":"Walter"},{"family":"Hollander","given":"Anna-Clara"},{"family":"Dalman","given":"Christina"}],"issued":{"date-parts":[["2023",1,9]]}},"label":"page"},{"id":397,"uris":["http://zotero.org/users/11004987/items/HBW5C6DE"],"itemData":{"id":397,"type":"article-journal","container-title":"The Lancet Digital Health","DOI":"10.1016/S2589-7500(21)00017-0","ISSN":"2589-7500","issue":"4","journalAbbreviation":"The Lancet Digital Health","language":"English","note":"publisher: Elsevier\nPMID: 33612430","page":"e217-e230","source":"www.thelancet.com","title":"Indirect acute effects of the COVID-19 pandemic on physical and mental health in the UK: a population-based study","title-short":"Indirect acute effects of the COVID-19 pandemic on physical and mental health in the UK","volume":"3","author":[{"family":"Mansfield","given":"Kathryn E."},{"family":"Mathur","given":"Rohini"},{"family":"Tazare","given":"John"},{"family":"Henderson","given":"Alasdair D."},{"family":"Mulick","given":"Amy R."},{"family":"Carreira","given":"Helena"},{"family":"Matthews","given":"Anthony A."},{"family":"Bidulka","given":"Patrick"},{"family":"Gayle","given":"Alicia"},{"family":"Forbes","given":"Harriet"},{"family":"Cook","given":"Sarah"},{"family":"Wong","given":"Angel Y. S."},{"family":"Strongman","given":"Helen"},{"family":"Wing","given":"Kevin"},{"family":"Warren-Gash","given":"Charlotte"},{"family":"Cadogan","given":"Sharon L."},{"family":"Smeeth","given":"Liam"},{"family":"Hayes","given":"Joseph F."},{"family":"Quint","given":"Jennifer K."},{"family":"McKee","given":"Martin"},{"family":"Langan","given":"Sinéad M."}],"issued":{"date-parts":[["2021",4,1]]}},"label":"page"}],"schema":"https://github.com/citation-style-language/schema/raw/master/csl-citation.json"} </w:instrText>
      </w:r>
      <w:r w:rsidRPr="000E28CF">
        <w:rPr>
          <w:rFonts w:ascii="Times New Roman" w:hAnsi="Times New Roman" w:cs="Times New Roman"/>
          <w:color w:val="000000"/>
          <w:sz w:val="20"/>
          <w:szCs w:val="20"/>
        </w:rPr>
        <w:fldChar w:fldCharType="separate"/>
      </w:r>
      <w:r w:rsidR="000E28CF" w:rsidRPr="000E28CF">
        <w:rPr>
          <w:rFonts w:ascii="Times New Roman" w:hAnsi="Times New Roman" w:cs="Times New Roman"/>
          <w:sz w:val="20"/>
        </w:rPr>
        <w:t>(11,13)</w:t>
      </w:r>
      <w:r w:rsidRPr="000E28CF">
        <w:rPr>
          <w:rFonts w:ascii="Times New Roman" w:hAnsi="Times New Roman" w:cs="Times New Roman"/>
          <w:color w:val="000000"/>
          <w:sz w:val="20"/>
          <w:szCs w:val="20"/>
        </w:rPr>
        <w:fldChar w:fldCharType="end"/>
      </w:r>
      <w:r w:rsidRPr="000E28CF">
        <w:rPr>
          <w:rFonts w:ascii="Times New Roman" w:hAnsi="Times New Roman" w:cs="Times New Roman"/>
          <w:color w:val="000000"/>
          <w:sz w:val="20"/>
          <w:szCs w:val="20"/>
        </w:rPr>
        <w:t>.</w:t>
      </w:r>
    </w:p>
    <w:p w14:paraId="0DE801CA" w14:textId="2E2D3C74" w:rsidR="00CD7E5F" w:rsidRPr="000E28CF" w:rsidRDefault="00CD7E5F" w:rsidP="00CD7E5F">
      <w:pPr>
        <w:spacing w:line="360" w:lineRule="auto"/>
        <w:rPr>
          <w:rFonts w:ascii="Times New Roman" w:hAnsi="Times New Roman" w:cs="Times New Roman"/>
          <w:sz w:val="20"/>
          <w:szCs w:val="20"/>
        </w:rPr>
      </w:pPr>
      <w:r w:rsidRPr="000E28CF">
        <w:rPr>
          <w:rFonts w:ascii="Times New Roman" w:hAnsi="Times New Roman" w:cs="Times New Roman"/>
          <w:color w:val="000000"/>
          <w:sz w:val="20"/>
          <w:szCs w:val="20"/>
        </w:rPr>
        <w:t xml:space="preserve">While this overall picture does not support a major increase in the rate of healthcare use for CMDs during the pandemic in the general working age population, concerns are emerging that some vulnerable marginalized groups, such as refugees, might have been disproportionately affected </w:t>
      </w:r>
      <w:r w:rsidRPr="000E28CF">
        <w:rPr>
          <w:rFonts w:ascii="Times New Roman" w:hAnsi="Times New Roman" w:cs="Times New Roman"/>
          <w:color w:val="000000"/>
          <w:sz w:val="20"/>
          <w:szCs w:val="20"/>
        </w:rPr>
        <w:fldChar w:fldCharType="begin"/>
      </w:r>
      <w:r w:rsidRPr="000E28CF">
        <w:rPr>
          <w:rFonts w:ascii="Times New Roman" w:hAnsi="Times New Roman" w:cs="Times New Roman"/>
          <w:color w:val="000000"/>
          <w:sz w:val="20"/>
          <w:szCs w:val="20"/>
        </w:rPr>
        <w:instrText xml:space="preserve"> ADDIN ZOTERO_ITEM CSL_CITATION {"citationID":"YH9TSe3i","properties":{"formattedCitation":"(9,14,15)","plainCitation":"(9,14,15)","noteIndex":0},"citationItems":[{"id":382,"uris":["http://zotero.org/users/11004987/items/LK3D5VV3"],"itemData":{"id":382,"type":"article-journal","abstract":"Background There remains uncertainty about the impact of the Coronavirus Disease 2019 (COVID-19) pandemic on mental health. This umbrella review provides a comprehensive overview of the association between the pandemic and common mental disorders. We qualitatively summarized evidence from reviews with meta-analyses of individual study-data in the general population, healthcare workers, and specific at-risk populations. Methods and findings A systematic search was carried out in 5 databases for peer-reviewed systematic reviews with meta-analyses of prevalence of depression, anxiety, and post-traumatic stress disorder (PTSD) symptoms during the pandemic published between December 31, 2019 until August 12, 2022. We identified 123 reviews of which 7 provided standardized mean differences (SMDs) either from longitudinal pre- to during pandemic study-data or from cross-sectional study-data compared to matched pre-pandemic data. Methodological quality rated with the Assessment of Multiple Systematic Reviews checklist scores (AMSTAR 2) instrument was generally low to moderate. Small but significant increases of depression, anxiety, and/or general mental health symptoms were reported in the general population, in people with preexisting physical health conditions, and in children (3 reviews; SMDs ranged from 0.11 to 0.28). Mental health and depression symptoms significantly increased during periods of social restrictions (1 review; SMDs of 0.41 and 0.83, respectively) but anxiety symptoms did not (SMD: 0.26). Increases of depression symptoms were generally larger and longer-lasting during the pandemic (3 reviews; SMDs depression ranged from 0.16 to 0.23) than those of anxiety (2 reviews: SMDs 0.12 and 0.18). Females showed a significantly larger increase in anxiety symptoms than males (1 review: SMD 0.15). In healthcare workers, people with preexisting mental disorders, any patient group, children and adolescents, and in students, no significant differences from pre- to during pandemic were found (2 reviews; SMD’s ranging from −0.16 to 0.48). In 116 reviews pooled cross-sectional prevalence rates of depression, anxiety, and PTSD symptoms ranged from 9% to 48% across populations. Although heterogeneity between studies was high and largely unexplained, assessment tools and cut-offs used, age, sex or gender, and COVID-19 exposure factors were found to be moderators in some reviews. The major limitations are the inability to quantify and explain the high heterogeneity across reviews included and the shortage of within-person data from multiple longitudinal studies. Conclusions A small but consistent deterioration of mental health and particularly depression during early pandemic and during social restrictions has been found in the general population and in people with chronic somatic disorders. Also, associations between mental health and the pandemic were stronger in females and younger age groups than in others. Explanatory individual-level, COVID-19 exposure, and time-course factors were scarce and showed inconsistencies across reviews. For policy and research, repeated assessments of mental health in population panels including vulnerable individuals are recommended to respond to current and future health crises.","container-title":"PLOS Medicine","DOI":"10.1371/journal.pmed.1004206","ISSN":"1549-1676","issue":"4","journalAbbreviation":"PLOS Medicine","language":"en","note":"publisher: Public Library of Science","page":"e1004206","source":"PLoS Journals","title":"COVID-19 and common mental health symptoms in the early phase of the pandemic: An umbrella review of the evidence","title-short":"COVID-19 and common mental health symptoms in the early phase of the pandemic","volume":"20","author":[{"family":"Witteveen","given":"Anke B."},{"family":"Young","given":"Susanne Y."},{"family":"Cuijpers","given":"Pim"},{"family":"Ayuso-Mateos","given":"José Luis"},{"family":"Barbui","given":"Corrado"},{"family":"Bertolini","given":"Federico"},{"family":"Cabello","given":"Maria"},{"family":"Cadorin","given":"Camilla"},{"family":"Downes","given":"Naomi"},{"family":"Franzoi","given":"Daniele"},{"family":"Gasior","given":"Michael"},{"family":"Gray","given":"Brandon"},{"family":"Melchior","given":"Maria"},{"family":"Ommeren","given":"Mark","dropping-particle":"van"},{"family":"Palantza","given":"Christina"},{"family":"Purgato","given":"Marianna"},{"family":"Waerden","given":"Judith","dropping-particle":"van der"},{"family":"Wang","given":"Siyuan"},{"family":"Sijbrandij","given":"Marit"}],"issued":{"date-parts":[["2023",4,25]]}},"label":"page"},{"id":755,"uris":["http://zotero.org/users/11004987/items/HS62FWGS"],"itemData":{"id":755,"type":"article-journal","abstract":"Objective To synthesise results of mental health outcomes in cohorts before and during the covid-19 pandemic.\nDesign Systematic review.\nData sources Medline, PsycINFO, CINAHL, Embase, Web of Science, China National Knowledge Infrastructure, Wanfang, medRxiv, and Open Science Framework Preprints.\nEligibility criteria for selecting studies Studies comparing general mental health, anxiety symptoms, or depression symptoms assessed from 1 January 2020 or later with outcomes collected from 1 January 2018 to 31 December 2019 in any population, and comprising ≥90% of the same participants before and during the covid-19 pandemic or using statistical methods to account for missing data. Restricted maximum likelihood random effects meta-analyses (worse covid-19 outcomes representing positive change) were performed. Risk of bias was assessed using an adapted Joanna Briggs Institute Checklist for Prevalence Studies.\nResults As of 11 April 2022, 94 411 unique titles and abstracts including 137 unique studies from 134 cohorts were reviewed. Most of the studies were from high income (n=105, 77%) or upper middle income (n=28, 20%) countries. Among general population studies, no changes were found for general mental health (standardised mean difference (SMD)change 0.11, 95% confidence interval −0.00 to 0.22) or anxiety symptoms (0.05, −0.04 to 0.13), but depression symptoms worsened minimally (0.12, 0.01 to 0.24). Among women or female participants, general mental health (0.22, 0.08 to 0.35), anxiety symptoms (0.20, 0.12 to 0.29), and depression symptoms (0.22, 0.05 to 0.40) worsened by minimal to small amounts. In 27 other analyses across outcome domains among subgroups other than women or female participants, five analyses suggested that symptoms worsened by minimal or small amounts, and two suggested minimal or small improvements. No other subgroup experienced changes across all outcome domains. In three studies with data from March to April 2020 and late 2020, symptoms were unchanged from pre-covid-19 levels at both assessments or increased initially then returned to pre-covid-19 levels. Substantial heterogeneity and risk of bias were present across analyses.\nConclusions High risk of bias in many studies and substantial heterogeneity suggest caution in interpreting results. Nonetheless, most symptom change estimates for general mental health, anxiety symptoms, and depression symptoms were close to zero and not statistically significant, and significant changes were of minimal to small magnitudes. Small negative changes occurred for women or female participants in all domains. The authors will update the results of this systematic review as more evidence accrues, with study results posted online (https://www.depressd.ca/covid-19-mental-health).\nReview registration PROSPERO CRD42020179703.","container-title":"BMJ","DOI":"10.1136/bmj-2022-074224","ISSN":"1756-1833","journalAbbreviation":"BMJ","language":"en","license":"© Author(s) (or their employer(s)) 2019.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and the use is non-commercial. See: http://creativecommons.org/licenses/by-nc/4.0/.","note":"publisher: British Medical Journal Publishing Group\nsection: Research\nPMID: 36889797","page":"e074224","source":"www.bmj.com","title":"Comparison of mental health symptoms before and during the covid-19 pandemic: evidence from a systematic review and meta-analysis of 134 cohorts","title-short":"Comparison of mental health symptoms before and during the covid-19 pandemic","volume":"380","author":[{"family":"Sun","given":"Ying"},{"family":"Wu","given":"Yin"},{"family":"Fan","given":"Suiqiong"},{"family":"Santo","given":"Tiffany Dal"},{"family":"Li","given":"Letong"},{"family":"Jiang","given":"Xiaowen"},{"family":"Li","given":"Kexin"},{"family":"Wang","given":"Yutong"},{"family":"Tasleem","given":"Amina"},{"family":"Krishnan","given":"Ankur"},{"family":"He","given":"Chen"},{"family":"Bonardi","given":"Olivia"},{"family":"Boruff","given":"Jill T."},{"family":"Rice","given":"Danielle B."},{"family":"Markham","given":"Sarah"},{"family":"Levis","given":"Brooke"},{"family":"Azar","given":"Marleine"},{"family":"Thombs-Vite","given":"Ian"},{"family":"Neupane","given":"Dipika"},{"family":"Agic","given":"Branka"},{"family":"Fahim","given":"Christine"},{"family":"Martin","given":"Michael S."},{"family":"Sockalingam","given":"Sanjeev"},{"family":"Turecki","given":"Gustavo"},{"family":"Benedetti","given":"Andrea"},{"family":"Thombs","given":"Brett D."}],"issued":{"date-parts":[["2023",3,8]]}},"label":"page"},{"id":305,"uris":["http://zotero.org/users/11004987/items/YXXCYD9B"],"itemData":{"id":305,"type":"article-journal","abstract":"ObjectiveTo identify the factors affecting refugees and asylum seekers mental health and wellbeing during the COVID-19 pandemic.MethodsA narrative review of available international research literature from January 2020 to June 2021 was conducted to identify these factors.ResultsSeven factors were identified: pre-existing physical health vulnerabilities, pre-existing mental health vulnerabilities, environmental, social, cultural-specific, economic and legal/welfare challenges.ConclusionMultiple interacting bio-psycho-socio-economic-cultural-ecological factors lead to greater impact of COVID-19 pandemic on refugee and asylum seekers wellbeing than the general population.","container-title":"Australasian Psychiatry","DOI":"10.1177/10398562221131154","ISSN":"1039-8562","issue":"6","journalAbbreviation":"Australas Psychiatry","language":"en","note":"publisher: SAGE Publications Ltd","page":"728-731","source":"SAGE Journals","title":"The impact of the COVID-19 pandemic on the mental health and wellbeing of refugees and asylum seekers-A Narrative Review of the Literature","volume":"30","author":[{"family":"El Tatary","given":"Ghassan"},{"family":"Gill","given":"Neeraj"}],"issued":{"date-parts":[["2022",12,1]]}},"label":"page"}],"schema":"https://github.com/citation-style-language/schema/raw/master/csl-citation.json"} </w:instrText>
      </w:r>
      <w:r w:rsidRPr="000E28CF">
        <w:rPr>
          <w:rFonts w:ascii="Times New Roman" w:hAnsi="Times New Roman" w:cs="Times New Roman"/>
          <w:color w:val="000000"/>
          <w:sz w:val="20"/>
          <w:szCs w:val="20"/>
        </w:rPr>
        <w:fldChar w:fldCharType="separate"/>
      </w:r>
      <w:r w:rsidR="000E28CF" w:rsidRPr="000E28CF">
        <w:rPr>
          <w:rFonts w:ascii="Times New Roman" w:hAnsi="Times New Roman" w:cs="Times New Roman"/>
          <w:sz w:val="20"/>
        </w:rPr>
        <w:t>(9,14,15)</w:t>
      </w:r>
      <w:r w:rsidRPr="000E28CF">
        <w:rPr>
          <w:rFonts w:ascii="Times New Roman" w:hAnsi="Times New Roman" w:cs="Times New Roman"/>
          <w:color w:val="000000"/>
          <w:sz w:val="20"/>
          <w:szCs w:val="20"/>
        </w:rPr>
        <w:fldChar w:fldCharType="end"/>
      </w:r>
      <w:r w:rsidRPr="000E28CF">
        <w:rPr>
          <w:rFonts w:ascii="Times New Roman" w:hAnsi="Times New Roman" w:cs="Times New Roman"/>
          <w:color w:val="000000"/>
          <w:sz w:val="20"/>
          <w:szCs w:val="20"/>
        </w:rPr>
        <w:t>. V</w:t>
      </w:r>
      <w:r w:rsidRPr="000E28CF">
        <w:rPr>
          <w:rFonts w:ascii="Times New Roman" w:hAnsi="Times New Roman" w:cs="Times New Roman"/>
          <w:color w:val="000000" w:themeColor="text1"/>
          <w:sz w:val="20"/>
          <w:szCs w:val="20"/>
        </w:rPr>
        <w:t>arious pre- and postmigration factors,</w:t>
      </w:r>
      <w:r w:rsidRPr="000E28CF">
        <w:rPr>
          <w:rFonts w:ascii="Times New Roman" w:hAnsi="Times New Roman" w:cs="Times New Roman"/>
          <w:color w:val="000000"/>
          <w:sz w:val="20"/>
          <w:szCs w:val="20"/>
        </w:rPr>
        <w:t xml:space="preserve"> such as </w:t>
      </w:r>
      <w:r w:rsidRPr="000E28CF">
        <w:rPr>
          <w:rFonts w:ascii="Times New Roman" w:hAnsi="Times New Roman" w:cs="Times New Roman"/>
          <w:color w:val="000000" w:themeColor="text1"/>
          <w:sz w:val="20"/>
          <w:szCs w:val="20"/>
        </w:rPr>
        <w:t xml:space="preserve">traumatic experiences, lower socioeconomic status, lower labor market attachment, cultural and language barriers, poorer health literacy and likely discrimination are refugee-specific risk factors that may contribute to a higher vulnerability to mental ill-health </w:t>
      </w:r>
      <w:r w:rsidRPr="000E28CF">
        <w:rPr>
          <w:rFonts w:ascii="Times New Roman" w:hAnsi="Times New Roman" w:cs="Times New Roman"/>
          <w:color w:val="000000" w:themeColor="text1"/>
          <w:sz w:val="20"/>
          <w:szCs w:val="20"/>
        </w:rPr>
        <w:fldChar w:fldCharType="begin"/>
      </w:r>
      <w:r w:rsidRPr="000E28CF">
        <w:rPr>
          <w:rFonts w:ascii="Times New Roman" w:hAnsi="Times New Roman" w:cs="Times New Roman"/>
          <w:color w:val="000000" w:themeColor="text1"/>
          <w:sz w:val="20"/>
          <w:szCs w:val="20"/>
        </w:rPr>
        <w:instrText xml:space="preserve"> ADDIN ZOTERO_ITEM CSL_CITATION {"citationID":"XI6H3FC0","properties":{"formattedCitation":"(16,17)","plainCitation":"(16,17)","noteIndex":0},"citationItems":[{"id":300,"uris":["http://zotero.org/users/11004987/items/JZQ5XHXY"],"itemData":{"id":300,"type":"article-journal","abstract":"Background Refugee immigrants have poorer health than other immigrant groups but little is known about their mortality. A comparison of mortality among refugees and non-refugee immigrants is liable to exaggerate the former if the latter includes labour migrants, whose mortality risk may be lower than that of the general population. To avoid bias, labour migrants are not included in this study. The aim was to investigate mortality risks among refugees compared with non-labour non-refugee immigrants in Sweden.Methods Population-based cohort design, starting 1 January 1998 and ending with death or censoring 31 December 2006. Persons included in the study were those aged 18–64 years, had received a residence permit in Sweden 1992–98 and were defined by the Swedish Board of Migration as either a refugee or a non-labour non-refugee immigrant. The outcomes were all-cause and cause-specific mortalities and the main exposure was being a refugee. Cox-regression models estimated hazard ratios (HRs) of mortality.Results The study population totalled 86 395 persons, 49.3% women, 24.2 % refugees. Adjusted for age and origin, refugee men had an over-risk of cardiovascular mortality (HR = 1.58, 95% CI = 1.08–2.33). With socio-economic factors added to the model, refugee men still had an over-risk mortality in cardiovascular disease (HR = 1.53, 95% CI = 1.04–2.24) and external causes (HR = 1.59, 95% CI = 1.01–2.50).Conclusion Refugee men in Sweden have a higher mortality risk in cardiovascular and external causes compared with male non-labour non-refugee immigrants. This study suggests that the refugee experience resembles other stressors in terms of the association with cardiovascular mortality.","container-title":"International Journal of Epidemiology","DOI":"10.1093/ije/dys072","ISSN":"0300-5771","issue":"4","journalAbbreviation":"International Journal of Epidemiology","page":"1153-1161","source":"Silverchair","title":"Longitudinal study of mortality among refugees in Sweden","volume":"41","author":[{"family":"Hollander","given":"Anna-Clara"},{"family":"Bruce","given":"Daniel"},{"family":"Ekberg","given":"Jan"},{"family":"Burström","given":"Bo"},{"family":"Borrell","given":"Carme"},{"family":"Ekblad","given":"Solvig"}],"issued":{"date-parts":[["2012",8,1]]}},"label":"page"},{"id":391,"uris":["http://zotero.org/users/11004987/items/4CU7G77E"],"itemData":{"id":391,"type":"article-journal","abstract":"This study aimed to assess the role of refugee status and specific mental disorders regarding subsequent labour market marginalisation.","container-title":"Social Psychiatry and Psychiatric Epidemiology","DOI":"10.1007/s00127-020-01842-8","ISSN":"1433-9285","issue":"6","journalAbbreviation":"Soc Psychiatry Psychiatr Epidemiol","language":"en","page":"697-704","source":"Springer Link","title":"The role of refugee status and mental disorders regarding subsequent labour market marginalisation: a register study from Sweden","title-short":"The role of refugee status and mental disorders regarding subsequent labour market marginalisation","volume":"55","author":[{"family":"Niederkrotenthaler","given":"Thomas"},{"family":"Mittendorfer-Rutz","given":"Ellenor"},{"family":"Saboonchi","given":"Fredrik"},{"family":"Helgesson","given":"Magnus"}],"issued":{"date-parts":[["2020",6,1]]}},"label":"page"}],"schema":"https://github.com/citation-style-language/schema/raw/master/csl-citation.json"} </w:instrText>
      </w:r>
      <w:r w:rsidRPr="000E28CF">
        <w:rPr>
          <w:rFonts w:ascii="Times New Roman" w:hAnsi="Times New Roman" w:cs="Times New Roman"/>
          <w:color w:val="000000" w:themeColor="text1"/>
          <w:sz w:val="20"/>
          <w:szCs w:val="20"/>
        </w:rPr>
        <w:fldChar w:fldCharType="separate"/>
      </w:r>
      <w:r w:rsidR="000E28CF" w:rsidRPr="000E28CF">
        <w:rPr>
          <w:rFonts w:ascii="Times New Roman" w:hAnsi="Times New Roman" w:cs="Times New Roman"/>
          <w:sz w:val="20"/>
        </w:rPr>
        <w:t>(16,17)</w:t>
      </w:r>
      <w:r w:rsidRPr="000E28CF">
        <w:rPr>
          <w:rFonts w:ascii="Times New Roman" w:hAnsi="Times New Roman" w:cs="Times New Roman"/>
          <w:color w:val="000000" w:themeColor="text1"/>
          <w:sz w:val="20"/>
          <w:szCs w:val="20"/>
        </w:rPr>
        <w:fldChar w:fldCharType="end"/>
      </w:r>
      <w:r w:rsidRPr="000E28CF">
        <w:rPr>
          <w:rFonts w:ascii="Times New Roman" w:hAnsi="Times New Roman" w:cs="Times New Roman"/>
          <w:color w:val="000000" w:themeColor="text1"/>
          <w:sz w:val="20"/>
          <w:szCs w:val="20"/>
        </w:rPr>
        <w:t>.</w:t>
      </w:r>
      <w:r w:rsidRPr="000E28CF">
        <w:rPr>
          <w:rFonts w:ascii="Times New Roman" w:hAnsi="Times New Roman" w:cs="Times New Roman"/>
          <w:color w:val="000000"/>
          <w:sz w:val="20"/>
          <w:szCs w:val="20"/>
        </w:rPr>
        <w:t xml:space="preserve"> </w:t>
      </w:r>
    </w:p>
    <w:p w14:paraId="18994800" w14:textId="3EB1AD30" w:rsidR="00CD7E5F" w:rsidRPr="000E28CF" w:rsidRDefault="00CD7E5F" w:rsidP="00CD7E5F">
      <w:pPr>
        <w:spacing w:line="360" w:lineRule="auto"/>
        <w:rPr>
          <w:rFonts w:ascii="Times New Roman" w:hAnsi="Times New Roman" w:cs="Times New Roman"/>
          <w:color w:val="000000"/>
          <w:sz w:val="20"/>
          <w:szCs w:val="20"/>
        </w:rPr>
      </w:pPr>
      <w:r w:rsidRPr="000E28CF">
        <w:rPr>
          <w:rFonts w:ascii="Times New Roman" w:hAnsi="Times New Roman" w:cs="Times New Roman"/>
          <w:color w:val="000000" w:themeColor="text1"/>
          <w:sz w:val="20"/>
          <w:szCs w:val="20"/>
        </w:rPr>
        <w:t xml:space="preserve">Despite having a higher prevalence of CMDs compared to the host population, refugees underutilize mental health care services </w:t>
      </w:r>
      <w:r w:rsidRPr="000E28CF">
        <w:rPr>
          <w:rFonts w:ascii="Times New Roman" w:hAnsi="Times New Roman" w:cs="Times New Roman"/>
          <w:color w:val="000000" w:themeColor="text1"/>
          <w:sz w:val="20"/>
          <w:szCs w:val="20"/>
        </w:rPr>
        <w:fldChar w:fldCharType="begin"/>
      </w:r>
      <w:r w:rsidRPr="000E28CF">
        <w:rPr>
          <w:rFonts w:ascii="Times New Roman" w:hAnsi="Times New Roman" w:cs="Times New Roman"/>
          <w:color w:val="000000" w:themeColor="text1"/>
          <w:sz w:val="20"/>
          <w:szCs w:val="20"/>
        </w:rPr>
        <w:instrText xml:space="preserve"> ADDIN ZOTERO_ITEM CSL_CITATION {"citationID":"sCMZGHKq","properties":{"formattedCitation":"(18)","plainCitation":"(18)","noteIndex":0},"citationItems":[{"id":285,"uris":["http://zotero.org/users/11004987/items/BC6YJZ6E"],"itemData":{"id":285,"type":"article-journal","abstract":"BackgroundThe study aimed to examine differences in, and characteristics of psychiatric care utilization in young refugees who came to Sweden as unaccompanied or accompanied minors, compared with that of their non-refugee immigrant and Swedish-born peers.MethodsThis register-linkage cohort study included 746 688 individuals between 19 and 25 years of age in 2009, whereof 32 481 were refugees (2896 unaccompanied and 29 585 accompanied) and 32 151 non-refugee immigrants. Crude and multivariate Cox regression models yielding hazard ratios (HR) and 95% confidence intervals (CI) were conducted to investigate subsequent psychiatric care utilization for specific disorders, duration of residence and age at migration.ResultsThe adjusted HRs for psychiatric care utilization due to any mental disorder was significantly lower in both non-refugee and refugee immigrants when compared to Swedish-born [aHR: 0.78 (95% CI 0.76–0.81) and 0.75 (95% CI 0.72–0.77, respectively)]. Within the refugee group, unaccompanied had slightly lower adjusted risk estimates than accompanied. This pattern was similar for all specific mental disorders except for higher rates in schizophrenia, reaction to severe stress/adjustment disorders and post-traumatic stress disorder. Psychiatric health care utilization was also higher in immigrants with more than 10 years of residency in Sweden entering the country being younger than 6 years of age.ConclusionsFor most mental disorders, psychiatric health care utilization in young refugees and non-refugee immigrants was lower than in their Swedish-born peers; exceptions are schizophrenia and stress-related disorders. Arrival in Sweden before the age of 6 years was associated with higher rates of overall psychiatric care utilization.","container-title":"Psychological Medicine","DOI":"10.1017/S0033291720003190","ISSN":"0033-2917, 1469-8978","issue":"7","language":"en","note":"publisher: Cambridge University Press","page":"1365-1375","source":"Cambridge University Press","title":"Differences in psychiatric care utilization between refugees, non-refugee migrants and Swedish-born youth","volume":"52","author":[{"family":"Björkenstam","given":"Emma"},{"family":"Helgesson","given":"Magnus"},{"family":"Norredam","given":"Marie"},{"family":"Sijbrandij","given":"Marit"},{"family":"Montgomery","given":"Christopher Jamil","dropping-particle":"de"},{"family":"Mittendorfer-Rutz","given":"Ellenor"}],"issued":{"date-parts":[["2022",5]]}}}],"schema":"https://github.com/citation-style-language/schema/raw/master/csl-citation.json"} </w:instrText>
      </w:r>
      <w:r w:rsidRPr="000E28CF">
        <w:rPr>
          <w:rFonts w:ascii="Times New Roman" w:hAnsi="Times New Roman" w:cs="Times New Roman"/>
          <w:color w:val="000000" w:themeColor="text1"/>
          <w:sz w:val="20"/>
          <w:szCs w:val="20"/>
        </w:rPr>
        <w:fldChar w:fldCharType="separate"/>
      </w:r>
      <w:r w:rsidR="000E28CF" w:rsidRPr="000E28CF">
        <w:rPr>
          <w:rFonts w:ascii="Times New Roman" w:hAnsi="Times New Roman" w:cs="Times New Roman"/>
          <w:sz w:val="20"/>
        </w:rPr>
        <w:t>(18)</w:t>
      </w:r>
      <w:r w:rsidRPr="000E28CF">
        <w:rPr>
          <w:rFonts w:ascii="Times New Roman" w:hAnsi="Times New Roman" w:cs="Times New Roman"/>
          <w:color w:val="000000" w:themeColor="text1"/>
          <w:sz w:val="20"/>
          <w:szCs w:val="20"/>
        </w:rPr>
        <w:fldChar w:fldCharType="end"/>
      </w:r>
      <w:r w:rsidRPr="000E28CF">
        <w:rPr>
          <w:rFonts w:ascii="Times New Roman" w:hAnsi="Times New Roman" w:cs="Times New Roman"/>
          <w:color w:val="000000" w:themeColor="text1"/>
          <w:sz w:val="20"/>
          <w:szCs w:val="20"/>
        </w:rPr>
        <w:t xml:space="preserve"> due to a number of </w:t>
      </w:r>
      <w:r w:rsidRPr="000E28CF">
        <w:rPr>
          <w:rFonts w:ascii="Times New Roman" w:hAnsi="Times New Roman" w:cs="Times New Roman"/>
          <w:sz w:val="20"/>
          <w:szCs w:val="20"/>
        </w:rPr>
        <w:t xml:space="preserve">barriers such as language problems, stigma related to mental disorders and restrictions to health care in the host country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{"citationID":"47LPijzO","properties":{"formattedCitation":"(19)","plainCitation":"(19)","noteIndex":0},"citationItems":[{"id":262,"uris":["http://zotero.org/users/11004987/items/P743GD7V"],"itemData":{"id":262,"type":"article-journal","abstract":"Background\nRefugees and asylum seekers often have increased mental health needs, yet may face barriers in accessing mental health and psychosocial support (MHPSS) services in destination countries. The aim of this systematic review is to examine evidence on MHPSS service utilisation and access among refugees and asylum seekers in European Union Single Market countries.\nMethods\nFour peer-reviewed and eight grey literature databases were searched for quantitative and qualitative literature from 2007 to 2017. Access was categorised according to Penchansky and Thomas’ framework and descriptive analyses were conducted. Quality of studies was assessed by the Newcastle-Ottawa scale and the Critical Appraisal Skills Programme checklist.\nResults\nTwenty-seven articles were included. The findings suggest inadequate MHPSS utilisation. Major barriers to accessing care included language, help-seeking behaviours, lack of awareness, stigma, and negative attitudes towards and by providers.\nConclusions\nRefugees and asylum seekers have high mental health needs but under-utilise services in European host countries. This underutilisation may be explained by cultural-specific barriers which need to be tackled to increase treatment demand. Training health providers on cultural models of mental illness may facilitate appropriate identification, referral, and care. Based on these findings, it is crucial to review policies regarding MHPSS provision across the EU.","collection-title":"Health policies and mixed migration – lessons learnt from the ‘European refugee crisis’","container-title":"Health Policy","DOI":"10.1016/j.healthpol.2019.02.007","ISSN":"0168-8510","issue":"9","journalAbbreviation":"Health Policy","language":"en","page":"851-863","source":"ScienceDirect","title":"Mental health care utilisation and access among refugees and asylum seekers in Europe: A systematic review","title-short":"Mental health care utilisation and access among refugees and asylum seekers in Europe","volume":"123","author":[{"family":"Satinsky","given":"Emily"},{"family":"Fuhr","given":"Daniela C."},{"family":"Woodward","given":"Aniek"},{"family":"Sondorp","given":"Egbert"},{"family":"Roberts","given":"Bayard"}],"issued":{"date-parts":[["2019",9,1]]}}}],"schema":"https://github.com/citation-style-language/schema/raw/master/csl-citation.json"}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(19)</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Lack of knowledge of the health care system in the host country and differences in the experience and expression of mental disorders in the country of origin additionally contribute to lower levels of health care seeking of refugees with mental health complaints. It is likely that use of mental health care was additionally adversely affected in refugees by the changes in services provision during the pandemic, which occurred d</w:t>
      </w:r>
      <w:r w:rsidRPr="000E28CF">
        <w:rPr>
          <w:rFonts w:ascii="Times New Roman" w:eastAsia="Times New Roman" w:hAnsi="Times New Roman" w:cs="Times New Roman"/>
          <w:color w:val="272727"/>
          <w:sz w:val="20"/>
          <w:szCs w:val="20"/>
          <w:lang w:eastAsia="en-GB"/>
        </w:rPr>
        <w:t xml:space="preserve">espite efforts in compensating pandemic-related disruptions in services by providing telemedicine services </w:t>
      </w:r>
      <w:r w:rsidRPr="000E28CF">
        <w:rPr>
          <w:rFonts w:ascii="Times New Roman" w:eastAsia="Times New Roman" w:hAnsi="Times New Roman" w:cs="Times New Roman"/>
          <w:color w:val="272727"/>
          <w:sz w:val="20"/>
          <w:szCs w:val="20"/>
          <w:lang w:eastAsia="en-GB"/>
        </w:rPr>
        <w:fldChar w:fldCharType="begin"/>
      </w:r>
      <w:r w:rsidRPr="000E28CF">
        <w:rPr>
          <w:rFonts w:ascii="Times New Roman" w:eastAsia="Times New Roman" w:hAnsi="Times New Roman" w:cs="Times New Roman"/>
          <w:color w:val="272727"/>
          <w:sz w:val="20"/>
          <w:szCs w:val="20"/>
          <w:lang w:eastAsia="en-GB"/>
        </w:rPr>
        <w:instrText xml:space="preserve"> ADDIN ZOTERO_ITEM CSL_CITATION {"citationID":"tksQYQcY","properties":{"formattedCitation":"(4,5,20)","plainCitation":"(4,5,20)","noteIndex":0},"citationItems":[{"id":1111,"uris":["http://zotero.org/users/11004987/items/ARQT53BU","http://zotero.org/users/11004987/items/TG2UIRJX"],"itemData":{"id":1111,"type":"article-journal","abstract":"Mitigating the COVID-19 related disruptions in mental health care services is crucial in a time of increased mental health disorders. Numerous reviews have been conducted on the process of implementing technology-based mental health care during the pandemic. The research question of this umbrella review was to examine what the impact of COVID-19 was on access and delivery of mental health services and how mental health services have changed during the pandemic. A systematic search for systematic reviews and meta-analyses was conducted up to August 12, 2022, and 38 systematic reviews were identified. Main disruptions during COVID-19 were reduced access to outpatient mental health care and reduced admissions and earlier discharge from inpatient care. In response, synchronous telemental health tools such as videoconferencing were used to provide remote care similar to pre-COVID care, and to a lesser extent asynchronous virtual mental health tools such as apps. Implementation of synchronous tools were facilitated by time-efficiency and flexibility during the pandemic but there was a lack of accessibility for specific vulnerable populations. Main barriers among practitioners and patients to use digital mental health tools were poor technological literacy, particularly when preexisting inequalities existed, and beliefs about reduced therapeutic alliance particularly in case of severe mental disorders. Absence of organizational support for technological implementation of digital mental health interventions due to inadequate IT infrastructure, lack of funding, as well as lack of privacy and safety, challenged implementation during COVID-19. Reviews were of low to moderate quality, covered heterogeneously designed primary studies and lacked findings of implementation in low- and middle-income countries. These gaps in the evidence were particularly prevalent in studies conducted early in the pandemic. This umbrella review shows that during the COVID-19 pandemic, practitioners and mental health care institutions mainly used synchronous telemental health tools, and to a lesser degree asynchronous tools to enable continued access to mental health care for patients. Numerous barriers to these tools were identified, and call for further improvements. In addition, more high quality research into comparative effectiveness and working mechanisms may improve scalability of mental health care in general and in future infectious disease outbreaks.","container-title":"Behaviour Research and Therapy","DOI":"10.1016/j.brat.2022.104226","ISSN":"0005-7967","journalAbbreviation":"Behaviour Research and Therapy","language":"en","page":"104226","source":"ScienceDirect","title":"Remote mental health care interventions during the COVID-19 pandemic: An umbrella review","title-short":"Remote mental health care interventions during the COVID-19 pandemic","volume":"159","author":[{"family":"Witteveen","given":"A. B."},{"family":"Young","given":"S."},{"family":"Cuijpers","given":"P."},{"family":"Ayuso-Mateos","given":"J. L."},{"family":"Barbui","given":"C."},{"family":"Bertolini","given":"F."},{"family":"Cabello","given":"M."},{"family":"Cadorin","given":"C."},{"family":"Downes","given":"N."},{"family":"Franzoi","given":"D."},{"family":"Gasior","given":"M."},{"family":"John","given":"A."},{"family":"Melchior","given":"M."},{"family":"McDaid","given":"D."},{"family":"Palantza","given":"C."},{"family":"Purgato","given":"M."},{"family":"Van der Waerden","given":"J."},{"family":"Wang","given":"S."},{"family":"Sijbrandij","given":"M."}],"issued":{"date-parts":[["2022",12,1]]}},"label":"page"},{"id":429,"uris":["http://zotero.org/users/11004987/items/LY9SI3TB"],"itemData":{"id":429,"type":"report","event-place":"Geneva","number":"978-92-4-001245-5","publisher-place":"Geneva","title":"The impact of COVID-19 on  mental, neurological and  substance use services:  results of a rapid assessment","author":[{"literal":"World Health Organization"}],"issued":{"date-parts":[["2020"]]}},"label":"page"},{"id":390,"uris":["http://zotero.org/users/11004987/items/BQSW2TAE"],"itemData":{"id":390,"type":"webpage","abstract":"In the first year of the COVID-19 pandemic, global prevalence of anxiety and depression increased by a massive 25%, according to a scientific brief released by the World Health Organization (WHO) today.","language":"en","title":"COVID-19 pandemic triggers 25% increase in prevalence of anxiety and depression worldwide","URL":"https://www.who.int/news/item/02-03-2022-covid-19-pandemic-triggers-25-increase-in-prevalence-of-anxiety-and-depression-worldwide","author":[{"family":"World Health Organization","given":""}],"accessed":{"date-parts":[["2023",9,12]]}},"label":"page"}],"schema":"https://github.com/citation-style-language/schema/raw/master/csl-citation.json"} </w:instrText>
      </w:r>
      <w:r w:rsidRPr="000E28CF">
        <w:rPr>
          <w:rFonts w:ascii="Times New Roman" w:eastAsia="Times New Roman" w:hAnsi="Times New Roman" w:cs="Times New Roman"/>
          <w:color w:val="272727"/>
          <w:sz w:val="20"/>
          <w:szCs w:val="20"/>
          <w:lang w:eastAsia="en-GB"/>
        </w:rPr>
        <w:fldChar w:fldCharType="separate"/>
      </w:r>
      <w:r w:rsidR="000E28CF" w:rsidRPr="000E28CF">
        <w:rPr>
          <w:rFonts w:ascii="Times New Roman" w:hAnsi="Times New Roman" w:cs="Times New Roman"/>
          <w:sz w:val="20"/>
        </w:rPr>
        <w:t>(4,5,20)</w:t>
      </w:r>
      <w:r w:rsidRPr="000E28CF">
        <w:rPr>
          <w:rFonts w:ascii="Times New Roman" w:eastAsia="Times New Roman" w:hAnsi="Times New Roman" w:cs="Times New Roman"/>
          <w:color w:val="272727"/>
          <w:sz w:val="20"/>
          <w:szCs w:val="20"/>
          <w:lang w:eastAsia="en-GB"/>
        </w:rPr>
        <w:fldChar w:fldCharType="end"/>
      </w:r>
      <w:r w:rsidRPr="000E28CF">
        <w:rPr>
          <w:rFonts w:ascii="Times New Roman" w:eastAsia="Times New Roman" w:hAnsi="Times New Roman" w:cs="Times New Roman"/>
          <w:color w:val="272727"/>
          <w:sz w:val="20"/>
          <w:szCs w:val="20"/>
          <w:lang w:eastAsia="en-GB"/>
        </w:rPr>
        <w:t xml:space="preserve">. It is, however, also possible that the mental health care use during the pandemic increased in refugees. One reason for such an increase might be the pandemic’s strong effect on labor market marginalization, which is more prevalent among refugees than in the host population. </w:t>
      </w:r>
      <w:r w:rsidRPr="000E28CF">
        <w:rPr>
          <w:rFonts w:ascii="Times New Roman" w:hAnsi="Times New Roman" w:cs="Times New Roman"/>
          <w:color w:val="000000"/>
          <w:sz w:val="20"/>
          <w:szCs w:val="20"/>
        </w:rPr>
        <w:t xml:space="preserve">Due to the known link between labor market marginalization and poor mental health, refugees’ mental health might have been unevenly adversely affected and, in turn, might have resulted in increased mental health care use </w:t>
      </w:r>
      <w:r w:rsidRPr="000E28CF">
        <w:rPr>
          <w:rFonts w:ascii="Times New Roman" w:hAnsi="Times New Roman" w:cs="Times New Roman"/>
          <w:color w:val="000000"/>
          <w:sz w:val="20"/>
          <w:szCs w:val="20"/>
        </w:rPr>
        <w:fldChar w:fldCharType="begin"/>
      </w:r>
      <w:r w:rsidRPr="000E28CF">
        <w:rPr>
          <w:rFonts w:ascii="Times New Roman" w:hAnsi="Times New Roman" w:cs="Times New Roman"/>
          <w:color w:val="000000"/>
          <w:sz w:val="20"/>
          <w:szCs w:val="20"/>
        </w:rPr>
        <w:instrText xml:space="preserve"> ADDIN ZOTERO_ITEM CSL_CITATION {"citationID":"1JdLaHGp","properties":{"formattedCitation":"(4,21\\uc0\\u8211{}23)","plainCitation":"(4,21–23)","noteIndex":0},"citationItems":[{"id":1111,"uris":["http://zotero.org/users/11004987/items/ARQT53BU","http://zotero.org/users/11004987/items/TG2UIRJX"],"itemData":{"id":1111,"type":"article-journal","abstract":"Mitigating the COVID-19 related disruptions in mental health care services is crucial in a time of increased mental health disorders. Numerous reviews have been conducted on the process of implementing technology-based mental health care during the pandemic. The research question of this umbrella review was to examine what the impact of COVID-19 was on access and delivery of mental health services and how mental health services have changed during the pandemic. A systematic search for systematic reviews and meta-analyses was conducted up to August 12, 2022, and 38 systematic reviews were identified. Main disruptions during COVID-19 were reduced access to outpatient mental health care and reduced admissions and earlier discharge from inpatient care. In response, synchronous telemental health tools such as videoconferencing were used to provide remote care similar to pre-COVID care, and to a lesser extent asynchronous virtual mental health tools such as apps. Implementation of synchronous tools were facilitated by time-efficiency and flexibility during the pandemic but there was a lack of accessibility for specific vulnerable populations. Main barriers among practitioners and patients to use digital mental health tools were poor technological literacy, particularly when preexisting inequalities existed, and beliefs about reduced therapeutic alliance particularly in case of severe mental disorders. Absence of organizational support for technological implementation of digital mental health interventions due to inadequate IT infrastructure, lack of funding, as well as lack of privacy and safety, challenged implementation during COVID-19. Reviews were of low to moderate quality, covered heterogeneously designed primary studies and lacked findings of implementation in low- and middle-income countries. These gaps in the evidence were particularly prevalent in studies conducted early in the pandemic. This umbrella review shows that during the COVID-19 pandemic, practitioners and mental health care institutions mainly used synchronous telemental health tools, and to a lesser degree asynchronous tools to enable continued access to mental health care for patients. Numerous barriers to these tools were identified, and call for further improvements. In addition, more high quality research into comparative effectiveness and working mechanisms may improve scalability of mental health care in general and in future infectious disease outbreaks.","container-title":"Behaviour Research and Therapy","DOI":"10.1016/j.brat.2022.104226","ISSN":"0005-7967","journalAbbreviation":"Behaviour Research and Therapy","language":"en","page":"104226","source":"ScienceDirect","title":"Remote mental health care interventions during the COVID-19 pandemic: An umbrella review","title-short":"Remote mental health care interventions during the COVID-19 pandemic","volume":"159","author":[{"family":"Witteveen","given":"A. B."},{"family":"Young","given":"S."},{"family":"Cuijpers","given":"P."},{"family":"Ayuso-Mateos","given":"J. L."},{"family":"Barbui","given":"C."},{"family":"Bertolini","given":"F."},{"family":"Cabello","given":"M."},{"family":"Cadorin","given":"C."},{"family":"Downes","given":"N."},{"family":"Franzoi","given":"D."},{"family":"Gasior","given":"M."},{"family":"John","given":"A."},{"family":"Melchior","given":"M."},{"family":"McDaid","given":"D."},{"family":"Palantza","given":"C."},{"family":"Purgato","given":"M."},{"family":"Van der Waerden","given":"J."},{"family":"Wang","given":"S."},{"family":"Sijbrandij","given":"M."}],"issued":{"date-parts":[["2022",12,1]]}},"label":"page"},{"id":307,"uris":["http://zotero.org/users/11004987/items/44S357KV"],"itemData":{"id":307,"type":"article-journal","abstract":"Refugees are among the world’s most vulnerable people, and COVID-19 presents novel threats to their well-being. Suspension of resettlement prolongs persecution for those accepted but not yet relocated to a host country and delays family reunification. For new arrivals, pandemic-related modifications to resettlement services impair smooth transitions. Refugees are additionally more vulnerable to economic hardship, COVID-19 infection, and mental illness exacerbations. Communication barriers make telehealth access uniquely difficult, and children lose the school environment that is essential for their adaptation in a new country. Providers can mitigate pandemic-related harms by assessing barriers, disseminating information, and advocating for inclusive policies.","container-title":"Primary Care","DOI":"10.1016/j.pop.2020.10.001","ISSN":"0095-4543","issue":"1","journalAbbreviation":"Prim Care","note":"PMID: 33516424\nPMCID: PMC7538065","page":"57-66","source":"PubMed Central","title":"Impact of COVID-19 on Resettled Refugees","volume":"48","author":[{"family":"Brickhill-Atkinson","given":"Micah"},{"family":"Hauck","given":"Fern R."}],"issued":{"date-parts":[["2021",3]]}},"label":"page"},{"id":234,"uris":["http://zotero.org/users/11004987/items/ZYA3JW52"],"itemData":{"id":234,"type":"article-journal","abstract":"Background The aim was to elucidate if the risk of labour market marginalisation (LMM), measured as long-term unemployment, long-term sickness absence, disability pension and a combined measure of these three measures, differed between refugees and non-refugee migrants with different regions of birth compared with native Swedes.\nMethods All non-pensioned individuals aged 19–60 years who were resident in Sweden on 31 December 2009 were included (n=4 441 813, whereof 216 930 refugees). HRs with 95% CIs were computed by Cox regression models with competing risks and time-dependent covariates with a follow-up period of 2010–2013.\nResults Refugees had in general a doubled risk (HR: 2.0, 95% CI 1.9 to 2.0) and non-refugee migrants had 70% increased risk (HR: 1.7, 95% CI 1.7 to 1.7) of the combined measure of LMM compared with native Swedes. Refugees from Somalia (HR: 2.7, 95% CI 2.6 to 2.8) and Syria (HR: 2.5, 95% CI 2.5 to 2.6) had especially high risk estimates of LMM, mostly due to high risk estimates of long-term unemployment (HR: 3.4, 95% CI 3.3 to 3.5 and HR: 3.2, 95% CI 3.1 to 3.2). African (HR: 0.7, 95% CI 0.6 to 0.7) and Asian (HR: 1.0, 95% CI 1.0 to 1.1) refugees had relatively low risk estimates of long-term sickness absence compared with other refugee groups. Refugees from Europe had the highest risk estimates of disability pension (HR: 1.9, 95% CI 1.8 to 2.0) compared with native Swedes.\nConclusion Refugees had in general a higher risk of all measures of LMM compared with native Swedes. There were, however, large differences in risk estimates of LMM between subgroups of refugees and with regard to type of LMM. Actions addressing differences between subgroups of refugees is therefore crucial in order to ensure that refugees can obtain as well as retain a position on the labour market.","container-title":"J Epidemiol Community Health","DOI":"10.1136/jech-2018-211177","ISSN":"0143-005X, 1470-2738","issue":"5","journalAbbreviation":"J Epidemiol Community Health","language":"en","license":"© Author(s) (or their employer(s)) 2019. No commercial re-use. See rights and permissions. Published by BMJ.","note":"publisher: BMJ Publishing Group Ltd\nsection: Research report\nPMID: 30755462","page":"407-415","source":"jech.bmj.com","title":"Labour market marginalisation among refugees from different countries of birth: a prospective cohort study on refugees to Sweden","title-short":"Labour market marginalisation among refugees from different countries of birth","volume":"73","author":[{"family":"Helgesson","given":"Magnus"},{"family":"Wang","given":"Mo"},{"family":"Niederkrotenthaler","given":"Thomas"},{"family":"Saboonchi","given":"Fredrik"},{"family":"Mittendorfer-Rutz","given":"Ellenor"}],"issued":{"date-parts":[["2019",5,1]]}},"label":"page"},{"id":601,"uris":["http://zotero.org/users/11004987/items/HSG6LMTP"],"itemData":{"id":601,"type":"webpage","abstract":"Chapter 1  of the World Development Report 2022: Finance for an Equitable Recovery— a World Bank flagship report—discusses the economic impacts of the COVID-19 crisis.","container-title":"World Bank","genre":"Text/HTML","language":"en","title":"Chapter 1. The economic impacts of the COVID-19 crisis","URL":"https://www.worldbank.org/en/publication/wdr2022/brief/chapter-1-introduction-the-economic-impacts-of-the-covid-19-crisis","author":[{"family":"The World Bank","given":""}],"accessed":{"date-parts":[["2023",5,4]]}},"label":"page"}],"schema":"https://github.com/citation-style-language/schema/raw/master/csl-citation.json"} </w:instrText>
      </w:r>
      <w:r w:rsidRPr="000E28CF">
        <w:rPr>
          <w:rFonts w:ascii="Times New Roman" w:hAnsi="Times New Roman" w:cs="Times New Roman"/>
          <w:color w:val="000000"/>
          <w:sz w:val="20"/>
          <w:szCs w:val="20"/>
        </w:rPr>
        <w:fldChar w:fldCharType="separate"/>
      </w:r>
      <w:r w:rsidR="000E28CF" w:rsidRPr="000E28CF">
        <w:rPr>
          <w:rFonts w:ascii="Times New Roman" w:hAnsi="Times New Roman" w:cs="Times New Roman"/>
          <w:sz w:val="20"/>
        </w:rPr>
        <w:t>(4,21–23)</w:t>
      </w:r>
      <w:r w:rsidRPr="000E28CF">
        <w:rPr>
          <w:rFonts w:ascii="Times New Roman" w:hAnsi="Times New Roman" w:cs="Times New Roman"/>
          <w:color w:val="000000"/>
          <w:sz w:val="20"/>
          <w:szCs w:val="20"/>
        </w:rPr>
        <w:fldChar w:fldCharType="end"/>
      </w:r>
      <w:r w:rsidRPr="000E28CF">
        <w:rPr>
          <w:rFonts w:ascii="Times New Roman" w:hAnsi="Times New Roman" w:cs="Times New Roman"/>
          <w:color w:val="000000"/>
          <w:sz w:val="20"/>
          <w:szCs w:val="20"/>
        </w:rPr>
        <w:t xml:space="preserve">. Furthermore, this negative effect on mental health might be even more pronounced among refugees who were in a more socially deprived position at the beginning of the pandemic. For instance, refugees already marginalized in the labor market, such as on long-term unemployment or on disability pension or having low level of education, as these factors are associated with poor mental health and are more prevalent in refugees compared with Swedish-born </w:t>
      </w:r>
      <w:r w:rsidRPr="000E28CF">
        <w:rPr>
          <w:rFonts w:ascii="Times New Roman" w:hAnsi="Times New Roman" w:cs="Times New Roman"/>
          <w:color w:val="000000"/>
          <w:sz w:val="20"/>
          <w:szCs w:val="20"/>
        </w:rPr>
        <w:fldChar w:fldCharType="begin"/>
      </w:r>
      <w:r w:rsidRPr="000E28CF">
        <w:rPr>
          <w:rFonts w:ascii="Times New Roman" w:hAnsi="Times New Roman" w:cs="Times New Roman"/>
          <w:color w:val="000000"/>
          <w:sz w:val="20"/>
          <w:szCs w:val="20"/>
        </w:rPr>
        <w:instrText xml:space="preserve"> ADDIN ZOTERO_ITEM CSL_CITATION {"citationID":"AJO861J8","properties":{"formattedCitation":"(15,22)","plainCitation":"(15,22)","noteIndex":0},"citationItems":[{"id":305,"uris":["http://zotero.org/users/11004987/items/YXXCYD9B"],"itemData":{"id":305,"type":"article-journal","abstract":"ObjectiveTo identify the factors affecting refugees and asylum seekers mental health and wellbeing during the COVID-19 pandemic.MethodsA narrative review of available international research literature from January 2020 to June 2021 was conducted to identify these factors.ResultsSeven factors were identified: pre-existing physical health vulnerabilities, pre-existing mental health vulnerabilities, environmental, social, cultural-specific, economic and legal/welfare challenges.ConclusionMultiple interacting bio-psycho-socio-economic-cultural-ecological factors lead to greater impact of COVID-19 pandemic on refugee and asylum seekers wellbeing than the general population.","container-title":"Australasian Psychiatry","DOI":"10.1177/10398562221131154","ISSN":"1039-8562","issue":"6","journalAbbreviation":"Australas Psychiatry","language":"en","note":"publisher: SAGE Publications Ltd","page":"728-731","source":"SAGE Journals","title":"The impact of the COVID-19 pandemic on the mental health and wellbeing of refugees and asylum seekers-A Narrative Review of the Literature","volume":"30","author":[{"family":"El Tatary","given":"Ghassan"},{"family":"Gill","given":"Neeraj"}],"issued":{"date-parts":[["2022",12,1]]}},"label":"page"},{"id":234,"uris":["http://zotero.org/users/11004987/items/ZYA3JW52"],"itemData":{"id":234,"type":"article-journal","abstract":"Background The aim was to elucidate if the risk of labour market marginalisation (LMM), measured as long-term unemployment, long-term sickness absence, disability pension and a combined measure of these three measures, differed between refugees and non-refugee migrants with different regions of birth compared with native Swedes.\nMethods All non-pensioned individuals aged 19–60 years who were resident in Sweden on 31 December 2009 were included (n=4 441 813, whereof 216 930 refugees). HRs with 95% CIs were computed by Cox regression models with competing risks and time-dependent covariates with a follow-up period of 2010–2013.\nResults Refugees had in general a doubled risk (HR: 2.0, 95% CI 1.9 to 2.0) and non-refugee migrants had 70% increased risk (HR: 1.7, 95% CI 1.7 to 1.7) of the combined measure of LMM compared with native Swedes. Refugees from Somalia (HR: 2.7, 95% CI 2.6 to 2.8) and Syria (HR: 2.5, 95% CI 2.5 to 2.6) had especially high risk estimates of LMM, mostly due to high risk estimates of long-term unemployment (HR: 3.4, 95% CI 3.3 to 3.5 and HR: 3.2, 95% CI 3.1 to 3.2). African (HR: 0.7, 95% CI 0.6 to 0.7) and Asian (HR: 1.0, 95% CI 1.0 to 1.1) refugees had relatively low risk estimates of long-term sickness absence compared with other refugee groups. Refugees from Europe had the highest risk estimates of disability pension (HR: 1.9, 95% CI 1.8 to 2.0) compared with native Swedes.\nConclusion Refugees had in general a higher risk of all measures of LMM compared with native Swedes. There were, however, large differences in risk estimates of LMM between subgroups of refugees and with regard to type of LMM. Actions addressing differences between subgroups of refugees is therefore crucial in order to ensure that refugees can obtain as well as retain a position on the labour market.","container-title":"J Epidemiol Community Health","DOI":"10.1136/jech-2018-211177","ISSN":"0143-005X, 1470-2738","issue":"5","journalAbbreviation":"J Epidemiol Community Health","language":"en","license":"© Author(s) (or their employer(s)) 2019. No commercial re-use. See rights and permissions. Published by BMJ.","note":"publisher: BMJ Publishing Group Ltd\nsection: Research report\nPMID: 30755462","page":"407-415","source":"jech.bmj.com","title":"Labour market marginalisation among refugees from different countries of birth: a prospective cohort study on refugees to Sweden","title-short":"Labour market marginalisation among refugees from different countries of birth","volume":"73","author":[{"family":"Helgesson","given":"Magnus"},{"family":"Wang","given":"Mo"},{"family":"Niederkrotenthaler","given":"Thomas"},{"family":"Saboonchi","given":"Fredrik"},{"family":"Mittendorfer-Rutz","given":"Ellenor"}],"issued":{"date-parts":[["2019",5,1]]}},"label":"page"}],"schema":"https://github.com/citation-style-language/schema/raw/master/csl-citation.json"} </w:instrText>
      </w:r>
      <w:r w:rsidRPr="000E28CF">
        <w:rPr>
          <w:rFonts w:ascii="Times New Roman" w:hAnsi="Times New Roman" w:cs="Times New Roman"/>
          <w:color w:val="000000"/>
          <w:sz w:val="20"/>
          <w:szCs w:val="20"/>
        </w:rPr>
        <w:fldChar w:fldCharType="separate"/>
      </w:r>
      <w:r w:rsidR="000E28CF" w:rsidRPr="000E28CF">
        <w:rPr>
          <w:rFonts w:ascii="Times New Roman" w:hAnsi="Times New Roman" w:cs="Times New Roman"/>
          <w:sz w:val="20"/>
        </w:rPr>
        <w:t>(15,22)</w:t>
      </w:r>
      <w:r w:rsidRPr="000E28CF">
        <w:rPr>
          <w:rFonts w:ascii="Times New Roman" w:hAnsi="Times New Roman" w:cs="Times New Roman"/>
          <w:color w:val="000000"/>
          <w:sz w:val="20"/>
          <w:szCs w:val="20"/>
        </w:rPr>
        <w:fldChar w:fldCharType="end"/>
      </w:r>
      <w:r w:rsidRPr="000E28CF">
        <w:rPr>
          <w:rFonts w:ascii="Times New Roman" w:hAnsi="Times New Roman" w:cs="Times New Roman"/>
          <w:color w:val="000000"/>
          <w:sz w:val="20"/>
          <w:szCs w:val="20"/>
        </w:rPr>
        <w:t xml:space="preserve">. </w:t>
      </w:r>
    </w:p>
    <w:p w14:paraId="4B6BE285" w14:textId="67193EC4" w:rsidR="00CD7E5F" w:rsidRPr="000E28CF" w:rsidRDefault="00CD7E5F" w:rsidP="00CD7E5F">
      <w:pPr>
        <w:spacing w:line="360" w:lineRule="auto"/>
        <w:rPr>
          <w:rFonts w:ascii="Times New Roman" w:hAnsi="Times New Roman" w:cs="Times New Roman"/>
          <w:sz w:val="20"/>
          <w:szCs w:val="20"/>
        </w:rPr>
      </w:pPr>
      <w:r w:rsidRPr="000E28CF">
        <w:rPr>
          <w:rFonts w:ascii="Times New Roman" w:hAnsi="Times New Roman" w:cs="Times New Roman"/>
          <w:sz w:val="20"/>
          <w:szCs w:val="20"/>
        </w:rPr>
        <w:lastRenderedPageBreak/>
        <w:t xml:space="preserve">It is, therefore, crucial to study patterns of mental health care use in refugees during the pandemic. </w:t>
      </w:r>
      <w:r w:rsidRPr="000E28CF">
        <w:rPr>
          <w:rFonts w:ascii="Times New Roman" w:hAnsi="Times New Roman" w:cs="Times New Roman"/>
          <w:color w:val="000000"/>
          <w:sz w:val="20"/>
          <w:szCs w:val="20"/>
        </w:rPr>
        <w:t xml:space="preserve">Still, until recently the effect of the COVID-19 pandemic on refugees’ mental health is rather unexplored </w:t>
      </w:r>
      <w:r w:rsidRPr="000E28CF">
        <w:rPr>
          <w:rFonts w:ascii="Times New Roman" w:hAnsi="Times New Roman" w:cs="Times New Roman"/>
          <w:color w:val="000000"/>
          <w:sz w:val="20"/>
          <w:szCs w:val="20"/>
        </w:rPr>
        <w:fldChar w:fldCharType="begin"/>
      </w:r>
      <w:r w:rsidRPr="000E28CF">
        <w:rPr>
          <w:rFonts w:ascii="Times New Roman" w:hAnsi="Times New Roman" w:cs="Times New Roman"/>
          <w:color w:val="000000"/>
          <w:sz w:val="20"/>
          <w:szCs w:val="20"/>
        </w:rPr>
        <w:instrText xml:space="preserve"> ADDIN ZOTERO_ITEM CSL_CITATION {"citationID":"6hXtSGcD","properties":{"formattedCitation":"(9,24\\uc0\\u8211{}26)","plainCitation":"(9,24–26)","noteIndex":0},"citationItems":[{"id":221,"uris":["http://zotero.org/users/11004987/items/55IA3W5L"],"itemData":{"id":221,"type":"article-journal","abstract":"Background\nLittle is known about changes of mental health during the COVID-19 pandemic in potentially disadvantaged groups. We investigated changes in anxiety and depression symptoms during the first year of the pandemic in six European countries and Australia by prior mental disorders and migration status.\nMethods\nOverall, 4674 adults answered a web-based survey in May–June 2020 and were followed by three repeated surveys up to February 2021. Information on psychosocial, financial and demographic, living conditions, prior mental disorders, depression and anxiety symptoms during the pandemic and migration status was collected. Weighted general estimation equations modelling was used to investigate the association between prior mental disorders, migration status, and symptoms over time.\nResults\nMost participants were &lt;40 years old (48%), women (78%) and highly educated (62%). The baseline prevalence of depressive and anxiety symptoms ranged between 19%–45% and 13%–35%, respectively. In most countries, prevalence rates remained unchanged throughout the pandemic and were higher among people with prior mental disorders than without even after adjustment for several factors. We observed interactions between previous mental disorders and symptoms of anxiety or depression over time in two countries. No difference by migration status was noted.\nLimitations\nConvenience sampling limits generalizability. Self-assessed symptoms of depression and anxiety might involve some misclassification.\nConclusions\nDepression and anxiety symptoms were worse among individuals with prior mental disorders than without, but there was no clear trend of worsening mental health in the observed groups during the observed period.","container-title":"Journal of Affective Disorders","DOI":"10.1016/j.jad.2022.05.082","ISSN":"0165-0327","journalAbbreviation":"Journal of Affective Disorders","language":"en","page":"214-223","source":"ScienceDirect","title":"Symptoms of anxiety and depression during the COVID-19 pandemic in six European countries and Australia – Differences by prior mental disorders and migration status","volume":"311","author":[{"family":"Gémes","given":"Katalin"},{"family":"Bergström","given":"Jakob"},{"family":"Papola","given":"Davide"},{"family":"Barbui","given":"Corrado"},{"family":"Lam","given":"Agnes Iok Fong"},{"family":"Hall","given":"Brian J."},{"family":"Seedat","given":"Soraya"},{"family":"Morina","given":"Naser"},{"family":"Quero","given":"Soledad"},{"family":"Campos","given":"Daniel"},{"family":"Pinucci","given":"Irene"},{"family":"Tarsitani","given":"Lorenzo"},{"family":"Deguen","given":"Séverine"},{"family":"Waerden","given":"Judith","non-dropping-particle":"van der"},{"family":"Patanè","given":"Martina"},{"family":"Sijbrandij","given":"Marit"},{"family":"Acartürk","given":"Ceren"},{"family":"Burchert","given":"Sebastian"},{"family":"Bryant","given":"Richard A."},{"family":"Mittendorfer-Rutz","given":"Ellenor"}],"issued":{"date-parts":[["2022",8,15]]}},"label":"page"},{"id":422,"uris":["http://zotero.org/users/11004987/items/3T7EIV7C"],"itemData":{"id":422,"type":"report","event-place":"Stockholm","language":"sv","number":"20219","publisher":"Folkhälsomyndigheten","publisher-place":"Stockholm","source":"Zotero","title":"Covid-19-pandemin och befolkningens psykiska hälsa – vad indikerar longitudinella studier?","author":[{"literal":"Public Health Agency of Sweden"}],"issued":{"date-parts":[["2021"]]}},"label":"page"},{"id":646,"uris":["http://zotero.org/users/11004987/items/3DD4EFEQ"],"itemData":{"id":646,"type":"article-journal","abstract":"Background\nIncreases in mental health problems have been observed during the COVID-19 pandemic. The objectives were to examine the extent to which mental health symptoms changed during the pandemic in 2020, whether changes were persistent or short lived, and if changes were symptom specific.\nMethods\nSystematic review and meta-analysis of longitudinal cohort studies examining changes in mental health among the same group of participants before vs. during the pandemic in 2020.\nResults\nSixty-five studies were included. Compared to pre-pandemic outbreak, there was an overall increase in mental health symptoms observed during March-April 2020 (SMC = .102 [95% CI: .026 to .192]) that significantly declined over time and became non-significant (May-July SMC = .067 [95% CI: -.022 to .157]. Compared to measures of anxiety (SMC = 0.13, p = 0.02) and general mental health (SMC = -.03, p = 0.65), increases in depression and mood disorder symptoms tended to be larger and remained significantly elevated in May-July [0.20, 95% CI: .099 to .302]. In primary analyses increases were most pronounced among samples with physical health conditions and there was no evidence of any change in symptoms among samples with a pre-existing mental health condition.\nLimitations\nThere was a high degree of unexplained heterogeneity observed (I2s &gt; 90%), indicating that change in mental health was highly variable across samples.\nConclusions\nThere was a small increase in mental health symptoms soon after the outbreak of the COVID-19 pandemic that decreased and was comparable to pre-pandemic levels by mid-2020 among most population sub-groups and symptom types.","container-title":"Journal of Affective Disorders","DOI":"10.1016/j.jad.2021.09.098","ISSN":"0165-0327","journalAbbreviation":"Journal of Affective Disorders","language":"en","page":"567-576","source":"ScienceDirect","title":"A systematic review and meta-analysis of longitudinal cohort studies comparing mental health before versus during the COVID-19 pandemic in 2020","volume":"296","author":[{"family":"Robinson","given":"Eric"},{"family":"Sutin","given":"Angelina R."},{"family":"Daly","given":"Michael"},{"family":"Jones","given":"Andrew"}],"issued":{"date-parts":[["2022",1,1]]}},"label":"page"},{"id":755,"uris":["http://zotero.org/users/11004987/items/HS62FWGS"],"itemData":{"id":755,"type":"article-journal","abstract":"Objective To synthesise results of mental health outcomes in cohorts before and during the covid-19 pandemic.\nDesign Systematic review.\nData sources Medline, PsycINFO, CINAHL, Embase, Web of Science, China National Knowledge Infrastructure, Wanfang, medRxiv, and Open Science Framework Preprints.\nEligibility criteria for selecting studies Studies comparing general mental health, anxiety symptoms, or depression symptoms assessed from 1 January 2020 or later with outcomes collected from 1 January 2018 to 31 December 2019 in any population, and comprising ≥90% of the same participants before and during the covid-19 pandemic or using statistical methods to account for missing data. Restricted maximum likelihood random effects meta-analyses (worse covid-19 outcomes representing positive change) were performed. Risk of bias was assessed using an adapted Joanna Briggs Institute Checklist for Prevalence Studies.\nResults As of 11 April 2022, 94 411 unique titles and abstracts including 137 unique studies from 134 cohorts were reviewed. Most of the studies were from high income (n=105, 77%) or upper middle income (n=28, 20%) countries. Among general population studies, no changes were found for general mental health (standardised mean difference (SMD)change 0.11, 95% confidence interval −0.00 to 0.22) or anxiety symptoms (0.05, −0.04 to 0.13), but depression symptoms worsened minimally (0.12, 0.01 to 0.24). Among women or female participants, general mental health (0.22, 0.08 to 0.35), anxiety symptoms (0.20, 0.12 to 0.29), and depression symptoms (0.22, 0.05 to 0.40) worsened by minimal to small amounts. In 27 other analyses across outcome domains among subgroups other than women or female participants, five analyses suggested that symptoms worsened by minimal or small amounts, and two suggested minimal or small improvements. No other subgroup experienced changes across all outcome domains. In three studies with data from March to April 2020 and late 2020, symptoms were unchanged from pre-covid-19 levels at both assessments or increased initially then returned to pre-covid-19 levels. Substantial heterogeneity and risk of bias were present across analyses.\nConclusions High risk of bias in many studies and substantial heterogeneity suggest caution in interpreting results. Nonetheless, most symptom change estimates for general mental health, anxiety symptoms, and depression symptoms were close to zero and not statistically significant, and significant changes were of minimal to small magnitudes. Small negative changes occurred for women or female participants in all domains. The authors will update the results of this systematic review as more evidence accrues, with study results posted online (https://www.depressd.ca/covid-19-mental-health).\nReview registration PROSPERO CRD42020179703.","container-title":"BMJ","DOI":"10.1136/bmj-2022-074224","ISSN":"1756-1833","journalAbbreviation":"BMJ","language":"en","license":"© Author(s) (or their employer(s)) 2019. Re-use permitted under CC BY-NC. No commercial re-use. See rights and permissions. Published by BMJ.. http://creativecommons.org/licenses/by-nc/4.0/This is an Open Access article distributed in accordance with the Creative Commons Attribution Non Commercial (CC BY-NC 4.0) license, which permits others to distribute, remix, adapt, build upon this work non-commercially, and license their derivative works on different terms, provided the original work is properly cited and the use is non-commercial. See: http://creativecommons.org/licenses/by-nc/4.0/.","note":"publisher: British Medical Journal Publishing Group\nsection: Research\nPMID: 36889797","page":"e074224","source":"www.bmj.com","title":"Comparison of mental health symptoms before and during the covid-19 pandemic: evidence from a systematic review and meta-analysis of 134 cohorts","title-short":"Comparison of mental health symptoms before and during the covid-19 pandemic","volume":"380","author":[{"family":"Sun","given":"Ying"},{"family":"Wu","given":"Yin"},{"family":"Fan","given":"Suiqiong"},{"family":"Santo","given":"Tiffany Dal"},{"family":"Li","given":"Letong"},{"family":"Jiang","given":"Xiaowen"},{"family":"Li","given":"Kexin"},{"family":"Wang","given":"Yutong"},{"family":"Tasleem","given":"Amina"},{"family":"Krishnan","given":"Ankur"},{"family":"He","given":"Chen"},{"family":"Bonardi","given":"Olivia"},{"family":"Boruff","given":"Jill T."},{"family":"Rice","given":"Danielle B."},{"family":"Markham","given":"Sarah"},{"family":"Levis","given":"Brooke"},{"family":"Azar","given":"Marleine"},{"family":"Thombs-Vite","given":"Ian"},{"family":"Neupane","given":"Dipika"},{"family":"Agic","given":"Branka"},{"family":"Fahim","given":"Christine"},{"family":"Martin","given":"Michael S."},{"family":"Sockalingam","given":"Sanjeev"},{"family":"Turecki","given":"Gustavo"},{"family":"Benedetti","given":"Andrea"},{"family":"Thombs","given":"Brett D."}],"issued":{"date-parts":[["2023",3,8]]}},"label":"page"}],"schema":"https://github.com/citation-style-language/schema/raw/master/csl-citation.json"} </w:instrText>
      </w:r>
      <w:r w:rsidRPr="000E28CF">
        <w:rPr>
          <w:rFonts w:ascii="Times New Roman" w:hAnsi="Times New Roman" w:cs="Times New Roman"/>
          <w:color w:val="000000"/>
          <w:sz w:val="20"/>
          <w:szCs w:val="20"/>
        </w:rPr>
        <w:fldChar w:fldCharType="separate"/>
      </w:r>
      <w:r w:rsidR="000E28CF" w:rsidRPr="000E28CF">
        <w:rPr>
          <w:rFonts w:ascii="Times New Roman" w:hAnsi="Times New Roman" w:cs="Times New Roman"/>
          <w:sz w:val="20"/>
        </w:rPr>
        <w:t>(9,24–26)</w:t>
      </w:r>
      <w:r w:rsidRPr="000E28CF">
        <w:rPr>
          <w:rFonts w:ascii="Times New Roman" w:hAnsi="Times New Roman" w:cs="Times New Roman"/>
          <w:color w:val="000000"/>
          <w:sz w:val="20"/>
          <w:szCs w:val="20"/>
        </w:rPr>
        <w:fldChar w:fldCharType="end"/>
      </w:r>
      <w:r w:rsidRPr="000E28CF">
        <w:rPr>
          <w:rFonts w:ascii="Times New Roman" w:hAnsi="Times New Roman" w:cs="Times New Roman"/>
          <w:color w:val="000000"/>
          <w:sz w:val="20"/>
          <w:szCs w:val="20"/>
        </w:rPr>
        <w:t xml:space="preserve"> and we could not find any population-wide studies on changes in health care use due to CMDs, before and during the pandemic, in refugees. The use of nationwide registers with information on mental health care use due to CMDs minimalizes selection bias and allows to draw inference to the whole population of refugees and those born in Sweden. Furthermore, as antidepressant medication is prescribed in primary health care, using information on those in addition to specialized healthcare use due to CMDs allows to cover information on less severe cases. Hereby, by using administrative national registries the whole spectrum of care for patients with CMDs can be covered.</w:t>
      </w:r>
    </w:p>
    <w:p w14:paraId="04DDDCD7" w14:textId="6658AE92" w:rsidR="00CD7E5F" w:rsidRPr="000E28CF" w:rsidRDefault="00CD7E5F" w:rsidP="003B2189">
      <w:pPr>
        <w:spacing w:line="360" w:lineRule="auto"/>
        <w:rPr>
          <w:rFonts w:ascii="Times New Roman" w:hAnsi="Times New Roman" w:cs="Times New Roman"/>
          <w:color w:val="000000"/>
          <w:sz w:val="20"/>
          <w:szCs w:val="20"/>
        </w:rPr>
      </w:pPr>
      <w:r w:rsidRPr="000E28CF">
        <w:rPr>
          <w:rFonts w:ascii="Times New Roman" w:hAnsi="Times New Roman" w:cs="Times New Roman"/>
          <w:color w:val="000000"/>
          <w:sz w:val="20"/>
          <w:szCs w:val="20"/>
        </w:rPr>
        <w:t xml:space="preserve">The  Swedish mitigation strategy was differed initially from other countries, e.g.,  there was no lockdown, kindergarten and primary schools stayed open, and the public health strategy was primarily focused on voluntary measures and the individual’s responsibility </w:t>
      </w:r>
      <w:r w:rsidRPr="000E28CF">
        <w:rPr>
          <w:rFonts w:ascii="Times New Roman" w:hAnsi="Times New Roman" w:cs="Times New Roman"/>
          <w:color w:val="000000"/>
          <w:sz w:val="20"/>
          <w:szCs w:val="20"/>
        </w:rPr>
        <w:fldChar w:fldCharType="begin"/>
      </w:r>
      <w:r w:rsidRPr="000E28CF">
        <w:rPr>
          <w:rFonts w:ascii="Times New Roman" w:hAnsi="Times New Roman" w:cs="Times New Roman"/>
          <w:color w:val="000000"/>
          <w:sz w:val="20"/>
          <w:szCs w:val="20"/>
        </w:rPr>
        <w:instrText xml:space="preserve"> ADDIN ZOTERO_ITEM CSL_CITATION {"citationID":"tExaLhko","properties":{"formattedCitation":"(27)","plainCitation":"(27)","noteIndex":0},"citationItems":[{"id":4464,"uris":["http://zotero.org/users/11004987/items/GFR7SI8N"],"itemData":{"id":4464,"type":"article-journal","abstract":"Aim Sweden initially chose a different disease prevention and control path during the pandemic than many other European countries. In June 2020, the Swedish Government established a National Commission to examine the management of COVID-19 in Sweden. This paper summarises, and discusses, its findings. Methods Three reports published by the Commission were analysed. The first focused on the care of older people during the pandemic. The second examined disease and infection transmission and control and health care and public health. The third updated the first two reports and also covered economic aspects, crisis management and public communication. Results By 25 February 2022, when the final report was published, 15 800 individuals, 1.5 per 1000 Swedish inhabitants, had died after COVID-19. The death rates were high in spring 2020, but overall excess mortality in 2020–2021 was +0.79%, which was lower than in many other European countries. The Commission suggested that the voluntary measures that were adopted were appropriate and maintained Swedes' personal freedom during the pandemic. However, more extensive and earlier measures should have been taken, especially during the first wave. Conclusion The Swedish COVID-19 Commission felt that earlier and more extensive pandemic action should have been taken, particularly during the first wave.","container-title":"Acta Paediatrica","DOI":"10.1111/apa.16535","ISSN":"1651-2227","issue":"1","language":"en","license":"© 2022 The Author. Acta Paediatrica published by John Wiley &amp; Sons Ltd on behalf of Foundation Acta Paediatrica.","note":"_eprint: https://onlinelibrary.wiley.com/doi/pdf/10.1111/apa.16535","page":"19-33","source":"Wiley Online Library","title":"How Sweden approached the COVID-19 pandemic: Summary and commentary on the National Commission Inquiry","title-short":"How Sweden approached the COVID-19 pandemic","volume":"112","author":[{"family":"Ludvigsson","given":"Jonas F."}],"issued":{"date-parts":[["2023"]]}}}],"schema":"https://github.com/citation-style-language/schema/raw/master/csl-citation.json"} </w:instrText>
      </w:r>
      <w:r w:rsidRPr="000E28CF">
        <w:rPr>
          <w:rFonts w:ascii="Times New Roman" w:hAnsi="Times New Roman" w:cs="Times New Roman"/>
          <w:color w:val="000000"/>
          <w:sz w:val="20"/>
          <w:szCs w:val="20"/>
        </w:rPr>
        <w:fldChar w:fldCharType="separate"/>
      </w:r>
      <w:r w:rsidR="000E28CF" w:rsidRPr="000E28CF">
        <w:rPr>
          <w:rFonts w:ascii="Times New Roman" w:hAnsi="Times New Roman" w:cs="Times New Roman"/>
          <w:sz w:val="20"/>
        </w:rPr>
        <w:t>(27)</w:t>
      </w:r>
      <w:r w:rsidRPr="000E28CF">
        <w:rPr>
          <w:rFonts w:ascii="Times New Roman" w:hAnsi="Times New Roman" w:cs="Times New Roman"/>
          <w:color w:val="000000"/>
          <w:sz w:val="20"/>
          <w:szCs w:val="20"/>
        </w:rPr>
        <w:fldChar w:fldCharType="end"/>
      </w:r>
      <w:r w:rsidR="002F2ADF" w:rsidRPr="000E28CF">
        <w:rPr>
          <w:rFonts w:ascii="Times New Roman" w:hAnsi="Times New Roman" w:cs="Times New Roman"/>
          <w:color w:val="000000"/>
          <w:sz w:val="20"/>
          <w:szCs w:val="20"/>
        </w:rPr>
        <w:t>.</w:t>
      </w:r>
      <w:r w:rsidRPr="000E28CF">
        <w:rPr>
          <w:rFonts w:ascii="Times New Roman" w:hAnsi="Times New Roman" w:cs="Times New Roman"/>
          <w:color w:val="000000"/>
          <w:sz w:val="20"/>
          <w:szCs w:val="20"/>
        </w:rPr>
        <w:t xml:space="preserve"> There were, however, some measures taken, as banning visits at elderly care residents, limiting public gatherings, recommending online classes for those older than 17 years and remote working </w:t>
      </w:r>
      <w:r w:rsidRPr="000E28CF">
        <w:rPr>
          <w:rFonts w:ascii="Times New Roman" w:hAnsi="Times New Roman" w:cs="Times New Roman"/>
          <w:color w:val="000000"/>
          <w:sz w:val="20"/>
          <w:szCs w:val="20"/>
        </w:rPr>
        <w:fldChar w:fldCharType="begin"/>
      </w:r>
      <w:r w:rsidRPr="000E28CF">
        <w:rPr>
          <w:rFonts w:ascii="Times New Roman" w:hAnsi="Times New Roman" w:cs="Times New Roman"/>
          <w:color w:val="000000"/>
          <w:sz w:val="20"/>
          <w:szCs w:val="20"/>
        </w:rPr>
        <w:instrText xml:space="preserve"> ADDIN ZOTERO_ITEM CSL_CITATION {"citationID":"oYWGoOOq","properties":{"formattedCitation":"(27)","plainCitation":"(27)","noteIndex":0},"citationItems":[{"id":4464,"uris":["http://zotero.org/users/11004987/items/GFR7SI8N"],"itemData":{"id":4464,"type":"article-journal","abstract":"Aim Sweden initially chose a different disease prevention and control path during the pandemic than many other European countries. In June 2020, the Swedish Government established a National Commission to examine the management of COVID-19 in Sweden. This paper summarises, and discusses, its findings. Methods Three reports published by the Commission were analysed. The first focused on the care of older people during the pandemic. The second examined disease and infection transmission and control and health care and public health. The third updated the first two reports and also covered economic aspects, crisis management and public communication. Results By 25 February 2022, when the final report was published, 15 800 individuals, 1.5 per 1000 Swedish inhabitants, had died after COVID-19. The death rates were high in spring 2020, but overall excess mortality in 2020–2021 was +0.79%, which was lower than in many other European countries. The Commission suggested that the voluntary measures that were adopted were appropriate and maintained Swedes' personal freedom during the pandemic. However, more extensive and earlier measures should have been taken, especially during the first wave. Conclusion The Swedish COVID-19 Commission felt that earlier and more extensive pandemic action should have been taken, particularly during the first wave.","container-title":"Acta Paediatrica","DOI":"10.1111/apa.16535","ISSN":"1651-2227","issue":"1","language":"en","license":"© 2022 The Author. Acta Paediatrica published by John Wiley &amp; Sons Ltd on behalf of Foundation Acta Paediatrica.","note":"_eprint: https://onlinelibrary.wiley.com/doi/pdf/10.1111/apa.16535","page":"19-33","source":"Wiley Online Library","title":"How Sweden approached the COVID-19 pandemic: Summary and commentary on the National Commission Inquiry","title-short":"How Sweden approached the COVID-19 pandemic","volume":"112","author":[{"family":"Ludvigsson","given":"Jonas F."}],"issued":{"date-parts":[["2023"]]}}}],"schema":"https://github.com/citation-style-language/schema/raw/master/csl-citation.json"} </w:instrText>
      </w:r>
      <w:r w:rsidRPr="000E28CF">
        <w:rPr>
          <w:rFonts w:ascii="Times New Roman" w:hAnsi="Times New Roman" w:cs="Times New Roman"/>
          <w:color w:val="000000"/>
          <w:sz w:val="20"/>
          <w:szCs w:val="20"/>
        </w:rPr>
        <w:fldChar w:fldCharType="separate"/>
      </w:r>
      <w:r w:rsidR="000E28CF" w:rsidRPr="000E28CF">
        <w:rPr>
          <w:rFonts w:ascii="Times New Roman" w:hAnsi="Times New Roman" w:cs="Times New Roman"/>
          <w:sz w:val="20"/>
        </w:rPr>
        <w:t>(27)</w:t>
      </w:r>
      <w:r w:rsidRPr="000E28CF">
        <w:rPr>
          <w:rFonts w:ascii="Times New Roman" w:hAnsi="Times New Roman" w:cs="Times New Roman"/>
          <w:color w:val="000000"/>
          <w:sz w:val="20"/>
          <w:szCs w:val="20"/>
        </w:rPr>
        <w:fldChar w:fldCharType="end"/>
      </w:r>
      <w:r w:rsidRPr="000E28CF">
        <w:rPr>
          <w:rFonts w:ascii="Times New Roman" w:hAnsi="Times New Roman" w:cs="Times New Roman"/>
          <w:color w:val="000000"/>
          <w:sz w:val="20"/>
          <w:szCs w:val="20"/>
        </w:rPr>
        <w:t>. However, similarly to other countries the healthcare system was impacted both by the increased number of severe COVID-19 cases, and with limiting access to normal care to prevent spreading of the virus. To provide safe care there were several changes introduced,</w:t>
      </w:r>
      <w:r w:rsidRPr="000E28CF">
        <w:rPr>
          <w:rFonts w:ascii="Times New Roman" w:hAnsi="Times New Roman" w:cs="Times New Roman"/>
          <w:bCs/>
          <w:color w:val="242424"/>
          <w:sz w:val="20"/>
          <w:szCs w:val="20"/>
          <w:bdr w:val="none" w:sz="0" w:space="0" w:color="auto" w:frame="1"/>
        </w:rPr>
        <w:t xml:space="preserve"> such as the transition to telemedicine in primary health, which was relative fast given the already higher level of digitalization </w:t>
      </w:r>
      <w:r w:rsidRPr="000E28CF">
        <w:rPr>
          <w:rFonts w:ascii="Times New Roman" w:hAnsi="Times New Roman" w:cs="Times New Roman"/>
          <w:bCs/>
          <w:color w:val="242424"/>
          <w:sz w:val="20"/>
          <w:szCs w:val="20"/>
          <w:bdr w:val="none" w:sz="0" w:space="0" w:color="auto" w:frame="1"/>
        </w:rPr>
        <w:fldChar w:fldCharType="begin"/>
      </w:r>
      <w:r w:rsidRPr="000E28CF">
        <w:rPr>
          <w:rFonts w:ascii="Times New Roman" w:hAnsi="Times New Roman" w:cs="Times New Roman"/>
          <w:bCs/>
          <w:color w:val="242424"/>
          <w:sz w:val="20"/>
          <w:szCs w:val="20"/>
          <w:bdr w:val="none" w:sz="0" w:space="0" w:color="auto" w:frame="1"/>
        </w:rPr>
        <w:instrText xml:space="preserve"> ADDIN ZOTERO_ITEM CSL_CITATION {"citationID":"cWp9qL3E","properties":{"formattedCitation":"(28)","plainCitation":"(28)","noteIndex":0},"citationItems":[{"id":222,"uris":["http://zotero.org/users/11004987/items/PGXE3E8B"],"itemData":{"id":222,"type":"report","event-place":"Region Stockholm","genre":"Delrapport 2","language":"sv","number":"Rapport 2021:2.","publisher":"Centrum för hälsoekonomi,  informatik och sjukvårdsforskning","publisher-place":"Region Stockholm","source":"Zotero","title":"Konsumtion av digitala och fysiska besök i primärvården för olika grupper i befolkningen under covid-19-pandemin","author":[{"family":"Sveréus S, Dahlgren C, Goude F, Hagman M","given":"Beatrice"}],"issued":{"date-parts":[["2021"]]}}}],"schema":"https://github.com/citation-style-language/schema/raw/master/csl-citation.json"} </w:instrText>
      </w:r>
      <w:r w:rsidRPr="000E28CF">
        <w:rPr>
          <w:rFonts w:ascii="Times New Roman" w:hAnsi="Times New Roman" w:cs="Times New Roman"/>
          <w:bCs/>
          <w:color w:val="242424"/>
          <w:sz w:val="20"/>
          <w:szCs w:val="20"/>
          <w:bdr w:val="none" w:sz="0" w:space="0" w:color="auto" w:frame="1"/>
        </w:rPr>
        <w:fldChar w:fldCharType="separate"/>
      </w:r>
      <w:r w:rsidR="000E28CF" w:rsidRPr="000E28CF">
        <w:rPr>
          <w:rFonts w:ascii="Times New Roman" w:hAnsi="Times New Roman" w:cs="Times New Roman"/>
          <w:sz w:val="20"/>
        </w:rPr>
        <w:t>(28)</w:t>
      </w:r>
      <w:r w:rsidRPr="000E28CF">
        <w:rPr>
          <w:rFonts w:ascii="Times New Roman" w:hAnsi="Times New Roman" w:cs="Times New Roman"/>
          <w:bCs/>
          <w:color w:val="242424"/>
          <w:sz w:val="20"/>
          <w:szCs w:val="20"/>
          <w:bdr w:val="none" w:sz="0" w:space="0" w:color="auto" w:frame="1"/>
        </w:rPr>
        <w:fldChar w:fldCharType="end"/>
      </w:r>
      <w:r w:rsidRPr="000E28CF">
        <w:rPr>
          <w:rFonts w:ascii="Times New Roman" w:hAnsi="Times New Roman" w:cs="Times New Roman"/>
          <w:bCs/>
          <w:color w:val="242424"/>
          <w:sz w:val="20"/>
          <w:szCs w:val="20"/>
          <w:bdr w:val="none" w:sz="0" w:space="0" w:color="auto" w:frame="1"/>
        </w:rPr>
        <w:t>.</w:t>
      </w:r>
      <w:r w:rsidRPr="000E28CF">
        <w:rPr>
          <w:rFonts w:cstheme="minorHAnsi"/>
          <w:bCs/>
          <w:color w:val="242424"/>
          <w:bdr w:val="none" w:sz="0" w:space="0" w:color="auto" w:frame="1"/>
        </w:rPr>
        <w:t xml:space="preserve"> </w:t>
      </w:r>
      <w:r w:rsidRPr="000E28CF">
        <w:rPr>
          <w:rFonts w:ascii="Times New Roman" w:hAnsi="Times New Roman" w:cs="Times New Roman"/>
          <w:color w:val="000000"/>
          <w:sz w:val="20"/>
          <w:szCs w:val="20"/>
        </w:rPr>
        <w:t xml:space="preserve">Furthermore, Sweden had a focus from the beginning of the pandemic to mitigate the possible mental health impact of the pandemic by advising good public mental health practice even with some pandemic-related limitations and advising care seeking behavior due to mental health problem in the general population. This particular setting allows to study the impact of a particular public health strategy on mental health in the general and also in more vulnerable populations, such as refugees, and those who with an already low attachment to the labor market, and it will contribute to the growing body of literature concerning the consequences of the pandemic. To address the described current knowledge gaps, we conducted a Swedish nationwide register-based study to compare incidence trends in specialized health care use due to CMDs and in antidepressant prescription before and during the pandemic in refugees and Swedish-born. We </w:t>
      </w:r>
      <w:r w:rsidRPr="000E28CF">
        <w:rPr>
          <w:rFonts w:ascii="Times New Roman" w:hAnsi="Times New Roman" w:cs="Times New Roman"/>
          <w:color w:val="000000" w:themeColor="text1"/>
          <w:sz w:val="20"/>
          <w:szCs w:val="20"/>
        </w:rPr>
        <w:t xml:space="preserve">also investigated whether being already marginalized in the labor market or having low education modify the studied associations in refugees and Swedish-born individuals. </w:t>
      </w:r>
      <w:r w:rsidRPr="000E28CF">
        <w:rPr>
          <w:rFonts w:ascii="Times New Roman" w:hAnsi="Times New Roman" w:cs="Times New Roman"/>
          <w:color w:val="242424"/>
          <w:sz w:val="20"/>
          <w:szCs w:val="20"/>
          <w:bdr w:val="none" w:sz="0" w:space="0" w:color="auto" w:frame="1"/>
        </w:rPr>
        <w:t>We hypothesize that individuals with a low attachment to the labor market</w:t>
      </w:r>
      <w:r w:rsidR="00A33324" w:rsidRPr="000E28CF">
        <w:rPr>
          <w:rFonts w:ascii="Times New Roman" w:hAnsi="Times New Roman" w:cs="Times New Roman"/>
          <w:color w:val="242424"/>
          <w:sz w:val="20"/>
          <w:szCs w:val="20"/>
          <w:bdr w:val="none" w:sz="0" w:space="0" w:color="auto" w:frame="1"/>
        </w:rPr>
        <w:t xml:space="preserve"> are</w:t>
      </w:r>
      <w:r w:rsidRPr="000E28CF">
        <w:rPr>
          <w:rFonts w:ascii="Times New Roman" w:hAnsi="Times New Roman" w:cs="Times New Roman"/>
          <w:color w:val="242424"/>
          <w:sz w:val="20"/>
          <w:szCs w:val="20"/>
          <w:bdr w:val="none" w:sz="0" w:space="0" w:color="auto" w:frame="1"/>
        </w:rPr>
        <w:t xml:space="preserve"> more </w:t>
      </w:r>
      <w:r w:rsidR="00A33324" w:rsidRPr="000E28CF">
        <w:rPr>
          <w:rFonts w:ascii="Times New Roman" w:hAnsi="Times New Roman" w:cs="Times New Roman"/>
          <w:color w:val="242424"/>
          <w:sz w:val="20"/>
          <w:szCs w:val="20"/>
          <w:bdr w:val="none" w:sz="0" w:space="0" w:color="auto" w:frame="1"/>
        </w:rPr>
        <w:t xml:space="preserve">socially </w:t>
      </w:r>
      <w:r w:rsidRPr="000E28CF">
        <w:rPr>
          <w:rFonts w:ascii="Times New Roman" w:hAnsi="Times New Roman" w:cs="Times New Roman"/>
          <w:color w:val="242424"/>
          <w:sz w:val="20"/>
          <w:szCs w:val="20"/>
          <w:bdr w:val="none" w:sz="0" w:space="0" w:color="auto" w:frame="1"/>
        </w:rPr>
        <w:t>marginalized</w:t>
      </w:r>
      <w:r w:rsidR="00A33324" w:rsidRPr="000E28CF">
        <w:rPr>
          <w:rFonts w:ascii="Times New Roman" w:hAnsi="Times New Roman" w:cs="Times New Roman"/>
          <w:color w:val="242424"/>
          <w:sz w:val="20"/>
          <w:szCs w:val="20"/>
          <w:bdr w:val="none" w:sz="0" w:space="0" w:color="auto" w:frame="1"/>
        </w:rPr>
        <w:t xml:space="preserve"> and therefore</w:t>
      </w:r>
      <w:r w:rsidRPr="000E28CF">
        <w:rPr>
          <w:rFonts w:ascii="Times New Roman" w:hAnsi="Times New Roman" w:cs="Times New Roman"/>
          <w:color w:val="242424"/>
          <w:sz w:val="20"/>
          <w:szCs w:val="20"/>
          <w:bdr w:val="none" w:sz="0" w:space="0" w:color="auto" w:frame="1"/>
        </w:rPr>
        <w:t xml:space="preserve"> at </w:t>
      </w:r>
      <w:r w:rsidR="00A33324" w:rsidRPr="000E28CF">
        <w:rPr>
          <w:rFonts w:ascii="Times New Roman" w:hAnsi="Times New Roman" w:cs="Times New Roman"/>
          <w:color w:val="242424"/>
          <w:sz w:val="20"/>
          <w:szCs w:val="20"/>
          <w:bdr w:val="none" w:sz="0" w:space="0" w:color="auto" w:frame="1"/>
        </w:rPr>
        <w:t xml:space="preserve">greater </w:t>
      </w:r>
      <w:r w:rsidRPr="000E28CF">
        <w:rPr>
          <w:rFonts w:ascii="Times New Roman" w:hAnsi="Times New Roman" w:cs="Times New Roman"/>
          <w:color w:val="242424"/>
          <w:sz w:val="20"/>
          <w:szCs w:val="20"/>
          <w:bdr w:val="none" w:sz="0" w:space="0" w:color="auto" w:frame="1"/>
        </w:rPr>
        <w:t xml:space="preserve">risk of decreasing mental health as they might be more affected by the negative consequences of limited access to health and social care due to language and cultural barriers and, increased social isolation. </w:t>
      </w:r>
    </w:p>
    <w:p w14:paraId="4E6DD362" w14:textId="77777777" w:rsidR="00CD7E5F" w:rsidRPr="000E28CF" w:rsidRDefault="00CD7E5F" w:rsidP="00CD7E5F">
      <w:pPr>
        <w:spacing w:line="360" w:lineRule="auto"/>
        <w:rPr>
          <w:rFonts w:ascii="Times New Roman" w:hAnsi="Times New Roman" w:cs="Times New Roman"/>
          <w:b/>
          <w:color w:val="000000"/>
          <w:sz w:val="20"/>
          <w:szCs w:val="20"/>
        </w:rPr>
      </w:pPr>
      <w:r w:rsidRPr="000E28CF">
        <w:rPr>
          <w:rFonts w:ascii="Times New Roman" w:hAnsi="Times New Roman" w:cs="Times New Roman"/>
          <w:b/>
          <w:color w:val="000000"/>
          <w:sz w:val="20"/>
          <w:szCs w:val="20"/>
        </w:rPr>
        <w:t>METHODS</w:t>
      </w:r>
    </w:p>
    <w:p w14:paraId="6653480A" w14:textId="77777777" w:rsidR="00CD7E5F" w:rsidRPr="000E28CF" w:rsidRDefault="00CD7E5F" w:rsidP="00CD7E5F">
      <w:pPr>
        <w:pStyle w:val="Ingetavstnd"/>
        <w:spacing w:line="360" w:lineRule="auto"/>
        <w:rPr>
          <w:b/>
          <w:lang w:val="en-US"/>
        </w:rPr>
      </w:pPr>
      <w:r w:rsidRPr="000E28CF">
        <w:rPr>
          <w:lang w:val="en-US"/>
        </w:rPr>
        <w:t>Study</w:t>
      </w:r>
      <w:r w:rsidRPr="000E28CF">
        <w:rPr>
          <w:b/>
          <w:lang w:val="en-US"/>
        </w:rPr>
        <w:t xml:space="preserve"> </w:t>
      </w:r>
      <w:r w:rsidRPr="000E28CF">
        <w:rPr>
          <w:lang w:val="en-US"/>
        </w:rPr>
        <w:t>populations</w:t>
      </w:r>
    </w:p>
    <w:p w14:paraId="23FFA7FD" w14:textId="77777777" w:rsidR="00CD7E5F" w:rsidRPr="000E28CF" w:rsidRDefault="00CD7E5F" w:rsidP="00CD7E5F">
      <w:pPr>
        <w:spacing w:line="360" w:lineRule="auto"/>
        <w:rPr>
          <w:rFonts w:ascii="Times New Roman" w:hAnsi="Times New Roman" w:cs="Times New Roman"/>
          <w:b/>
          <w:color w:val="000000"/>
          <w:sz w:val="20"/>
          <w:szCs w:val="20"/>
        </w:rPr>
      </w:pPr>
      <w:r w:rsidRPr="000E28CF">
        <w:rPr>
          <w:rFonts w:ascii="Times New Roman" w:hAnsi="Times New Roman" w:cs="Times New Roman"/>
          <w:iCs/>
          <w:sz w:val="20"/>
          <w:szCs w:val="20"/>
        </w:rPr>
        <w:t xml:space="preserve">The observation period, from January 1, 2018, to December 31, 2021, was divided in quarters. Thus, the follow-up period consisted of sixteen quarters, and at the beginning of each considered quarter, a cohort of patients who met the inclusion criteria, described below, was identified and followed till the end of the quarter. </w:t>
      </w:r>
      <w:r w:rsidRPr="000E28CF">
        <w:rPr>
          <w:rFonts w:ascii="Times New Roman" w:hAnsi="Times New Roman" w:cs="Times New Roman"/>
          <w:sz w:val="20"/>
          <w:szCs w:val="20"/>
        </w:rPr>
        <w:t xml:space="preserve">All individuals aged </w:t>
      </w:r>
      <w:r w:rsidRPr="000E28CF">
        <w:rPr>
          <w:rFonts w:ascii="Times New Roman" w:hAnsi="Times New Roman" w:cs="Times New Roman"/>
          <w:color w:val="000000" w:themeColor="text1"/>
          <w:sz w:val="20"/>
          <w:szCs w:val="20"/>
        </w:rPr>
        <w:t>19–64 years, registered and living in Sweden at the start of a quarter and at least one year prior to the quarter of cohort entry were included. Individuals included had to be either registered as born in Sweden or as born in a country outside of Sweden with ‘refugee’ as reason for residency in Sweden.</w:t>
      </w:r>
    </w:p>
    <w:p w14:paraId="21DC4E28" w14:textId="72609904" w:rsidR="00CD7E5F" w:rsidRPr="000E28CF" w:rsidRDefault="00CD7E5F" w:rsidP="00CD7E5F">
      <w:pPr>
        <w:spacing w:line="360" w:lineRule="auto"/>
        <w:rPr>
          <w:rFonts w:ascii="Times New Roman" w:hAnsi="Times New Roman" w:cs="Times New Roman"/>
          <w:color w:val="000000" w:themeColor="text1"/>
          <w:sz w:val="20"/>
          <w:szCs w:val="20"/>
        </w:rPr>
      </w:pPr>
      <w:r w:rsidRPr="000E28CF">
        <w:rPr>
          <w:rFonts w:ascii="Times New Roman" w:hAnsi="Times New Roman" w:cs="Times New Roman"/>
          <w:color w:val="000000" w:themeColor="text1"/>
          <w:sz w:val="20"/>
          <w:szCs w:val="20"/>
        </w:rPr>
        <w:lastRenderedPageBreak/>
        <w:t xml:space="preserve">This is a register linkage study. </w:t>
      </w:r>
      <w:bookmarkStart w:id="1" w:name="_Hlk187142913"/>
      <w:r w:rsidRPr="000E28CF">
        <w:rPr>
          <w:rFonts w:ascii="Times New Roman" w:hAnsi="Times New Roman" w:cs="Times New Roman"/>
          <w:bCs/>
          <w:color w:val="000000" w:themeColor="text1"/>
          <w:sz w:val="20"/>
          <w:szCs w:val="20"/>
        </w:rPr>
        <w:t>Information on outcomes and covariates was obtained from 5 administrative registers:</w:t>
      </w:r>
      <w:r w:rsidRPr="000E28CF">
        <w:rPr>
          <w:rFonts w:ascii="Times New Roman" w:hAnsi="Times New Roman" w:cs="Times New Roman"/>
          <w:color w:val="000000" w:themeColor="text1"/>
          <w:sz w:val="20"/>
          <w:szCs w:val="20"/>
        </w:rPr>
        <w:t xml:space="preserve"> </w:t>
      </w:r>
      <w:bookmarkEnd w:id="1"/>
      <w:r w:rsidRPr="000E28CF">
        <w:rPr>
          <w:rFonts w:ascii="Times New Roman" w:hAnsi="Times New Roman" w:cs="Times New Roman"/>
          <w:color w:val="000000" w:themeColor="text1"/>
          <w:sz w:val="20"/>
          <w:szCs w:val="20"/>
        </w:rPr>
        <w:t xml:space="preserve">(i) </w:t>
      </w:r>
      <w:r w:rsidRPr="000E28CF">
        <w:rPr>
          <w:rFonts w:ascii="Times New Roman" w:eastAsia="Times New Roman" w:hAnsi="Times New Roman" w:cs="Times New Roman"/>
          <w:color w:val="000000" w:themeColor="text1"/>
          <w:sz w:val="20"/>
          <w:szCs w:val="20"/>
        </w:rPr>
        <w:t>the Longitudinal database for integration studies,</w:t>
      </w:r>
      <w:r w:rsidRPr="000E28CF">
        <w:rPr>
          <w:rFonts w:ascii="Times New Roman" w:hAnsi="Times New Roman" w:cs="Times New Roman"/>
          <w:color w:val="000000" w:themeColor="text1"/>
          <w:sz w:val="20"/>
          <w:szCs w:val="20"/>
        </w:rPr>
        <w:t xml:space="preserve"> STATIV, provided by Statistics Sweden, was used to obtain information on reason for residence </w:t>
      </w:r>
      <w:r w:rsidRPr="000E28CF">
        <w:rPr>
          <w:rFonts w:ascii="Times New Roman" w:hAnsi="Times New Roman" w:cs="Times New Roman"/>
          <w:color w:val="000000" w:themeColor="text1"/>
          <w:sz w:val="20"/>
          <w:szCs w:val="20"/>
        </w:rPr>
        <w:fldChar w:fldCharType="begin"/>
      </w:r>
      <w:r w:rsidRPr="000E28CF">
        <w:rPr>
          <w:rFonts w:ascii="Times New Roman" w:hAnsi="Times New Roman" w:cs="Times New Roman"/>
          <w:color w:val="000000" w:themeColor="text1"/>
          <w:sz w:val="20"/>
          <w:szCs w:val="20"/>
        </w:rPr>
        <w:instrText xml:space="preserve"> ADDIN ZOTERO_ITEM CSL_CITATION {"citationID":"BZWwlqzV","properties":{"formattedCitation":"(29)","plainCitation":"(29)","noteIndex":0},"citationItems":[{"id":378,"uris":["http://zotero.org/users/11004987/items/KQYCX3EB"],"itemData":{"id":378,"type":"report","event-place":"Stockholm","publisher-place":"Stockholm","title":"Documentation of STATIV","author":[{"family":"Statistics Sweden","given":""}],"issued":{"date-parts":[["2018",5,23]]}}}],"schema":"https://github.com/citation-style-language/schema/raw/master/csl-citation.json"} </w:instrText>
      </w:r>
      <w:r w:rsidRPr="000E28CF">
        <w:rPr>
          <w:rFonts w:ascii="Times New Roman" w:hAnsi="Times New Roman" w:cs="Times New Roman"/>
          <w:color w:val="000000" w:themeColor="text1"/>
          <w:sz w:val="20"/>
          <w:szCs w:val="20"/>
        </w:rPr>
        <w:fldChar w:fldCharType="separate"/>
      </w:r>
      <w:r w:rsidR="000E28CF" w:rsidRPr="000E28CF">
        <w:rPr>
          <w:rFonts w:ascii="Times New Roman" w:hAnsi="Times New Roman" w:cs="Times New Roman"/>
          <w:sz w:val="20"/>
        </w:rPr>
        <w:t>(29)</w:t>
      </w:r>
      <w:r w:rsidRPr="000E28CF">
        <w:rPr>
          <w:rFonts w:ascii="Times New Roman" w:hAnsi="Times New Roman" w:cs="Times New Roman"/>
          <w:color w:val="000000" w:themeColor="text1"/>
          <w:sz w:val="20"/>
          <w:szCs w:val="20"/>
        </w:rPr>
        <w:fldChar w:fldCharType="end"/>
      </w:r>
      <w:r w:rsidRPr="000E28CF">
        <w:rPr>
          <w:rFonts w:ascii="Times New Roman" w:hAnsi="Times New Roman" w:cs="Times New Roman"/>
          <w:color w:val="000000" w:themeColor="text1"/>
          <w:sz w:val="20"/>
          <w:szCs w:val="20"/>
        </w:rPr>
        <w:t xml:space="preserve">. (ii) </w:t>
      </w:r>
      <w:bookmarkStart w:id="2" w:name="_Hlk187658918"/>
      <w:r w:rsidRPr="000E28CF">
        <w:rPr>
          <w:rFonts w:ascii="Times New Roman" w:hAnsi="Times New Roman" w:cs="Times New Roman"/>
          <w:color w:val="000000" w:themeColor="text1"/>
          <w:sz w:val="20"/>
          <w:szCs w:val="20"/>
        </w:rPr>
        <w:t xml:space="preserve">The </w:t>
      </w:r>
      <w:r w:rsidRPr="000E28CF">
        <w:rPr>
          <w:rFonts w:ascii="Times New Roman" w:hAnsi="Times New Roman" w:cs="Times New Roman"/>
          <w:sz w:val="20"/>
          <w:szCs w:val="20"/>
        </w:rPr>
        <w:t>Longitudinal integrated database for health insurance and labor market studies (LISA), held by Statistics Sweden,</w:t>
      </w:r>
      <w:r w:rsidRPr="000E28CF">
        <w:rPr>
          <w:rFonts w:ascii="Segoe UI" w:hAnsi="Segoe UI" w:cs="Segoe UI"/>
          <w:sz w:val="18"/>
          <w:szCs w:val="18"/>
        </w:rPr>
        <w:t xml:space="preserve"> </w:t>
      </w:r>
      <w:r w:rsidRPr="000E28CF">
        <w:rPr>
          <w:rFonts w:ascii="Times New Roman" w:hAnsi="Times New Roman" w:cs="Times New Roman"/>
          <w:sz w:val="20"/>
          <w:szCs w:val="20"/>
        </w:rPr>
        <w:t xml:space="preserve">contains information on all individuals who are residing in Sweden on a yearly basis. </w:t>
      </w:r>
      <w:bookmarkEnd w:id="2"/>
      <w:r w:rsidRPr="000E28CF">
        <w:rPr>
          <w:rFonts w:ascii="Times New Roman" w:hAnsi="Times New Roman" w:cs="Times New Roman"/>
          <w:sz w:val="20"/>
          <w:szCs w:val="20"/>
        </w:rPr>
        <w:t>It provided information on age, sex, country of birth, educational level</w:t>
      </w:r>
      <w:r w:rsidRPr="000E28CF">
        <w:rPr>
          <w:rFonts w:ascii="Times New Roman" w:hAnsi="Times New Roman" w:cs="Times New Roman"/>
          <w:color w:val="000000" w:themeColor="text1"/>
          <w:sz w:val="20"/>
          <w:szCs w:val="20"/>
        </w:rPr>
        <w:t>, living area</w:t>
      </w:r>
      <w:r w:rsidRPr="000E28CF">
        <w:rPr>
          <w:rFonts w:ascii="Times New Roman" w:hAnsi="Times New Roman" w:cs="Times New Roman"/>
          <w:sz w:val="20"/>
          <w:szCs w:val="20"/>
        </w:rPr>
        <w:t xml:space="preserve"> and yearly number of days on unemployment benefits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{"citationID":"ssIqJHJi","properties":{"formattedCitation":"(30)","plainCitation":"(30)","noteIndex":0},"citationItems":[{"id":424,"uris":["http://zotero.org/users/11004987/items/SQNZC4V7"],"itemData":{"id":424,"type":"webpage","abstract":"SCB:s longitudinella databas LISA innehåller detaljerade data om sjuk‑, föräldra‑ och arbetslöshetsförsäkringen på individnivå. Den medger att över tiden följa en persons övergångar mellan exempelvis förvärvsarbete, arbetslöshet och sjukdom.","container-title":"Statistiska Centralbyrån","language":"sv","title":"Longitudinell integrationsdatabas för sjukförsäkrings- och arbetsmarknadsstudier (LISA)","URL":"https://www.scb.se/vara-tjanster/bestall-data-och-statistik/bestalla-mikrodata/vilka-mikrodata-finns/longitudinella-register/longitudinell-integrationsdatabas-for-sjukforsakrings--och-arbetsmarknadsstudier-lisa/","author":[{"family":"Statistics Sweden","given":""}],"accessed":{"date-parts":[["2023",2,3]]}}}],"schema":"https://github.com/citation-style-language/schema/raw/master/csl-citation.json"}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(30)</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(iii) The Micro Data for Analysis of the Social Insurance database (MIDAS), held by the Social Insurance Agency, was used for information on net days of sickness absence and disability pension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{"citationID":"pdStLntx","properties":{"formattedCitation":"(31)","plainCitation":"(31)","noteIndex":0},"citationItems":[{"id":376,"uris":["http://zotero.org/users/11004987/items/CN3IU543"],"itemData":{"id":376,"type":"webpage","abstract":"Genom ett undantag från statistiksekretessen kan data från statistikregister lämnas ut för forskningsändamål. Utlämning kan ske efter ansökan och sekretessprövning.","genre":"text","language":"sv","title":"Beställning av individdata för forskning","URL":"http://www.forsakringskassan.se/statistik-och-analys/bestallning-av-individdata-och-statistik/bestallning-av-individdata-for-forskning","author":[{"family":"The Swedish Social Insurance Agency","given":""}],"accessed":{"date-parts":[["2023",2,20]]},"issued":{"date-parts":[["2023",1,31]]}}}],"schema":"https://github.com/citation-style-language/schema/raw/master/csl-citation.json"}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(31)</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(iv) The date and diagnoses of in- and specialized outpatient care due to CMDs were obtained from the National Patient Register (NPR)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{"citationID":"4E0meL2n","properties":{"formattedCitation":"(32)","plainCitation":"(32)","noteIndex":0},"citationItems":[{"id":414,"uris":["http://zotero.org/users/11004987/items/VL9V8AR9"],"itemData":{"id":414,"type":"webpage","container-title":"National Board of Health and Welfare","language":"en","title":"National Prescribed Drug Register","URL":"https://www.socialstyrelsen.se/en/statistics-and-data/registers/national-prescribed-drug-register/","author":[{"family":"National Board of Health and Welfare","given":""}],"accessed":{"date-parts":[["2023",2,20]]},"issued":{"date-parts":[["2022",1,14]]}}}],"schema":"https://github.com/citation-style-language/schema/raw/master/csl-citation.json"}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(32)</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and (v) antidepressants dispensation was provided in the Prescription Drug Register. These latter registers are both held by the National Board of Health and Welfare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{"citationID":"tJtygsQF","properties":{"formattedCitation":"(33)","plainCitation":"(33)","noteIndex":0},"citationItems":[{"id":401,"uris":["http://zotero.org/users/11004987/items/3KNJFAH4"],"itemData":{"id":401,"type":"article-journal","abstract":"Purpose To describe the content and potentials of the new Swedish national register on prescribed and dispensed medicines. Methods The Swedish Prescribed Drug Register contains information about age, sex and unique identifier of the patient as well as the prescriber's profession and practice. Information regarding drug utilization and expenditures for prescribed drugs in the entire Swedish population was extracted from the first six months July–December 2005 and compared with total drug sales in the country including OTC and hospital use. Results The total quantity of drugs sold in Sweden was 2666 million DDDs, corresponding to 1608 DDD/1000 inhabitants daily. The total expenditures were 1.6 billion Euro. The prescribed drugs, included in the register, accounted for 84% of the total utilization and 77% of the total expenditures. About half of all men and two-thirds of all women in the country purchased drugs. The proportion increased by age. The most common drugs for chronic treatment were diuretics among women (8.8% of the population) and antithrombotic agents among men (7.6%). Psychotropic drugs, corticosteroids and analgesics were more common among women, while men used antithrombotic agents, antidiabetic drugs, lipid lowering agents and ACE inhibitors to a greater extent. Conclusions The new register provides valuable data on exposure to drugs and is useful to study patterns of drug utilization. The possibilities for record linkage to other health registers gives from an international perspective good opportunities to explore drug and disease associations and the risks, benefits, effectiveness and health economical effects of drug use. Copyright © 2006 John Wiley &amp; Sons, Ltd.","container-title":"Pharmacoepidemiology and Drug Safety","DOI":"10.1002/pds.1294","ISSN":"1099-1557","issue":"7","language":"en","license":"Copyright © 2006 John Wiley &amp; Sons, Ltd.","note":"_eprint: https://onlinelibrary.wiley.com/doi/pdf/10.1002/pds.1294","page":"726-735","source":"Wiley Online Library","title":"The new Swedish Prescribed Drug Register—Opportunities for pharmacoepidemiological research and experience from the first six months","volume":"16","author":[{"family":"Wettermark","given":"Björn"},{"family":"Hammar","given":"Niklas"},{"family":"MichaelFored","given":"C."},{"family":"Leimanis","given":"Andrejs"},{"family":"Otterblad Olausson","given":"Petra"},{"family":"Bergman","given":"Ulf"},{"family":"Persson","given":"Ingemar"},{"family":"Sundström","given":"Anders"},{"family":"Westerholm","given":"Barbro"},{"family":"Rosén","given":"Måns"}],"issued":{"date-parts":[["2007"]]}}}],"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(33)</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w:t>
      </w:r>
      <w:r w:rsidRPr="000E28CF">
        <w:rPr>
          <w:rFonts w:ascii="Times New Roman" w:hAnsi="Times New Roman" w:cs="Times New Roman"/>
          <w:color w:val="000000" w:themeColor="text1"/>
          <w:sz w:val="20"/>
          <w:szCs w:val="20"/>
        </w:rPr>
        <w:t>All these registers were linked through a unique de-identified Swedish personal identification number.</w:t>
      </w:r>
    </w:p>
    <w:p w14:paraId="1BAF25AE" w14:textId="77777777" w:rsidR="00CD7E5F" w:rsidRPr="000E28CF" w:rsidRDefault="00CD7E5F" w:rsidP="00CD7E5F">
      <w:pPr>
        <w:pStyle w:val="Ingetavstnd"/>
        <w:spacing w:line="360" w:lineRule="auto"/>
        <w:rPr>
          <w:b/>
          <w:lang w:val="en-US"/>
        </w:rPr>
      </w:pPr>
      <w:r w:rsidRPr="000E28CF">
        <w:rPr>
          <w:lang w:val="en-US"/>
        </w:rPr>
        <w:t>Variables</w:t>
      </w:r>
    </w:p>
    <w:p w14:paraId="29455330" w14:textId="0849F4E9" w:rsidR="00CD7E5F" w:rsidRPr="000E28CF" w:rsidRDefault="00CD7E5F" w:rsidP="00CD7E5F">
      <w:pPr>
        <w:spacing w:line="360" w:lineRule="auto"/>
        <w:rPr>
          <w:rFonts w:ascii="Times New Roman" w:hAnsi="Times New Roman" w:cs="Times New Roman"/>
          <w:color w:val="000000" w:themeColor="text1"/>
          <w:sz w:val="20"/>
          <w:szCs w:val="20"/>
          <w:shd w:val="clear" w:color="auto" w:fill="FFFFFF"/>
        </w:rPr>
      </w:pPr>
      <w:r w:rsidRPr="000E28CF">
        <w:rPr>
          <w:rFonts w:ascii="Times New Roman" w:hAnsi="Times New Roman" w:cs="Times New Roman"/>
          <w:color w:val="000000"/>
          <w:sz w:val="20"/>
          <w:szCs w:val="20"/>
        </w:rPr>
        <w:t xml:space="preserve">Outcomes: The outcomes were defined as “incident” events. Events within one year prior to the start of the observed quarter were therefore not counted. </w:t>
      </w:r>
      <w:r w:rsidRPr="000E28CF">
        <w:rPr>
          <w:rFonts w:ascii="Times New Roman" w:hAnsi="Times New Roman" w:cs="Times New Roman"/>
          <w:i/>
          <w:iCs/>
          <w:color w:val="000000" w:themeColor="text1"/>
          <w:sz w:val="20"/>
          <w:szCs w:val="20"/>
          <w:shd w:val="clear" w:color="auto" w:fill="FFFFFF"/>
        </w:rPr>
        <w:t>Use of specialized mental health care due to common mental disorders</w:t>
      </w:r>
      <w:r w:rsidRPr="000E28CF">
        <w:rPr>
          <w:rFonts w:ascii="Times New Roman" w:hAnsi="Times New Roman" w:cs="Times New Roman"/>
          <w:color w:val="000000" w:themeColor="text1"/>
          <w:sz w:val="20"/>
          <w:szCs w:val="20"/>
          <w:shd w:val="clear" w:color="auto" w:fill="FFFFFF"/>
        </w:rPr>
        <w:t xml:space="preserve"> was defined as an incident of inpatient or specialized outpatient care event according to the following International Classification of Diseases 10</w:t>
      </w:r>
      <w:r w:rsidRPr="000E28CF">
        <w:rPr>
          <w:rFonts w:ascii="Times New Roman" w:hAnsi="Times New Roman" w:cs="Times New Roman"/>
          <w:color w:val="000000" w:themeColor="text1"/>
          <w:sz w:val="20"/>
          <w:szCs w:val="20"/>
          <w:shd w:val="clear" w:color="auto" w:fill="FFFFFF"/>
          <w:vertAlign w:val="superscript"/>
        </w:rPr>
        <w:t>th</w:t>
      </w:r>
      <w:r w:rsidRPr="000E28CF">
        <w:rPr>
          <w:rFonts w:ascii="Times New Roman" w:hAnsi="Times New Roman" w:cs="Times New Roman"/>
          <w:color w:val="000000" w:themeColor="text1"/>
          <w:sz w:val="20"/>
          <w:szCs w:val="20"/>
          <w:shd w:val="clear" w:color="auto" w:fill="FFFFFF"/>
        </w:rPr>
        <w:t xml:space="preserve"> version (ICD-10)</w:t>
      </w:r>
      <w:r w:rsidRPr="000E28CF">
        <w:rPr>
          <w:rFonts w:ascii="Times New Roman" w:hAnsi="Times New Roman" w:cs="Times New Roman"/>
          <w:color w:val="000000" w:themeColor="text1"/>
          <w:sz w:val="20"/>
          <w:szCs w:val="20"/>
          <w:shd w:val="clear" w:color="auto" w:fill="FFFFFF"/>
        </w:rPr>
        <w:fldChar w:fldCharType="begin"/>
      </w:r>
      <w:r w:rsidRPr="000E28CF">
        <w:rPr>
          <w:rFonts w:ascii="Times New Roman" w:hAnsi="Times New Roman" w:cs="Times New Roman"/>
          <w:color w:val="000000" w:themeColor="text1"/>
          <w:sz w:val="20"/>
          <w:szCs w:val="20"/>
          <w:shd w:val="clear" w:color="auto" w:fill="FFFFFF"/>
        </w:rPr>
        <w:instrText xml:space="preserve"> ADDIN ZOTERO_ITEM CSL_CITATION {"citationID":"F4RqBx6C","properties":{"formattedCitation":"(34)","plainCitation":"(34)","noteIndex":0},"citationItems":[{"id":400,"uris":["http://zotero.org/users/11004987/items/SKE33APS"],"itemData":{"id":400,"type":"webpage","title":"ICD-10 Version:2016","URL":"https://icd.who.int/browse10/2016/en","author":[{"family":"World Health Organization","given":""}],"accessed":{"date-parts":[["2023",7,17]]}}}],"schema":"https://github.com/citation-style-language/schema/raw/master/csl-citation.json"} </w:instrText>
      </w:r>
      <w:r w:rsidRPr="000E28CF">
        <w:rPr>
          <w:rFonts w:ascii="Times New Roman" w:hAnsi="Times New Roman" w:cs="Times New Roman"/>
          <w:color w:val="000000" w:themeColor="text1"/>
          <w:sz w:val="20"/>
          <w:szCs w:val="20"/>
          <w:shd w:val="clear" w:color="auto" w:fill="FFFFFF"/>
        </w:rPr>
        <w:fldChar w:fldCharType="separate"/>
      </w:r>
      <w:r w:rsidR="000E28CF" w:rsidRPr="000E28CF">
        <w:rPr>
          <w:rFonts w:ascii="Times New Roman" w:hAnsi="Times New Roman" w:cs="Times New Roman"/>
          <w:sz w:val="20"/>
        </w:rPr>
        <w:t>(34)</w:t>
      </w:r>
      <w:r w:rsidRPr="000E28CF">
        <w:rPr>
          <w:rFonts w:ascii="Times New Roman" w:hAnsi="Times New Roman" w:cs="Times New Roman"/>
          <w:color w:val="000000" w:themeColor="text1"/>
          <w:sz w:val="20"/>
          <w:szCs w:val="20"/>
          <w:shd w:val="clear" w:color="auto" w:fill="FFFFFF"/>
        </w:rPr>
        <w:fldChar w:fldCharType="end"/>
      </w:r>
      <w:r w:rsidRPr="000E28CF">
        <w:rPr>
          <w:rFonts w:ascii="Times New Roman" w:hAnsi="Times New Roman" w:cs="Times New Roman"/>
          <w:color w:val="000000" w:themeColor="text1"/>
          <w:sz w:val="20"/>
          <w:szCs w:val="20"/>
          <w:shd w:val="clear" w:color="auto" w:fill="FFFFFF"/>
        </w:rPr>
        <w:t xml:space="preserve"> codes: F32-F34 (depressive disorder), F43 (stress related disorder), F40-F42, F44, F48 (neurotic disorders). </w:t>
      </w:r>
      <w:r w:rsidRPr="000E28CF">
        <w:rPr>
          <w:rFonts w:ascii="Times New Roman" w:hAnsi="Times New Roman" w:cs="Times New Roman"/>
          <w:i/>
          <w:iCs/>
          <w:color w:val="000000" w:themeColor="text1"/>
          <w:sz w:val="20"/>
          <w:szCs w:val="20"/>
          <w:shd w:val="clear" w:color="auto" w:fill="FFFFFF"/>
        </w:rPr>
        <w:t xml:space="preserve">Antidepressants prescription </w:t>
      </w:r>
      <w:r w:rsidRPr="000E28CF">
        <w:rPr>
          <w:rFonts w:ascii="Times New Roman" w:hAnsi="Times New Roman" w:cs="Times New Roman"/>
          <w:color w:val="000000" w:themeColor="text1"/>
          <w:sz w:val="20"/>
          <w:szCs w:val="20"/>
          <w:shd w:val="clear" w:color="auto" w:fill="FFFFFF"/>
        </w:rPr>
        <w:t xml:space="preserve">was defined as an incident of prescription and dispensation by the N06A Anatomic Therapeutic Chemicals (ATC) code </w:t>
      </w:r>
      <w:r w:rsidRPr="000E28CF">
        <w:rPr>
          <w:rFonts w:ascii="Times New Roman" w:hAnsi="Times New Roman" w:cs="Times New Roman"/>
          <w:color w:val="000000"/>
          <w:sz w:val="20"/>
          <w:szCs w:val="20"/>
        </w:rPr>
        <w:fldChar w:fldCharType="begin"/>
      </w:r>
      <w:r w:rsidRPr="000E28CF">
        <w:rPr>
          <w:rFonts w:ascii="Times New Roman" w:hAnsi="Times New Roman" w:cs="Times New Roman"/>
          <w:color w:val="000000"/>
          <w:sz w:val="20"/>
          <w:szCs w:val="20"/>
        </w:rPr>
        <w:instrText xml:space="preserve"> ADDIN ZOTERO_ITEM CSL_CITATION {"citationID":"gzzVLBoO","properties":{"formattedCitation":"(35)","plainCitation":"(35)","noteIndex":0},"citationItems":[{"id":527,"uris":["http://zotero.org/users/11004987/items/SMUH2C7C"],"itemData":{"id":527,"type":"webpage","title":"International language for drug utilization research","URL":"https://www.whocc.no/","author":[{"family":"World Health Organization Collaborating Centre for Drug Statistics Methodology","given":""}],"accessed":{"date-parts":[["2023",9,30]]},"issued":{"date-parts":[["2023"]]}}}],"schema":"https://github.com/citation-style-language/schema/raw/master/csl-citation.json"} </w:instrText>
      </w:r>
      <w:r w:rsidRPr="000E28CF">
        <w:rPr>
          <w:rFonts w:ascii="Times New Roman" w:hAnsi="Times New Roman" w:cs="Times New Roman"/>
          <w:color w:val="000000"/>
          <w:sz w:val="20"/>
          <w:szCs w:val="20"/>
        </w:rPr>
        <w:fldChar w:fldCharType="separate"/>
      </w:r>
      <w:r w:rsidR="000E28CF" w:rsidRPr="000E28CF">
        <w:rPr>
          <w:rFonts w:ascii="Times New Roman" w:hAnsi="Times New Roman" w:cs="Times New Roman"/>
          <w:sz w:val="20"/>
        </w:rPr>
        <w:t>(35)</w:t>
      </w:r>
      <w:r w:rsidRPr="000E28CF">
        <w:rPr>
          <w:rFonts w:ascii="Times New Roman" w:hAnsi="Times New Roman" w:cs="Times New Roman"/>
          <w:color w:val="000000"/>
          <w:sz w:val="20"/>
          <w:szCs w:val="20"/>
        </w:rPr>
        <w:fldChar w:fldCharType="end"/>
      </w:r>
      <w:r w:rsidRPr="000E28CF">
        <w:rPr>
          <w:rFonts w:ascii="Times New Roman" w:hAnsi="Times New Roman" w:cs="Times New Roman"/>
          <w:color w:val="000000"/>
          <w:sz w:val="20"/>
          <w:szCs w:val="20"/>
        </w:rPr>
        <w:t xml:space="preserve">. The outcomes were assessed quarterly. </w:t>
      </w:r>
    </w:p>
    <w:p w14:paraId="63951D25" w14:textId="0E92B6FC" w:rsidR="00CD7E5F" w:rsidRPr="000E28CF" w:rsidRDefault="00CD7E5F" w:rsidP="00CD7E5F">
      <w:pPr>
        <w:spacing w:line="360" w:lineRule="auto"/>
        <w:rPr>
          <w:rFonts w:ascii="Times New Roman" w:hAnsi="Times New Roman" w:cs="Times New Roman"/>
          <w:bCs/>
          <w:color w:val="000000"/>
          <w:sz w:val="20"/>
          <w:szCs w:val="20"/>
        </w:rPr>
      </w:pPr>
      <w:r w:rsidRPr="000E28CF">
        <w:rPr>
          <w:rFonts w:ascii="Times New Roman" w:hAnsi="Times New Roman" w:cs="Times New Roman"/>
          <w:color w:val="000000"/>
          <w:sz w:val="20"/>
          <w:szCs w:val="20"/>
        </w:rPr>
        <w:t xml:space="preserve">Covariates: </w:t>
      </w:r>
      <w:bookmarkStart w:id="3" w:name="_Hlk187659297"/>
      <w:r w:rsidRPr="000E28CF">
        <w:rPr>
          <w:rFonts w:ascii="Times New Roman" w:hAnsi="Times New Roman" w:cs="Times New Roman"/>
          <w:bCs/>
          <w:i/>
          <w:color w:val="000000"/>
          <w:sz w:val="20"/>
          <w:szCs w:val="20"/>
        </w:rPr>
        <w:t xml:space="preserve">Labor market marginalization, </w:t>
      </w:r>
      <w:r w:rsidRPr="000E28CF">
        <w:rPr>
          <w:rFonts w:ascii="Times New Roman" w:hAnsi="Times New Roman" w:cs="Times New Roman"/>
          <w:bCs/>
          <w:iCs/>
          <w:color w:val="000000"/>
          <w:sz w:val="20"/>
          <w:szCs w:val="20"/>
        </w:rPr>
        <w:t>a concept used in studies to capture a social insurance perspective</w:t>
      </w:r>
      <w:r w:rsidR="00C174DF" w:rsidRPr="000E28CF">
        <w:rPr>
          <w:rFonts w:ascii="Times New Roman" w:hAnsi="Times New Roman" w:cs="Times New Roman"/>
          <w:bCs/>
          <w:iCs/>
          <w:color w:val="000000"/>
          <w:sz w:val="20"/>
          <w:szCs w:val="20"/>
        </w:rPr>
        <w:t xml:space="preserve"> </w:t>
      </w:r>
      <w:r w:rsidRPr="000E28CF">
        <w:rPr>
          <w:rFonts w:ascii="Times New Roman" w:hAnsi="Times New Roman" w:cs="Times New Roman"/>
          <w:bCs/>
          <w:i/>
          <w:color w:val="000000"/>
          <w:sz w:val="20"/>
          <w:szCs w:val="20"/>
        </w:rPr>
        <w:fldChar w:fldCharType="begin"/>
      </w:r>
      <w:r w:rsidRPr="000E28CF">
        <w:rPr>
          <w:rFonts w:ascii="Times New Roman" w:hAnsi="Times New Roman" w:cs="Times New Roman"/>
          <w:bCs/>
          <w:i/>
          <w:color w:val="000000"/>
          <w:sz w:val="20"/>
          <w:szCs w:val="20"/>
        </w:rPr>
        <w:instrText xml:space="preserve"> ADDIN ZOTERO_ITEM CSL_CITATION {"citationID":"vl1OBx9M","properties":{"formattedCitation":"(36)","plainCitation":"(36)","noteIndex":0},"citationItems":[{"id":603,"uris":["http://zotero.org/users/11004987/items/3W427TW8"],"itemData":{"id":603,"type":"article-journal","abstract":"Labour-market marginalisation (LMM) and common mental disorders (CMDs) are serious societal problems. The aims were to describe trajectories of LMM (both work disability and unemployment) among young adults with and without CMDs, and to elucidate the characteristics associated with these trajectories.","container-title":"BMC Public Health","DOI":"10.1186/s12889-018-6141-y","ISSN":"1471-2458","issue":"1","journalAbbreviation":"BMC Public Health","page":"1228","source":"BioMed Central","title":"Trajectories of work disability and unemployment among young adults with common mental disorders","volume":"18","author":[{"family":"Helgesson","given":"Magnus"},{"family":"Tinghög","given":"Petter"},{"family":"Wang","given":"Mo"},{"family":"Rahman","given":"Syed"},{"family":"Saboonchi","given":"Fredrik"},{"family":"Mittendorfer-Rutz","given":"Ellenor"}],"issued":{"date-parts":[["2018",11,6]]}}}],"schema":"https://github.com/citation-style-language/schema/raw/master/csl-citation.json"} </w:instrText>
      </w:r>
      <w:r w:rsidRPr="000E28CF">
        <w:rPr>
          <w:rFonts w:ascii="Times New Roman" w:hAnsi="Times New Roman" w:cs="Times New Roman"/>
          <w:bCs/>
          <w:i/>
          <w:color w:val="000000"/>
          <w:sz w:val="20"/>
          <w:szCs w:val="20"/>
        </w:rPr>
        <w:fldChar w:fldCharType="separate"/>
      </w:r>
      <w:r w:rsidR="000E28CF" w:rsidRPr="000E28CF">
        <w:rPr>
          <w:rFonts w:ascii="Times New Roman" w:hAnsi="Times New Roman" w:cs="Times New Roman"/>
          <w:sz w:val="20"/>
        </w:rPr>
        <w:t>(36)</w:t>
      </w:r>
      <w:r w:rsidRPr="000E28CF">
        <w:rPr>
          <w:rFonts w:ascii="Times New Roman" w:hAnsi="Times New Roman" w:cs="Times New Roman"/>
          <w:bCs/>
          <w:i/>
          <w:color w:val="000000"/>
          <w:sz w:val="20"/>
          <w:szCs w:val="20"/>
        </w:rPr>
        <w:fldChar w:fldCharType="end"/>
      </w:r>
      <w:r w:rsidRPr="000E28CF">
        <w:rPr>
          <w:rFonts w:ascii="Times New Roman" w:hAnsi="Times New Roman" w:cs="Times New Roman"/>
          <w:bCs/>
          <w:i/>
          <w:color w:val="000000"/>
          <w:sz w:val="20"/>
          <w:szCs w:val="20"/>
        </w:rPr>
        <w:t>,</w:t>
      </w:r>
      <w:r w:rsidRPr="000E28CF">
        <w:rPr>
          <w:rFonts w:ascii="Times New Roman" w:hAnsi="Times New Roman" w:cs="Times New Roman"/>
          <w:bCs/>
          <w:color w:val="000000"/>
          <w:sz w:val="20"/>
          <w:szCs w:val="20"/>
        </w:rPr>
        <w:t xml:space="preserve"> </w:t>
      </w:r>
      <w:bookmarkEnd w:id="3"/>
      <w:r w:rsidRPr="000E28CF">
        <w:rPr>
          <w:rFonts w:ascii="Times New Roman" w:hAnsi="Times New Roman" w:cs="Times New Roman"/>
          <w:bCs/>
          <w:color w:val="000000"/>
          <w:sz w:val="20"/>
          <w:szCs w:val="20"/>
        </w:rPr>
        <w:t xml:space="preserve">was defined as more than 365 days of unemployment, sickness absence or disability pension (net days), </w:t>
      </w:r>
      <w:r w:rsidRPr="000E28CF">
        <w:rPr>
          <w:rFonts w:ascii="Times New Roman" w:hAnsi="Times New Roman" w:cs="Times New Roman"/>
          <w:color w:val="000000" w:themeColor="text1"/>
          <w:sz w:val="20"/>
          <w:szCs w:val="20"/>
          <w:shd w:val="clear" w:color="auto" w:fill="FFFFFF"/>
        </w:rPr>
        <w:t>in the year prior to the observed quarter. For employees, only the sickness absence days from day 15 are included as the employer pays the first 14 days and the first day is a qualifying day. The cut-off of 365 days was chosen in order to capture permanent labor market marginalization that was not caused by the temporary effect of the pandemic on the labor market (Supplementary material)</w:t>
      </w:r>
      <w:r w:rsidRPr="000E28CF">
        <w:rPr>
          <w:rFonts w:ascii="Times New Roman" w:hAnsi="Times New Roman" w:cs="Times New Roman"/>
          <w:bCs/>
          <w:color w:val="000000"/>
          <w:sz w:val="20"/>
          <w:szCs w:val="20"/>
        </w:rPr>
        <w:t xml:space="preserve">. </w:t>
      </w:r>
      <w:r w:rsidRPr="000E28CF">
        <w:rPr>
          <w:rFonts w:ascii="Times New Roman" w:hAnsi="Times New Roman" w:cs="Times New Roman"/>
          <w:bCs/>
          <w:i/>
          <w:color w:val="000000"/>
          <w:sz w:val="20"/>
          <w:szCs w:val="20"/>
        </w:rPr>
        <w:t>Education</w:t>
      </w:r>
      <w:r w:rsidRPr="000E28CF">
        <w:rPr>
          <w:rFonts w:ascii="Times New Roman" w:hAnsi="Times New Roman" w:cs="Times New Roman"/>
          <w:bCs/>
          <w:color w:val="000000"/>
          <w:sz w:val="20"/>
          <w:szCs w:val="20"/>
        </w:rPr>
        <w:t xml:space="preserve"> assessed at baseline was categorized as less than or equal to nine, or more than nine years of completed education, as that is the level of compulsory schooling in Sweden. Missing values in education are more common in refugees and often indicate no</w:t>
      </w:r>
      <w:r w:rsidR="001C662F" w:rsidRPr="000E28CF">
        <w:rPr>
          <w:rFonts w:ascii="Times New Roman" w:hAnsi="Times New Roman" w:cs="Times New Roman"/>
          <w:bCs/>
          <w:color w:val="000000"/>
          <w:sz w:val="20"/>
          <w:szCs w:val="20"/>
        </w:rPr>
        <w:t>ne</w:t>
      </w:r>
      <w:r w:rsidRPr="000E28CF">
        <w:rPr>
          <w:rFonts w:ascii="Times New Roman" w:hAnsi="Times New Roman" w:cs="Times New Roman"/>
          <w:bCs/>
          <w:color w:val="000000"/>
          <w:sz w:val="20"/>
          <w:szCs w:val="20"/>
        </w:rPr>
        <w:t xml:space="preserve"> or elementary schooling and </w:t>
      </w:r>
      <w:r w:rsidR="001C662F" w:rsidRPr="000E28CF">
        <w:rPr>
          <w:rFonts w:ascii="Times New Roman" w:hAnsi="Times New Roman" w:cs="Times New Roman"/>
          <w:bCs/>
          <w:color w:val="000000"/>
          <w:sz w:val="20"/>
          <w:szCs w:val="20"/>
        </w:rPr>
        <w:t xml:space="preserve">therefore </w:t>
      </w:r>
      <w:r w:rsidRPr="000E28CF">
        <w:rPr>
          <w:rFonts w:ascii="Times New Roman" w:hAnsi="Times New Roman" w:cs="Times New Roman"/>
          <w:bCs/>
          <w:color w:val="000000"/>
          <w:sz w:val="20"/>
          <w:szCs w:val="20"/>
        </w:rPr>
        <w:t>categorized as less than nine years of education. All other variables were used for descriptive statistics only and coded as indicated in Table 1.</w:t>
      </w:r>
    </w:p>
    <w:p w14:paraId="6A8C03EF" w14:textId="77777777" w:rsidR="00CD7E5F" w:rsidRPr="000E28CF" w:rsidRDefault="00CD7E5F" w:rsidP="00CD7E5F">
      <w:pPr>
        <w:pStyle w:val="elementtoproof"/>
        <w:spacing w:line="360" w:lineRule="auto"/>
      </w:pPr>
      <w:r w:rsidRPr="000E28CF">
        <w:rPr>
          <w:color w:val="000000"/>
        </w:rPr>
        <w:t>Statistical analysis</w:t>
      </w:r>
    </w:p>
    <w:p w14:paraId="187FCC75" w14:textId="16622095" w:rsidR="00CD7E5F" w:rsidRPr="000E28CF" w:rsidRDefault="00CD7E5F" w:rsidP="00CD7E5F">
      <w:pPr>
        <w:pStyle w:val="elementtoproof"/>
        <w:spacing w:after="160" w:line="360" w:lineRule="auto"/>
        <w:rPr>
          <w:rFonts w:ascii="Times New Roman" w:hAnsi="Times New Roman" w:cs="Times New Roman"/>
          <w:color w:val="000000"/>
          <w:sz w:val="20"/>
          <w:szCs w:val="20"/>
        </w:rPr>
      </w:pPr>
      <w:r w:rsidRPr="000E28CF">
        <w:rPr>
          <w:rFonts w:ascii="Times New Roman" w:hAnsi="Times New Roman" w:cs="Times New Roman"/>
          <w:color w:val="000000"/>
          <w:sz w:val="20"/>
          <w:szCs w:val="20"/>
        </w:rPr>
        <w:t>We conducted an interrupted time series (ITS) analysis</w:t>
      </w:r>
      <w:r w:rsidRPr="000E28CF">
        <w:rPr>
          <w:rFonts w:ascii="Times New Roman" w:hAnsi="Times New Roman" w:cs="Times New Roman"/>
          <w:sz w:val="20"/>
          <w:szCs w:val="20"/>
        </w:rPr>
        <w:t xml:space="preserve"> </w:t>
      </w:r>
      <w:r w:rsidRPr="000E28CF">
        <w:rPr>
          <w:rFonts w:ascii="Times New Roman" w:hAnsi="Times New Roman" w:cs="Times New Roman"/>
          <w:color w:val="000000"/>
          <w:sz w:val="20"/>
          <w:szCs w:val="20"/>
        </w:rPr>
        <w:t xml:space="preserve">to compare time trends before and during the COVID-19 pandemic. The World Health Organization announced the pandemic in March 11, 2020 </w:t>
      </w:r>
      <w:r w:rsidRPr="000E28CF">
        <w:rPr>
          <w:rFonts w:ascii="Times New Roman" w:hAnsi="Times New Roman" w:cs="Times New Roman"/>
          <w:color w:val="000000"/>
          <w:sz w:val="20"/>
          <w:szCs w:val="20"/>
        </w:rPr>
        <w:fldChar w:fldCharType="begin"/>
      </w:r>
      <w:r w:rsidRPr="000E28CF">
        <w:rPr>
          <w:rFonts w:ascii="Times New Roman" w:hAnsi="Times New Roman" w:cs="Times New Roman"/>
          <w:color w:val="000000"/>
          <w:sz w:val="20"/>
          <w:szCs w:val="20"/>
        </w:rPr>
        <w:instrText xml:space="preserve"> ADDIN ZOTERO_ITEM CSL_CITATION {"citationID":"XIZgCeom","properties":{"formattedCitation":"(1)","plainCitation":"(1)","noteIndex":0},"citationItems":[{"id":753,"uris":["http://zotero.org/users/11004987/items/BDF22JNN"],"itemData":{"id":753,"type":"webpage","language":"en","title":"Coronavirus disease (COVID-19) pandemic","URL":"https://www.who.int/europe/emergencies/situations/covid-19","author":[{"family":"World Health Organization","given":""}],"accessed":{"date-parts":[["2023",2,20]]},"issued":{"date-parts":[["2023"]]}}}],"schema":"https://github.com/citation-style-language/schema/raw/master/csl-citation.json"} </w:instrText>
      </w:r>
      <w:r w:rsidRPr="000E28CF">
        <w:rPr>
          <w:rFonts w:ascii="Times New Roman" w:hAnsi="Times New Roman" w:cs="Times New Roman"/>
          <w:color w:val="000000"/>
          <w:sz w:val="20"/>
          <w:szCs w:val="20"/>
        </w:rPr>
        <w:fldChar w:fldCharType="separate"/>
      </w:r>
      <w:r w:rsidR="000E28CF" w:rsidRPr="000E28CF">
        <w:rPr>
          <w:rFonts w:ascii="Times New Roman" w:hAnsi="Times New Roman" w:cs="Times New Roman"/>
          <w:sz w:val="20"/>
        </w:rPr>
        <w:t>(1)</w:t>
      </w:r>
      <w:r w:rsidRPr="000E28CF">
        <w:rPr>
          <w:rFonts w:ascii="Times New Roman" w:hAnsi="Times New Roman" w:cs="Times New Roman"/>
          <w:color w:val="000000"/>
          <w:sz w:val="20"/>
          <w:szCs w:val="20"/>
        </w:rPr>
        <w:fldChar w:fldCharType="end"/>
      </w:r>
      <w:r w:rsidRPr="000E28CF">
        <w:rPr>
          <w:rFonts w:ascii="Times New Roman" w:hAnsi="Times New Roman" w:cs="Times New Roman"/>
          <w:color w:val="000000"/>
          <w:sz w:val="20"/>
          <w:szCs w:val="20"/>
        </w:rPr>
        <w:t xml:space="preserve"> hence, we defined the interruption (the outbreak of the pandemic) as the time point between the end of the first quarter (January 1, 2020 - March 30) and the beginning of the second quarter (April 1, 2020 - June 30) of 2020. </w:t>
      </w:r>
    </w:p>
    <w:p w14:paraId="79D355CE" w14:textId="77777777" w:rsidR="00CD7E5F" w:rsidRPr="000E28CF" w:rsidRDefault="00CD7E5F" w:rsidP="00CD7E5F">
      <w:pPr>
        <w:pStyle w:val="elementtoproof"/>
        <w:spacing w:after="160" w:line="360" w:lineRule="auto"/>
        <w:rPr>
          <w:rFonts w:ascii="Times New Roman" w:hAnsi="Times New Roman" w:cs="Times New Roman"/>
          <w:sz w:val="20"/>
          <w:szCs w:val="20"/>
        </w:rPr>
      </w:pPr>
      <w:r w:rsidRPr="000E28CF">
        <w:rPr>
          <w:rFonts w:ascii="Times New Roman" w:hAnsi="Times New Roman" w:cs="Times New Roman"/>
          <w:color w:val="000000"/>
          <w:sz w:val="20"/>
          <w:szCs w:val="20"/>
        </w:rPr>
        <w:t>Data was aggregated for each quarter for incidences of both outcomes and total follow-up time. We then evaluated the changes of incidence rates (IRs) by conducting a log-linear Poisson regression</w:t>
      </w:r>
      <w:r w:rsidRPr="000E28CF">
        <w:rPr>
          <w:rFonts w:ascii="Times New Roman" w:hAnsi="Times New Roman" w:cs="Times New Roman"/>
          <w:sz w:val="20"/>
          <w:szCs w:val="20"/>
        </w:rPr>
        <w:t xml:space="preserve"> using general linear models</w:t>
      </w:r>
      <w:r w:rsidRPr="000E28CF">
        <w:rPr>
          <w:rFonts w:ascii="Times New Roman" w:hAnsi="Times New Roman" w:cs="Times New Roman"/>
          <w:color w:val="000000"/>
          <w:sz w:val="20"/>
          <w:szCs w:val="20"/>
        </w:rPr>
        <w:t xml:space="preserve"> to compare the rate of specialized mental health care use due to CMDs and antidepressant prescription </w:t>
      </w:r>
      <w:r w:rsidRPr="000E28CF">
        <w:rPr>
          <w:rFonts w:ascii="Times New Roman" w:hAnsi="Times New Roman" w:cs="Times New Roman"/>
          <w:color w:val="000000"/>
          <w:sz w:val="20"/>
          <w:szCs w:val="20"/>
        </w:rPr>
        <w:lastRenderedPageBreak/>
        <w:t xml:space="preserve">before and during the pandemic. </w:t>
      </w:r>
      <w:r w:rsidRPr="000E28CF">
        <w:rPr>
          <w:rFonts w:ascii="Times New Roman" w:hAnsi="Times New Roman" w:cs="Times New Roman"/>
          <w:color w:val="242424"/>
          <w:sz w:val="20"/>
          <w:szCs w:val="20"/>
          <w:shd w:val="clear" w:color="auto" w:fill="FFFFFF"/>
        </w:rPr>
        <w:t xml:space="preserve">All models included two time-variables, one estimating the linear change in IRs before the interruption and one estimating the difference in linear change in IRs after and before the </w:t>
      </w:r>
      <w:r w:rsidRPr="000E28CF">
        <w:rPr>
          <w:rFonts w:ascii="Times New Roman" w:hAnsi="Times New Roman" w:cs="Times New Roman"/>
          <w:sz w:val="20"/>
          <w:szCs w:val="20"/>
          <w:shd w:val="clear" w:color="auto" w:fill="FFFFFF"/>
        </w:rPr>
        <w:t>interruption. IRs and incidence rate ratios (IRRs) were presented with 95 percent confidence intervals (CIs). The model also included an offset variable, which was the log of the follow up time in each quarter, taking into account different follow-up times due to death or migration</w:t>
      </w:r>
      <w:r w:rsidRPr="000E28CF">
        <w:rPr>
          <w:rFonts w:ascii="Times New Roman" w:hAnsi="Times New Roman" w:cs="Times New Roman"/>
          <w:sz w:val="20"/>
          <w:szCs w:val="20"/>
        </w:rPr>
        <w:t xml:space="preserve">. </w:t>
      </w:r>
    </w:p>
    <w:p w14:paraId="3B8FAD9B" w14:textId="77777777" w:rsidR="00CD7E5F" w:rsidRPr="000E28CF" w:rsidRDefault="00CD7E5F" w:rsidP="00CD7E5F">
      <w:pPr>
        <w:pStyle w:val="elementtoproof"/>
        <w:spacing w:after="160" w:line="360" w:lineRule="auto"/>
        <w:rPr>
          <w:rFonts w:ascii="Times New Roman" w:hAnsi="Times New Roman" w:cs="Times New Roman"/>
          <w:sz w:val="20"/>
          <w:szCs w:val="20"/>
          <w:shd w:val="clear" w:color="auto" w:fill="FFFFFF"/>
        </w:rPr>
      </w:pPr>
      <w:r w:rsidRPr="000E28CF">
        <w:rPr>
          <w:rFonts w:ascii="Times New Roman" w:hAnsi="Times New Roman" w:cs="Times New Roman"/>
          <w:color w:val="000000"/>
          <w:sz w:val="20"/>
          <w:szCs w:val="20"/>
        </w:rPr>
        <w:t>As the outcomes had a strong seasonal variability, we adjusted for it by incorporating the mean of the outcomes in each quarter</w:t>
      </w:r>
      <w:r w:rsidRPr="000E28CF">
        <w:rPr>
          <w:rFonts w:ascii="Times New Roman" w:hAnsi="Times New Roman" w:cs="Times New Roman"/>
          <w:sz w:val="20"/>
          <w:szCs w:val="20"/>
        </w:rPr>
        <w:t xml:space="preserve"> in the model as a covariate</w:t>
      </w:r>
      <w:r w:rsidRPr="000E28CF">
        <w:rPr>
          <w:rFonts w:ascii="Times New Roman" w:hAnsi="Times New Roman" w:cs="Times New Roman"/>
          <w:color w:val="000000"/>
          <w:sz w:val="20"/>
          <w:szCs w:val="20"/>
        </w:rPr>
        <w:t xml:space="preserve">. Due to dependency of the data, as individuals could be included in more than one quarter, </w:t>
      </w:r>
      <w:r w:rsidRPr="000E28CF">
        <w:rPr>
          <w:rFonts w:ascii="Times New Roman" w:hAnsi="Times New Roman" w:cs="Times New Roman"/>
          <w:sz w:val="20"/>
          <w:szCs w:val="20"/>
        </w:rPr>
        <w:t>a</w:t>
      </w:r>
      <w:r w:rsidRPr="000E28CF">
        <w:rPr>
          <w:rFonts w:ascii="Times New Roman" w:hAnsi="Times New Roman" w:cs="Times New Roman"/>
          <w:color w:val="000000"/>
          <w:sz w:val="20"/>
          <w:szCs w:val="20"/>
        </w:rPr>
        <w:t xml:space="preserve"> Sandwich estimator was u</w:t>
      </w:r>
      <w:r w:rsidRPr="000E28CF">
        <w:rPr>
          <w:rFonts w:ascii="Times New Roman" w:hAnsi="Times New Roman" w:cs="Times New Roman"/>
          <w:sz w:val="20"/>
          <w:szCs w:val="20"/>
        </w:rPr>
        <w:t>sed to adjust the standard errors estimated by the general linear models</w:t>
      </w:r>
      <w:r w:rsidRPr="000E28CF">
        <w:rPr>
          <w:rFonts w:ascii="Times New Roman" w:hAnsi="Times New Roman" w:cs="Times New Roman"/>
          <w:color w:val="000000"/>
          <w:sz w:val="20"/>
          <w:szCs w:val="20"/>
        </w:rPr>
        <w:t xml:space="preserve">. </w:t>
      </w:r>
      <w:r w:rsidRPr="000E28CF">
        <w:rPr>
          <w:rFonts w:ascii="Times New Roman" w:hAnsi="Times New Roman" w:cs="Times New Roman"/>
          <w:color w:val="242424"/>
          <w:sz w:val="20"/>
          <w:szCs w:val="20"/>
          <w:shd w:val="clear" w:color="auto" w:fill="FFFFFF"/>
        </w:rPr>
        <w:t>The predicted quarterly IRs adjusted by seasonal variation were calculated by using marginal effects at the mean. We also conducted analyses stratified by labor market marginalization and by baseline level of education both within refugees and Swedish-born.</w:t>
      </w:r>
      <w:r w:rsidRPr="000E28CF">
        <w:rPr>
          <w:rFonts w:ascii="Times New Roman" w:hAnsi="Times New Roman" w:cs="Times New Roman"/>
          <w:color w:val="000000"/>
          <w:sz w:val="20"/>
          <w:szCs w:val="20"/>
        </w:rPr>
        <w:t> As the mitigation measures might affect the number of newcomers in the country, we conducted a sensitivity analysis by the “length of stay in Sweden”, in order to distinguish between refugees who have been staying longer in Sweden than compared with shorter or equal to 5 years. Data management was conducted in Stata version 17 and statistical analysis were conducted in R version 4.2.2.</w:t>
      </w:r>
    </w:p>
    <w:p w14:paraId="1203F132" w14:textId="77777777" w:rsidR="00CD7E5F" w:rsidRPr="000E28CF" w:rsidRDefault="00CD7E5F" w:rsidP="00CD7E5F">
      <w:pPr>
        <w:spacing w:line="360" w:lineRule="auto"/>
        <w:rPr>
          <w:rFonts w:ascii="Times New Roman" w:hAnsi="Times New Roman" w:cs="Times New Roman"/>
          <w:sz w:val="20"/>
          <w:szCs w:val="20"/>
        </w:rPr>
      </w:pPr>
    </w:p>
    <w:p w14:paraId="3C48D57E" w14:textId="77777777" w:rsidR="00CD7E5F" w:rsidRPr="000E28CF" w:rsidRDefault="00CD7E5F" w:rsidP="00CD7E5F">
      <w:pPr>
        <w:spacing w:line="360" w:lineRule="auto"/>
        <w:rPr>
          <w:rFonts w:ascii="Times New Roman" w:hAnsi="Times New Roman" w:cs="Times New Roman"/>
          <w:b/>
          <w:color w:val="000000"/>
          <w:sz w:val="20"/>
          <w:szCs w:val="20"/>
        </w:rPr>
      </w:pPr>
      <w:r w:rsidRPr="000E28CF">
        <w:rPr>
          <w:rFonts w:ascii="Times New Roman" w:hAnsi="Times New Roman" w:cs="Times New Roman"/>
          <w:b/>
          <w:color w:val="000000"/>
          <w:sz w:val="20"/>
          <w:szCs w:val="20"/>
        </w:rPr>
        <w:t>RESULTS</w:t>
      </w:r>
    </w:p>
    <w:p w14:paraId="513323CE" w14:textId="77777777" w:rsidR="00CD7E5F" w:rsidRPr="000E28CF" w:rsidRDefault="00CD7E5F" w:rsidP="00CD7E5F">
      <w:pPr>
        <w:pStyle w:val="Ingetavstnd"/>
        <w:spacing w:line="360" w:lineRule="auto"/>
        <w:rPr>
          <w:lang w:val="en-US"/>
        </w:rPr>
      </w:pPr>
      <w:r w:rsidRPr="000E28CF">
        <w:rPr>
          <w:lang w:val="en-US"/>
        </w:rPr>
        <w:t>Descriptive statistics</w:t>
      </w:r>
    </w:p>
    <w:p w14:paraId="31F1784B" w14:textId="77777777" w:rsidR="00CD7E5F" w:rsidRPr="000E28CF" w:rsidRDefault="00CD7E5F" w:rsidP="00CD7E5F">
      <w:pPr>
        <w:spacing w:line="360" w:lineRule="auto"/>
        <w:rPr>
          <w:rFonts w:ascii="Times New Roman" w:hAnsi="Times New Roman" w:cs="Times New Roman"/>
          <w:color w:val="000000" w:themeColor="text1"/>
          <w:sz w:val="20"/>
          <w:szCs w:val="20"/>
        </w:rPr>
      </w:pPr>
      <w:r w:rsidRPr="000E28CF">
        <w:rPr>
          <w:rFonts w:ascii="Times New Roman" w:hAnsi="Times New Roman" w:cs="Times New Roman"/>
          <w:color w:val="000000" w:themeColor="text1"/>
          <w:sz w:val="20"/>
          <w:szCs w:val="20"/>
        </w:rPr>
        <w:t xml:space="preserve">There was a total of 4,932,916 individuals, 488,299 of whom refugees, included in this study in 2017 (Table 1). Most of the refugees were born in Asia (58.2%), Europe (19.6%) and Africa (18.9%). Low education was more prevalent among refugees (34%) than Swedish-born (13.7%). There were 4.2% missing values on education among refugees and 0.6% among the Swedish-born. Overall, 11.0% of Swedish-born compared with 7.9% of refugees had any sickness absence days, while 32.1% of refugees compared with 6.2% of Swedish-born had at least one registered unemployment day in 2017. </w:t>
      </w:r>
    </w:p>
    <w:p w14:paraId="2CB3910D" w14:textId="77777777" w:rsidR="00793DF7" w:rsidRPr="000E28CF" w:rsidRDefault="00793DF7" w:rsidP="00CD7E5F">
      <w:pPr>
        <w:pStyle w:val="Ingetavstnd"/>
        <w:spacing w:line="360" w:lineRule="auto"/>
        <w:rPr>
          <w:lang w:val="en-US"/>
        </w:rPr>
      </w:pPr>
    </w:p>
    <w:p w14:paraId="088C8623" w14:textId="48DBA0C5" w:rsidR="00CD7E5F" w:rsidRPr="000E28CF" w:rsidRDefault="00CD7E5F" w:rsidP="00CD7E5F">
      <w:pPr>
        <w:pStyle w:val="Ingetavstnd"/>
        <w:spacing w:line="360" w:lineRule="auto"/>
        <w:rPr>
          <w:lang w:val="en-US"/>
        </w:rPr>
      </w:pPr>
      <w:r w:rsidRPr="000E28CF">
        <w:rPr>
          <w:lang w:val="en-US"/>
        </w:rPr>
        <w:t>Specialized mental health care use for CMDs</w:t>
      </w:r>
    </w:p>
    <w:p w14:paraId="1202994D" w14:textId="05342027" w:rsidR="00CD7E5F" w:rsidRPr="000E28CF" w:rsidRDefault="00CD7E5F" w:rsidP="00CD7E5F">
      <w:pPr>
        <w:spacing w:line="360" w:lineRule="auto"/>
        <w:rPr>
          <w:rFonts w:ascii="Times New Roman" w:hAnsi="Times New Roman" w:cs="Times New Roman"/>
          <w:i/>
          <w:iCs/>
          <w:color w:val="000000" w:themeColor="text1"/>
          <w:sz w:val="20"/>
          <w:szCs w:val="20"/>
        </w:rPr>
      </w:pPr>
      <w:r w:rsidRPr="000E28CF">
        <w:rPr>
          <w:rFonts w:ascii="Times New Roman" w:eastAsia="Times New Roman" w:hAnsi="Times New Roman" w:cs="Times New Roman"/>
          <w:color w:val="272727"/>
          <w:sz w:val="20"/>
          <w:szCs w:val="20"/>
          <w:lang w:eastAsia="en-GB"/>
        </w:rPr>
        <w:t xml:space="preserve">Comparing the IR trends for specialized mental health care use for CMDs in refugees </w:t>
      </w:r>
      <w:r w:rsidRPr="000E28CF">
        <w:rPr>
          <w:rFonts w:ascii="Times New Roman" w:eastAsia="Times New Roman" w:hAnsi="Times New Roman" w:cs="Times New Roman"/>
          <w:bCs/>
          <w:color w:val="272727"/>
          <w:sz w:val="20"/>
          <w:szCs w:val="20"/>
          <w:lang w:eastAsia="en-GB"/>
        </w:rPr>
        <w:t>before</w:t>
      </w:r>
      <w:r w:rsidRPr="000E28CF">
        <w:rPr>
          <w:rFonts w:ascii="Times New Roman" w:eastAsia="Times New Roman" w:hAnsi="Times New Roman" w:cs="Times New Roman"/>
          <w:color w:val="272727"/>
          <w:sz w:val="20"/>
          <w:szCs w:val="20"/>
          <w:lang w:eastAsia="en-GB"/>
        </w:rPr>
        <w:t xml:space="preserve"> and during the pandemic revealed a </w:t>
      </w:r>
      <w:r w:rsidRPr="000E28CF">
        <w:rPr>
          <w:rStyle w:val="normaltextrun"/>
          <w:rFonts w:ascii="Times New Roman" w:hAnsi="Times New Roman" w:cs="Times New Roman"/>
          <w:color w:val="000000"/>
          <w:sz w:val="20"/>
          <w:szCs w:val="20"/>
          <w:shd w:val="clear" w:color="auto" w:fill="FFFFFF"/>
        </w:rPr>
        <w:t>2.5% quarterly increase (95% CI: 0.7%, 4.5%) during the pandemic (</w:t>
      </w:r>
      <w:r w:rsidR="009A6D06" w:rsidRPr="000E28CF">
        <w:rPr>
          <w:rStyle w:val="normaltextrun"/>
          <w:rFonts w:ascii="Times New Roman" w:hAnsi="Times New Roman" w:cs="Times New Roman"/>
          <w:color w:val="000000"/>
          <w:sz w:val="20"/>
          <w:szCs w:val="20"/>
          <w:shd w:val="clear" w:color="auto" w:fill="FFFFFF"/>
        </w:rPr>
        <w:t>F</w:t>
      </w:r>
      <w:r w:rsidRPr="000E28CF">
        <w:rPr>
          <w:rStyle w:val="normaltextrun"/>
          <w:rFonts w:ascii="Times New Roman" w:hAnsi="Times New Roman" w:cs="Times New Roman"/>
          <w:color w:val="000000"/>
          <w:sz w:val="20"/>
          <w:szCs w:val="20"/>
          <w:shd w:val="clear" w:color="auto" w:fill="FFFFFF"/>
        </w:rPr>
        <w:t xml:space="preserve">igure 1, </w:t>
      </w:r>
      <w:r w:rsidR="002F2ADF" w:rsidRPr="000E28CF">
        <w:rPr>
          <w:rStyle w:val="normaltextrun"/>
          <w:rFonts w:ascii="Times New Roman" w:hAnsi="Times New Roman" w:cs="Times New Roman"/>
          <w:color w:val="000000"/>
          <w:sz w:val="20"/>
          <w:szCs w:val="20"/>
          <w:shd w:val="clear" w:color="auto" w:fill="FFFFFF"/>
        </w:rPr>
        <w:t>T</w:t>
      </w:r>
      <w:r w:rsidRPr="000E28CF">
        <w:rPr>
          <w:rStyle w:val="normaltextrun"/>
          <w:rFonts w:ascii="Times New Roman" w:hAnsi="Times New Roman" w:cs="Times New Roman"/>
          <w:color w:val="000000"/>
          <w:sz w:val="20"/>
          <w:szCs w:val="20"/>
          <w:shd w:val="clear" w:color="auto" w:fill="FFFFFF"/>
        </w:rPr>
        <w:t>able 2).</w:t>
      </w:r>
      <w:r w:rsidRPr="000E28CF">
        <w:rPr>
          <w:rStyle w:val="eop"/>
          <w:rFonts w:ascii="Times New Roman" w:hAnsi="Times New Roman" w:cs="Times New Roman"/>
          <w:color w:val="000000"/>
          <w:sz w:val="20"/>
          <w:szCs w:val="20"/>
          <w:shd w:val="clear" w:color="auto" w:fill="FFFFFF"/>
        </w:rPr>
        <w:t xml:space="preserve"> The </w:t>
      </w:r>
      <w:r w:rsidRPr="000E28CF">
        <w:rPr>
          <w:rFonts w:ascii="Times New Roman" w:eastAsia="Times New Roman" w:hAnsi="Times New Roman" w:cs="Times New Roman"/>
          <w:color w:val="272727"/>
          <w:sz w:val="20"/>
          <w:szCs w:val="20"/>
          <w:lang w:eastAsia="en-GB"/>
        </w:rPr>
        <w:t xml:space="preserve">IR </w:t>
      </w:r>
      <w:r w:rsidRPr="000E28CF">
        <w:rPr>
          <w:rStyle w:val="eop"/>
          <w:rFonts w:ascii="Times New Roman" w:hAnsi="Times New Roman" w:cs="Times New Roman"/>
          <w:color w:val="000000"/>
          <w:sz w:val="20"/>
          <w:szCs w:val="20"/>
          <w:shd w:val="clear" w:color="auto" w:fill="FFFFFF"/>
        </w:rPr>
        <w:t>trend before the pandemic was -2.6% (</w:t>
      </w:r>
      <w:r w:rsidRPr="000E28CF">
        <w:rPr>
          <w:rStyle w:val="normaltextrun"/>
          <w:rFonts w:ascii="Times New Roman" w:hAnsi="Times New Roman" w:cs="Times New Roman"/>
          <w:color w:val="000000"/>
          <w:sz w:val="20"/>
          <w:szCs w:val="20"/>
          <w:shd w:val="clear" w:color="auto" w:fill="FFFFFF"/>
        </w:rPr>
        <w:t xml:space="preserve">95% CI: </w:t>
      </w:r>
      <w:r w:rsidRPr="000E28CF">
        <w:rPr>
          <w:rFonts w:ascii="Times New Roman" w:hAnsi="Times New Roman" w:cs="Times New Roman"/>
          <w:color w:val="000000"/>
          <w:sz w:val="20"/>
          <w:szCs w:val="20"/>
        </w:rPr>
        <w:t>-3.3</w:t>
      </w:r>
      <w:r w:rsidR="003213FB" w:rsidRPr="000E28CF">
        <w:rPr>
          <w:rFonts w:ascii="Times New Roman" w:hAnsi="Times New Roman" w:cs="Times New Roman"/>
          <w:color w:val="000000"/>
          <w:sz w:val="20"/>
          <w:szCs w:val="20"/>
        </w:rPr>
        <w:t xml:space="preserve">, </w:t>
      </w:r>
      <w:r w:rsidRPr="000E28CF">
        <w:rPr>
          <w:rFonts w:ascii="Times New Roman" w:hAnsi="Times New Roman" w:cs="Times New Roman"/>
          <w:color w:val="000000"/>
          <w:sz w:val="20"/>
          <w:szCs w:val="20"/>
        </w:rPr>
        <w:t>-1.8</w:t>
      </w:r>
      <w:r w:rsidRPr="000E28CF">
        <w:rPr>
          <w:rStyle w:val="eop"/>
          <w:rFonts w:ascii="Times New Roman" w:hAnsi="Times New Roman" w:cs="Times New Roman"/>
          <w:color w:val="000000"/>
          <w:sz w:val="20"/>
          <w:szCs w:val="20"/>
          <w:shd w:val="clear" w:color="auto" w:fill="FFFFFF"/>
        </w:rPr>
        <w:t xml:space="preserve">) while the </w:t>
      </w:r>
      <w:r w:rsidRPr="000E28CF">
        <w:rPr>
          <w:rFonts w:ascii="Times New Roman" w:eastAsia="Times New Roman" w:hAnsi="Times New Roman" w:cs="Times New Roman"/>
          <w:color w:val="272727"/>
          <w:sz w:val="20"/>
          <w:szCs w:val="20"/>
          <w:lang w:eastAsia="en-GB"/>
        </w:rPr>
        <w:t xml:space="preserve">IR </w:t>
      </w:r>
      <w:r w:rsidRPr="000E28CF">
        <w:rPr>
          <w:rStyle w:val="eop"/>
          <w:rFonts w:ascii="Times New Roman" w:hAnsi="Times New Roman" w:cs="Times New Roman"/>
          <w:color w:val="000000"/>
          <w:sz w:val="20"/>
          <w:szCs w:val="20"/>
          <w:shd w:val="clear" w:color="auto" w:fill="FFFFFF"/>
        </w:rPr>
        <w:t xml:space="preserve">trend during the pandemic was </w:t>
      </w:r>
      <w:r w:rsidRPr="000E28CF">
        <w:rPr>
          <w:rFonts w:ascii="Times New Roman" w:hAnsi="Times New Roman" w:cs="Times New Roman"/>
          <w:color w:val="000000"/>
          <w:sz w:val="20"/>
          <w:szCs w:val="20"/>
        </w:rPr>
        <w:t>-0.1 (-1.3;1.1).</w:t>
      </w:r>
      <w:r w:rsidRPr="000E28CF">
        <w:rPr>
          <w:rStyle w:val="eop"/>
          <w:rFonts w:ascii="Times New Roman" w:hAnsi="Times New Roman" w:cs="Times New Roman"/>
          <w:color w:val="000000"/>
          <w:sz w:val="20"/>
          <w:szCs w:val="20"/>
          <w:shd w:val="clear" w:color="auto" w:fill="FFFFFF"/>
        </w:rPr>
        <w:t xml:space="preserve"> </w:t>
      </w:r>
      <w:r w:rsidRPr="000E28CF">
        <w:rPr>
          <w:rFonts w:ascii="Times New Roman" w:eastAsia="Times New Roman" w:hAnsi="Times New Roman" w:cs="Times New Roman"/>
          <w:color w:val="272727"/>
          <w:sz w:val="20"/>
          <w:szCs w:val="20"/>
          <w:lang w:eastAsia="en-GB"/>
        </w:rPr>
        <w:t>Whereas, in Swedish-born the comparison between the IR trends before and during the pandemic was 0.6% (-0.6%, 1.9%)</w:t>
      </w:r>
      <w:r w:rsidR="00F90A6E" w:rsidRPr="000E28CF">
        <w:rPr>
          <w:rFonts w:ascii="Times New Roman" w:eastAsia="Times New Roman" w:hAnsi="Times New Roman" w:cs="Times New Roman"/>
          <w:color w:val="272727"/>
          <w:sz w:val="20"/>
          <w:szCs w:val="20"/>
          <w:lang w:eastAsia="en-GB"/>
        </w:rPr>
        <w:t>.</w:t>
      </w:r>
      <w:r w:rsidRPr="000E28CF">
        <w:rPr>
          <w:rFonts w:ascii="Times New Roman" w:eastAsia="Times New Roman" w:hAnsi="Times New Roman" w:cs="Times New Roman"/>
          <w:color w:val="272727"/>
          <w:sz w:val="20"/>
          <w:szCs w:val="20"/>
          <w:lang w:eastAsia="en-GB"/>
        </w:rPr>
        <w:t xml:space="preserve"> </w:t>
      </w:r>
      <w:r w:rsidRPr="000E28CF">
        <w:rPr>
          <w:rStyle w:val="eop"/>
          <w:rFonts w:ascii="Times New Roman" w:hAnsi="Times New Roman" w:cs="Times New Roman"/>
          <w:color w:val="000000"/>
          <w:sz w:val="20"/>
          <w:szCs w:val="20"/>
          <w:shd w:val="clear" w:color="auto" w:fill="FFFFFF"/>
        </w:rPr>
        <w:t xml:space="preserve">The </w:t>
      </w:r>
      <w:r w:rsidRPr="000E28CF">
        <w:rPr>
          <w:rFonts w:ascii="Times New Roman" w:eastAsia="Times New Roman" w:hAnsi="Times New Roman" w:cs="Times New Roman"/>
          <w:color w:val="272727"/>
          <w:sz w:val="20"/>
          <w:szCs w:val="20"/>
          <w:lang w:eastAsia="en-GB"/>
        </w:rPr>
        <w:t xml:space="preserve">IR </w:t>
      </w:r>
      <w:r w:rsidRPr="000E28CF">
        <w:rPr>
          <w:rStyle w:val="eop"/>
          <w:rFonts w:ascii="Times New Roman" w:hAnsi="Times New Roman" w:cs="Times New Roman"/>
          <w:color w:val="000000"/>
          <w:sz w:val="20"/>
          <w:szCs w:val="20"/>
          <w:shd w:val="clear" w:color="auto" w:fill="FFFFFF"/>
        </w:rPr>
        <w:t xml:space="preserve">trend among Swedish-born was </w:t>
      </w:r>
      <w:r w:rsidRPr="000E28CF">
        <w:rPr>
          <w:rFonts w:ascii="Times New Roman" w:hAnsi="Times New Roman" w:cs="Times New Roman"/>
          <w:color w:val="000000"/>
          <w:sz w:val="20"/>
          <w:szCs w:val="20"/>
        </w:rPr>
        <w:t>-1.1 (-1.7</w:t>
      </w:r>
      <w:r w:rsidR="003213FB" w:rsidRPr="000E28CF">
        <w:rPr>
          <w:rFonts w:ascii="Times New Roman" w:hAnsi="Times New Roman" w:cs="Times New Roman"/>
          <w:color w:val="000000"/>
          <w:sz w:val="20"/>
          <w:szCs w:val="20"/>
        </w:rPr>
        <w:t xml:space="preserve">, </w:t>
      </w:r>
      <w:r w:rsidRPr="000E28CF">
        <w:rPr>
          <w:rFonts w:ascii="Times New Roman" w:hAnsi="Times New Roman" w:cs="Times New Roman"/>
          <w:color w:val="000000"/>
          <w:sz w:val="20"/>
          <w:szCs w:val="20"/>
        </w:rPr>
        <w:t>-0.5)</w:t>
      </w:r>
      <w:r w:rsidRPr="000E28CF">
        <w:rPr>
          <w:color w:val="000000"/>
        </w:rPr>
        <w:t xml:space="preserve"> </w:t>
      </w:r>
      <w:r w:rsidRPr="000E28CF">
        <w:rPr>
          <w:rStyle w:val="eop"/>
          <w:rFonts w:ascii="Times New Roman" w:hAnsi="Times New Roman" w:cs="Times New Roman"/>
          <w:color w:val="000000"/>
          <w:sz w:val="20"/>
          <w:szCs w:val="20"/>
          <w:shd w:val="clear" w:color="auto" w:fill="FFFFFF"/>
        </w:rPr>
        <w:t xml:space="preserve">before the pandemic and </w:t>
      </w:r>
      <w:r w:rsidRPr="000E28CF">
        <w:rPr>
          <w:rFonts w:ascii="Times New Roman" w:hAnsi="Times New Roman" w:cs="Times New Roman"/>
          <w:color w:val="000000"/>
          <w:sz w:val="20"/>
          <w:szCs w:val="20"/>
        </w:rPr>
        <w:t>-0.5 (-1.2;0.2)</w:t>
      </w:r>
      <w:r w:rsidRPr="000E28CF">
        <w:rPr>
          <w:rStyle w:val="eop"/>
          <w:rFonts w:ascii="Times New Roman" w:hAnsi="Times New Roman" w:cs="Times New Roman"/>
          <w:color w:val="000000"/>
          <w:sz w:val="20"/>
          <w:szCs w:val="20"/>
          <w:shd w:val="clear" w:color="auto" w:fill="FFFFFF"/>
        </w:rPr>
        <w:t xml:space="preserve"> during the pandemic. </w:t>
      </w:r>
      <w:r w:rsidRPr="000E28CF">
        <w:rPr>
          <w:rFonts w:ascii="Times New Roman" w:eastAsia="Times New Roman" w:hAnsi="Times New Roman" w:cs="Times New Roman"/>
          <w:color w:val="272727"/>
          <w:sz w:val="20"/>
          <w:szCs w:val="20"/>
          <w:lang w:eastAsia="en-GB"/>
        </w:rPr>
        <w:t xml:space="preserve">For observed IR of specialized mental health care use </w:t>
      </w:r>
      <w:r w:rsidR="003213FB" w:rsidRPr="000E28CF">
        <w:rPr>
          <w:rFonts w:ascii="Times New Roman" w:eastAsia="Times New Roman" w:hAnsi="Times New Roman" w:cs="Times New Roman"/>
          <w:color w:val="272727"/>
          <w:sz w:val="20"/>
          <w:szCs w:val="20"/>
          <w:lang w:eastAsia="en-GB"/>
        </w:rPr>
        <w:t>for</w:t>
      </w:r>
      <w:r w:rsidRPr="000E28CF">
        <w:rPr>
          <w:rFonts w:ascii="Times New Roman" w:eastAsia="Times New Roman" w:hAnsi="Times New Roman" w:cs="Times New Roman"/>
          <w:color w:val="272727"/>
          <w:sz w:val="20"/>
          <w:szCs w:val="20"/>
          <w:lang w:eastAsia="en-GB"/>
        </w:rPr>
        <w:t xml:space="preserve"> CMDs see Additional table 1 in Additional files</w:t>
      </w:r>
      <w:r w:rsidR="00DD6889" w:rsidRPr="000E28CF">
        <w:rPr>
          <w:rFonts w:ascii="Times New Roman" w:eastAsia="Times New Roman" w:hAnsi="Times New Roman" w:cs="Times New Roman"/>
          <w:color w:val="272727"/>
          <w:sz w:val="20"/>
          <w:szCs w:val="20"/>
          <w:lang w:eastAsia="en-GB"/>
        </w:rPr>
        <w:t xml:space="preserve"> 1</w:t>
      </w:r>
      <w:r w:rsidRPr="000E28CF">
        <w:rPr>
          <w:rFonts w:ascii="Times New Roman" w:eastAsia="Times New Roman" w:hAnsi="Times New Roman" w:cs="Times New Roman"/>
          <w:color w:val="272727"/>
          <w:sz w:val="20"/>
          <w:szCs w:val="20"/>
          <w:lang w:eastAsia="en-GB"/>
        </w:rPr>
        <w:t xml:space="preserve">. </w:t>
      </w:r>
    </w:p>
    <w:p w14:paraId="08BFD560" w14:textId="5029C1FD" w:rsidR="00CD7E5F" w:rsidRPr="000E28CF" w:rsidRDefault="00CD7E5F" w:rsidP="00CD7E5F">
      <w:pPr>
        <w:spacing w:line="360" w:lineRule="auto"/>
        <w:rPr>
          <w:rFonts w:ascii="Times New Roman" w:hAnsi="Times New Roman" w:cs="Times New Roman"/>
          <w:color w:val="000000"/>
          <w:sz w:val="20"/>
          <w:szCs w:val="20"/>
          <w:shd w:val="clear" w:color="auto" w:fill="FFFFFF"/>
        </w:rPr>
      </w:pPr>
      <w:r w:rsidRPr="000E28CF">
        <w:rPr>
          <w:rFonts w:ascii="Times New Roman" w:hAnsi="Times New Roman" w:cs="Times New Roman"/>
          <w:color w:val="000000" w:themeColor="text1"/>
          <w:sz w:val="20"/>
          <w:szCs w:val="20"/>
        </w:rPr>
        <w:t>When we stratified our analyses by labor market marginalization, we found that among marginalized refugees</w:t>
      </w:r>
      <w:r w:rsidRPr="000E28CF">
        <w:rPr>
          <w:rFonts w:ascii="Times New Roman" w:hAnsi="Times New Roman" w:cs="Times New Roman"/>
          <w:color w:val="000000"/>
          <w:sz w:val="20"/>
          <w:szCs w:val="20"/>
          <w:shd w:val="clear" w:color="auto" w:fill="FFFFFF"/>
        </w:rPr>
        <w:t xml:space="preserve"> the quarterly IR trend was -4% (95% CI: -5%, -3%) before the pandemic, which changed to 3% (95% CI: 1%, 4%) during the pandemic, resulting in a 6.3% relative change of quarterly IR trends (95% CI: 3.2%, 9.5%) (</w:t>
      </w:r>
      <w:r w:rsidR="009A6D06" w:rsidRPr="000E28CF">
        <w:rPr>
          <w:rFonts w:ascii="Times New Roman" w:hAnsi="Times New Roman" w:cs="Times New Roman"/>
          <w:color w:val="000000"/>
          <w:sz w:val="20"/>
          <w:szCs w:val="20"/>
          <w:shd w:val="clear" w:color="auto" w:fill="FFFFFF"/>
        </w:rPr>
        <w:t>F</w:t>
      </w:r>
      <w:r w:rsidRPr="000E28CF">
        <w:rPr>
          <w:rFonts w:ascii="Times New Roman" w:hAnsi="Times New Roman" w:cs="Times New Roman"/>
          <w:color w:val="000000"/>
          <w:sz w:val="20"/>
          <w:szCs w:val="20"/>
          <w:shd w:val="clear" w:color="auto" w:fill="FFFFFF"/>
        </w:rPr>
        <w:t xml:space="preserve">igure 2, </w:t>
      </w:r>
      <w:r w:rsidR="00D0169A" w:rsidRPr="000E28CF">
        <w:rPr>
          <w:rFonts w:ascii="Times New Roman" w:hAnsi="Times New Roman" w:cs="Times New Roman"/>
          <w:color w:val="000000"/>
          <w:sz w:val="20"/>
          <w:szCs w:val="20"/>
          <w:shd w:val="clear" w:color="auto" w:fill="FFFFFF"/>
        </w:rPr>
        <w:t>T</w:t>
      </w:r>
      <w:r w:rsidRPr="000E28CF">
        <w:rPr>
          <w:rFonts w:ascii="Times New Roman" w:hAnsi="Times New Roman" w:cs="Times New Roman"/>
          <w:color w:val="000000"/>
          <w:sz w:val="20"/>
          <w:szCs w:val="20"/>
          <w:shd w:val="clear" w:color="auto" w:fill="FFFFFF"/>
        </w:rPr>
        <w:t xml:space="preserve">able 3). The relative changes in quarterly IR trends before and during the pandemic were 1.8% (95% </w:t>
      </w:r>
      <w:r w:rsidRPr="000E28CF">
        <w:rPr>
          <w:rFonts w:ascii="Times New Roman" w:hAnsi="Times New Roman" w:cs="Times New Roman"/>
          <w:color w:val="000000"/>
          <w:sz w:val="20"/>
          <w:szCs w:val="20"/>
          <w:shd w:val="clear" w:color="auto" w:fill="FFFFFF"/>
        </w:rPr>
        <w:lastRenderedPageBreak/>
        <w:t>CI: -0.2%, 3.7%) in refugees who were not marginalized on the labor market and 1% in Swedish-born in both marginalization strata.</w:t>
      </w:r>
      <w:r w:rsidRPr="000E28CF">
        <w:rPr>
          <w:rFonts w:ascii="Times New Roman" w:hAnsi="Times New Roman" w:cs="Times New Roman"/>
          <w:color w:val="000000"/>
          <w:sz w:val="20"/>
          <w:szCs w:val="20"/>
        </w:rPr>
        <w:t xml:space="preserve"> Stratifying the analyses by level of education showed similar results.</w:t>
      </w:r>
      <w:r w:rsidRPr="000E28CF">
        <w:rPr>
          <w:rFonts w:ascii="Times New Roman" w:hAnsi="Times New Roman" w:cs="Times New Roman"/>
          <w:color w:val="000000"/>
          <w:sz w:val="20"/>
          <w:szCs w:val="20"/>
          <w:shd w:val="clear" w:color="auto" w:fill="FFFFFF"/>
        </w:rPr>
        <w:t xml:space="preserve"> In refugees with a low level of education we observed a -3.2% (95% CI: -4.3%, -2.0%) quarterly IR trend in specialized mental health care use for CMD</w:t>
      </w:r>
      <w:r w:rsidRPr="000E28CF">
        <w:rPr>
          <w:rFonts w:ascii="Times New Roman" w:hAnsi="Times New Roman" w:cs="Times New Roman"/>
          <w:color w:val="000000" w:themeColor="text1"/>
          <w:sz w:val="20"/>
          <w:szCs w:val="20"/>
        </w:rPr>
        <w:t>s</w:t>
      </w:r>
      <w:r w:rsidRPr="000E28CF">
        <w:rPr>
          <w:rFonts w:ascii="Times New Roman" w:hAnsi="Times New Roman" w:cs="Times New Roman"/>
          <w:color w:val="000000"/>
          <w:sz w:val="20"/>
          <w:szCs w:val="20"/>
          <w:shd w:val="clear" w:color="auto" w:fill="FFFFFF"/>
        </w:rPr>
        <w:t xml:space="preserve"> before the pandemic, which increased to 0.8% (95% CI: -0.8%, 2.4%) during the pandemic, resulting in a 4.1% relative change in quarterly IR trends (95% CI: 1.4%, 6.8%) (</w:t>
      </w:r>
      <w:r w:rsidR="009A6D06" w:rsidRPr="000E28CF">
        <w:rPr>
          <w:rFonts w:ascii="Times New Roman" w:hAnsi="Times New Roman" w:cs="Times New Roman"/>
          <w:color w:val="000000"/>
          <w:sz w:val="20"/>
          <w:szCs w:val="20"/>
          <w:shd w:val="clear" w:color="auto" w:fill="FFFFFF"/>
        </w:rPr>
        <w:t>F</w:t>
      </w:r>
      <w:r w:rsidRPr="000E28CF">
        <w:rPr>
          <w:rFonts w:ascii="Times New Roman" w:hAnsi="Times New Roman" w:cs="Times New Roman"/>
          <w:color w:val="000000"/>
          <w:sz w:val="20"/>
          <w:szCs w:val="20"/>
          <w:shd w:val="clear" w:color="auto" w:fill="FFFFFF"/>
        </w:rPr>
        <w:t xml:space="preserve">igure 3, </w:t>
      </w:r>
      <w:r w:rsidR="00D0169A" w:rsidRPr="000E28CF">
        <w:rPr>
          <w:rFonts w:ascii="Times New Roman" w:hAnsi="Times New Roman" w:cs="Times New Roman"/>
          <w:color w:val="000000"/>
          <w:sz w:val="20"/>
          <w:szCs w:val="20"/>
          <w:shd w:val="clear" w:color="auto" w:fill="FFFFFF"/>
        </w:rPr>
        <w:t>T</w:t>
      </w:r>
      <w:r w:rsidRPr="000E28CF">
        <w:rPr>
          <w:rFonts w:ascii="Times New Roman" w:hAnsi="Times New Roman" w:cs="Times New Roman"/>
          <w:color w:val="000000"/>
          <w:sz w:val="20"/>
          <w:szCs w:val="20"/>
          <w:shd w:val="clear" w:color="auto" w:fill="FFFFFF"/>
        </w:rPr>
        <w:t xml:space="preserve">able 4). </w:t>
      </w:r>
    </w:p>
    <w:p w14:paraId="42697268" w14:textId="77777777" w:rsidR="00CD7E5F" w:rsidRPr="000E28CF" w:rsidRDefault="00CD7E5F" w:rsidP="00CD7E5F">
      <w:pPr>
        <w:pStyle w:val="Ingetavstnd"/>
        <w:spacing w:line="360" w:lineRule="auto"/>
        <w:rPr>
          <w:lang w:val="en-US"/>
        </w:rPr>
      </w:pPr>
      <w:r w:rsidRPr="000E28CF">
        <w:rPr>
          <w:lang w:val="en-US"/>
        </w:rPr>
        <w:t>Antidepressant prescription</w:t>
      </w:r>
    </w:p>
    <w:p w14:paraId="6256D1E7" w14:textId="5C6C20D3" w:rsidR="00CD7E5F" w:rsidRPr="000E28CF" w:rsidRDefault="00CD7E5F" w:rsidP="00CD7E5F">
      <w:pPr>
        <w:spacing w:line="360" w:lineRule="auto"/>
        <w:rPr>
          <w:rFonts w:ascii="Times New Roman" w:hAnsi="Times New Roman" w:cs="Times New Roman"/>
          <w:color w:val="000000" w:themeColor="text1"/>
          <w:sz w:val="20"/>
          <w:szCs w:val="20"/>
        </w:rPr>
      </w:pPr>
      <w:r w:rsidRPr="000E28CF">
        <w:rPr>
          <w:rFonts w:ascii="Times New Roman" w:hAnsi="Times New Roman" w:cs="Times New Roman"/>
          <w:color w:val="000000" w:themeColor="text1"/>
          <w:sz w:val="20"/>
          <w:szCs w:val="20"/>
        </w:rPr>
        <w:t xml:space="preserve">The modelled IR trends for antidepressant prescription were 0.3% both before </w:t>
      </w:r>
      <w:r w:rsidRPr="000E28CF">
        <w:rPr>
          <w:rFonts w:ascii="Times New Roman" w:hAnsi="Times New Roman" w:cs="Times New Roman"/>
          <w:color w:val="000000"/>
          <w:sz w:val="20"/>
          <w:szCs w:val="20"/>
          <w:shd w:val="clear" w:color="auto" w:fill="FFFFFF"/>
        </w:rPr>
        <w:t xml:space="preserve">(95% CI: </w:t>
      </w:r>
      <w:r w:rsidRPr="000E28CF">
        <w:rPr>
          <w:rFonts w:ascii="Times New Roman" w:hAnsi="Times New Roman" w:cs="Times New Roman"/>
          <w:color w:val="000000"/>
          <w:sz w:val="20"/>
          <w:szCs w:val="20"/>
        </w:rPr>
        <w:t xml:space="preserve">-0.4;1.0) </w:t>
      </w:r>
      <w:r w:rsidRPr="000E28CF">
        <w:rPr>
          <w:rFonts w:ascii="Times New Roman" w:hAnsi="Times New Roman" w:cs="Times New Roman"/>
          <w:color w:val="000000" w:themeColor="text1"/>
          <w:sz w:val="20"/>
          <w:szCs w:val="20"/>
        </w:rPr>
        <w:t xml:space="preserve">and during </w:t>
      </w:r>
      <w:r w:rsidRPr="000E28CF">
        <w:rPr>
          <w:rFonts w:ascii="Times New Roman" w:hAnsi="Times New Roman" w:cs="Times New Roman"/>
          <w:color w:val="000000"/>
          <w:sz w:val="20"/>
          <w:szCs w:val="20"/>
          <w:shd w:val="clear" w:color="auto" w:fill="FFFFFF"/>
        </w:rPr>
        <w:t>(95% CI: -</w:t>
      </w:r>
      <w:r w:rsidRPr="000E28CF">
        <w:rPr>
          <w:rFonts w:ascii="Times New Roman" w:hAnsi="Times New Roman" w:cs="Times New Roman"/>
          <w:color w:val="000000"/>
          <w:sz w:val="20"/>
          <w:szCs w:val="20"/>
        </w:rPr>
        <w:t xml:space="preserve">0.2; 0.9) </w:t>
      </w:r>
      <w:r w:rsidRPr="000E28CF">
        <w:rPr>
          <w:rFonts w:ascii="Times New Roman" w:hAnsi="Times New Roman" w:cs="Times New Roman"/>
          <w:color w:val="000000" w:themeColor="text1"/>
          <w:sz w:val="20"/>
          <w:szCs w:val="20"/>
        </w:rPr>
        <w:t>the pandemic among refugees (</w:t>
      </w:r>
      <w:r w:rsidR="009A6D06" w:rsidRPr="000E28CF">
        <w:rPr>
          <w:rFonts w:ascii="Times New Roman" w:hAnsi="Times New Roman" w:cs="Times New Roman"/>
          <w:color w:val="000000" w:themeColor="text1"/>
          <w:sz w:val="20"/>
          <w:szCs w:val="20"/>
        </w:rPr>
        <w:t>F</w:t>
      </w:r>
      <w:r w:rsidRPr="000E28CF">
        <w:rPr>
          <w:rFonts w:ascii="Times New Roman" w:hAnsi="Times New Roman" w:cs="Times New Roman"/>
          <w:color w:val="000000" w:themeColor="text1"/>
          <w:sz w:val="20"/>
          <w:szCs w:val="20"/>
        </w:rPr>
        <w:t xml:space="preserve">igure 1 and </w:t>
      </w:r>
      <w:r w:rsidR="009A6D06" w:rsidRPr="000E28CF">
        <w:rPr>
          <w:rFonts w:ascii="Times New Roman" w:hAnsi="Times New Roman" w:cs="Times New Roman"/>
          <w:color w:val="000000" w:themeColor="text1"/>
          <w:sz w:val="20"/>
          <w:szCs w:val="20"/>
        </w:rPr>
        <w:t>T</w:t>
      </w:r>
      <w:r w:rsidRPr="000E28CF">
        <w:rPr>
          <w:rFonts w:ascii="Times New Roman" w:hAnsi="Times New Roman" w:cs="Times New Roman"/>
          <w:color w:val="000000" w:themeColor="text1"/>
          <w:sz w:val="20"/>
          <w:szCs w:val="20"/>
        </w:rPr>
        <w:t xml:space="preserve">able 2). For the Swedish-born the modelled IR trends for antidepressant prescription were </w:t>
      </w:r>
      <w:r w:rsidRPr="000E28CF">
        <w:rPr>
          <w:rFonts w:ascii="Times New Roman" w:hAnsi="Times New Roman" w:cs="Times New Roman"/>
          <w:color w:val="000000"/>
          <w:sz w:val="20"/>
          <w:szCs w:val="20"/>
        </w:rPr>
        <w:t xml:space="preserve">-0.3 </w:t>
      </w:r>
      <w:r w:rsidRPr="000E28CF">
        <w:rPr>
          <w:rFonts w:ascii="Times New Roman" w:hAnsi="Times New Roman" w:cs="Times New Roman"/>
          <w:color w:val="000000"/>
          <w:sz w:val="20"/>
          <w:szCs w:val="20"/>
          <w:shd w:val="clear" w:color="auto" w:fill="FFFFFF"/>
        </w:rPr>
        <w:t xml:space="preserve">% (95% CI: </w:t>
      </w:r>
      <w:r w:rsidRPr="000E28CF">
        <w:rPr>
          <w:rFonts w:ascii="Times New Roman" w:hAnsi="Times New Roman" w:cs="Times New Roman"/>
          <w:color w:val="000000"/>
          <w:sz w:val="20"/>
          <w:szCs w:val="20"/>
        </w:rPr>
        <w:t>0.8;0.2</w:t>
      </w:r>
      <w:r w:rsidRPr="000E28CF">
        <w:rPr>
          <w:rFonts w:ascii="Times New Roman" w:hAnsi="Times New Roman" w:cs="Times New Roman"/>
          <w:color w:val="000000"/>
          <w:sz w:val="20"/>
          <w:szCs w:val="20"/>
          <w:shd w:val="clear" w:color="auto" w:fill="FFFFFF"/>
        </w:rPr>
        <w:t>1%) before the pandemic and</w:t>
      </w:r>
      <w:r w:rsidRPr="000E28CF">
        <w:rPr>
          <w:rFonts w:ascii="Times New Roman" w:hAnsi="Times New Roman" w:cs="Times New Roman"/>
          <w:color w:val="000000" w:themeColor="text1"/>
          <w:sz w:val="20"/>
          <w:szCs w:val="20"/>
        </w:rPr>
        <w:t xml:space="preserve"> </w:t>
      </w:r>
      <w:r w:rsidRPr="000E28CF">
        <w:rPr>
          <w:rFonts w:ascii="Times New Roman" w:hAnsi="Times New Roman" w:cs="Times New Roman"/>
          <w:color w:val="000000"/>
          <w:sz w:val="20"/>
          <w:szCs w:val="20"/>
          <w:shd w:val="clear" w:color="auto" w:fill="FFFFFF"/>
        </w:rPr>
        <w:t xml:space="preserve">0.8% (95% CI: 0.4%, 1.2%) during the pandemic. The IRR showed </w:t>
      </w:r>
      <w:r w:rsidRPr="000E28CF">
        <w:rPr>
          <w:rFonts w:ascii="Times New Roman" w:hAnsi="Times New Roman" w:cs="Times New Roman"/>
          <w:color w:val="000000" w:themeColor="text1"/>
          <w:sz w:val="20"/>
          <w:szCs w:val="20"/>
        </w:rPr>
        <w:t xml:space="preserve">a relative 1.1% (95% CI: 0.3%, 1.9%) quarterly IR increase during the pandemic among the Swedish-born, compared to the IR trend before and </w:t>
      </w:r>
      <w:r w:rsidRPr="000E28CF">
        <w:rPr>
          <w:rFonts w:ascii="Times New Roman" w:hAnsi="Times New Roman" w:cs="Times New Roman"/>
          <w:color w:val="000000"/>
          <w:sz w:val="20"/>
          <w:szCs w:val="20"/>
          <w:shd w:val="clear" w:color="auto" w:fill="FFFFFF"/>
        </w:rPr>
        <w:t>0.0% (95% CI: -1.1%, 1.0%)</w:t>
      </w:r>
      <w:r w:rsidRPr="000E28CF">
        <w:rPr>
          <w:rFonts w:ascii="Times New Roman" w:hAnsi="Times New Roman" w:cs="Times New Roman"/>
          <w:color w:val="000000" w:themeColor="text1"/>
          <w:sz w:val="20"/>
          <w:szCs w:val="20"/>
        </w:rPr>
        <w:t xml:space="preserve"> for refugees (</w:t>
      </w:r>
      <w:r w:rsidR="009A6D06" w:rsidRPr="000E28CF">
        <w:rPr>
          <w:rFonts w:ascii="Times New Roman" w:hAnsi="Times New Roman" w:cs="Times New Roman"/>
          <w:color w:val="000000" w:themeColor="text1"/>
          <w:sz w:val="20"/>
          <w:szCs w:val="20"/>
        </w:rPr>
        <w:t>F</w:t>
      </w:r>
      <w:r w:rsidRPr="000E28CF">
        <w:rPr>
          <w:rFonts w:ascii="Times New Roman" w:hAnsi="Times New Roman" w:cs="Times New Roman"/>
          <w:color w:val="000000" w:themeColor="text1"/>
          <w:sz w:val="20"/>
          <w:szCs w:val="20"/>
        </w:rPr>
        <w:t xml:space="preserve">igure 1 and </w:t>
      </w:r>
      <w:r w:rsidR="009A6D06" w:rsidRPr="000E28CF">
        <w:rPr>
          <w:rFonts w:ascii="Times New Roman" w:hAnsi="Times New Roman" w:cs="Times New Roman"/>
          <w:color w:val="000000" w:themeColor="text1"/>
          <w:sz w:val="20"/>
          <w:szCs w:val="20"/>
        </w:rPr>
        <w:t>T</w:t>
      </w:r>
      <w:r w:rsidRPr="000E28CF">
        <w:rPr>
          <w:rFonts w:ascii="Times New Roman" w:hAnsi="Times New Roman" w:cs="Times New Roman"/>
          <w:color w:val="000000" w:themeColor="text1"/>
          <w:sz w:val="20"/>
          <w:szCs w:val="20"/>
        </w:rPr>
        <w:t>able 2).</w:t>
      </w:r>
    </w:p>
    <w:p w14:paraId="3236D48F" w14:textId="6A221C3C" w:rsidR="00793DF7" w:rsidRPr="000E28CF" w:rsidRDefault="00CD7E5F" w:rsidP="00CD7E5F">
      <w:pPr>
        <w:spacing w:line="360" w:lineRule="auto"/>
        <w:rPr>
          <w:rFonts w:ascii="Times New Roman" w:hAnsi="Times New Roman" w:cs="Times New Roman"/>
          <w:color w:val="000000"/>
          <w:sz w:val="20"/>
          <w:szCs w:val="20"/>
          <w:shd w:val="clear" w:color="auto" w:fill="FFFFFF"/>
        </w:rPr>
      </w:pPr>
      <w:r w:rsidRPr="000E28CF">
        <w:rPr>
          <w:rFonts w:ascii="Times New Roman" w:hAnsi="Times New Roman" w:cs="Times New Roman"/>
          <w:color w:val="000000"/>
          <w:sz w:val="20"/>
          <w:szCs w:val="20"/>
          <w:shd w:val="clear" w:color="auto" w:fill="FFFFFF"/>
        </w:rPr>
        <w:t>Stratifying by labor market marginalization showed similar results as in the main analyses, revealing minimal changes in quarterly IR trends of antidepressant prescription before and during the pandemic in both refugees and Swedish born and in both strata (</w:t>
      </w:r>
      <w:r w:rsidR="00D0169A" w:rsidRPr="000E28CF">
        <w:rPr>
          <w:rFonts w:ascii="Times New Roman" w:hAnsi="Times New Roman" w:cs="Times New Roman"/>
          <w:color w:val="000000"/>
          <w:sz w:val="20"/>
          <w:szCs w:val="20"/>
          <w:shd w:val="clear" w:color="auto" w:fill="FFFFFF"/>
        </w:rPr>
        <w:t>F</w:t>
      </w:r>
      <w:r w:rsidRPr="000E28CF">
        <w:rPr>
          <w:rFonts w:ascii="Times New Roman" w:hAnsi="Times New Roman" w:cs="Times New Roman"/>
          <w:color w:val="000000"/>
          <w:sz w:val="20"/>
          <w:szCs w:val="20"/>
          <w:shd w:val="clear" w:color="auto" w:fill="FFFFFF"/>
        </w:rPr>
        <w:t xml:space="preserve">igure 2, </w:t>
      </w:r>
      <w:r w:rsidR="00D0169A" w:rsidRPr="000E28CF">
        <w:rPr>
          <w:rFonts w:ascii="Times New Roman" w:hAnsi="Times New Roman" w:cs="Times New Roman"/>
          <w:color w:val="000000"/>
          <w:sz w:val="20"/>
          <w:szCs w:val="20"/>
          <w:shd w:val="clear" w:color="auto" w:fill="FFFFFF"/>
        </w:rPr>
        <w:t>T</w:t>
      </w:r>
      <w:r w:rsidRPr="000E28CF">
        <w:rPr>
          <w:rFonts w:ascii="Times New Roman" w:hAnsi="Times New Roman" w:cs="Times New Roman"/>
          <w:color w:val="000000"/>
          <w:sz w:val="20"/>
          <w:szCs w:val="20"/>
          <w:shd w:val="clear" w:color="auto" w:fill="FFFFFF"/>
        </w:rPr>
        <w:t xml:space="preserve">able </w:t>
      </w:r>
      <w:r w:rsidR="000C6073" w:rsidRPr="000E28CF">
        <w:rPr>
          <w:rFonts w:ascii="Times New Roman" w:hAnsi="Times New Roman" w:cs="Times New Roman"/>
          <w:color w:val="000000"/>
          <w:sz w:val="20"/>
          <w:szCs w:val="20"/>
          <w:shd w:val="clear" w:color="auto" w:fill="FFFFFF"/>
        </w:rPr>
        <w:t>3</w:t>
      </w:r>
      <w:r w:rsidRPr="000E28CF">
        <w:rPr>
          <w:rFonts w:ascii="Times New Roman" w:hAnsi="Times New Roman" w:cs="Times New Roman"/>
          <w:color w:val="000000"/>
          <w:sz w:val="20"/>
          <w:szCs w:val="20"/>
          <w:shd w:val="clear" w:color="auto" w:fill="FFFFFF"/>
        </w:rPr>
        <w:t>). After stratification by level of education, the results were similar and the IRRs comparing quarterly IR trends before and during the pandemic were 0%-1% in all groups (</w:t>
      </w:r>
      <w:r w:rsidR="009A6D06" w:rsidRPr="000E28CF">
        <w:rPr>
          <w:rFonts w:ascii="Times New Roman" w:hAnsi="Times New Roman" w:cs="Times New Roman"/>
          <w:color w:val="000000"/>
          <w:sz w:val="20"/>
          <w:szCs w:val="20"/>
          <w:shd w:val="clear" w:color="auto" w:fill="FFFFFF"/>
        </w:rPr>
        <w:t>F</w:t>
      </w:r>
      <w:r w:rsidRPr="000E28CF">
        <w:rPr>
          <w:rFonts w:ascii="Times New Roman" w:hAnsi="Times New Roman" w:cs="Times New Roman"/>
          <w:color w:val="000000"/>
          <w:sz w:val="20"/>
          <w:szCs w:val="20"/>
          <w:shd w:val="clear" w:color="auto" w:fill="FFFFFF"/>
        </w:rPr>
        <w:t xml:space="preserve">igure 3, </w:t>
      </w:r>
      <w:r w:rsidR="009A6D06" w:rsidRPr="000E28CF">
        <w:rPr>
          <w:rFonts w:ascii="Times New Roman" w:hAnsi="Times New Roman" w:cs="Times New Roman"/>
          <w:color w:val="000000"/>
          <w:sz w:val="20"/>
          <w:szCs w:val="20"/>
          <w:shd w:val="clear" w:color="auto" w:fill="FFFFFF"/>
        </w:rPr>
        <w:t>T</w:t>
      </w:r>
      <w:r w:rsidRPr="000E28CF">
        <w:rPr>
          <w:rFonts w:ascii="Times New Roman" w:hAnsi="Times New Roman" w:cs="Times New Roman"/>
          <w:color w:val="000000"/>
          <w:sz w:val="20"/>
          <w:szCs w:val="20"/>
          <w:shd w:val="clear" w:color="auto" w:fill="FFFFFF"/>
        </w:rPr>
        <w:t xml:space="preserve">able 4). </w:t>
      </w:r>
    </w:p>
    <w:p w14:paraId="37BF67C1" w14:textId="069DA4BD" w:rsidR="00CD7E5F" w:rsidRPr="000E28CF" w:rsidRDefault="00793DF7" w:rsidP="00CD7E5F">
      <w:pPr>
        <w:spacing w:line="360" w:lineRule="auto"/>
        <w:rPr>
          <w:rFonts w:ascii="Times New Roman" w:hAnsi="Times New Roman" w:cs="Times New Roman"/>
          <w:color w:val="000000"/>
          <w:sz w:val="20"/>
          <w:szCs w:val="20"/>
          <w:shd w:val="clear" w:color="auto" w:fill="FFFFFF"/>
        </w:rPr>
      </w:pPr>
      <w:bookmarkStart w:id="4" w:name="_Hlk187917712"/>
      <w:r w:rsidRPr="000E28CF">
        <w:rPr>
          <w:rFonts w:ascii="Times New Roman" w:hAnsi="Times New Roman" w:cs="Times New Roman"/>
          <w:color w:val="000000"/>
          <w:sz w:val="20"/>
          <w:szCs w:val="20"/>
          <w:shd w:val="clear" w:color="auto" w:fill="FFFFFF"/>
        </w:rPr>
        <w:t xml:space="preserve">The </w:t>
      </w:r>
      <w:r w:rsidRPr="000E28CF">
        <w:rPr>
          <w:rStyle w:val="textlayer--absolute"/>
          <w:rFonts w:ascii="Times New Roman" w:hAnsi="Times New Roman" w:cs="Times New Roman"/>
          <w:sz w:val="20"/>
          <w:szCs w:val="20"/>
        </w:rPr>
        <w:t>sensitivity analysis, stratifying the refugee population on length of stay in Sweden, showed that there was a 2.6% (95% CI: 0.6, 4.7%) change in trends of</w:t>
      </w:r>
      <w:r w:rsidRPr="000E28CF">
        <w:rPr>
          <w:rFonts w:ascii="Times New Roman" w:hAnsi="Times New Roman" w:cs="Times New Roman"/>
          <w:sz w:val="20"/>
          <w:szCs w:val="20"/>
        </w:rPr>
        <w:t xml:space="preserve"> </w:t>
      </w:r>
      <w:r w:rsidRPr="000E28CF">
        <w:rPr>
          <w:rStyle w:val="textlayer--absolute"/>
          <w:rFonts w:ascii="Times New Roman" w:hAnsi="Times New Roman" w:cs="Times New Roman"/>
          <w:sz w:val="20"/>
          <w:szCs w:val="20"/>
        </w:rPr>
        <w:t>specialized psychiatric health care for CMD among refugees who had stayed in Sweden</w:t>
      </w:r>
      <w:r w:rsidRPr="000E28CF">
        <w:rPr>
          <w:rFonts w:ascii="Times New Roman" w:hAnsi="Times New Roman" w:cs="Times New Roman"/>
          <w:sz w:val="20"/>
          <w:szCs w:val="20"/>
        </w:rPr>
        <w:t xml:space="preserve"> </w:t>
      </w:r>
      <w:r w:rsidRPr="000E28CF">
        <w:rPr>
          <w:rStyle w:val="textlayer--absolute"/>
          <w:rFonts w:ascii="Times New Roman" w:hAnsi="Times New Roman" w:cs="Times New Roman"/>
          <w:sz w:val="20"/>
          <w:szCs w:val="20"/>
        </w:rPr>
        <w:t>longer than five years and 1.6% (95% CI: -0.6, 3.8%) among refugees who had stayed in Sweden</w:t>
      </w:r>
      <w:r w:rsidRPr="000E28CF">
        <w:rPr>
          <w:rFonts w:ascii="Times New Roman" w:hAnsi="Times New Roman" w:cs="Times New Roman"/>
          <w:sz w:val="20"/>
          <w:szCs w:val="20"/>
        </w:rPr>
        <w:t xml:space="preserve"> </w:t>
      </w:r>
      <w:r w:rsidRPr="000E28CF">
        <w:rPr>
          <w:rStyle w:val="textlayer--absolute"/>
          <w:rFonts w:ascii="Times New Roman" w:hAnsi="Times New Roman" w:cs="Times New Roman"/>
          <w:sz w:val="20"/>
          <w:szCs w:val="20"/>
        </w:rPr>
        <w:t>less than or equal to five years. Concerning antidepressant prescription, the sensitivity analysis found that in the group of refugees by length of stay, where there was a -1.9% (95% CI: -3.4, 0-.7%) change in trends for the group of refugees who had been in Sweden five years or less but no change in those who had been in Sweden longer than five years 0.1% (95% CI: -0.7, -1%).</w:t>
      </w:r>
      <w:r w:rsidR="0062169B" w:rsidRPr="000E28CF">
        <w:rPr>
          <w:rStyle w:val="textlayer--absolute"/>
          <w:rFonts w:ascii="Times New Roman" w:hAnsi="Times New Roman" w:cs="Times New Roman"/>
          <w:sz w:val="20"/>
          <w:szCs w:val="20"/>
        </w:rPr>
        <w:t xml:space="preserve"> </w:t>
      </w:r>
      <w:r w:rsidR="0062169B" w:rsidRPr="000E28CF">
        <w:rPr>
          <w:rFonts w:ascii="Times New Roman" w:eastAsia="Times New Roman" w:hAnsi="Times New Roman" w:cs="Times New Roman"/>
          <w:color w:val="272727"/>
          <w:sz w:val="20"/>
          <w:szCs w:val="20"/>
          <w:lang w:eastAsia="en-GB"/>
        </w:rPr>
        <w:t>For results from sensitivity analysis see Additional table 3 and Additional figure 1 in Additional files 1.</w:t>
      </w:r>
    </w:p>
    <w:bookmarkEnd w:id="4"/>
    <w:p w14:paraId="2F4F76F5" w14:textId="77777777" w:rsidR="00793DF7" w:rsidRPr="000E28CF" w:rsidRDefault="00793DF7" w:rsidP="00CD7E5F">
      <w:pPr>
        <w:spacing w:line="360" w:lineRule="auto"/>
        <w:rPr>
          <w:rFonts w:ascii="Times New Roman" w:hAnsi="Times New Roman" w:cs="Times New Roman"/>
          <w:b/>
          <w:color w:val="000000"/>
          <w:sz w:val="20"/>
          <w:szCs w:val="20"/>
        </w:rPr>
      </w:pPr>
    </w:p>
    <w:p w14:paraId="1A3C6ED3" w14:textId="2E41D9DB" w:rsidR="00CD7E5F" w:rsidRPr="000E28CF" w:rsidRDefault="00CD7E5F" w:rsidP="00CD7E5F">
      <w:pPr>
        <w:spacing w:line="360" w:lineRule="auto"/>
        <w:rPr>
          <w:rFonts w:ascii="Times New Roman" w:hAnsi="Times New Roman" w:cs="Times New Roman"/>
          <w:b/>
          <w:color w:val="000000"/>
          <w:sz w:val="20"/>
          <w:szCs w:val="20"/>
        </w:rPr>
      </w:pPr>
      <w:r w:rsidRPr="000E28CF">
        <w:rPr>
          <w:rFonts w:ascii="Times New Roman" w:hAnsi="Times New Roman" w:cs="Times New Roman"/>
          <w:b/>
          <w:color w:val="000000"/>
          <w:sz w:val="20"/>
          <w:szCs w:val="20"/>
        </w:rPr>
        <w:t>DISCUSSION</w:t>
      </w:r>
    </w:p>
    <w:p w14:paraId="1B744B81" w14:textId="77777777" w:rsidR="00CD7E5F" w:rsidRPr="000E28CF" w:rsidRDefault="00CD7E5F" w:rsidP="00CD7E5F">
      <w:pPr>
        <w:pStyle w:val="Ingetavstnd"/>
        <w:spacing w:line="360" w:lineRule="auto"/>
        <w:rPr>
          <w:lang w:val="en-US"/>
        </w:rPr>
      </w:pPr>
      <w:r w:rsidRPr="000E28CF">
        <w:rPr>
          <w:lang w:val="en-US"/>
        </w:rPr>
        <w:t>Summary of results</w:t>
      </w:r>
    </w:p>
    <w:p w14:paraId="578145D7" w14:textId="77777777" w:rsidR="00CD7E5F" w:rsidRPr="000E28CF" w:rsidRDefault="00CD7E5F" w:rsidP="00CD7E5F">
      <w:pPr>
        <w:spacing w:line="360" w:lineRule="auto"/>
        <w:rPr>
          <w:rFonts w:ascii="Times New Roman" w:hAnsi="Times New Roman" w:cs="Times New Roman"/>
          <w:sz w:val="20"/>
          <w:szCs w:val="20"/>
        </w:rPr>
      </w:pPr>
      <w:r w:rsidRPr="000E28CF">
        <w:rPr>
          <w:rFonts w:ascii="Times New Roman" w:hAnsi="Times New Roman" w:cs="Times New Roman"/>
          <w:color w:val="000000" w:themeColor="text1"/>
          <w:sz w:val="20"/>
          <w:szCs w:val="20"/>
        </w:rPr>
        <w:t xml:space="preserve">After the outbreak of the COVID-19 pandemic, there was a relative increase in specialized mental health care use for CMDs among refugees, but no related change among Swedish-born. The increasing trend in specialized mental health care use for CMDs was most pronounced among refugees who had a low attachment on the labor market, or had a low educational level. Concerning antidepressants prescription, there were no substantial changes in the trends before and during the COVID-19 pandemic neither in the refugee nor in the Swedish-born population. </w:t>
      </w:r>
    </w:p>
    <w:p w14:paraId="156128DE" w14:textId="77777777" w:rsidR="00CD7E5F" w:rsidRPr="000E28CF" w:rsidRDefault="00CD7E5F" w:rsidP="00CD7E5F">
      <w:pPr>
        <w:pStyle w:val="Ingetavstnd"/>
        <w:spacing w:line="360" w:lineRule="auto"/>
        <w:rPr>
          <w:lang w:val="en-US"/>
        </w:rPr>
      </w:pPr>
      <w:r w:rsidRPr="000E28CF">
        <w:rPr>
          <w:lang w:val="en-US"/>
        </w:rPr>
        <w:t>Comparison with previous findings</w:t>
      </w:r>
    </w:p>
    <w:p w14:paraId="07FDACA8" w14:textId="37A366AB" w:rsidR="00CD7E5F" w:rsidRPr="000E28CF" w:rsidRDefault="00CD7E5F" w:rsidP="00CD7E5F">
      <w:pPr>
        <w:spacing w:line="360" w:lineRule="auto"/>
        <w:rPr>
          <w:rFonts w:ascii="Times New Roman" w:hAnsi="Times New Roman" w:cs="Times New Roman"/>
          <w:sz w:val="20"/>
          <w:szCs w:val="20"/>
        </w:rPr>
      </w:pPr>
      <w:r w:rsidRPr="000E28CF">
        <w:rPr>
          <w:rFonts w:ascii="Times New Roman" w:hAnsi="Times New Roman" w:cs="Times New Roman"/>
          <w:sz w:val="20"/>
          <w:szCs w:val="20"/>
        </w:rPr>
        <w:t xml:space="preserve">In line with our results among Swedish-born people, previous studies mostly covering the beginning of the pandemic found no change or a slight decrease of the use of mental health care services during the pandemic </w:t>
      </w:r>
      <w:r w:rsidRPr="000E28CF">
        <w:rPr>
          <w:rFonts w:ascii="Times New Roman" w:hAnsi="Times New Roman" w:cs="Times New Roman"/>
          <w:sz w:val="20"/>
          <w:szCs w:val="20"/>
        </w:rPr>
        <w:lastRenderedPageBreak/>
        <w:fldChar w:fldCharType="begin"/>
      </w:r>
      <w:r w:rsidRPr="000E28CF">
        <w:rPr>
          <w:rFonts w:ascii="Times New Roman" w:hAnsi="Times New Roman" w:cs="Times New Roman"/>
          <w:sz w:val="20"/>
          <w:szCs w:val="20"/>
        </w:rPr>
        <w:instrText xml:space="preserve"> ADDIN ZOTERO_ITEM CSL_CITATION {"citationID":"UdL4DVeN","properties":{"formattedCitation":"(6,11,12)","plainCitation":"(6,11,12)","noteIndex":0},"citationItems":[{"id":407,"uris":["http://zotero.org/users/11004987/items/5XVFWV98"],"itemData":{"id":407,"type":"article-journal","abstract":"The COVID-19 pandemic caused immediate and far-reaching disruption to society, the economy, and health-care services. We synthesised evidence on the effect of the pandemic on mental health and mental health care in high-income European countries. We included 177 longitudinal and repeated cross-sectional studies comparing prevalence or incidence of mental health problems, mental health symptom severity in people with pre-existing mental health conditions, or mental health service use before versus during the pandemic, or between different timepoints of the pandemic. We found that epidemiological studies reported higher prevalence of some mental health problems during the pandemic compared with before it, but that in most cases this increase reduced over time. Conversely, studies of health records showed reduced incidence of new diagnoses at the start of the pandemic, which further declined during 2020. Mental health service use also declined at the onset of the pandemic but increased later in 2020 and through 2021, although rates of use did not return to pre-pandemic levels for some services. We found mixed patterns of effects of the pandemic on mental health and social outcome for adults already living with mental health conditions.","container-title":"The Lancet. Psychiatry","DOI":"10.1016/S2215-0366(23)00113-X","ISSN":"2215-0366","issue":"7","journalAbbreviation":"Lancet Psychiatry","note":"PMID: 37321240\nPMCID: PMC10259832","page":"537-556","source":"PubMed Central","title":"Mental health in Europe during the COVID-19 pandemic: a systematic review","title-short":"Mental health in Europe during the COVID-19 pandemic","volume":"10","author":[{"family":"Ahmed","given":"Nafiso"},{"family":"Barnett","given":"Phoebe"},{"family":"Greenburgh","given":"Anna"},{"family":"Pemovska","given":"Tamara"},{"family":"Stefanidou","given":"Theodora"},{"family":"Lyons","given":"Natasha"},{"family":"Ikhtabi","given":"Sarah"},{"family":"Talwar","given":"Shivangi"},{"family":"Francis","given":"Emma R"},{"family":"Harris","given":"Samantha M"},{"family":"Shah","given":"Prisha"},{"family":"Machin","given":"Karen"},{"family":"Jeffreys","given":"Stephen"},{"family":"Mitchell","given":"Lizzie"},{"family":"Lynch","given":"Chris"},{"family":"Foye","given":"Una"},{"family":"Schlief","given":"Merle"},{"family":"Appleton","given":"Rebecca"},{"family":"Saunders","given":"Katherine R K"},{"family":"Baldwin","given":"Helen"},{"family":"Allan","given":"Sophie M"},{"family":"Sheridan-Rains","given":"Luke"},{"family":"Kharboutly","given":"Omaya"},{"family":"Kular","given":"Ariana"},{"family":"Goldblatt","given":"Peter"},{"family":"Stewart","given":"Robert"},{"family":"Kirkbride","given":"James B"},{"family":"Lloyd-Evans","given":"Brynmor"},{"family":"Johnson","given":"Sonia"}],"issued":{"date-parts":[["2023",7]]}},"label":"page"},{"id":275,"uris":["http://zotero.org/users/11004987/items/EH5PH4RM"],"itemData":{"id":275,"type":"article-journal","abstract":"Background\nThe COVID-19 pandemic is commonly believed to have increased common mental disorders (CMD, i.e., depression and anxiety), either directly due to COVID-19 contractions (death of near ones or residual conditions), or indirectly by increasing stress, economic uncertainty, and disruptions in daily life resulting from containment measure. Whereas studies reporting on initial changes in self-reported data frequently have reported increases in CMD, pandemic related changes in CMD related to primary care utilization are less well known. Analyzing time series of routinely and continuously sampled primary healthcare data from Sweden, Norway, Netherlands, and Latvia, we aimed to characterize the impact of the pandemic on CMD recorded prevalence in primary care. Furthermore, by relating these changes to country specific time-trajectories of two classes of containment measures, we evaluated the differential impact of containment strategies on CMD rates. Specifically, we wanted to test whether school restrictions would preferentially affect age groups corresponding to those of school children or their parents.\n\nMethods\nFor the four investigated countries, we collected time-series of monthly counts of unique CMD patients in primary healthcare from the year 2015 (or 2017) until 2021. Using pre-pandemic timepoints to train seasonal Auto Regressive Integrated Moving Average (ARIMA) models, we predicted healthcare utilization during the pandemic. Discrepancies between observed and expected time series were quantified to infer pandemic related changes. To evaluate the effects of COVID-19 measures on CMD related primary care utilization, the predicted time series were related to country specific time series of levels of social distancing and school restrictions.\n\nResults\nIn all countries except Latvia there was an initial (April 2020) decrease in CMD care prevalence, where largest drops were found in Sweden (Prevalence Ratio, PR = 0.85; 95% CI 0.81–0.90), followed by Netherlands (0.86; 95% CI 0.76–1.02) and Norway (0.90; 95% CI 0.83–0.98). Latvia on the other hand experienced increased rates (1.25; 95% CI 1.08–1.49). Whereas PRs in Norway and Netherlands normalized during the latter half of 2020, PRs stayed low in Sweden and elevated in Latvia. The overall changes in PR during the pandemic year 2020 was significantly changed only for Sweden (0.91; 95% CI 0.90–0.93) and Latvia (1.20; 95% CI 1.14–1.26). Overall, the relationship between containment measures and CMD care prevalence were weak and non-significant. In particular, we could not observe any relationship of school restriction to CMD care prevalence for the age groups best corresponding to school children or their parents.\n\nConclusion\nCommon mental disorders prevalence in primary care decreased during the initial phase of the COVID-19 pandemic in all countries except from Latvia, but normalized in Norway and Netherlands by the latter half of 2020. The onset of the pandemic and the containment strategies were highly correlated within each country, limiting strong conclusions on whether restriction policy had any effects on mental health. Specifically, we found no evidence of associations between school restrictions and CMD care prevalence. Overall, current results lend no support to the common belief that the pandemic severely impacted the mental health of the general population as indicated by healthcare utilization, apart from in Latvia. However, since healthcare utilization is affected by multiple factors in addition to actual need, future studies should combine complementary types of data to better understand the mental health impacts of the pandemic.","container-title":"Frontiers in Psychiatry","DOI":"10.3389/fpsyt.2022.1045325","ISSN":"1664-0640","journalAbbreviation":"Front Psychiatry","note":"PMID: 36699500\nPMCID: PMC9868724","page":"1045325","source":"PubMed Central","title":"Differential impact of the COVID-19 pandemic on primary care utilization related to common mental disorders in four European countries: A retrospective observational study","title-short":"Differential impact of the COVID-19 pandemic on primary care utilization related to common mental disorders in four European countries","volume":"13","author":[{"family":"Flodin","given":"Pär"},{"family":"Sörberg Wallin","given":"Alma"},{"family":"Tarantino","given":"Barbara"},{"family":"Cerchiello","given":"Paola"},{"family":"Mladá","given":"Karolína"},{"family":"Kuklová","given":"Marie"},{"family":"Kondrátová","given":"Lucie"},{"family":"Parimbelli","given":"Enea"},{"family":"Osika","given":"Walter"},{"family":"Hollander","given":"Anna-Clara"},{"family":"Dalman","given":"Christina"}],"issued":{"date-parts":[["2023",1,9]]}},"label":"page"},{"id":399,"uris":["http://zotero.org/users/11004987/items/CW6X8JVI"],"itemData":{"id":399,"type":"article-journal","abstract":"Existing research has found adverse short-term effects of the COVID-19 pandemic on mental health, but longer-term effects have been less documented. Using newly released register data on all general practitioner consultations in Norway through 2020 (about 14 million consultations in total), we find that during the spring and early summer 2020, the number of psychological cases initially increased relative to prior years, but then fell back towards the level of prior years during the summer 2020. In early September 2020, the number of cases accelerated, a pattern that held up through December 2020, so that the gap between 2020 and prior years became largest end-of-year. Our findings suggest that the accumulated adverse effects of the COVID-19 pandemic on mental health far exceeds the short-term effects. The effects are particularly strong for females and for residents in urban areas.","container-title":"European Journal of Epidemiology","DOI":"10.1007/s10654-021-00836-3","ISSN":"1573-7284","issue":"2","journalAbbreviation":"Eur J Epidemiol","language":"en","page":"167-172","source":"Springer Link","title":"COVID-19 and mental health: a longitudinal population study from Norway","title-short":"COVID-19 and mental health","volume":"37","author":[{"family":"Hvide","given":"Hans K."},{"family":"Johnsen","given":"Julian"}],"issued":{"date-parts":[["2022",2,1]]}},"label":"page"}],"schema":"https://github.com/citation-style-language/schema/raw/master/csl-citation.json"}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(6,11,12)</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A recent study including Swedish data found a drop in primary health care use due to CMDs at the beginning of the pandemic, which stayed low in Sweden during the entire 2020. In Norway and the Netherlands, primary health care use decreased at the beginning of the pandemic but increased to pre-pandemic levels later, while in Latvia it increased over the pre-pandemic level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{"citationID":"IMzTW6HS","properties":{"formattedCitation":"(11)","plainCitation":"(11)","noteIndex":0},"citationItems":[{"id":275,"uris":["http://zotero.org/users/11004987/items/EH5PH4RM"],"itemData":{"id":275,"type":"article-journal","abstract":"Background\nThe COVID-19 pandemic is commonly believed to have increased common mental disorders (CMD, i.e., depression and anxiety), either directly due to COVID-19 contractions (death of near ones or residual conditions), or indirectly by increasing stress, economic uncertainty, and disruptions in daily life resulting from containment measure. Whereas studies reporting on initial changes in self-reported data frequently have reported increases in CMD, pandemic related changes in CMD related to primary care utilization are less well known. Analyzing time series of routinely and continuously sampled primary healthcare data from Sweden, Norway, Netherlands, and Latvia, we aimed to characterize the impact of the pandemic on CMD recorded prevalence in primary care. Furthermore, by relating these changes to country specific time-trajectories of two classes of containment measures, we evaluated the differential impact of containment strategies on CMD rates. Specifically, we wanted to test whether school restrictions would preferentially affect age groups corresponding to those of school children or their parents.\n\nMethods\nFor the four investigated countries, we collected time-series of monthly counts of unique CMD patients in primary healthcare from the year 2015 (or 2017) until 2021. Using pre-pandemic timepoints to train seasonal Auto Regressive Integrated Moving Average (ARIMA) models, we predicted healthcare utilization during the pandemic. Discrepancies between observed and expected time series were quantified to infer pandemic related changes. To evaluate the effects of COVID-19 measures on CMD related primary care utilization, the predicted time series were related to country specific time series of levels of social distancing and school restrictions.\n\nResults\nIn all countries except Latvia there was an initial (April 2020) decrease in CMD care prevalence, where largest drops were found in Sweden (Prevalence Ratio, PR = 0.85; 95% CI 0.81–0.90), followed by Netherlands (0.86; 95% CI 0.76–1.02) and Norway (0.90; 95% CI 0.83–0.98). Latvia on the other hand experienced increased rates (1.25; 95% CI 1.08–1.49). Whereas PRs in Norway and Netherlands normalized during the latter half of 2020, PRs stayed low in Sweden and elevated in Latvia. The overall changes in PR during the pandemic year 2020 was significantly changed only for Sweden (0.91; 95% CI 0.90–0.93) and Latvia (1.20; 95% CI 1.14–1.26). Overall, the relationship between containment measures and CMD care prevalence were weak and non-significant. In particular, we could not observe any relationship of school restriction to CMD care prevalence for the age groups best corresponding to school children or their parents.\n\nConclusion\nCommon mental disorders prevalence in primary care decreased during the initial phase of the COVID-19 pandemic in all countries except from Latvia, but normalized in Norway and Netherlands by the latter half of 2020. The onset of the pandemic and the containment strategies were highly correlated within each country, limiting strong conclusions on whether restriction policy had any effects on mental health. Specifically, we found no evidence of associations between school restrictions and CMD care prevalence. Overall, current results lend no support to the common belief that the pandemic severely impacted the mental health of the general population as indicated by healthcare utilization, apart from in Latvia. However, since healthcare utilization is affected by multiple factors in addition to actual need, future studies should combine complementary types of data to better understand the mental health impacts of the pandemic.","container-title":"Frontiers in Psychiatry","DOI":"10.3389/fpsyt.2022.1045325","ISSN":"1664-0640","journalAbbreviation":"Front Psychiatry","note":"PMID: 36699500\nPMCID: PMC9868724","page":"1045325","source":"PubMed Central","title":"Differential impact of the COVID-19 pandemic on primary care utilization related to common mental disorders in four European countries: A retrospective observational study","title-short":"Differential impact of the COVID-19 pandemic on primary care utilization related to common mental disorders in four European countries","volume":"13","author":[{"family":"Flodin","given":"Pär"},{"family":"Sörberg Wallin","given":"Alma"},{"family":"Tarantino","given":"Barbara"},{"family":"Cerchiello","given":"Paola"},{"family":"Mladá","given":"Karolína"},{"family":"Kuklová","given":"Marie"},{"family":"Kondrátová","given":"Lucie"},{"family":"Parimbelli","given":"Enea"},{"family":"Osika","given":"Walter"},{"family":"Hollander","given":"Anna-Clara"},{"family":"Dalman","given":"Christina"}],"issued":{"date-parts":[["2023",1,9]]}},"label":"page"}],"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(11)</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Another study from Norway reported no overall increase of primary health care use for any mental disorder during the first year of the pandemic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{"citationID":"aPU0v9XS","properties":{"formattedCitation":"(12)","plainCitation":"(12)","noteIndex":0},"citationItems":[{"id":399,"uris":["http://zotero.org/users/11004987/items/CW6X8JVI"],"itemData":{"id":399,"type":"article-journal","abstract":"Existing research has found adverse short-term effects of the COVID-19 pandemic on mental health, but longer-term effects have been less documented. Using newly released register data on all general practitioner consultations in Norway through 2020 (about 14 million consultations in total), we find that during the spring and early summer 2020, the number of psychological cases initially increased relative to prior years, but then fell back towards the level of prior years during the summer 2020. In early September 2020, the number of cases accelerated, a pattern that held up through December 2020, so that the gap between 2020 and prior years became largest end-of-year. Our findings suggest that the accumulated adverse effects of the COVID-19 pandemic on mental health far exceeds the short-term effects. The effects are particularly strong for females and for residents in urban areas.","container-title":"European Journal of Epidemiology","DOI":"10.1007/s10654-021-00836-3","ISSN":"1573-7284","issue":"2","journalAbbreviation":"Eur J Epidemiol","language":"en","page":"167-172","source":"Springer Link","title":"COVID-19 and mental health: a longitudinal population study from Norway","title-short":"COVID-19 and mental health","volume":"37","author":[{"family":"Hvide","given":"Hans K."},{"family":"Johnsen","given":"Julian"}],"issued":{"date-parts":[["2022",2,1]]}}}],"schema":"https://github.com/citation-style-language/schema/raw/master/csl-citation.json"}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(12)</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Moreover, register-based studies from the UK, found no evidence of increasing trends in incident health care use for depression, anxiety and post-traumatic stress disorder in the first year of the pandemic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{"citationID":"0UWtzw5l","properties":{"formattedCitation":"(6)","plainCitation":"(6)","noteIndex":0},"citationItems":[{"id":407,"uris":["http://zotero.org/users/11004987/items/5XVFWV98"],"itemData":{"id":407,"type":"article-journal","abstract":"The COVID-19 pandemic caused immediate and far-reaching disruption to society, the economy, and health-care services. We synthesised evidence on the effect of the pandemic on mental health and mental health care in high-income European countries. We included 177 longitudinal and repeated cross-sectional studies comparing prevalence or incidence of mental health problems, mental health symptom severity in people with pre-existing mental health conditions, or mental health service use before versus during the pandemic, or between different timepoints of the pandemic. We found that epidemiological studies reported higher prevalence of some mental health problems during the pandemic compared with before it, but that in most cases this increase reduced over time. Conversely, studies of health records showed reduced incidence of new diagnoses at the start of the pandemic, which further declined during 2020. Mental health service use also declined at the onset of the pandemic but increased later in 2020 and through 2021, although rates of use did not return to pre-pandemic levels for some services. We found mixed patterns of effects of the pandemic on mental health and social outcome for adults already living with mental health conditions.","container-title":"The Lancet. Psychiatry","DOI":"10.1016/S2215-0366(23)00113-X","ISSN":"2215-0366","issue":"7","journalAbbreviation":"Lancet Psychiatry","note":"PMID: 37321240\nPMCID: PMC10259832","page":"537-556","source":"PubMed Central","title":"Mental health in Europe during the COVID-19 pandemic: a systematic review","title-short":"Mental health in Europe during the COVID-19 pandemic","volume":"10","author":[{"family":"Ahmed","given":"Nafiso"},{"family":"Barnett","given":"Phoebe"},{"family":"Greenburgh","given":"Anna"},{"family":"Pemovska","given":"Tamara"},{"family":"Stefanidou","given":"Theodora"},{"family":"Lyons","given":"Natasha"},{"family":"Ikhtabi","given":"Sarah"},{"family":"Talwar","given":"Shivangi"},{"family":"Francis","given":"Emma R"},{"family":"Harris","given":"Samantha M"},{"family":"Shah","given":"Prisha"},{"family":"Machin","given":"Karen"},{"family":"Jeffreys","given":"Stephen"},{"family":"Mitchell","given":"Lizzie"},{"family":"Lynch","given":"Chris"},{"family":"Foye","given":"Una"},{"family":"Schlief","given":"Merle"},{"family":"Appleton","given":"Rebecca"},{"family":"Saunders","given":"Katherine R K"},{"family":"Baldwin","given":"Helen"},{"family":"Allan","given":"Sophie M"},{"family":"Sheridan-Rains","given":"Luke"},{"family":"Kharboutly","given":"Omaya"},{"family":"Kular","given":"Ariana"},{"family":"Goldblatt","given":"Peter"},{"family":"Stewart","given":"Robert"},{"family":"Kirkbride","given":"James B"},{"family":"Lloyd-Evans","given":"Brynmor"},{"family":"Johnson","given":"Sonia"}],"issued":{"date-parts":[["2023",7]]}}}],"schema":"https://github.com/citation-style-language/schema/raw/master/csl-citation.json"}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(6)</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Finally, a study conducted in Denmark investigating admission trends in inpatient psychiatric care for severe mental disorders up to March 2021, reported lower levels of admission rates during the observed period than pre-pandemic levels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{"citationID":"a0uAUGMj","properties":{"formattedCitation":"(37)","plainCitation":"(37)","noteIndex":0},"citationItems":[{"id":396,"uris":["http://zotero.org/users/11004987/items/Y9CGD49C"],"itemData":{"id":396,"type":"article-journal","abstract":"Objective\nTo assess the patterns in psychiatric admissions, referrals, and suicidal behavior before and during the COVID‐19 pandemic.\n\nMethods\nThis study utilized health records from hospitals and Emergency Medical Services (EMS) covering 46% of the Danish population (n = 2,693,924). In a time‐trend study, we compared the number of psychiatric in‐patients, referrals to mental health services and suicidal behavior in years prior to the COVID‐19 pandemic to levels during the first lockdown (March 11 – May 17, 2020), inter‐lockdown period (May 18 – December 15, 2020), and second lockdown (December 16, 2020 – February 28, 2021).\n\nResults\nDuring the pandemic, the rate of psychiatric in‐patients declined compared to pre‐pandemic levels (RR = 0.95, 95% CI = 0.94 – 0.96, p &lt; 0.01), with the largest decrease of 19% observed three weeks into the first lockdown. Referrals to mental health services were not significantly different (RR = 1.01, 95% CI = 0.92 – 1.10, p = 0.91) during the pandemic; neither was suicidal behavior among hospital contacts (RR = 1.04, 95% CI = 0.94 – 1.14, p = 0.48) nor EMS contacts (RR = 1.08, 95% CI = 1.00 – 1.18, p = 0.06). Similar trends were observed across nearly all age groups, sexes, and types of mental disorders examined. In the age group &lt;18, an increase in the rate of psychiatric in‐patients (RR = 1.11, 95% CI = 1.07 – 1.15, p &lt; 0.01) was observed during the pandemic; however, this did not exceed the pre‐pandemic, upwards trend in psychiatric hospitalizations in the age group &lt;18 (p = 0.78).\n\nConclusion\nThe COVID‐19 pandemic has been associated with a decrease in psychiatric hospitalizations, while no significant change was observed in referrals to mental health services and suicidal behavior. Psychiatric hospitalizations among children and adolescents increased during the pandemic; however, this appears to be a continuation of a pre‐pandemic trend.","container-title":"Acta Psychiatrica Scandinavica","DOI":"10.1111/acps.13369","ISSN":"0001-690X","issue":"6","journalAbbreviation":"Acta Psychiatr Scand","note":"PMID: 34525216\nPMCID: PMC8652698","page":"553-562","source":"PubMed Central","title":"Psychiatric Admissions, Referrals, and Suicidal Behavior Before and During the COVID‐19 Pandemic in Denmark: A Time‐Trend Study","title-short":"Psychiatric Admissions, Referrals, and Suicidal Behavior Before and During the COVID‐19 Pandemic in Denmark","volume":"144","author":[{"family":"Rømer","given":"Troels Boldt"},{"family":"Christensen","given":"Rune Haubo Bojesen"},{"family":"Blomberg","given":"Stig Nikolaj"},{"family":"Folke","given":"Fredrik"},{"family":"Christensen","given":"Helle Collatz"},{"family":"Benros","given":"Michael Eriksen"}],"issued":{"date-parts":[["2021",12]]}}}],"schema":"https://github.com/citation-style-language/schema/raw/master/csl-citation.json"}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(37)</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Compared to these studies, we had the possibility to follow the trends in mental health care use over a longer time period, i.e. up to the end of 2021. It is possible that mental health care needs of the Swedish-born population increased during the beginning of the pandemic and disrupted services could initially not meet these needs. Still, given the long follow-up time in our study, it is reasonable to anticipate that mental health care services did catch up to meet the needs of the Swedish-born population over time, and the stable trends we observed in this population - particularly during 2021 - are not the result of ongoing unmet health care needs. This argument is supported by reports showing that suicide rates – strongly linked to mental disorders – have not increased during the pandemic in the Swedish population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{"citationID":"QJBTRPE7","properties":{"formattedCitation":"(8)","plainCitation":"(8)","noteIndex":0},"citationItems":[{"id":1106,"uris":["http://zotero.org/users/11004987/items/N7MGKGXP"],"itemData":{"id":1106,"type":"article-journal","abstract":"BACKGROUND: Predicted increases in suicide were not generally observed in the early months of the COVID-19 pandemic. However, the picture may be changing and patterns might vary across demographic groups. We aimed to provide a timely, granular picture of the pandemic's impact on suicides globally.\nMETHODS: We identified suicide data from official public-sector sources for countries/areas-within-countries, searching websites and academic literature and contacting data custodians and authors as necessary. We sent our first data request on 22nd June 2021 and stopped collecting data on 31st October 2021. We used interrupted time series (ITS) analyses to model the association between the pandemic's emergence and total suicides and suicides by sex-, age- and sex-by-age in each country/area-within-country. We compared the observed and expected numbers of suicides in the pandemic's first nine and first 10-15 months and used meta-regression to explore sources of variation.\nFINDINGS: We sourced data from 33 countries (24 high-income, six upper-middle-income, three lower-middle-income; 25 with whole-country data, 12 with data for area(s)-within-the-country, four with both). There was no evidence of greater-than-expected numbers of suicides in the majority of countries/areas-within-countries in any analysis; more commonly, there was evidence of lower-than-expected numbers. Certain sex, age and sex-by-age groups stood out as potentially concerning, but these were not consistent across countries/areas-within-countries. In the meta-regression, different patterns were not explained by countries' COVID-19 mortality rate, stringency of public health response, economic support level, or presence of a national suicide prevention strategy. Nor were they explained by countries' income level, although the meta-regression only included data from high-income and upper-middle-income countries, and there were suggestions from the ITS analyses that lower-middle-income countries fared less well.\nINTERPRETATION: Although there are some countries/areas-within-countries where overall suicide numbers and numbers for certain sex- and age-based groups are greater-than-expected, these countries/areas-within-countries are in the minority. Any upward movement in suicide numbers in any place or group is concerning, and we need to remain alert to and respond to changes as the pandemic and its mental health and economic consequences continue.\nFUNDING: None.","container-title":"EClinicalMedicine","DOI":"10.1016/j.eclinm.2022.101573","ISSN":"2589-5370","journalAbbreviation":"EClinicalMedicine","language":"eng","note":"PMID: 35935344\nPMCID: PMC9344880","page":"101573","source":"PubMed","title":"Suicide numbers during the first 9-15 months of the COVID-19 pandemic compared with pre-existing trends: An interrupted time series analysis in 33 countries","title-short":"Suicide numbers during the first 9-15 months of the COVID-19 pandemic compared with pre-existing trends","volume":"51","author":[{"family":"Pirkis","given":"Jane"},{"family":"Gunnell","given":"David"},{"family":"Shin","given":"Sangsoo"},{"family":"Del Pozo-Banos","given":"Marcos"},{"family":"Arya","given":"Vikas"},{"family":"Aguilar","given":"Pablo Analuisa"},{"family":"Appleby","given":"Louis"},{"family":"Arafat","given":"S. M. Yasir"},{"family":"Arensman","given":"Ella"},{"family":"Ayuso-Mateos","given":"Jose Luis"},{"family":"Balhara","given":"Yatan Pal Singh"},{"family":"Bantjes","given":"Jason"},{"family":"Baran","given":"Anna"},{"family":"Behera","given":"Chittaranjan"},{"family":"Bertolote","given":"Jose"},{"family":"Borges","given":"Guilherme"},{"family":"Bray","given":"Michael"},{"family":"Brečić","given":"Petrana"},{"family":"Caine","given":"Eric"},{"family":"Calati","given":"Raffaella"},{"family":"Carli","given":"Vladimir"},{"family":"Castelpietra","given":"Giulio"},{"family":"Chan","given":"Lai Fong"},{"family":"Chang","given":"Shu-Sen"},{"family":"Colchester","given":"David"},{"family":"Coss-Guzmán","given":"Maria"},{"family":"Crompton","given":"David"},{"family":"Ćurković","given":"Marko"},{"family":"Dandona","given":"Rakhi"},{"family":"De Jaegere","given":"Eva"},{"family":"De Leo","given":"Diego"},{"family":"Deisenhammer","given":"Eberhard A."},{"family":"Dwyer","given":"Jeremy"},{"family":"Erlangsen","given":"Annette"},{"family":"Faust","given":"Jeremy S."},{"family":"Fornaro","given":"Michele"},{"family":"Fortune","given":"Sarah"},{"family":"Garrett","given":"Andrew"},{"family":"Gentile","given":"Guendalina"},{"family":"Gerstner","given":"Rebekka"},{"family":"Gilissen","given":"Renske"},{"family":"Gould","given":"Madelyn"},{"family":"Gupta","given":"Sudhir Kumar"},{"family":"Hawton","given":"Keith"},{"family":"Holz","given":"Franziska"},{"family":"Kamenshchikov","given":"Iurii"},{"family":"Kapur","given":"Navneet"},{"family":"Kasal","given":"Alexandr"},{"family":"Khan","given":"Murad"},{"family":"Kirtley","given":"Olivia J."},{"family":"Knipe","given":"Duleeka"},{"family":"Kõlves","given":"Kairi"},{"family":"Kölzer","given":"Sarah C."},{"family":"Krivda","given":"Hryhorii"},{"family":"Leske","given":"Stuart"},{"family":"Madeddu","given":"Fabio"},{"family":"Marshall","given":"Andrew"},{"family":"Memon","given":"Anjum"},{"family":"Mittendorfer-Rutz","given":"Ellenor"},{"family":"Nestadt","given":"Paul"},{"family":"Neznanov","given":"Nikolay"},{"family":"Niederkrotenthaler","given":"Thomas"},{"family":"Nielsen","given":"Emma"},{"family":"Nordentoft","given":"Merete"},{"family":"Oberlerchner","given":"Herwig"},{"family":"O'Connor","given":"Rory C."},{"family":"Papsdorf","given":"Rainer"},{"family":"Partonen","given":"Timo"},{"family":"Phillips","given":"Michael R."},{"family":"Platt","given":"Steve"},{"family":"Portzky","given":"Gwendolyn"},{"family":"Psota","given":"Georg"},{"family":"Qin","given":"Ping"},{"family":"Radeloff","given":"Daniel"},{"family":"Reif","given":"Andreas"},{"family":"Reif-Leonhard","given":"Christine"},{"family":"Rezaeian","given":"Mohsen"},{"family":"Román-Vázquez","given":"Nayda"},{"family":"Roskar","given":"Saska"},{"family":"Rozanov","given":"Vsevolod"},{"family":"Sara","given":"Grant"},{"family":"Scavacini","given":"Karen"},{"family":"Schneider","given":"Barbara"},{"family":"Semenova","given":"Natalia"},{"family":"Sinyor","given":"Mark"},{"family":"Tambuzzi","given":"Stefano"},{"family":"Townsend","given":"Ellen"},{"family":"Ueda","given":"Michiko"},{"family":"Wasserman","given":"Danuta"},{"family":"Webb","given":"Roger T."},{"family":"Winkler","given":"Petr"},{"family":"Yip","given":"Paul S. F."},{"family":"Zalsman","given":"Gil"},{"family":"Zoja","given":"Riccardo"},{"family":"John","given":"Ann"},{"family":"Spittal","given":"Matthew J."}],"issued":{"date-parts":[["2022",9]]}}}],"schema":"https://github.com/citation-style-language/schema/raw/master/csl-citation.json"}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(8)</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This resilience of Swedish-born might be explained by the rapid adaptation of the health care system at the beginning of the pandemic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{"citationID":"ymVuzDID","properties":{"formattedCitation":"(28)","plainCitation":"(28)","noteIndex":0},"citationItems":[{"id":222,"uris":["http://zotero.org/users/11004987/items/PGXE3E8B"],"itemData":{"id":222,"type":"report","event-place":"Region Stockholm","genre":"Delrapport 2","language":"sv","number":"Rapport 2021:2.","publisher":"Centrum för hälsoekonomi,  informatik och sjukvårdsforskning","publisher-place":"Region Stockholm","source":"Zotero","title":"Konsumtion av digitala och fysiska besök i primärvården för olika grupper i befolkningen under covid-19-pandemin","author":[{"family":"Sveréus S, Dahlgren C, Goude F, Hagman M","given":"Beatrice"}],"issued":{"date-parts":[["2021"]]}}}],"schema":"https://github.com/citation-style-language/schema/raw/master/csl-citation.json"}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(28)</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the effective social and economic support strategies during the pandemic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{"citationID":"1ye2QHkf","properties":{"formattedCitation":"(38)","plainCitation":"(38)","noteIndex":0},"citationItems":[{"id":375,"uris":["http://zotero.org/users/11004987/items/2CVMVKMZ"],"itemData":{"id":375,"type":"webpage","abstract":"De tillfälliga åtgärderna inom socialförsäkringen med anledning av covid-19 förlängs till och med 30 juni 2021.","genre":"text","language":"sv","title":"Coronaersättningar förlängs till 30 juni","URL":"http://www.forsakringskassan.se/nyhetsarkiv/nyheter-press/2021-05-07-coronaersattningar-forlangs-till-30-juni","author":[{"family":"The Swedish Social Insurance Agency","given":""}],"accessed":{"date-parts":[["2023",5,7]]},"issued":{"date-parts":[["2021",5,7]]}}}],"schema":"https://github.com/citation-style-language/schema/raw/master/csl-citation.json"}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(38)</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and the awareness on the mental health effect in the mitigation strategies of the Public Health agency in Sweden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{"citationID":"xmkjKjcm","properties":{"formattedCitation":"(39)","plainCitation":"(39)","noteIndex":0},"citationItems":[{"id":423,"uris":["http://zotero.org/users/11004987/items/L9PGCITX"],"itemData":{"id":423,"type":"webpage","abstract":"Hur påverkas befolkningens psykiska hälsa under covid-19-pandemin? Vi följer hälsans utveckling noga. Här sammanfattar vi resultaten från undersökningar av den psykiska hälsan i befolkningen.","language":"sv","title":"Covid-19 och psykisk hälsa","URL":"https://www.folkhalsomyndigheten.se/livsvillkor-levnadsvanor/psykisk-halsa-och-suicidprevention/psykisk-halsa/covid-19-och-psykisk-halsa/","author":[{"family":"Public Health Agency of Sweden","given":""}],"accessed":{"date-parts":[["2023",5,3]]},"issued":{"date-parts":[["2021"]]}}}],"schema":"https://github.com/citation-style-language/schema/raw/master/csl-citation.json"}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(39)</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w:t>
      </w:r>
      <w:r w:rsidR="00793DF7" w:rsidRPr="000E28CF">
        <w:rPr>
          <w:rFonts w:ascii="Times New Roman" w:hAnsi="Times New Roman" w:cs="Times New Roman"/>
          <w:sz w:val="20"/>
          <w:szCs w:val="20"/>
        </w:rPr>
        <w:br/>
      </w:r>
      <w:r w:rsidR="00793DF7" w:rsidRPr="000E28CF">
        <w:rPr>
          <w:rFonts w:ascii="Times New Roman" w:hAnsi="Times New Roman" w:cs="Times New Roman"/>
          <w:sz w:val="20"/>
          <w:szCs w:val="20"/>
        </w:rPr>
        <w:br/>
      </w:r>
      <w:r w:rsidRPr="000E28CF">
        <w:rPr>
          <w:rFonts w:ascii="Times New Roman" w:hAnsi="Times New Roman" w:cs="Times New Roman"/>
          <w:sz w:val="20"/>
          <w:szCs w:val="20"/>
        </w:rPr>
        <w:t xml:space="preserve">We found evidence that specialized mental health care use due to CMDs but not antidepressant prescription witnessed a relative slight increase during the pandemic in refugees. There have been no other studies with similar outcomes in other countries among refugees that we can compare our results with. A survey-based study from Sweden and five other European countries did not find substantial changes in symptoms of depression and anxiety during the first year of the pandemic, when comparing those who lived in a different country as their birth country compared with those who lived in their birth country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{"citationID":"McWX1lKO","properties":{"formattedCitation":"(24)","plainCitation":"(24)","noteIndex":0},"citationItems":[{"id":221,"uris":["http://zotero.org/users/11004987/items/55IA3W5L"],"itemData":{"id":221,"type":"article-journal","abstract":"Background\nLittle is known about changes of mental health during the COVID-19 pandemic in potentially disadvantaged groups. We investigated changes in anxiety and depression symptoms during the first year of the pandemic in six European countries and Australia by prior mental disorders and migration status.\nMethods\nOverall, 4674 adults answered a web-based survey in May–June 2020 and were followed by three repeated surveys up to February 2021. Information on psychosocial, financial and demographic, living conditions, prior mental disorders, depression and anxiety symptoms during the pandemic and migration status was collected. Weighted general estimation equations modelling was used to investigate the association between prior mental disorders, migration status, and symptoms over time.\nResults\nMost participants were &lt;40 years old (48%), women (78%) and highly educated (62%). The baseline prevalence of depressive and anxiety symptoms ranged between 19%–45% and 13%–35%, respectively. In most countries, prevalence rates remained unchanged throughout the pandemic and were higher among people with prior mental disorders than without even after adjustment for several factors. We observed interactions between previous mental disorders and symptoms of anxiety or depression over time in two countries. No difference by migration status was noted.\nLimitations\nConvenience sampling limits generalizability. Self-assessed symptoms of depression and anxiety might involve some misclassification.\nConclusions\nDepression and anxiety symptoms were worse among individuals with prior mental disorders than without, but there was no clear trend of worsening mental health in the observed groups during the observed period.","container-title":"Journal of Affective Disorders","DOI":"10.1016/j.jad.2022.05.082","ISSN":"0165-0327","journalAbbreviation":"Journal of Affective Disorders","language":"en","page":"214-223","source":"ScienceDirect","title":"Symptoms of anxiety and depression during the COVID-19 pandemic in six European countries and Australia – Differences by prior mental disorders and migration status","volume":"311","author":[{"family":"Gémes","given":"Katalin"},{"family":"Bergström","given":"Jakob"},{"family":"Papola","given":"Davide"},{"family":"Barbui","given":"Corrado"},{"family":"Lam","given":"Agnes Iok Fong"},{"family":"Hall","given":"Brian J."},{"family":"Seedat","given":"Soraya"},{"family":"Morina","given":"Naser"},{"family":"Quero","given":"Soledad"},{"family":"Campos","given":"Daniel"},{"family":"Pinucci","given":"Irene"},{"family":"Tarsitani","given":"Lorenzo"},{"family":"Deguen","given":"Séverine"},{"family":"Waerden","given":"Judith","non-dropping-particle":"van der"},{"family":"Patanè","given":"Martina"},{"family":"Sijbrandij","given":"Marit"},{"family":"Acartürk","given":"Ceren"},{"family":"Burchert","given":"Sebastian"},{"family":"Bryant","given":"Richard A."},{"family":"Mittendorfer-Rutz","given":"Ellenor"}],"issued":{"date-parts":[["2022",8,15]]}}}],"schema":"https://github.com/citation-style-language/schema/raw/master/csl-citation.json"}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(24)</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However, in this study there was no pre-pandemic measurement, the study population was selected due to convenient sampling and the number of participants with immigrant background was low. Our findings suggest that it is particularly the rate of moderate to severe cases of CMDs requiring specialized care there might be a slight increase in refugees during the pandemic. However, given the known underutilization of specialized mental health care in refugees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{"citationID":"8ekWlUub","properties":{"formattedCitation":"(19)","plainCitation":"(19)","noteIndex":0},"citationItems":[{"id":262,"uris":["http://zotero.org/users/11004987/items/P743GD7V"],"itemData":{"id":262,"type":"article-journal","abstract":"Background\nRefugees and asylum seekers often have increased mental health needs, yet may face barriers in accessing mental health and psychosocial support (MHPSS) services in destination countries. The aim of this systematic review is to examine evidence on MHPSS service utilisation and access among refugees and asylum seekers in European Union Single Market countries.\nMethods\nFour peer-reviewed and eight grey literature databases were searched for quantitative and qualitative literature from 2007 to 2017. Access was categorised according to Penchansky and Thomas’ framework and descriptive analyses were conducted. Quality of studies was assessed by the Newcastle-Ottawa scale and the Critical Appraisal Skills Programme checklist.\nResults\nTwenty-seven articles were included. The findings suggest inadequate MHPSS utilisation. Major barriers to accessing care included language, help-seeking behaviours, lack of awareness, stigma, and negative attitudes towards and by providers.\nConclusions\nRefugees and asylum seekers have high mental health needs but under-utilise services in European host countries. This underutilisation may be explained by cultural-specific barriers which need to be tackled to increase treatment demand. Training health providers on cultural models of mental illness may facilitate appropriate identification, referral, and care. Based on these findings, it is crucial to review policies regarding MHPSS provision across the EU.","collection-title":"Health policies and mixed migration – lessons learnt from the ‘European refugee crisis’","container-title":"Health Policy","DOI":"10.1016/j.healthpol.2019.02.007","ISSN":"0168-8510","issue":"9","journalAbbreviation":"Health Policy","language":"en","page":"851-863","source":"ScienceDirect","title":"Mental health care utilisation and access among refugees and asylum seekers in Europe: A systematic review","title-short":"Mental health care utilisation and access among refugees and asylum seekers in Europe","volume":"123","author":[{"family":"Satinsky","given":"Emily"},{"family":"Fuhr","given":"Daniela C."},{"family":"Woodward","given":"Aniek"},{"family":"Sondorp","given":"Egbert"},{"family":"Roberts","given":"Bayard"}],"issued":{"date-parts":[["2019",9,1]]}}}],"schema":"https://github.com/citation-style-language/schema/raw/master/csl-citation.json"}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(19)</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and the disruptions in psychiatry service provision experienced, at least initially, the observed increase in specialized mental health care use might still mask an increase in the treatment gap in refugees during the pandemic. </w:t>
      </w:r>
      <w:r w:rsidR="00793DF7" w:rsidRPr="000E28CF">
        <w:rPr>
          <w:rFonts w:ascii="Times New Roman" w:hAnsi="Times New Roman" w:cs="Times New Roman"/>
          <w:sz w:val="20"/>
          <w:szCs w:val="20"/>
        </w:rPr>
        <w:br/>
      </w:r>
      <w:r w:rsidR="00793DF7" w:rsidRPr="000E28CF">
        <w:rPr>
          <w:rFonts w:ascii="Times New Roman" w:hAnsi="Times New Roman" w:cs="Times New Roman"/>
          <w:sz w:val="20"/>
          <w:szCs w:val="20"/>
        </w:rPr>
        <w:br/>
      </w:r>
      <w:r w:rsidRPr="000E28CF">
        <w:rPr>
          <w:rFonts w:ascii="Times New Roman" w:hAnsi="Times New Roman" w:cs="Times New Roman"/>
          <w:sz w:val="20"/>
          <w:szCs w:val="20"/>
        </w:rPr>
        <w:t xml:space="preserve">Several factors might have been contributing to an increase in mental health care need in refugees during the pandemic. A recent study found that  poor living conditions, pre-existing social deprivation, language and economic difficulties were associated with a higher frequency of CMDs symptoms in refugees during the pandemic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{"citationID":"dGPK3AfJ","properties":{"formattedCitation":"(40)","plainCitation":"(40)","noteIndex":0},"citationItems":[{"id":402,"uris":["http://zotero.org/users/11004987/items/NTKWIPP9"],"itemData":{"id":402,"type":"article-journal","abstract":"ObjectivesThe objective of this scoping review was to identify what is known about the impact of COVID-19 on the physical and mental well-being of refugees, asylum seekers, undocumented migrants, and internally displaced persons. The aim was also to identify barriers influencing access to treatment or prevention.MethodsThe search was conducted using PubMed/Medline, CINAHL, Scopus, and ScienceDirect. A mixed methods appraisal tool was used to assess methodological rigor. The study findings were synthesized using a thematic analysis approach.Results and DiscussionThis review comprised 24 studies and were conducted utilizing a mixed method approach incorporating both quantitative and qualitative methodologies. Two major themes were identified related to the impact of COVID-19 on the health and wellbeing of refugees, asylum seekers, undocumented migrants, and internally displaced persons and the key barriers influencing access to treatment or prevention of COVID-19. They often have barriers to accessing healthcare due to their legal status, language barriers, and limited resources. The pandemic has further strained already limited health resources, making it even more challenging for these populations to receive healthcare. This review reveals that refugees and asylum seekers in receiving facilities face a higher risk of COVID-19 infection than the general population due to their less favorable living conditions. The various health impacts stem from a lack of access to accurate information about the pandemic, misinformation, and the exacerbation of pre-existing mental health issues caused by heightened stress, anxiety, and uncertainty, fear of deportation among undocumented migrants, and overcrowding camps and detention facilities that increase exposure risk. Social distancing measures are difficult to implement in these settings, and inadequate sanitation, hygiene, and a lack of personal protective equipment further compound the problem. Moreover, the pandemic has had significant economic consequences for these populations. Many of them rely on informal or precarious employment, which has been disproportionately affected by the pandemic. Job losses and reduced working hours, and limited access to social protection can lead to increased poverty, and food insecurity. Children faced specific challenges, such as disruptions to education, additionally, interruptions in support services for pregnant women. Some pregnant women have avoided seeking maternity care due to fears of contracting COVID-19, resulting in increased home births and delays in accessing healthcare services. Factors that play a role in vaccination reluctance include uncertainty of undocumented migrants’ inclusion in vaccination programs, furthermore, a growing vaccine hesitancy in the population; skepticism about the safety of vaccines, inadequate knowledge/education, a variety of access barriers such as language barriers, and logistical challenges including remote locations, and inaccurate information.ConclusionThis review highlights that the physical health of refugees, asylum seekers, undocumented migrants, and internally displaced persons has been significantly impacted by various barriers to healthcare access during the pandemic. These barriers include legal and administrative challenges, such as a lack of documentation. Additionally, the shift to digital tools has introduced new obstacles, not only due to language barriers or limited technical knowledge but also because of structural barriers, such as the requirement of a bank ID that is often inaccessible to these groups. Other factors contributing to limited healthcare access include financial constraints, language barriers, and discrimination. Additionally, limited access to accurate information about health services, prevention measures, and available resources may hinder them from seeking care or following public health guidelines. Misinformation and lack of trust in healthcare systems can also contribute to a reluctance to access care or vaccination programs. There is concerning evidence regarding vaccine hesitancy that needs to be addressed to reduce any future pandemic outbreak, in addition there is a need to explore the factors that play a role in vaccination reluctance among children in these populations.","container-title":"Frontiers in Public Health","ISSN":"2296-2565","source":"Frontiers","title":"Health and well-being of refugees, asylum seekers, undocumented migrants, and internally displaced persons under COVID-19: a scoping review","title-short":"Health and well-being of refugees, asylum seekers, undocumented migrants, and internally displaced persons under COVID-19","URL":"https://www.frontiersin.org/articles/10.3389/fpubh.2023.1145002","volume":"11","author":[{"family":"El Arab","given":"Rabie Adel"},{"family":"Somerville","given":"Joel"},{"family":"Abuadas","given":"Fuad H."},{"family":"Rubinat-Arnaldo","given":"Esther"},{"family":"Sagbakken","given":"Mette"}],"accessed":{"date-parts":[["2023",7,17]]},"issued":{"date-parts":[["2023"]]}}}],"schema":"https://github.com/citation-style-language/schema/raw/master/csl-citation.json"}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(40)</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It is important to disseminate and implement the already available culturally sensitive public health interventions for resettled refugees in situations of future pandemics and other public health crisis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{"citationID":"gZkLvXu1","properties":{"formattedCitation":"(41)","plainCitation":"(41)","noteIndex":0},"citationItems":[{"id":501,"uris":["http://zotero.org/users/11004987/items/YQXEKAB4"],"itemData":{"id":501,"type":"article-journal","abstract":"Background The mental health burden among refugees in high-income countries (HICs) is high, whereas access to mental healthcare can be limited.\nObjective To examine the effectiveness of a peer-provided psychological intervention (Problem Management Plus; PM+) in reducing symptoms of common mental disorders (CMDs) among Syrian refugees in the Netherlands.\nMethods We conducted a single-blind, randomised controlled trial among adult Syrian refugees recruited in March 2019–December 2021 (No. NTR7552). Individuals with psychological distress (Kessler Psychological Distress Scale (K10) &gt;15) and functional impairment (WHO Disability Assessment Schedule (WHODAS 2.0) &gt;16) were allocated to PM+ in addition to care as usual (PM+/CAU) or CAU only. Participants were reassessed at 1-week and 3-month follow-up. Primary outcome was depression/anxiety combined (Hopkins Symptom Checklist; HSCL-25) at 3-month follow-up. Secondary outcomes included depression (HSCL-25), anxiety (HSCL-25), post-traumatic stress disorder (PTSD) symptoms (PTSD Checklist for Diagnostic and Statistical Manual of Mental Disorders, Fifth Edition; PCL-5), impairment (WHODAS 2.0) and self-identified problems (PSYCHLOPS; Psychological Outcomes Profiles). Primary analysis was intention-to-treat.\nFindings Participants (n=206; mean age=37 years, 62% men) were randomised into PM+/CAU (n=103) or CAU (n=103). At 3-month follow-up, PM+/CAU had greater reductions on depression/anxiety relative to CAU (mean difference −0.25; 95% CI −0.385 to −0.122; p=0.0001, Cohen’s d=0.41). PM+/CAU also showed greater reductions on depression (p=0.0002, Cohen’s d=0.42), anxiety (p=0.001, Cohen’s d=0.27), PTSD symptoms (p=0.0005, Cohen’s d=0.39) and self-identified problems (p=0.03, Cohen’s d=0.26), but not on impairment (p=0.084, Cohen’s d=0.21).\nConclusions PM+ effectively reduces symptoms of CMDs among Syrian refugees. A strength was high retention at follow-up. Generalisability is limited by predominantly including refugees with a resident permit.\nClinical implications Peer-provided psychological interventions should be considered for scale-up in HICs.","container-title":"BMJ Ment Health","DOI":"10.1136/bmjment-2022-300637","ISSN":"2755-9734","issue":"1","language":"en","license":"© Author(s) (or their employer(s)) 2023. Re-use permitted under CC BY. Published by BMJ.. https://creativecommons.org/licenses/by/4.0/This is an open access article distributed in accordance with the Creative Commons Attribution 4.0 Unported (CC BY 4.0) license, which permits others to copy, redistribute, remix, transform and build upon this work for any purpose, provided the original work is properly cited, a link to the licence is given, and indication of whether changes were made. See: https://creativecommons.org/licenses/by/4.0/.","note":"publisher: Royal College of Psychiatrists\nsection: Psychosocial interventions\nPMID: 36789918","source":"mentalhealth.bmj.com","title":"Peer-provided psychological intervention for Syrian refugees: results of a randomised controlled trial on the effectiveness of Problem Management Plus","title-short":"Peer-provided psychological intervention for Syrian refugees","URL":"https://mentalhealth.bmj.com/content/26/1/e300637","volume":"26","author":[{"family":"Graaff","given":"Anne M.","dropping-particle":"de"},{"family":"Cuijpers","given":"Pim"},{"family":"Twisk","given":"Jos W. R."},{"family":"Kieft","given":"Barbara"},{"family":"Hunaidy","given":"Sam"},{"family":"Elsawy","given":"Mariam"},{"family":"Gorgis","given":"Noer"},{"family":"Bouman","given":"Theo K."},{"family":"Lommen","given":"Miriam J. J."},{"family":"Acarturk","given":"Ceren"},{"family":"Bryant","given":"Richard"},{"family":"Burchert","given":"Sebastian"},{"family":"Dawson","given":"Katie S."},{"family":"Fuhr","given":"Daniela C."},{"family":"Hansen","given":"Pernille"},{"family":"Jordans","given":"Mark"},{"family":"Knaevelsrud","given":"Christine"},{"family":"McDaid","given":"David"},{"family":"Morina","given":"Naser"},{"family":"Moergeli","given":"Hanspeter"},{"family":"Park","given":"A.-La"},{"family":"Roberts","given":"Bayard"},{"family":"Ventevogel","given":"Peter"},{"family":"Wiedemann","given":"Nana"},{"family":"Woodward","given":"Aniek"},{"family":"Sijbrandij","given":"Marit"}],"accessed":{"date-parts":[["2023",11,9]]},"issued":{"date-parts":[["2023",2,1]]}}}],"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(41)</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In a country like Sweden, with large immigrant populations where approximately half of the foreign-born were </w:t>
      </w:r>
      <w:r w:rsidRPr="000E28CF">
        <w:rPr>
          <w:rFonts w:ascii="Times New Roman" w:hAnsi="Times New Roman" w:cs="Times New Roman"/>
          <w:sz w:val="20"/>
          <w:szCs w:val="20"/>
        </w:rPr>
        <w:lastRenderedPageBreak/>
        <w:t xml:space="preserve">refugees on arrival to their new country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{"citationID":"xzJk2Lta","properties":{"formattedCitation":"(42)","plainCitation":"(42)","noteIndex":0},"citationItems":[{"id":504,"uris":["http://zotero.org/users/11004987/items/FZKYMSUG"],"itemData":{"id":504,"type":"report","abstract":"This review is the first in a new series on the skills and labour market integration of immigrants and their children. With 16% of its population born abroad, Sweden has one of the larger immigrant populations among the European OECD countries. Estimates suggest that about half of the foreign-born population originally came to Sweden as refugees or as the family of refugees and Sweden has been the OECD country that has had by far the largest inflows of asylum seekers relative to its population. In all OECD countries, humanitarian migrants and their families face greater challenges to integrate into the labour market than other groups. It is thus not surprising that immigrant versus native-born differences are larger than elsewhere, which also must be seen in the context of high skills and labour market participation among the native-born. For both genders, employment disparities are particularly pronounced among the low-educated, among whom immigrants are heavily overrepresented. These immigrants face particular challenges related to the paucity of low-skilled jobs in Sweden, and policy needs to acknowledge that their integration pathway tends to be a long one. Against this backdrop, Sweden has highly developed and longstanding integration policies that mainly aim at upskilling immigrants while temporarily lowering the cost of hiring, while other tools that work more strongly with the social partners and the civil society are less well developed and need strengthening.","event-place":"Paris","number":"https://doi.org/10.1787/9789264257382-en.","publisher":"OECD Publishing","publisher-place":"Paris","title":"Working Together: Skills and Labour Market Integration of Immigrants and their Children in Sweden | READ online","title-short":"Working Together","URL":"https://read.oecd-ilibrary.org/social-issues-migration-health/working-together-skills-and-labour-market-integration-of-immigrants-and-their-children-in-sweden_9789264257382-en","author":[{"family":"OECD","given":""}],"accessed":{"date-parts":[["2023",10,31]]},"issued":{"date-parts":[["2016"]]}}}],"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(42)</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strategies to meet the mental health care needs of refugees are of outmost Public Health importance. The current cost-of-living crisis and potential long-term consequences of the pandemic make this an even more pressing topic. </w:t>
      </w:r>
    </w:p>
    <w:p w14:paraId="29D55E15" w14:textId="3E7A7CDE" w:rsidR="00CD7E5F" w:rsidRPr="000E28CF" w:rsidRDefault="00CD7E5F" w:rsidP="00CD7E5F">
      <w:pPr>
        <w:spacing w:line="360" w:lineRule="auto"/>
        <w:rPr>
          <w:rFonts w:ascii="Times New Roman" w:hAnsi="Times New Roman" w:cs="Times New Roman"/>
          <w:sz w:val="20"/>
          <w:szCs w:val="20"/>
        </w:rPr>
      </w:pPr>
      <w:bookmarkStart w:id="5" w:name="_Hlk187659411"/>
      <w:r w:rsidRPr="000E28CF">
        <w:rPr>
          <w:rFonts w:ascii="Times New Roman" w:hAnsi="Times New Roman" w:cs="Times New Roman"/>
          <w:sz w:val="20"/>
          <w:szCs w:val="20"/>
        </w:rPr>
        <w:t xml:space="preserve">We also found that the increase in specialized mental health care use due to CMDs was stronger in socially </w:t>
      </w:r>
      <w:r w:rsidR="00181347" w:rsidRPr="000E28CF">
        <w:rPr>
          <w:rFonts w:ascii="Times New Roman" w:hAnsi="Times New Roman" w:cs="Times New Roman"/>
          <w:sz w:val="20"/>
          <w:szCs w:val="20"/>
        </w:rPr>
        <w:t>vulnerable groups</w:t>
      </w:r>
      <w:r w:rsidRPr="000E28CF">
        <w:rPr>
          <w:rFonts w:ascii="Times New Roman" w:hAnsi="Times New Roman" w:cs="Times New Roman"/>
          <w:sz w:val="20"/>
          <w:szCs w:val="20"/>
        </w:rPr>
        <w:t xml:space="preserve"> of refugees such as those who have a lower </w:t>
      </w:r>
      <w:r w:rsidR="00181347" w:rsidRPr="000E28CF">
        <w:rPr>
          <w:rFonts w:ascii="Times New Roman" w:hAnsi="Times New Roman" w:cs="Times New Roman"/>
          <w:sz w:val="20"/>
          <w:szCs w:val="20"/>
        </w:rPr>
        <w:t>attachment in</w:t>
      </w:r>
      <w:r w:rsidRPr="000E28CF">
        <w:rPr>
          <w:rFonts w:ascii="Times New Roman" w:hAnsi="Times New Roman" w:cs="Times New Roman"/>
          <w:sz w:val="20"/>
          <w:szCs w:val="20"/>
        </w:rPr>
        <w:t xml:space="preserve"> the labor market or with low education</w:t>
      </w:r>
      <w:bookmarkEnd w:id="5"/>
      <w:r w:rsidRPr="000E28CF">
        <w:rPr>
          <w:rFonts w:ascii="Times New Roman" w:hAnsi="Times New Roman" w:cs="Times New Roman"/>
          <w:sz w:val="20"/>
          <w:szCs w:val="20"/>
        </w:rPr>
        <w:t xml:space="preserve">. This economically vulnerable group might have been affected more seriously by the adverse consequences of the pandemic with further exposure to economic strains leading to worsening mental health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{"citationID":"7d1qhBub","properties":{"formattedCitation":"(18,22,43,44)","plainCitation":"(18,22,43,44)","noteIndex":0},"citationItems":[{"id":285,"uris":["http://zotero.org/users/11004987/items/BC6YJZ6E"],"itemData":{"id":285,"type":"article-journal","abstract":"BackgroundThe study aimed to examine differences in, and characteristics of psychiatric care utilization in young refugees who came to Sweden as unaccompanied or accompanied minors, compared with that of their non-refugee immigrant and Swedish-born peers.MethodsThis register-linkage cohort study included 746 688 individuals between 19 and 25 years of age in 2009, whereof 32 481 were refugees (2896 unaccompanied and 29 585 accompanied) and 32 151 non-refugee immigrants. Crude and multivariate Cox regression models yielding hazard ratios (HR) and 95% confidence intervals (CI) were conducted to investigate subsequent psychiatric care utilization for specific disorders, duration of residence and age at migration.ResultsThe adjusted HRs for psychiatric care utilization due to any mental disorder was significantly lower in both non-refugee and refugee immigrants when compared to Swedish-born [aHR: 0.78 (95% CI 0.76–0.81) and 0.75 (95% CI 0.72–0.77, respectively)]. Within the refugee group, unaccompanied had slightly lower adjusted risk estimates than accompanied. This pattern was similar for all specific mental disorders except for higher rates in schizophrenia, reaction to severe stress/adjustment disorders and post-traumatic stress disorder. Psychiatric health care utilization was also higher in immigrants with more than 10 years of residency in Sweden entering the country being younger than 6 years of age.ConclusionsFor most mental disorders, psychiatric health care utilization in young refugees and non-refugee immigrants was lower than in their Swedish-born peers; exceptions are schizophrenia and stress-related disorders. Arrival in Sweden before the age of 6 years was associated with higher rates of overall psychiatric care utilization.","container-title":"Psychological Medicine","DOI":"10.1017/S0033291720003190","ISSN":"0033-2917, 1469-8978","issue":"7","language":"en","note":"publisher: Cambridge University Press","page":"1365-1375","source":"Cambridge University Press","title":"Differences in psychiatric care utilization between refugees, non-refugee migrants and Swedish-born youth","volume":"52","author":[{"family":"Björkenstam","given":"Emma"},{"family":"Helgesson","given":"Magnus"},{"family":"Norredam","given":"Marie"},{"family":"Sijbrandij","given":"Marit"},{"family":"Montgomery","given":"Christopher Jamil","dropping-particle":"de"},{"family":"Mittendorfer-Rutz","given":"Ellenor"}],"issued":{"date-parts":[["2022",5]]}},"label":"page"},{"id":234,"uris":["http://zotero.org/users/11004987/items/ZYA3JW52"],"itemData":{"id":234,"type":"article-journal","abstract":"Background The aim was to elucidate if the risk of labour market marginalisation (LMM), measured as long-term unemployment, long-term sickness absence, disability pension and a combined measure of these three measures, differed between refugees and non-refugee migrants with different regions of birth compared with native Swedes.\nMethods All non-pensioned individuals aged 19–60 years who were resident in Sweden on 31 December 2009 were included (n=4 441 813, whereof 216 930 refugees). HRs with 95% CIs were computed by Cox regression models with competing risks and time-dependent covariates with a follow-up period of 2010–2013.\nResults Refugees had in general a doubled risk (HR: 2.0, 95% CI 1.9 to 2.0) and non-refugee migrants had 70% increased risk (HR: 1.7, 95% CI 1.7 to 1.7) of the combined measure of LMM compared with native Swedes. Refugees from Somalia (HR: 2.7, 95% CI 2.6 to 2.8) and Syria (HR: 2.5, 95% CI 2.5 to 2.6) had especially high risk estimates of LMM, mostly due to high risk estimates of long-term unemployment (HR: 3.4, 95% CI 3.3 to 3.5 and HR: 3.2, 95% CI 3.1 to 3.2). African (HR: 0.7, 95% CI 0.6 to 0.7) and Asian (HR: 1.0, 95% CI 1.0 to 1.1) refugees had relatively low risk estimates of long-term sickness absence compared with other refugee groups. Refugees from Europe had the highest risk estimates of disability pension (HR: 1.9, 95% CI 1.8 to 2.0) compared with native Swedes.\nConclusion Refugees had in general a higher risk of all measures of LMM compared with native Swedes. There were, however, large differences in risk estimates of LMM between subgroups of refugees and with regard to type of LMM. Actions addressing differences between subgroups of refugees is therefore crucial in order to ensure that refugees can obtain as well as retain a position on the labour market.","container-title":"J Epidemiol Community Health","DOI":"10.1136/jech-2018-211177","ISSN":"0143-005X, 1470-2738","issue":"5","journalAbbreviation":"J Epidemiol Community Health","language":"en","license":"© Author(s) (or their employer(s)) 2019. No commercial re-use. See rights and permissions. Published by BMJ.","note":"publisher: BMJ Publishing Group Ltd\nsection: Research report\nPMID: 30755462","page":"407-415","source":"jech.bmj.com","title":"Labour market marginalisation among refugees from different countries of birth: a prospective cohort study on refugees to Sweden","title-short":"Labour market marginalisation among refugees from different countries of birth","volume":"73","author":[{"family":"Helgesson","given":"Magnus"},{"family":"Wang","given":"Mo"},{"family":"Niederkrotenthaler","given":"Thomas"},{"family":"Saboonchi","given":"Fredrik"},{"family":"Mittendorfer-Rutz","given":"Ellenor"}],"issued":{"date-parts":[["2019",5,1]]}},"label":"page"},{"id":411,"uris":["http://zotero.org/users/11004987/items/SLK46DVG"],"itemData":{"id":411,"type":"report","event-place":"Stockholm","language":"sv","number":"2022-1-7736","publisher-place":"Stockholm","title":"Utrikesfödda och covid-19 - samsjuklighetens påverkan","author":[{"family":"National Board of Health and Welfare","given":""}],"issued":{"date-parts":[["2022",1,19]]}},"label":"page"},{"id":419,"uris":["http://zotero.org/users/11004987/items/Z3RTHKLI"],"itemData":{"id":419,"type":"webpage","abstract":"Ur ett internationellt perspektiv är folkhälsan i Sverige god och den blir generellt sett allt bättre. Men det finns skillnader i hälsa mellan personer födda i andra länder och personer födda i Sverige. I denna rapport redovisas livsvillkoren, levnadsvanorna och hälsan bland utlandsfödda personer som bor i Sverige.","language":"sv","title":"Hälsa hos personer som är utrikes födda – skillnader i hälsa utifrån födelseland – Ett kunskapsunderlag om hälsa, livsvillkor och levnadsvanor bland utrikes födda personer boende i Sverige — Folkhälsomyndigheten","URL":"https://www.folkhalsomyndigheten.se/publikationer-och-material/publikationsarkiv/h/halsa-hos-personer-som-ar-utrikes-fodda--skillnader-i-halsa-utifran-fodelseland/","author":[{"family":"Public Health Agency of Sweden","given":""}],"accessed":{"date-parts":[["2023",2,20]]}},"label":"page"}],"schema":"https://github.com/citation-style-language/schema/raw/master/csl-citation.json"}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(18,22,43,44)</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Contrary to specialized mental health care use, antidepressant prescription did not change during the pandemic in these refugees. Refugees are known to have much lower rates of initiation and persistence of treatment with antidepressants than their native counterparts and low education is one of the factors associated with particularly low treatment rates </w:t>
      </w:r>
      <w:r w:rsidRPr="000E28CF">
        <w:rPr>
          <w:rFonts w:ascii="Times New Roman" w:hAnsi="Times New Roman" w:cs="Times New Roman"/>
          <w:sz w:val="20"/>
          <w:szCs w:val="20"/>
        </w:rPr>
        <w:fldChar w:fldCharType="begin"/>
      </w:r>
      <w:r w:rsidRPr="000E28CF">
        <w:rPr>
          <w:rFonts w:ascii="Times New Roman" w:hAnsi="Times New Roman" w:cs="Times New Roman"/>
          <w:sz w:val="20"/>
          <w:szCs w:val="20"/>
        </w:rPr>
        <w:instrText xml:space="preserve"> ADDIN ZOTERO_ITEM CSL_CITATION {"citationID":"Vp49IoGK","properties":{"formattedCitation":"(45,46)","plainCitation":"(45,46)","noteIndex":0},"citationItems":[{"id":1143,"uris":["http://zotero.org/users/11004987/items/5VVX7AEU","http://zotero.org/users/11004987/items/NGWLXSU3"],"itemData":{"id":1143,"type":"article-journal","abstract":"Purpose\nThe objective of this study was to compare the initiation and type of antidepressant use between refugees and matched Swedish-born youth after a diagnosis of a common mental disorder (CMD) and assess sociodemographic and clinical factors associated with the initiation.\n\nMethods\nThe study cohort included youth aged 16–25 years, with an incident diagnosis of CMD based on specialized health care registers in Sweden 2006–2016, without prior antidepressant use during 1 year. One Swedish-born person was matched for each identified refugee youth (N = 3936 in both groups). Initiation of antidepressant use and factors associated with the initiation, were investigated with logistic regression yielding Odds ratios, OR, and 95% Confidence Intervals, CI.\n\nResults\nRefugees were less likely to initiate antidepressant use compared with Swedish-born (40.5% vs. 59.6%, adjusted OR 0.43, 95% CI 0.39–0.48). Selective serotonin reuptake inhibitors (SSRIs) were less frequently initiated for refugees than Swedish-born (71.2% vs. 81.3% of initiations, p &lt; 0.0001). Sertraline was the most commonly initiated antidepressant both for refugees (34.3%) and Swedish-born individuals (40.3%). Among refugees, factors associated with increased odds of antidepressant initiation were previous use of anxiolytics or hypnotics, previous sickness absence of &lt; 90 days, cancer and older age (OR range 1.07–2.72), and less than 5 years duration of residency in Sweden was associated with decreased odds (OR 0.76, 95% CI 0.63–0.92).\n\nConclusion\nYoung refugees with a CMD seem to initiate antidepressants in general and those most effective considerably less often than their Swedish-born counterparts.\n\nElectronic supplementary material\nThe online version of this article (10.1007/s00127-020-01951-4) contains supplementary material, which is available to authorized users.","container-title":"Social Psychiatry and Psychiatric Epidemiology","DOI":"10.1007/s00127-020-01951-4","ISSN":"0933-7954","issue":"3","journalAbbreviation":"Soc Psychiatry Psychiatr Epidemiol","note":"PMID: 32914300\nPMCID: PMC7904723","page":"463-474","source":"PubMed Central","title":"Initiation of antidepressant use among refugee and Swedish-born youth after diagnosis of a common mental disorder: findings from the REMAIN study","title-short":"Initiation of antidepressant use among refugee and Swedish-born youth after diagnosis of a common mental disorder","volume":"56","author":[{"family":"Taipale","given":"Heidi"},{"family":"Niederkrotenthaler","given":"Thomas"},{"family":"Helgesson","given":"Magnus"},{"family":"Sijbrandij","given":"Marit"},{"family":"Berg","given":"Lisa"},{"family":"Tanskanen","given":"Antti"},{"family":"Mittendorfer-Rutz","given":"Ellenor"}],"issued":{"date-parts":[["2021"]]}},"label":"page"},{"id":1116,"uris":["http://zotero.org/users/11004987/items/6SVM4JZD","http://zotero.org/users/11004987/items/27MLCQ9W"],"itemData":{"id":1116,"type":"article-journal","abstract":"Background\nThe objective of this study was to investigate whether persistence of antidepressant use differs between refugee youth and Swedish-born youth after a diagnosis of a common mental disorder (CMD), and if clinical and sociodemographic factors are associated with antidepressant discontinuation.\nMethods\nYouth aged 16-25 years, with an incident diagnosis of CMD (depression, post-traumatic stress disorder (PTSD), anxiety disorders) accessing specialized healthcare in Sweden 2006-2016 were included. New users were identified with a one-year washout period. Refugees (N=1575) were compared with Swedish-born youth (N=2319). Cox regression models [reported as adjusted Hazard Ratios (HRs) with 95% confidence intervals (CIs)] were used to investigate factors associated with discontinuation of antidepressant use.\nResults\nAmong youth (mean age 20.9 years, SD 2.7, 50% females), the median duration of antidepressant use differed considerably between refugee (101 days, IQR 31-243) and Swedish-born youth (252 days, IQR 101-558). Refugees were more likely to discontinue treatment (HR 1.61, 95% CI 1.47-1.77). Factors associated with an increased risk for discontinuation in refugees included ≤5 years duration of formal residency (HR 1.28, 95% CI 1.12-1.45), antidepressant type, and dispensing lag (time from prescription to dispensing) of &gt;7 days (1.43, 1.25-1.64), whereas PTSD (0.78, 0.64-0.97) and anxiolytic use (0.79, 0.64-0.96) were associated with a lower discontinuation risk.\nLimitations\nOnly persons treated in specialized healthcare could be included.\nConclusion\nThe relatively short treatment durations among refugee youth suggest that antidepressant treatment may not be optimal in CMD, and better monitoring of treatment as well as transcultural education of healthcare personnel are warranted.","container-title":"Journal of Affective Disorders","DOI":"10.1016/j.jad.2021.07.096","ISSN":"0165-0327","journalAbbreviation":"Journal of Affective Disorders","language":"en","page":"831-837","source":"ScienceDirect","title":"Persistence of antidepressant use among refugee youth with common mental disorder","volume":"294","author":[{"family":"Taipale","given":"Heidi"},{"family":"Niederkrotenthaler","given":"Thomas"},{"family":"Tanskanen","given":"Antti"},{"family":"Cullen","given":"Alexis E."},{"family":"Helgesson","given":"Magnus"},{"family":"Berg","given":"Lisa"},{"family":"Sijbrandij","given":"Marit"},{"family":"Klimek","given":"Peter"},{"family":"Mittendorfer-Rutz","given":"Ellenor"}],"issued":{"date-parts":[["2021",11,1]]}},"label":"page"}],"schema":"https://github.com/citation-style-language/schema/raw/master/csl-citation.json"} </w:instrText>
      </w:r>
      <w:r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(45,46)</w:t>
      </w:r>
      <w:r w:rsidRPr="000E28CF">
        <w:rPr>
          <w:rFonts w:ascii="Times New Roman" w:hAnsi="Times New Roman" w:cs="Times New Roman"/>
          <w:sz w:val="20"/>
          <w:szCs w:val="20"/>
        </w:rPr>
        <w:fldChar w:fldCharType="end"/>
      </w:r>
      <w:r w:rsidRPr="000E28CF">
        <w:rPr>
          <w:rFonts w:ascii="Times New Roman" w:hAnsi="Times New Roman" w:cs="Times New Roman"/>
          <w:sz w:val="20"/>
          <w:szCs w:val="20"/>
        </w:rPr>
        <w:t xml:space="preserve">. </w:t>
      </w:r>
      <w:bookmarkStart w:id="6" w:name="_Hlk187920462"/>
      <w:r w:rsidR="0097435D" w:rsidRPr="000E28CF">
        <w:rPr>
          <w:rFonts w:ascii="Times New Roman" w:hAnsi="Times New Roman" w:cs="Times New Roman"/>
          <w:sz w:val="20"/>
          <w:szCs w:val="20"/>
        </w:rPr>
        <w:t xml:space="preserve">The results from the sensitivity analysis showed a difference in change of antidepressant prescription between the group that had lived in Sweden five years or less and those who had lived in Sweden longer. The first group, with shorter stay in Sweden, had a larger, negative, change in trends indicating that this group might have been more affected by the pandemic in terms of accessing health care for prescription of antidepressants. Time in the new host country is </w:t>
      </w:r>
      <w:r w:rsidR="002B4D5A" w:rsidRPr="000E28CF">
        <w:rPr>
          <w:rFonts w:ascii="Times New Roman" w:hAnsi="Times New Roman" w:cs="Times New Roman"/>
          <w:sz w:val="20"/>
          <w:szCs w:val="20"/>
        </w:rPr>
        <w:t>important in</w:t>
      </w:r>
      <w:r w:rsidR="0097435D" w:rsidRPr="000E28CF">
        <w:rPr>
          <w:rFonts w:ascii="Times New Roman" w:hAnsi="Times New Roman" w:cs="Times New Roman"/>
          <w:sz w:val="20"/>
          <w:szCs w:val="20"/>
        </w:rPr>
        <w:t xml:space="preserve"> terms of learning the language and navigating the social and health care system. Previous research in the Swedish context has showed that longer duration of residency is associated with </w:t>
      </w:r>
      <w:r w:rsidR="002B4D5A" w:rsidRPr="000E28CF">
        <w:rPr>
          <w:rFonts w:ascii="Times New Roman" w:hAnsi="Times New Roman" w:cs="Times New Roman"/>
          <w:sz w:val="20"/>
          <w:szCs w:val="20"/>
        </w:rPr>
        <w:t xml:space="preserve">use of outpatient psychiatric care and risk of CMDs </w:t>
      </w:r>
      <w:r w:rsidR="002B4D5A" w:rsidRPr="000E28CF">
        <w:rPr>
          <w:rFonts w:ascii="Times New Roman" w:hAnsi="Times New Roman" w:cs="Times New Roman"/>
          <w:sz w:val="20"/>
          <w:szCs w:val="20"/>
        </w:rPr>
        <w:fldChar w:fldCharType="begin"/>
      </w:r>
      <w:r w:rsidR="002B4D5A" w:rsidRPr="000E28CF">
        <w:rPr>
          <w:rFonts w:ascii="Times New Roman" w:hAnsi="Times New Roman" w:cs="Times New Roman"/>
          <w:sz w:val="20"/>
          <w:szCs w:val="20"/>
        </w:rPr>
        <w:instrText xml:space="preserve"> ADDIN ZOTERO_ITEM CSL_CITATION {"citationID":"QZy2lzEv","properties":{"formattedCitation":"(47,48)","plainCitation":"(47,48)","noteIndex":0},"citationItems":[{"id":1094,"uris":["http://zotero.org/users/11004987/items/82NERD3L"],"itemData":{"id":1094,"type":"article-journal","abstract":"Aims.To investigate the patterns of use of different forms of psychiatric care in refugees who settled in Sweden as teenagers.Method.Cox proportional hazards models were used to estimate the use of different forms of psychiatric care from 2009 to 2012 in a population of 35 457 refugees, aged from 20 to 36, who had settled in Sweden as teenagers between 1989 and 2004. These findings were compared with 1.26 million peers from the same birth cohorts in the general Swedish population.Results.Unaccompanied and accompanied refugees were more likely to experience compulsory admission to a psychiatric hospital compared with the native Swedish population, with hazard ratios (HRs) of 2.76 (1.86–4.10) and 1.89 (1.53–2.34), respectively, as well as psychiatric inpatient care, with HRs of 1.62 (1.34–1.94) and 1.37 (1.25–1.50). Outpatient care visits by the young refugees were similar to the native Swedish population. The longer the refugees had residency in Sweden, the more they used outpatient psychiatric care. Refugees born in the Horn of Africa and Iran were most likely to undergo compulsory admission, with HRs of 3.98 (2.12–7.46) and 3.07 (1.52–6.19), respectively. They were also the groups who were most likely to receive inpatient care, with HRs of 1.55 (1.17–2.06) and 1.84 (1.37–2.47), respectively. Our results also indicated that the use of psychiatric care services increased with the level of education in the refugee population, while the opposite was true for the native Swedish population. In fact, the risks of compulsory admissions were particularly higher among refugees who had received a secondary education, compared with native Swedish residents, with HRs of 4.72 (3.06–7.29) for unaccompanied refugees and 2.04 (1.51–2.73) for accompanied refugees.Conclusions.Young refugees received more psychiatric inpatient care than the native Swedish population, with the highest rates seen in refugees who were not accompanied by their parents. The discrepancy between the use of inpatient and outpatient care by young refugees suggests that there are barriers to outpatient care, but we did note that living in Sweden longer increased the use of outpatient services. Further research is needed to clarify the role that education levels among Sweden's refugee populations have on their mental health and health-seeking behaviour.","container-title":"Epidemiology and Psychiatric Sciences","DOI":"10.1017/S2045796016000445","ISSN":"2045-7960, 2045-7979","issue":"5","language":"en","note":"publisher: Cambridge University Press","page":"526-534","source":"Cambridge University Press","title":"The use of psychiatric services by young adults who came to Sweden as teenage refugees: a national cohort study","title-short":"The use of psychiatric services by young adults who came to Sweden as teenage refugees","volume":"26","author":[{"family":"Manhica","given":"H."},{"family":"Almquist","given":"Y."},{"family":"Rostila","given":"M."},{"family":"Hjern","given":"A."}],"issued":{"date-parts":[["2017",10]]}},"label":"page"},{"id":263,"uris":["http://zotero.org/users/11004987/items/4I85H38N"],"itemData":{"id":263,"type":"article-journal","abstract":"Background\nStudies investigating risks of common mental disorders (CMDs) in refugee youth are sparse. The current study examined health care use due to CMDs in unaccompanied and accompanied refugee youth and Swedish-born, and the role of education and residency duration.\nMethods\nThis longitudinal cohort study included 746,517 individuals (whereof 36,347 refugees) between 19 and 25 years, residing in Sweden in 2009. Refugees were classified as unaccompanied/accompanied. Risk estimates of CMDs, measured as health care use and antidepressant treatment, between 2010–2016 were calculated as adjusted hazard ratios (aHR) with 95% confidence intervals (CI). Highest attained education in 2009, and residency duration were examined as potential modifiers.\nResults\nCompared to Swedish-born youth, refugees had a lower risk of treated major depressive and anxiety disorders (aHR): 0.67 (95% CI 0.63–0.72) and 0.67 (95% CI 0.63–0.71) respectively), but a higher risk for posttraumatic stress disorders (PTSD). Compared to Swedish-born, unaccompanied had a nearly 6-fold elevated risk for PTSD (aHR: 5.82, 95% CI 4.60–7.34) and accompanied refugees had a 3-fold risk of PTSD (aHR: 3.08, 95% CI 2.54–3.74). Rates of PTSD decreased with years spent in Sweden. The risk of CMDs decreased with increasing education.\nLimitations\nThe study lacked information on pre-migration factors. There may further be a potential misclassification of untreated CMDs.\nConclusion\nRefugees had a lower risk of treated depressive and anxiety disorders but a higher risk for PTSD. In refugees, the rates of anxiety disorders increased slightly over time whereas the rates of PTSD decreased. Last, low education was an important predictor for CMDs.","container-title":"Journal of Affective Disorders","DOI":"10.1016/j.jad.2020.02.015","ISSN":"0165-0327","journalAbbreviation":"Journal of Affective Disorders","language":"en","page":"563-571","source":"ScienceDirect","title":"Common mental disorders among young refugees in Sweden: The role of education and duration of residency","title-short":"Common mental disorders among young refugees in Sweden","volume":"266","author":[{"family":"Björkenstam","given":"Emma"},{"family":"Helgesson","given":"Magnus"},{"family":"Norredam","given":"Marie"},{"family":"Sijbrandij","given":"Marit"},{"family":"Montgomery","given":"Christopher Jamil","non-dropping-particle":"de"},{"family":"Mittendorfer-Rutz","given":"Ellenor"}],"issued":{"date-parts":[["2020",4,1]]}},"label":"page"}],"schema":"https://github.com/citation-style-language/schema/raw/master/csl-citation.json"} </w:instrText>
      </w:r>
      <w:r w:rsidR="002B4D5A" w:rsidRPr="000E28CF">
        <w:rPr>
          <w:rFonts w:ascii="Times New Roman" w:hAnsi="Times New Roman" w:cs="Times New Roman"/>
          <w:sz w:val="20"/>
          <w:szCs w:val="20"/>
        </w:rPr>
        <w:fldChar w:fldCharType="separate"/>
      </w:r>
      <w:r w:rsidR="000E28CF" w:rsidRPr="000E28CF">
        <w:rPr>
          <w:rFonts w:ascii="Times New Roman" w:hAnsi="Times New Roman" w:cs="Times New Roman"/>
          <w:sz w:val="20"/>
        </w:rPr>
        <w:t>(47,48)</w:t>
      </w:r>
      <w:r w:rsidR="002B4D5A" w:rsidRPr="000E28CF">
        <w:rPr>
          <w:rFonts w:ascii="Times New Roman" w:hAnsi="Times New Roman" w:cs="Times New Roman"/>
          <w:sz w:val="20"/>
          <w:szCs w:val="20"/>
        </w:rPr>
        <w:fldChar w:fldCharType="end"/>
      </w:r>
      <w:r w:rsidR="002B4D5A" w:rsidRPr="000E28CF">
        <w:rPr>
          <w:rFonts w:ascii="Times New Roman" w:hAnsi="Times New Roman" w:cs="Times New Roman"/>
          <w:sz w:val="20"/>
          <w:szCs w:val="20"/>
        </w:rPr>
        <w:t>.</w:t>
      </w:r>
      <w:r w:rsidR="0097435D" w:rsidRPr="000E28CF">
        <w:rPr>
          <w:rFonts w:ascii="Times New Roman" w:hAnsi="Times New Roman" w:cs="Times New Roman"/>
          <w:sz w:val="20"/>
          <w:szCs w:val="20"/>
        </w:rPr>
        <w:t xml:space="preserve"> </w:t>
      </w:r>
      <w:bookmarkEnd w:id="6"/>
      <w:r w:rsidRPr="000E28CF">
        <w:rPr>
          <w:rFonts w:ascii="Times New Roman" w:hAnsi="Times New Roman" w:cs="Times New Roman"/>
          <w:sz w:val="20"/>
          <w:szCs w:val="20"/>
        </w:rPr>
        <w:t xml:space="preserve">Reasons for these rates include lack of knowledge about mental disorders and their treatment, negative attitudes regarding treatment with antidepressants and possible side effects. These attitudes might not have changed over the relatively short period of the pandemic and socially vulnerable groups </w:t>
      </w:r>
      <w:r w:rsidR="00181347" w:rsidRPr="000E28CF">
        <w:rPr>
          <w:rFonts w:ascii="Times New Roman" w:hAnsi="Times New Roman" w:cs="Times New Roman"/>
          <w:sz w:val="20"/>
          <w:szCs w:val="20"/>
        </w:rPr>
        <w:t>of refugees</w:t>
      </w:r>
      <w:r w:rsidRPr="000E28CF">
        <w:rPr>
          <w:rFonts w:ascii="Times New Roman" w:hAnsi="Times New Roman" w:cs="Times New Roman"/>
          <w:sz w:val="20"/>
          <w:szCs w:val="20"/>
        </w:rPr>
        <w:t xml:space="preserve"> might have still been reluctant to accept antidepressant treatment. This, in combination with pandemic-related delays in seeking health care, might have led to the development of a more severe symptomatology finally necessitating specialized instead of primary health care. Tailor-made health literacy programs are warranted for this particularly vulnerable group. </w:t>
      </w:r>
    </w:p>
    <w:p w14:paraId="7987162E" w14:textId="77777777" w:rsidR="00CD7E5F" w:rsidRPr="000E28CF" w:rsidRDefault="00CD7E5F" w:rsidP="00CD7E5F">
      <w:pPr>
        <w:pStyle w:val="Ingetavstnd"/>
        <w:spacing w:line="360" w:lineRule="auto"/>
        <w:rPr>
          <w:lang w:val="en-US"/>
        </w:rPr>
      </w:pPr>
      <w:r w:rsidRPr="000E28CF">
        <w:rPr>
          <w:lang w:val="en-US"/>
        </w:rPr>
        <w:t>Strength and limitations</w:t>
      </w:r>
    </w:p>
    <w:p w14:paraId="4E6AD8A6" w14:textId="3F832CC6" w:rsidR="00CD7E5F" w:rsidRPr="000E28CF" w:rsidRDefault="00CD7E5F" w:rsidP="00CD7E5F">
      <w:pPr>
        <w:pStyle w:val="Default"/>
        <w:spacing w:line="360" w:lineRule="auto"/>
        <w:rPr>
          <w:rFonts w:ascii="Times New Roman" w:hAnsi="Times New Roman" w:cs="Times New Roman"/>
          <w:color w:val="000000" w:themeColor="text1"/>
          <w:sz w:val="20"/>
          <w:szCs w:val="20"/>
          <w:lang w:val="en-US"/>
        </w:rPr>
      </w:pPr>
      <w:r w:rsidRPr="000E28CF">
        <w:rPr>
          <w:rFonts w:ascii="Times New Roman" w:hAnsi="Times New Roman" w:cs="Times New Roman"/>
          <w:sz w:val="20"/>
          <w:szCs w:val="20"/>
          <w:lang w:val="en-US"/>
        </w:rPr>
        <w:t xml:space="preserve">The major strength of this study is the use of nationwide register data covering all registered individuals in Sweden before and during the pandemic, that minimizes selection bias </w:t>
      </w:r>
      <w:r w:rsidRPr="000E28CF">
        <w:rPr>
          <w:rFonts w:ascii="Times New Roman" w:hAnsi="Times New Roman" w:cs="Times New Roman"/>
          <w:sz w:val="20"/>
          <w:szCs w:val="20"/>
          <w:lang w:val="en-US"/>
        </w:rPr>
        <w:fldChar w:fldCharType="begin"/>
      </w:r>
      <w:r w:rsidR="002B4D5A" w:rsidRPr="000E28CF">
        <w:rPr>
          <w:rFonts w:ascii="Times New Roman" w:hAnsi="Times New Roman" w:cs="Times New Roman"/>
          <w:sz w:val="20"/>
          <w:szCs w:val="20"/>
          <w:lang w:val="en-US"/>
        </w:rPr>
        <w:instrText xml:space="preserve"> ADDIN ZOTERO_ITEM CSL_CITATION {"citationID":"aCbtPieb","properties":{"formattedCitation":"(49)","plainCitation":"(49)","noteIndex":0},"citationItems":[{"id":617,"uris":["http://zotero.org/users/11004987/items/K6HGZVUA"],"itemData":{"id":617,"type":"article-journal","abstract":"The primary aim of the Swedish national population registration system is to obtain data that (1) reflect the composition, relationship and identities of the Swedish population and (2) can be used as the basis for correct decisions and measures by government and other regulatory authorities. For this purpose, Sweden has established two population registers: (1) The Population Register, maintained by the Swedish National Tax Agency (“Folkbokföringsregistret”); and (2) The Total Population Register (TPR) maintained by the government agency Statistics Sweden (“Registret över totalbefolkningen”). The registers contain data on life events including birth, death, name change, marital status, family relationships and migration within Sweden as well as to and from other countries. Updates are transmitted daily from the Tax Agency to the TPR. In this paper we describe the two population registers and analyse their strengths and weaknesses. Virtually 100 % of births and deaths, 95 % of immigrations and 91 % of emigrations are reported to the Population Registers within 30 days and with a higher proportion over time. The over-coverage of the TPR, which is primarily due to underreported emigration data, has been estimated at up to 0.5 % of the Swedish population. Through the personal identity number, assigned to all residents staying at least 1 year in Sweden, data from the TPR can be used for medical research purposes, including family design studies since each individual can be linked to his or her parents, siblings and offspring. The TPR also allows for identification of general population controls, participants in cohort studies, as well as calculation of follow-up time.","container-title":"European Journal of Epidemiology","DOI":"10.1007/s10654-016-0117-y","ISSN":"1573-7284","issue":"2","journalAbbreviation":"Eur J Epidemiol","language":"en","page":"125-136","source":"Springer Link","title":"Registers of the Swedish total population and their use in medical research","volume":"31","author":[{"family":"Ludvigsson","given":"Jonas F."},{"family":"Almqvist","given":"Catarina"},{"family":"Bonamy","given":"Anna-Karin Edstedt"},{"family":"Ljung","given":"Rickard"},{"family":"Michaëlsson","given":"Karl"},{"family":"Neovius","given":"Martin"},{"family":"Stephansson","given":"Olof"},{"family":"Ye","given":"Weimin"}],"issued":{"date-parts":[["2016",2,1]]}}}],"schema":"https://github.com/citation-style-language/schema/raw/master/csl-citation.json"} </w:instrText>
      </w:r>
      <w:r w:rsidRPr="000E28CF">
        <w:rPr>
          <w:rFonts w:ascii="Times New Roman" w:hAnsi="Times New Roman" w:cs="Times New Roman"/>
          <w:sz w:val="20"/>
          <w:szCs w:val="20"/>
          <w:lang w:val="en-US"/>
        </w:rPr>
        <w:fldChar w:fldCharType="separate"/>
      </w:r>
      <w:r w:rsidR="000E28CF" w:rsidRPr="000E28CF">
        <w:rPr>
          <w:rFonts w:ascii="Times New Roman" w:hAnsi="Times New Roman" w:cs="Times New Roman"/>
          <w:sz w:val="20"/>
          <w:lang w:val="en-US"/>
        </w:rPr>
        <w:t>(49)</w:t>
      </w:r>
      <w:r w:rsidRPr="000E28CF">
        <w:rPr>
          <w:rFonts w:ascii="Times New Roman" w:hAnsi="Times New Roman" w:cs="Times New Roman"/>
          <w:sz w:val="20"/>
          <w:szCs w:val="20"/>
          <w:lang w:val="en-US"/>
        </w:rPr>
        <w:fldChar w:fldCharType="end"/>
      </w:r>
      <w:r w:rsidRPr="000E28CF">
        <w:rPr>
          <w:rFonts w:ascii="Times New Roman" w:hAnsi="Times New Roman" w:cs="Times New Roman"/>
          <w:sz w:val="20"/>
          <w:szCs w:val="20"/>
          <w:lang w:val="en-US"/>
        </w:rPr>
        <w:t xml:space="preserve">. Moreover, the good quality of the registers ensures high diagnostic validity </w:t>
      </w:r>
      <w:r w:rsidRPr="000E28CF">
        <w:rPr>
          <w:rFonts w:ascii="Times New Roman" w:hAnsi="Times New Roman" w:cs="Times New Roman"/>
          <w:sz w:val="20"/>
          <w:szCs w:val="20"/>
          <w:lang w:val="en-US"/>
        </w:rPr>
        <w:fldChar w:fldCharType="begin"/>
      </w:r>
      <w:r w:rsidR="002B4D5A" w:rsidRPr="000E28CF">
        <w:rPr>
          <w:rFonts w:ascii="Times New Roman" w:hAnsi="Times New Roman" w:cs="Times New Roman"/>
          <w:sz w:val="20"/>
          <w:szCs w:val="20"/>
          <w:lang w:val="en-US"/>
        </w:rPr>
        <w:instrText xml:space="preserve"> ADDIN ZOTERO_ITEM CSL_CITATION {"citationID":"17UeEjb9","properties":{"formattedCitation":"(50)","plainCitation":"(50)","noteIndex":0},"citationItems":[{"id":412,"uris":["http://zotero.org/users/11004987/items/IFJDTHBM"],"itemData":{"id":412,"type":"webpage","container-title":"National Patient Register","language":"en","title":"National Patient Register","URL":"https://www.socialstyrelsen.se/en/statistics-and-data/registers/national-patient-register/","author":[{"family":"National Board of Health and Welfare","given":""}],"accessed":{"date-parts":[["2023",2,17]]},"issued":{"date-parts":[["2022",1,14]]}}}],"schema":"https://github.com/citation-style-language/schema/raw/master/csl-citation.json"} </w:instrText>
      </w:r>
      <w:r w:rsidRPr="000E28CF">
        <w:rPr>
          <w:rFonts w:ascii="Times New Roman" w:hAnsi="Times New Roman" w:cs="Times New Roman"/>
          <w:sz w:val="20"/>
          <w:szCs w:val="20"/>
          <w:lang w:val="en-US"/>
        </w:rPr>
        <w:fldChar w:fldCharType="separate"/>
      </w:r>
      <w:r w:rsidR="000E28CF" w:rsidRPr="000E28CF">
        <w:rPr>
          <w:rFonts w:ascii="Times New Roman" w:hAnsi="Times New Roman" w:cs="Times New Roman"/>
          <w:sz w:val="20"/>
          <w:lang w:val="en-US"/>
        </w:rPr>
        <w:t>(50)</w:t>
      </w:r>
      <w:r w:rsidRPr="000E28CF">
        <w:rPr>
          <w:rFonts w:ascii="Times New Roman" w:hAnsi="Times New Roman" w:cs="Times New Roman"/>
          <w:sz w:val="20"/>
          <w:szCs w:val="20"/>
          <w:lang w:val="en-US"/>
        </w:rPr>
        <w:fldChar w:fldCharType="end"/>
      </w:r>
      <w:r w:rsidRPr="000E28CF">
        <w:rPr>
          <w:rFonts w:ascii="Times New Roman" w:hAnsi="Times New Roman" w:cs="Times New Roman"/>
          <w:sz w:val="20"/>
          <w:szCs w:val="20"/>
          <w:lang w:val="en-US"/>
        </w:rPr>
        <w:t xml:space="preserve"> and practically no loss to follow-up. Some limitations also must be mentioned. First, we defined the interruption of the time series as the outbreak of the pandemic for the first quarter of 2020. Within this period several important events that might generate stress and anxiety in the population had happened, and different mitigation strategies had been announced </w:t>
      </w:r>
      <w:r w:rsidRPr="000E28CF">
        <w:rPr>
          <w:rFonts w:ascii="Times New Roman" w:hAnsi="Times New Roman" w:cs="Times New Roman"/>
          <w:sz w:val="20"/>
          <w:szCs w:val="20"/>
          <w:lang w:val="en-US"/>
        </w:rPr>
        <w:fldChar w:fldCharType="begin"/>
      </w:r>
      <w:r w:rsidR="002B4D5A" w:rsidRPr="000E28CF">
        <w:rPr>
          <w:rFonts w:ascii="Times New Roman" w:hAnsi="Times New Roman" w:cs="Times New Roman"/>
          <w:sz w:val="20"/>
          <w:szCs w:val="20"/>
          <w:lang w:val="en-US"/>
        </w:rPr>
        <w:instrText xml:space="preserve"> ADDIN ZOTERO_ITEM CSL_CITATION {"citationID":"d9YFZSVT","properties":{"formattedCitation":"(51)","plainCitation":"(51)","noteIndex":0},"citationItems":[{"id":242,"uris":["http://zotero.org/users/11004987/items/BICCQQX9"],"itemData":{"id":242,"type":"article-journal","abstract":"Aim COVID-19 has affected millions of people worldwide. This paper reviews the Swedish pandemic response. Methods A narrative review was carried out and a timeline constructed. Results By September 1, 2020, 0.8% of Swedish residents had tested positive for the virus and 0.06% of the population had died, which was higher than neighbouring Nordic countries, but lower than some European countries with general lockdowns. The main actors were the Public Health Agency, the National Board of Health and Welfare, the Civil Contingencies Agency and the Government. County councils and regions implemented policies, in conjunction with the Department of Education and county administrative boards. Sweden's response was less invasive than many other countries, with no general lockdown. It focused on mitigation: slowing, but not stopping, the pandemic. Physical distancing was recommended in public spaces, but mandatory in bars, restaurants and at events. Visits to nursing facilities were banned. Kindergartens and schools for children up to 16 stayed open, but closed for older children for three months. There were no enforced quarantines for infected households or geographical regions, and facemasks were not recommended outside health care. Conclusion Sweden chose a different pandemic strategy to its peer nations. This paper examines the first eight months.","container-title":"Acta Paediatrica","DOI":"10.1111/apa.15582","ISSN":"1651-2227","issue":"12","language":"en","note":"_eprint: https://onlinelibrary.wiley.com/doi/pdf/10.1111/apa.15582","page":"2459-2471","source":"Wiley Online Library","title":"The first eight months of Sweden’s COVID-19 strategy and the key actions and actors that were involved","volume":"109","author":[{"family":"Ludvigsson","given":"Jonas F."}],"issued":{"date-parts":[["2020"]]}}}],"schema":"https://github.com/citation-style-language/schema/raw/master/csl-citation.json"} </w:instrText>
      </w:r>
      <w:r w:rsidRPr="000E28CF">
        <w:rPr>
          <w:rFonts w:ascii="Times New Roman" w:hAnsi="Times New Roman" w:cs="Times New Roman"/>
          <w:sz w:val="20"/>
          <w:szCs w:val="20"/>
          <w:lang w:val="en-US"/>
        </w:rPr>
        <w:fldChar w:fldCharType="separate"/>
      </w:r>
      <w:r w:rsidR="000E28CF" w:rsidRPr="000E28CF">
        <w:rPr>
          <w:rFonts w:ascii="Times New Roman" w:hAnsi="Times New Roman" w:cs="Times New Roman"/>
          <w:sz w:val="20"/>
          <w:lang w:val="en-US"/>
        </w:rPr>
        <w:t>(51)</w:t>
      </w:r>
      <w:r w:rsidRPr="000E28CF">
        <w:rPr>
          <w:rFonts w:ascii="Times New Roman" w:hAnsi="Times New Roman" w:cs="Times New Roman"/>
          <w:sz w:val="20"/>
          <w:szCs w:val="20"/>
          <w:lang w:val="en-US"/>
        </w:rPr>
        <w:fldChar w:fldCharType="end"/>
      </w:r>
      <w:r w:rsidRPr="000E28CF">
        <w:rPr>
          <w:rFonts w:ascii="Times New Roman" w:hAnsi="Times New Roman" w:cs="Times New Roman"/>
          <w:sz w:val="20"/>
          <w:szCs w:val="20"/>
          <w:lang w:val="en-US"/>
        </w:rPr>
        <w:t>. Therefore, the interruption is rather thought of as a complex event with several components. In this study we could not disentangle the contributions of the specific components on mental health outcomes. Second</w:t>
      </w:r>
      <w:r w:rsidRPr="000E28CF">
        <w:rPr>
          <w:rFonts w:ascii="Times New Roman" w:hAnsi="Times New Roman" w:cs="Times New Roman"/>
          <w:color w:val="000000" w:themeColor="text1"/>
          <w:sz w:val="20"/>
          <w:szCs w:val="20"/>
          <w:lang w:val="en-US"/>
        </w:rPr>
        <w:t xml:space="preserve">, information on antidepressant prescription should be interpreted with caution as a proxy of CMDs as we had no information on indication of the medication. </w:t>
      </w:r>
      <w:r w:rsidRPr="000E28CF">
        <w:rPr>
          <w:rFonts w:ascii="Times New Roman" w:hAnsi="Times New Roman" w:cs="Times New Roman"/>
          <w:sz w:val="20"/>
          <w:szCs w:val="20"/>
          <w:lang w:val="en-US"/>
        </w:rPr>
        <w:t>Third, refugees are a diverse group regarding cultural, health and socioeconomic factors</w:t>
      </w:r>
      <w:r w:rsidRPr="000E28CF">
        <w:rPr>
          <w:rFonts w:ascii="Times New Roman" w:hAnsi="Times New Roman" w:cs="Times New Roman"/>
          <w:color w:val="000000" w:themeColor="text1"/>
          <w:sz w:val="20"/>
          <w:szCs w:val="20"/>
          <w:lang w:val="en-US"/>
        </w:rPr>
        <w:t xml:space="preserve"> and regarding migration policy-related issues, such as granted permanent vs temporary residence permit </w:t>
      </w:r>
      <w:r w:rsidRPr="000E28CF">
        <w:rPr>
          <w:rFonts w:ascii="Times New Roman" w:hAnsi="Times New Roman" w:cs="Times New Roman"/>
          <w:color w:val="000000" w:themeColor="text1"/>
          <w:sz w:val="20"/>
          <w:szCs w:val="20"/>
          <w:lang w:val="en-US"/>
        </w:rPr>
        <w:fldChar w:fldCharType="begin"/>
      </w:r>
      <w:r w:rsidR="002B4D5A" w:rsidRPr="000E28CF">
        <w:rPr>
          <w:rFonts w:ascii="Times New Roman" w:hAnsi="Times New Roman" w:cs="Times New Roman"/>
          <w:color w:val="000000" w:themeColor="text1"/>
          <w:sz w:val="20"/>
          <w:szCs w:val="20"/>
          <w:lang w:val="en-US"/>
        </w:rPr>
        <w:instrText xml:space="preserve"> ADDIN ZOTERO_ITEM CSL_CITATION {"citationID":"XFl6EiKr","properties":{"formattedCitation":"(52,53)","plainCitation":"(52,53)","noteIndex":0},"citationItems":[{"id":589,"uris":["http://zotero.org/users/11004987/items/ZEPCYVVF"],"itemData":{"id":589,"type":"article-journal","container-title":"Scandinavian Journal of Public Health","DOI":"10.1177/1403494812459610","issue":"9_suppl","page":"255-267","title":"Migration and public health: Health in Sweden: The National Public Health Report 2012. Chapter 13","volume":"40","author":[{"family":"Hjern","given":"Anders"}],"issued":{"date-parts":[["2012"]]}},"label":"page"},{"id":395,"uris":["http://zotero.org/users/11004987/items/8GE257KZ"],"itemData":{"id":395,"type":"webpage","genre":"text","language":"sv","title":"Olika skäl för uppehållstillstånd","URL":"https://www.migrationsverket.se/Om-Migrationsverket/Vart-uppdrag/Olika-skal-for-uppehallstillstand.html","author":[{"family":"The Swedish Migration Agency","given":""}],"accessed":{"date-parts":[["2023",7,24]]},"issued":{"date-parts":[["2022",6,1]]}},"label":"page"}],"schema":"https://github.com/citation-style-language/schema/raw/master/csl-citation.json"} </w:instrText>
      </w:r>
      <w:r w:rsidRPr="000E28CF">
        <w:rPr>
          <w:rFonts w:ascii="Times New Roman" w:hAnsi="Times New Roman" w:cs="Times New Roman"/>
          <w:color w:val="000000" w:themeColor="text1"/>
          <w:sz w:val="20"/>
          <w:szCs w:val="20"/>
          <w:lang w:val="en-US"/>
        </w:rPr>
        <w:fldChar w:fldCharType="separate"/>
      </w:r>
      <w:r w:rsidR="000E28CF" w:rsidRPr="000E28CF">
        <w:rPr>
          <w:rFonts w:ascii="Times New Roman" w:hAnsi="Times New Roman" w:cs="Times New Roman"/>
          <w:sz w:val="20"/>
          <w:lang w:val="en-US"/>
        </w:rPr>
        <w:t>(52,53)</w:t>
      </w:r>
      <w:r w:rsidRPr="000E28CF">
        <w:rPr>
          <w:rFonts w:ascii="Times New Roman" w:hAnsi="Times New Roman" w:cs="Times New Roman"/>
          <w:color w:val="000000" w:themeColor="text1"/>
          <w:sz w:val="20"/>
          <w:szCs w:val="20"/>
          <w:lang w:val="en-US"/>
        </w:rPr>
        <w:fldChar w:fldCharType="end"/>
      </w:r>
      <w:r w:rsidRPr="000E28CF">
        <w:rPr>
          <w:rFonts w:ascii="Times New Roman" w:hAnsi="Times New Roman" w:cs="Times New Roman"/>
          <w:color w:val="000000" w:themeColor="text1"/>
          <w:sz w:val="20"/>
          <w:szCs w:val="20"/>
          <w:lang w:val="en-US"/>
        </w:rPr>
        <w:t xml:space="preserve">. It is possible that there are sub-groups of refugees who might have been affected more during the pandemic with regard to their risk of a subsequently higher need of mental health care. Such sub-group analyses could not be performed in this study. </w:t>
      </w:r>
      <w:r w:rsidRPr="000E28CF">
        <w:rPr>
          <w:rFonts w:ascii="Times New Roman" w:hAnsi="Times New Roman" w:cs="Times New Roman"/>
          <w:color w:val="000000" w:themeColor="text1"/>
          <w:sz w:val="20"/>
          <w:szCs w:val="20"/>
          <w:shd w:val="clear" w:color="auto" w:fill="FFFFFF"/>
          <w:lang w:val="en-US"/>
        </w:rPr>
        <w:t xml:space="preserve">Furthermore, </w:t>
      </w:r>
      <w:r w:rsidRPr="000E28CF">
        <w:rPr>
          <w:rFonts w:ascii="Times New Roman" w:hAnsi="Times New Roman" w:cs="Times New Roman"/>
          <w:sz w:val="20"/>
          <w:szCs w:val="20"/>
          <w:lang w:val="en-US"/>
        </w:rPr>
        <w:t xml:space="preserve">undocumented refugees, who form a particularly vulnerable </w:t>
      </w:r>
      <w:r w:rsidRPr="000E28CF">
        <w:rPr>
          <w:rFonts w:ascii="Times New Roman" w:hAnsi="Times New Roman" w:cs="Times New Roman"/>
          <w:sz w:val="20"/>
          <w:szCs w:val="20"/>
          <w:lang w:val="en-US"/>
        </w:rPr>
        <w:lastRenderedPageBreak/>
        <w:t>group with little access to health care, were not covered by this study. Therefore, our results cannot be generalized to this group.</w:t>
      </w:r>
      <w:r w:rsidRPr="000E28CF">
        <w:rPr>
          <w:rFonts w:ascii="Times New Roman" w:hAnsi="Times New Roman" w:cs="Times New Roman"/>
          <w:color w:val="000000" w:themeColor="text1"/>
          <w:sz w:val="20"/>
          <w:szCs w:val="20"/>
          <w:shd w:val="clear" w:color="auto" w:fill="FFFFFF"/>
          <w:lang w:val="en-US"/>
        </w:rPr>
        <w:t xml:space="preserve"> </w:t>
      </w:r>
      <w:r w:rsidRPr="000E28CF">
        <w:rPr>
          <w:rFonts w:ascii="Times New Roman" w:hAnsi="Times New Roman" w:cs="Times New Roman"/>
          <w:sz w:val="20"/>
          <w:szCs w:val="20"/>
          <w:lang w:val="en-US"/>
        </w:rPr>
        <w:t>Finally, our findings might also have limited generalizability to other age groups and countries with different social and health insurance systems as well as different public health, social and economic mitigation strategies during the pandemic.</w:t>
      </w:r>
    </w:p>
    <w:p w14:paraId="74062E8B" w14:textId="77777777" w:rsidR="00CD7E5F" w:rsidRPr="000E28CF" w:rsidRDefault="00CD7E5F" w:rsidP="00CD7E5F">
      <w:pPr>
        <w:pStyle w:val="Default"/>
        <w:spacing w:line="360" w:lineRule="auto"/>
        <w:rPr>
          <w:rFonts w:ascii="Times New Roman" w:hAnsi="Times New Roman" w:cs="Times New Roman"/>
          <w:sz w:val="20"/>
          <w:szCs w:val="20"/>
          <w:lang w:val="en-US"/>
        </w:rPr>
      </w:pPr>
    </w:p>
    <w:p w14:paraId="2C348D53" w14:textId="77777777" w:rsidR="00CD7E5F" w:rsidRPr="000E28CF" w:rsidRDefault="00CD7E5F" w:rsidP="00CD7E5F">
      <w:pPr>
        <w:spacing w:line="360" w:lineRule="auto"/>
        <w:rPr>
          <w:rFonts w:ascii="Times New Roman" w:hAnsi="Times New Roman" w:cs="Times New Roman"/>
          <w:b/>
          <w:color w:val="000000"/>
          <w:sz w:val="20"/>
          <w:szCs w:val="20"/>
        </w:rPr>
      </w:pPr>
      <w:r w:rsidRPr="000E28CF">
        <w:rPr>
          <w:rFonts w:ascii="Times New Roman" w:hAnsi="Times New Roman" w:cs="Times New Roman"/>
          <w:b/>
          <w:color w:val="000000"/>
          <w:sz w:val="20"/>
          <w:szCs w:val="20"/>
        </w:rPr>
        <w:t>CONCLUSIONS</w:t>
      </w:r>
    </w:p>
    <w:p w14:paraId="771E6252" w14:textId="3D6CE791" w:rsidR="00CD7E5F" w:rsidRPr="000E28CF" w:rsidRDefault="00CD7E5F" w:rsidP="00CD7E5F">
      <w:pPr>
        <w:pStyle w:val="Brdtext"/>
        <w:spacing w:line="360" w:lineRule="auto"/>
        <w:rPr>
          <w:rFonts w:ascii="Times New Roman" w:hAnsi="Times New Roman"/>
          <w:color w:val="000000" w:themeColor="text1"/>
          <w:szCs w:val="20"/>
        </w:rPr>
      </w:pPr>
      <w:r w:rsidRPr="000E28CF">
        <w:rPr>
          <w:rFonts w:ascii="Times New Roman" w:hAnsi="Times New Roman"/>
          <w:color w:val="000000" w:themeColor="text1"/>
          <w:szCs w:val="20"/>
        </w:rPr>
        <w:t xml:space="preserve">In this population-wide register-based study, we found that specialized mental health care use due to CMDs, compared to before the pandemic, slightly increased among refugees, with a more pronounced </w:t>
      </w:r>
      <w:r w:rsidR="007028DC" w:rsidRPr="000E28CF">
        <w:rPr>
          <w:rFonts w:ascii="Times New Roman" w:hAnsi="Times New Roman"/>
          <w:color w:val="000000" w:themeColor="text1"/>
          <w:szCs w:val="20"/>
        </w:rPr>
        <w:t>increase among</w:t>
      </w:r>
      <w:r w:rsidRPr="000E28CF">
        <w:rPr>
          <w:rFonts w:ascii="Times New Roman" w:hAnsi="Times New Roman"/>
          <w:color w:val="000000" w:themeColor="text1"/>
          <w:szCs w:val="20"/>
        </w:rPr>
        <w:t xml:space="preserve"> socially deprived groups, such as those with a </w:t>
      </w:r>
      <w:r w:rsidR="007028DC" w:rsidRPr="000E28CF">
        <w:rPr>
          <w:rFonts w:ascii="Times New Roman" w:hAnsi="Times New Roman"/>
          <w:color w:val="000000" w:themeColor="text1"/>
          <w:szCs w:val="20"/>
        </w:rPr>
        <w:t>lower labor</w:t>
      </w:r>
      <w:r w:rsidRPr="000E28CF">
        <w:rPr>
          <w:rFonts w:ascii="Times New Roman" w:hAnsi="Times New Roman"/>
          <w:color w:val="000000" w:themeColor="text1"/>
          <w:szCs w:val="20"/>
        </w:rPr>
        <w:t xml:space="preserve"> market attachment and/or had low education. There were no changes observed among Swedish-born and in prescribed antidepressant medication in any of the observed groups. Overall, our results support the hypothesis of a mental health resilience of the general Swedish-born population during the pandemic in Sweden, but also highlight the importance of monitoring the mental health of vulnerable populations, identify those with increased need of mental health services and focus public health efforts to these groups.</w:t>
      </w:r>
    </w:p>
    <w:p w14:paraId="63AED454" w14:textId="77777777" w:rsidR="00CD7E5F" w:rsidRPr="000E28CF" w:rsidRDefault="00CD7E5F" w:rsidP="00CD7E5F">
      <w:pPr>
        <w:spacing w:line="360" w:lineRule="auto"/>
        <w:rPr>
          <w:rFonts w:ascii="Times New Roman" w:hAnsi="Times New Roman" w:cs="Times New Roman"/>
          <w:b/>
          <w:bCs/>
          <w:sz w:val="20"/>
          <w:szCs w:val="20"/>
          <w:lang w:eastAsia="en-GB"/>
        </w:rPr>
      </w:pPr>
      <w:r w:rsidRPr="000E28CF">
        <w:rPr>
          <w:rFonts w:ascii="Times New Roman" w:hAnsi="Times New Roman" w:cs="Times New Roman"/>
          <w:b/>
          <w:bCs/>
          <w:sz w:val="20"/>
          <w:szCs w:val="20"/>
          <w:lang w:eastAsia="en-GB"/>
        </w:rPr>
        <w:t>ACKNOWLEDGMENTS</w:t>
      </w:r>
    </w:p>
    <w:p w14:paraId="45149420" w14:textId="77777777" w:rsidR="00CD7E5F" w:rsidRPr="000E28CF" w:rsidRDefault="00CD7E5F" w:rsidP="00CD7E5F">
      <w:pPr>
        <w:spacing w:line="360" w:lineRule="auto"/>
        <w:rPr>
          <w:rFonts w:ascii="Times New Roman" w:hAnsi="Times New Roman" w:cs="Times New Roman"/>
          <w:sz w:val="20"/>
          <w:szCs w:val="20"/>
          <w:lang w:eastAsia="en-GB"/>
        </w:rPr>
      </w:pPr>
      <w:r w:rsidRPr="000E28CF">
        <w:rPr>
          <w:rFonts w:ascii="Times New Roman" w:hAnsi="Times New Roman" w:cs="Times New Roman"/>
          <w:b/>
          <w:bCs/>
          <w:sz w:val="20"/>
          <w:szCs w:val="20"/>
          <w:lang w:eastAsia="en-GB"/>
        </w:rPr>
        <w:t>Availability of data:</w:t>
      </w:r>
      <w:r w:rsidRPr="000E28CF">
        <w:rPr>
          <w:rFonts w:ascii="Times New Roman" w:hAnsi="Times New Roman" w:cs="Times New Roman"/>
          <w:sz w:val="20"/>
          <w:szCs w:val="20"/>
          <w:lang w:eastAsia="en-GB"/>
        </w:rPr>
        <w:t xml:space="preserve"> The data used in this study cannot be made publicly available due to privacy regulations. According to the General Data Protection Regulation, the Swedish law SFS 2018:218, the Swedish Data Protection Act, the Swedish Ethical Review Act, and the Public Access to Information and Secrecy Act, these types of sensitive data can only be made available for specific purposes, including research, that meets the criteria for access to this sort of sensitive and confidential data as determined by a legal review. Readers may contact Professor Kristina Alexanderson (kristina.alexanderson@ki.se) regarding the data.</w:t>
      </w:r>
    </w:p>
    <w:p w14:paraId="418361E6" w14:textId="65EA889A" w:rsidR="00CD7E5F" w:rsidRPr="000E28CF" w:rsidRDefault="00CD7E5F" w:rsidP="00CD7E5F">
      <w:pPr>
        <w:spacing w:line="360" w:lineRule="auto"/>
        <w:rPr>
          <w:rFonts w:ascii="Times New Roman" w:hAnsi="Times New Roman" w:cs="Times New Roman"/>
          <w:b/>
          <w:bCs/>
          <w:sz w:val="20"/>
          <w:szCs w:val="20"/>
          <w:lang w:eastAsia="en-GB"/>
        </w:rPr>
      </w:pPr>
      <w:r w:rsidRPr="000E28CF">
        <w:rPr>
          <w:rFonts w:ascii="Times New Roman" w:hAnsi="Times New Roman" w:cs="Times New Roman"/>
          <w:b/>
          <w:bCs/>
          <w:sz w:val="20"/>
          <w:szCs w:val="20"/>
          <w:lang w:eastAsia="en-GB"/>
        </w:rPr>
        <w:t>Contributors:</w:t>
      </w:r>
      <w:r w:rsidRPr="000E28CF">
        <w:rPr>
          <w:rFonts w:ascii="Times New Roman" w:hAnsi="Times New Roman" w:cs="Times New Roman"/>
          <w:sz w:val="20"/>
          <w:szCs w:val="20"/>
          <w:lang w:eastAsia="en-GB"/>
        </w:rPr>
        <w:t xml:space="preserve"> EMR, JB, KG, VA designed the study. MS obtained funding. JB conducted data management and analyses. KG, EMR and VA drafted the manuscript. All authors </w:t>
      </w:r>
      <w:r w:rsidR="00023ECA" w:rsidRPr="000E28CF">
        <w:rPr>
          <w:rFonts w:ascii="Times New Roman" w:hAnsi="Times New Roman" w:cs="Times New Roman"/>
          <w:sz w:val="20"/>
          <w:szCs w:val="20"/>
          <w:lang w:eastAsia="en-GB"/>
        </w:rPr>
        <w:t xml:space="preserve">(EMR, JB, KG, VA, MS, DMC, RM, MFN, AMM, PS, VL, PPR, ABW, IP, MMC, CC, GC, MM, CV) </w:t>
      </w:r>
      <w:r w:rsidRPr="000E28CF">
        <w:rPr>
          <w:rFonts w:ascii="Times New Roman" w:hAnsi="Times New Roman" w:cs="Times New Roman"/>
          <w:sz w:val="20"/>
          <w:szCs w:val="20"/>
          <w:lang w:eastAsia="en-GB"/>
        </w:rPr>
        <w:t>interpreted the data, participated in the critical revision of the article and approved the final article.</w:t>
      </w:r>
    </w:p>
    <w:p w14:paraId="684F78F6" w14:textId="77777777" w:rsidR="00CD7E5F" w:rsidRPr="000E28CF" w:rsidRDefault="00CD7E5F" w:rsidP="00CD7E5F">
      <w:pPr>
        <w:spacing w:line="360" w:lineRule="auto"/>
        <w:rPr>
          <w:rFonts w:ascii="Times New Roman" w:hAnsi="Times New Roman" w:cs="Times New Roman"/>
          <w:sz w:val="20"/>
          <w:szCs w:val="20"/>
          <w:lang w:eastAsia="en-GB"/>
        </w:rPr>
      </w:pPr>
      <w:r w:rsidRPr="000E28CF">
        <w:rPr>
          <w:rFonts w:ascii="Times New Roman" w:hAnsi="Times New Roman" w:cs="Times New Roman"/>
          <w:b/>
          <w:bCs/>
          <w:sz w:val="20"/>
          <w:szCs w:val="20"/>
          <w:lang w:eastAsia="en-GB"/>
        </w:rPr>
        <w:t>Declaration of interest:</w:t>
      </w:r>
      <w:r w:rsidRPr="000E28CF">
        <w:rPr>
          <w:rFonts w:ascii="Times New Roman" w:hAnsi="Times New Roman" w:cs="Times New Roman"/>
          <w:sz w:val="20"/>
          <w:szCs w:val="20"/>
          <w:lang w:eastAsia="en-GB"/>
        </w:rPr>
        <w:t xml:space="preserve"> None declared</w:t>
      </w:r>
    </w:p>
    <w:p w14:paraId="4BE06F5A" w14:textId="0CA76F88" w:rsidR="00CD7E5F" w:rsidRPr="001327B0" w:rsidRDefault="00CD7E5F" w:rsidP="00CD7E5F">
      <w:pPr>
        <w:spacing w:line="360" w:lineRule="auto"/>
        <w:rPr>
          <w:rFonts w:ascii="Times New Roman" w:hAnsi="Times New Roman" w:cs="Times New Roman"/>
          <w:b/>
          <w:color w:val="242424"/>
          <w:sz w:val="20"/>
          <w:szCs w:val="20"/>
          <w:bdr w:val="none" w:sz="0" w:space="0" w:color="auto" w:frame="1"/>
        </w:rPr>
      </w:pPr>
      <w:r w:rsidRPr="000E28CF">
        <w:rPr>
          <w:rFonts w:ascii="Times New Roman" w:hAnsi="Times New Roman" w:cs="Times New Roman"/>
          <w:b/>
          <w:color w:val="242424"/>
          <w:sz w:val="20"/>
          <w:szCs w:val="20"/>
          <w:bdr w:val="none" w:sz="0" w:space="0" w:color="auto" w:frame="1"/>
        </w:rPr>
        <w:t>Additional files: Atarodi_</w:t>
      </w:r>
      <w:r w:rsidR="00DD6889" w:rsidRPr="000E28CF">
        <w:rPr>
          <w:rFonts w:ascii="Times New Roman" w:hAnsi="Times New Roman" w:cs="Times New Roman"/>
          <w:b/>
          <w:color w:val="242424"/>
          <w:sz w:val="20"/>
          <w:szCs w:val="20"/>
          <w:bdr w:val="none" w:sz="0" w:space="0" w:color="auto" w:frame="1"/>
        </w:rPr>
        <w:t>additional</w:t>
      </w:r>
      <w:r w:rsidR="00736C33" w:rsidRPr="000E28CF">
        <w:rPr>
          <w:rFonts w:ascii="Times New Roman" w:hAnsi="Times New Roman" w:cs="Times New Roman"/>
          <w:b/>
          <w:color w:val="242424"/>
          <w:sz w:val="20"/>
          <w:szCs w:val="20"/>
          <w:bdr w:val="none" w:sz="0" w:space="0" w:color="auto" w:frame="1"/>
        </w:rPr>
        <w:t>file_250</w:t>
      </w:r>
      <w:r w:rsidR="00D2135C">
        <w:rPr>
          <w:rFonts w:ascii="Times New Roman" w:hAnsi="Times New Roman" w:cs="Times New Roman"/>
          <w:b/>
          <w:color w:val="242424"/>
          <w:sz w:val="20"/>
          <w:szCs w:val="20"/>
          <w:bdr w:val="none" w:sz="0" w:space="0" w:color="auto" w:frame="1"/>
        </w:rPr>
        <w:t>2</w:t>
      </w:r>
      <w:r w:rsidR="00736C33" w:rsidRPr="000E28CF">
        <w:rPr>
          <w:rFonts w:ascii="Times New Roman" w:hAnsi="Times New Roman" w:cs="Times New Roman"/>
          <w:b/>
          <w:color w:val="242424"/>
          <w:sz w:val="20"/>
          <w:szCs w:val="20"/>
          <w:bdr w:val="none" w:sz="0" w:space="0" w:color="auto" w:frame="1"/>
        </w:rPr>
        <w:t>1</w:t>
      </w:r>
      <w:r w:rsidR="00D2135C">
        <w:rPr>
          <w:rFonts w:ascii="Times New Roman" w:hAnsi="Times New Roman" w:cs="Times New Roman"/>
          <w:b/>
          <w:color w:val="242424"/>
          <w:sz w:val="20"/>
          <w:szCs w:val="20"/>
          <w:bdr w:val="none" w:sz="0" w:space="0" w:color="auto" w:frame="1"/>
        </w:rPr>
        <w:t>9</w:t>
      </w:r>
      <w:r w:rsidRPr="000E28CF">
        <w:rPr>
          <w:rFonts w:ascii="Times New Roman" w:hAnsi="Times New Roman" w:cs="Times New Roman"/>
          <w:b/>
          <w:color w:val="242424"/>
          <w:sz w:val="20"/>
          <w:szCs w:val="20"/>
          <w:bdr w:val="none" w:sz="0" w:space="0" w:color="auto" w:frame="1"/>
        </w:rPr>
        <w:t xml:space="preserve">. </w:t>
      </w:r>
      <w:r w:rsidR="00D2135C">
        <w:rPr>
          <w:rFonts w:ascii="Times New Roman" w:hAnsi="Times New Roman" w:cs="Times New Roman"/>
          <w:b/>
          <w:color w:val="242424"/>
          <w:sz w:val="20"/>
          <w:szCs w:val="20"/>
          <w:bdr w:val="none" w:sz="0" w:space="0" w:color="auto" w:frame="1"/>
        </w:rPr>
        <w:br/>
      </w:r>
      <w:r w:rsidRPr="000E28CF">
        <w:rPr>
          <w:rFonts w:ascii="Times New Roman" w:hAnsi="Times New Roman" w:cs="Times New Roman"/>
          <w:b/>
          <w:color w:val="242424"/>
          <w:sz w:val="20"/>
          <w:szCs w:val="20"/>
          <w:bdr w:val="none" w:sz="0" w:space="0" w:color="auto" w:frame="1"/>
        </w:rPr>
        <w:t>Additional files 1</w:t>
      </w:r>
      <w:r w:rsidR="00D2135C">
        <w:rPr>
          <w:rFonts w:ascii="Times New Roman" w:hAnsi="Times New Roman" w:cs="Times New Roman"/>
          <w:b/>
          <w:color w:val="242424"/>
          <w:sz w:val="20"/>
          <w:szCs w:val="20"/>
          <w:bdr w:val="none" w:sz="0" w:space="0" w:color="auto" w:frame="1"/>
        </w:rPr>
        <w:t xml:space="preserve">. </w:t>
      </w:r>
      <w:r w:rsidR="006B356D" w:rsidRPr="000E28CF">
        <w:rPr>
          <w:rFonts w:ascii="Times New Roman" w:hAnsi="Times New Roman" w:cs="Times New Roman"/>
          <w:sz w:val="20"/>
          <w:szCs w:val="20"/>
        </w:rPr>
        <w:t>Description of the Swedish social insurance system.</w:t>
      </w:r>
      <w:r w:rsidR="00D2135C">
        <w:rPr>
          <w:rFonts w:ascii="Times New Roman" w:hAnsi="Times New Roman" w:cs="Times New Roman"/>
          <w:b/>
          <w:color w:val="242424"/>
          <w:sz w:val="20"/>
          <w:szCs w:val="20"/>
          <w:bdr w:val="none" w:sz="0" w:space="0" w:color="auto" w:frame="1"/>
        </w:rPr>
        <w:br/>
      </w:r>
      <w:r w:rsidR="006B356D" w:rsidRPr="00D2135C">
        <w:rPr>
          <w:rFonts w:ascii="Times New Roman" w:hAnsi="Times New Roman" w:cs="Times New Roman"/>
          <w:b/>
          <w:sz w:val="20"/>
          <w:szCs w:val="20"/>
        </w:rPr>
        <w:t>Additional table 1</w:t>
      </w:r>
      <w:r w:rsidR="006B356D" w:rsidRPr="00D2135C">
        <w:rPr>
          <w:rFonts w:ascii="Times New Roman" w:hAnsi="Times New Roman" w:cs="Times New Roman"/>
          <w:sz w:val="20"/>
          <w:szCs w:val="20"/>
        </w:rPr>
        <w:t xml:space="preserve"> </w:t>
      </w:r>
      <w:r w:rsidR="00D2135C" w:rsidRPr="00D2135C">
        <w:rPr>
          <w:rFonts w:ascii="Times New Roman" w:hAnsi="Times New Roman" w:cs="Times New Roman"/>
          <w:sz w:val="20"/>
          <w:szCs w:val="20"/>
          <w:lang w:val="en-GB"/>
        </w:rPr>
        <w:t>Incidence rates (IR) of specialised psychiatric health care use per 1000 py in each quarter.</w:t>
      </w:r>
      <w:r w:rsidR="00D2135C">
        <w:rPr>
          <w:rFonts w:ascii="Times New Roman" w:hAnsi="Times New Roman" w:cs="Times New Roman"/>
          <w:b/>
          <w:color w:val="242424"/>
          <w:sz w:val="20"/>
          <w:szCs w:val="20"/>
          <w:bdr w:val="none" w:sz="0" w:space="0" w:color="auto" w:frame="1"/>
        </w:rPr>
        <w:br/>
      </w:r>
      <w:r w:rsidR="006B356D" w:rsidRPr="00D2135C">
        <w:rPr>
          <w:rFonts w:ascii="Times New Roman" w:hAnsi="Times New Roman" w:cs="Times New Roman"/>
          <w:b/>
          <w:sz w:val="20"/>
          <w:szCs w:val="20"/>
        </w:rPr>
        <w:t>Additional table 2</w:t>
      </w:r>
      <w:r w:rsidR="006B356D" w:rsidRPr="00D2135C">
        <w:rPr>
          <w:rFonts w:ascii="Times New Roman" w:hAnsi="Times New Roman" w:cs="Times New Roman"/>
          <w:sz w:val="20"/>
          <w:szCs w:val="20"/>
        </w:rPr>
        <w:t xml:space="preserve">: </w:t>
      </w:r>
      <w:r w:rsidR="00D2135C" w:rsidRPr="00D2135C">
        <w:rPr>
          <w:rFonts w:ascii="Times New Roman" w:hAnsi="Times New Roman" w:cs="Times New Roman"/>
          <w:sz w:val="20"/>
          <w:szCs w:val="20"/>
          <w:lang w:val="en-GB"/>
        </w:rPr>
        <w:t>Incidence rates (IR) of prescription of antidepressants per 1000 py in each quarter.</w:t>
      </w:r>
      <w:r w:rsidR="00D2135C">
        <w:rPr>
          <w:rFonts w:ascii="Times New Roman" w:hAnsi="Times New Roman" w:cs="Times New Roman"/>
          <w:b/>
          <w:color w:val="242424"/>
          <w:sz w:val="20"/>
          <w:szCs w:val="20"/>
          <w:bdr w:val="none" w:sz="0" w:space="0" w:color="auto" w:frame="1"/>
        </w:rPr>
        <w:br/>
      </w:r>
      <w:r w:rsidR="006B356D" w:rsidRPr="00D2135C">
        <w:rPr>
          <w:rFonts w:ascii="Times New Roman" w:hAnsi="Times New Roman" w:cs="Times New Roman"/>
          <w:b/>
          <w:sz w:val="20"/>
          <w:szCs w:val="20"/>
        </w:rPr>
        <w:t>Additional</w:t>
      </w:r>
      <w:r w:rsidR="006B356D" w:rsidRPr="00D2135C" w:rsidDel="00B82B28">
        <w:rPr>
          <w:rFonts w:ascii="Times New Roman" w:hAnsi="Times New Roman" w:cs="Times New Roman"/>
          <w:b/>
          <w:sz w:val="20"/>
          <w:szCs w:val="20"/>
        </w:rPr>
        <w:t xml:space="preserve"> </w:t>
      </w:r>
      <w:r w:rsidR="006B356D" w:rsidRPr="00D2135C">
        <w:rPr>
          <w:rFonts w:ascii="Times New Roman" w:hAnsi="Times New Roman" w:cs="Times New Roman"/>
          <w:b/>
          <w:sz w:val="20"/>
          <w:szCs w:val="20"/>
        </w:rPr>
        <w:t xml:space="preserve">table 3. </w:t>
      </w:r>
      <w:r w:rsidR="00D2135C" w:rsidRPr="00D2135C">
        <w:rPr>
          <w:rFonts w:ascii="Times New Roman" w:hAnsi="Times New Roman" w:cs="Times New Roman"/>
          <w:color w:val="000000"/>
          <w:sz w:val="20"/>
          <w:szCs w:val="20"/>
        </w:rPr>
        <w:t xml:space="preserve">Quarterly changes of incidence rates and incidence rate ratios for outcomes observed stratified by </w:t>
      </w:r>
      <w:r w:rsidR="00D2135C" w:rsidRPr="00D2135C">
        <w:rPr>
          <w:rFonts w:ascii="Times New Roman" w:hAnsi="Times New Roman"/>
          <w:color w:val="000000"/>
          <w:sz w:val="20"/>
          <w:szCs w:val="20"/>
          <w:lang w:val="en-GB"/>
        </w:rPr>
        <w:t>by length of stay in Sweden.</w:t>
      </w:r>
      <w:r w:rsidR="00D2135C">
        <w:rPr>
          <w:rFonts w:ascii="Times New Roman" w:hAnsi="Times New Roman" w:cs="Times New Roman"/>
          <w:b/>
          <w:color w:val="242424"/>
          <w:sz w:val="20"/>
          <w:szCs w:val="20"/>
          <w:bdr w:val="none" w:sz="0" w:space="0" w:color="auto" w:frame="1"/>
        </w:rPr>
        <w:br/>
      </w:r>
      <w:r w:rsidR="006B356D" w:rsidRPr="00D2135C">
        <w:rPr>
          <w:rFonts w:ascii="Times New Roman" w:hAnsi="Times New Roman" w:cs="Times New Roman"/>
          <w:b/>
          <w:sz w:val="20"/>
          <w:szCs w:val="20"/>
        </w:rPr>
        <w:t>Additional</w:t>
      </w:r>
      <w:r w:rsidR="006B356D" w:rsidRPr="00D2135C" w:rsidDel="00B82B28">
        <w:rPr>
          <w:rFonts w:ascii="Times New Roman" w:hAnsi="Times New Roman" w:cs="Times New Roman"/>
          <w:b/>
          <w:sz w:val="20"/>
          <w:szCs w:val="20"/>
        </w:rPr>
        <w:t xml:space="preserve"> </w:t>
      </w:r>
      <w:r w:rsidR="006B356D" w:rsidRPr="00D2135C">
        <w:rPr>
          <w:rFonts w:ascii="Times New Roman" w:hAnsi="Times New Roman" w:cs="Times New Roman"/>
          <w:b/>
          <w:sz w:val="20"/>
          <w:szCs w:val="20"/>
        </w:rPr>
        <w:t xml:space="preserve">figure 1. </w:t>
      </w:r>
      <w:r w:rsidR="00D2135C" w:rsidRPr="00D2135C">
        <w:rPr>
          <w:rFonts w:ascii="Times New Roman" w:hAnsi="Times New Roman" w:cs="Times New Roman"/>
          <w:sz w:val="20"/>
          <w:szCs w:val="20"/>
          <w:bdr w:val="none" w:sz="0" w:space="0" w:color="auto" w:frame="1"/>
        </w:rPr>
        <w:t xml:space="preserve">Incidence rates and trends of outcomes </w:t>
      </w:r>
      <w:r w:rsidR="00D2135C" w:rsidRPr="00D2135C">
        <w:rPr>
          <w:rFonts w:ascii="Times New Roman" w:hAnsi="Times New Roman" w:cs="Times New Roman"/>
          <w:bCs/>
          <w:sz w:val="20"/>
          <w:szCs w:val="20"/>
          <w:bdr w:val="none" w:sz="0" w:space="0" w:color="auto" w:frame="1"/>
        </w:rPr>
        <w:t xml:space="preserve">studied </w:t>
      </w:r>
      <w:r w:rsidR="00947589" w:rsidRPr="00D2135C">
        <w:rPr>
          <w:rFonts w:ascii="Times New Roman" w:hAnsi="Times New Roman" w:cs="Times New Roman"/>
          <w:bCs/>
          <w:sz w:val="20"/>
          <w:szCs w:val="20"/>
          <w:bdr w:val="none" w:sz="0" w:space="0" w:color="auto" w:frame="1"/>
        </w:rPr>
        <w:t>among refugees</w:t>
      </w:r>
      <w:r w:rsidR="00947589">
        <w:rPr>
          <w:rFonts w:ascii="Times New Roman" w:hAnsi="Times New Roman" w:cs="Times New Roman"/>
          <w:bCs/>
          <w:sz w:val="20"/>
          <w:szCs w:val="20"/>
          <w:bdr w:val="none" w:sz="0" w:space="0" w:color="auto" w:frame="1"/>
        </w:rPr>
        <w:t>,</w:t>
      </w:r>
      <w:r w:rsidR="00947589" w:rsidRPr="00D2135C">
        <w:rPr>
          <w:rFonts w:ascii="Times New Roman" w:hAnsi="Times New Roman" w:cs="Times New Roman"/>
          <w:bCs/>
          <w:sz w:val="20"/>
          <w:szCs w:val="20"/>
          <w:bdr w:val="none" w:sz="0" w:space="0" w:color="auto" w:frame="1"/>
        </w:rPr>
        <w:t xml:space="preserve"> </w:t>
      </w:r>
      <w:r w:rsidR="00D2135C" w:rsidRPr="00D2135C">
        <w:rPr>
          <w:rFonts w:ascii="Times New Roman" w:hAnsi="Times New Roman" w:cs="Times New Roman"/>
          <w:bCs/>
          <w:sz w:val="20"/>
          <w:szCs w:val="20"/>
          <w:bdr w:val="none" w:sz="0" w:space="0" w:color="auto" w:frame="1"/>
        </w:rPr>
        <w:t xml:space="preserve">stratified by </w:t>
      </w:r>
      <w:r w:rsidR="001327B0">
        <w:rPr>
          <w:rFonts w:ascii="Times New Roman" w:hAnsi="Times New Roman" w:cs="Times New Roman"/>
          <w:bCs/>
          <w:sz w:val="20"/>
          <w:szCs w:val="20"/>
          <w:bdr w:val="none" w:sz="0" w:space="0" w:color="auto" w:frame="1"/>
        </w:rPr>
        <w:t>length of stay</w:t>
      </w:r>
      <w:r w:rsidR="00D2135C" w:rsidRPr="00D2135C">
        <w:rPr>
          <w:rFonts w:ascii="Times New Roman" w:hAnsi="Times New Roman" w:cs="Times New Roman"/>
          <w:bCs/>
          <w:sz w:val="20"/>
          <w:szCs w:val="20"/>
          <w:bdr w:val="none" w:sz="0" w:space="0" w:color="auto" w:frame="1"/>
        </w:rPr>
        <w:t>.</w:t>
      </w:r>
    </w:p>
    <w:p w14:paraId="70F75194" w14:textId="2BD8EBD8" w:rsidR="00CD7E5F" w:rsidRPr="000E28CF" w:rsidRDefault="00CD7E5F" w:rsidP="00CD7E5F">
      <w:pPr>
        <w:spacing w:line="360" w:lineRule="auto"/>
        <w:rPr>
          <w:rFonts w:ascii="Times New Roman" w:hAnsi="Times New Roman" w:cs="Times New Roman"/>
          <w:sz w:val="20"/>
          <w:szCs w:val="20"/>
          <w:lang w:eastAsia="en-GB"/>
        </w:rPr>
      </w:pPr>
      <w:r w:rsidRPr="000E28CF">
        <w:rPr>
          <w:rFonts w:ascii="Times New Roman" w:hAnsi="Times New Roman" w:cs="Times New Roman"/>
          <w:b/>
          <w:bCs/>
          <w:sz w:val="20"/>
          <w:szCs w:val="20"/>
          <w:lang w:eastAsia="en-GB"/>
        </w:rPr>
        <w:t xml:space="preserve">Ethics: </w:t>
      </w:r>
      <w:r w:rsidRPr="000E28CF">
        <w:rPr>
          <w:rFonts w:ascii="Times New Roman" w:hAnsi="Times New Roman" w:cs="Times New Roman"/>
          <w:sz w:val="20"/>
          <w:szCs w:val="20"/>
          <w:lang w:eastAsia="en-GB"/>
        </w:rPr>
        <w:t>The project was approved by the Regional Ethical Review Board, Karolinska Institutet, Stockholm, Sweden (Dnr: 2007/762-31 and 2021-06441-02).</w:t>
      </w:r>
      <w:r w:rsidR="00023ECA" w:rsidRPr="000E28CF">
        <w:rPr>
          <w:rFonts w:ascii="Times New Roman" w:hAnsi="Times New Roman" w:cs="Times New Roman"/>
          <w:sz w:val="20"/>
          <w:szCs w:val="20"/>
          <w:lang w:eastAsia="en-GB"/>
        </w:rPr>
        <w:t xml:space="preserve"> </w:t>
      </w:r>
      <w:r w:rsidR="00582086" w:rsidRPr="000E28CF">
        <w:rPr>
          <w:rFonts w:ascii="Times New Roman" w:hAnsi="Times New Roman" w:cs="Times New Roman"/>
          <w:color w:val="000000"/>
          <w:sz w:val="20"/>
          <w:szCs w:val="20"/>
          <w:shd w:val="clear" w:color="auto" w:fill="FFFFFF"/>
        </w:rPr>
        <w:t>No</w:t>
      </w:r>
      <w:r w:rsidR="00023ECA" w:rsidRPr="000E28CF">
        <w:rPr>
          <w:rFonts w:ascii="Times New Roman" w:hAnsi="Times New Roman" w:cs="Times New Roman"/>
          <w:color w:val="000000"/>
          <w:sz w:val="20"/>
          <w:szCs w:val="20"/>
          <w:shd w:val="clear" w:color="auto" w:fill="FFFFFF"/>
        </w:rPr>
        <w:t xml:space="preserve"> participants were contacted since data was retrieved from nationwide administrative registers. </w:t>
      </w:r>
    </w:p>
    <w:p w14:paraId="5B0196C5" w14:textId="6003C3DF" w:rsidR="00CD7E5F" w:rsidRPr="000E28CF" w:rsidRDefault="00CD7E5F" w:rsidP="00CD7E5F">
      <w:pPr>
        <w:spacing w:line="360" w:lineRule="auto"/>
        <w:rPr>
          <w:rFonts w:ascii="Times New Roman" w:hAnsi="Times New Roman" w:cs="Times New Roman"/>
          <w:sz w:val="20"/>
          <w:szCs w:val="20"/>
          <w:lang w:eastAsia="en-GB"/>
        </w:rPr>
      </w:pPr>
      <w:r w:rsidRPr="000E28CF">
        <w:rPr>
          <w:rFonts w:ascii="Times New Roman" w:hAnsi="Times New Roman" w:cs="Times New Roman"/>
          <w:b/>
          <w:bCs/>
          <w:sz w:val="20"/>
          <w:szCs w:val="20"/>
          <w:lang w:eastAsia="en-GB"/>
        </w:rPr>
        <w:lastRenderedPageBreak/>
        <w:t>Funding:</w:t>
      </w:r>
      <w:r w:rsidRPr="000E28CF">
        <w:rPr>
          <w:rFonts w:ascii="Times New Roman" w:hAnsi="Times New Roman" w:cs="Times New Roman"/>
          <w:sz w:val="20"/>
          <w:szCs w:val="20"/>
          <w:lang w:eastAsia="en-GB"/>
        </w:rPr>
        <w:t xml:space="preserve"> The work has been prepared within the framework of the RESPOND-Consortium, funded by the European Union’s Horizon 2020 research and innovation programme Societal Challenges under Grant Agreement No 101016127. We </w:t>
      </w:r>
      <w:r w:rsidR="008D034A" w:rsidRPr="000E28CF">
        <w:rPr>
          <w:rFonts w:ascii="Times New Roman" w:hAnsi="Times New Roman" w:cs="Times New Roman"/>
          <w:sz w:val="20"/>
          <w:szCs w:val="20"/>
          <w:lang w:eastAsia="en-GB"/>
        </w:rPr>
        <w:t>utilized</w:t>
      </w:r>
      <w:r w:rsidRPr="000E28CF">
        <w:rPr>
          <w:rFonts w:ascii="Times New Roman" w:hAnsi="Times New Roman" w:cs="Times New Roman"/>
          <w:sz w:val="20"/>
          <w:szCs w:val="20"/>
          <w:lang w:eastAsia="en-GB"/>
        </w:rPr>
        <w:t xml:space="preserve"> data from the REWHARD consortium supported by the Swedish Research Council (grant number 2021-00154).</w:t>
      </w:r>
    </w:p>
    <w:p w14:paraId="6701F515" w14:textId="77777777" w:rsidR="00CD7E5F" w:rsidRPr="000E28CF" w:rsidRDefault="00CD7E5F" w:rsidP="00CD7E5F">
      <w:pPr>
        <w:spacing w:line="360" w:lineRule="auto"/>
        <w:rPr>
          <w:rFonts w:ascii="Times New Roman" w:eastAsia="Times New Roman" w:hAnsi="Times New Roman" w:cs="Times New Roman"/>
          <w:color w:val="000000" w:themeColor="text1"/>
          <w:sz w:val="20"/>
          <w:szCs w:val="20"/>
        </w:rPr>
      </w:pPr>
      <w:r w:rsidRPr="000E28CF">
        <w:rPr>
          <w:rFonts w:ascii="Times New Roman" w:eastAsia="Times New Roman" w:hAnsi="Times New Roman" w:cs="Times New Roman"/>
          <w:color w:val="000000" w:themeColor="text1"/>
          <w:sz w:val="20"/>
          <w:szCs w:val="20"/>
        </w:rPr>
        <w:br w:type="page"/>
      </w:r>
      <w:r w:rsidRPr="000E28CF">
        <w:rPr>
          <w:rFonts w:ascii="Times New Roman" w:hAnsi="Times New Roman" w:cs="Times New Roman"/>
          <w:b/>
          <w:color w:val="000000"/>
          <w:sz w:val="20"/>
          <w:szCs w:val="20"/>
        </w:rPr>
        <w:lastRenderedPageBreak/>
        <w:t>FIGURE labels:</w:t>
      </w:r>
    </w:p>
    <w:p w14:paraId="68EC135B" w14:textId="7D0FDFC3" w:rsidR="002F2ADF" w:rsidRPr="000E28CF" w:rsidRDefault="00CD7E5F" w:rsidP="00CD7E5F">
      <w:pPr>
        <w:spacing w:line="360" w:lineRule="auto"/>
        <w:rPr>
          <w:rFonts w:ascii="Times New Roman" w:hAnsi="Times New Roman" w:cs="Times New Roman"/>
          <w:sz w:val="20"/>
          <w:szCs w:val="20"/>
        </w:rPr>
      </w:pPr>
      <w:r w:rsidRPr="000E28CF">
        <w:rPr>
          <w:rFonts w:ascii="Times New Roman" w:hAnsi="Times New Roman" w:cs="Times New Roman"/>
          <w:b/>
          <w:color w:val="000000"/>
          <w:sz w:val="20"/>
          <w:szCs w:val="20"/>
        </w:rPr>
        <w:t>Figure 1</w:t>
      </w:r>
      <w:r w:rsidRPr="000E28CF">
        <w:rPr>
          <w:rFonts w:ascii="Times New Roman" w:hAnsi="Times New Roman" w:cs="Times New Roman"/>
          <w:color w:val="000000"/>
          <w:sz w:val="20"/>
          <w:szCs w:val="20"/>
        </w:rPr>
        <w:t>.</w:t>
      </w:r>
      <w:r w:rsidRPr="000E28CF">
        <w:rPr>
          <w:rFonts w:ascii="Times New Roman" w:hAnsi="Times New Roman" w:cs="Times New Roman"/>
          <w:sz w:val="20"/>
          <w:szCs w:val="20"/>
        </w:rPr>
        <w:t xml:space="preserve"> </w:t>
      </w:r>
      <w:r w:rsidR="002F2ADF" w:rsidRPr="000E28CF">
        <w:rPr>
          <w:rFonts w:ascii="Times New Roman" w:hAnsi="Times New Roman" w:cs="Times New Roman"/>
          <w:sz w:val="20"/>
          <w:szCs w:val="20"/>
        </w:rPr>
        <w:br/>
      </w:r>
      <w:r w:rsidR="002F2ADF" w:rsidRPr="000E28CF">
        <w:rPr>
          <w:rFonts w:ascii="Times New Roman" w:hAnsi="Times New Roman" w:cs="Times New Roman"/>
          <w:b/>
          <w:bCs/>
          <w:sz w:val="20"/>
          <w:szCs w:val="20"/>
        </w:rPr>
        <w:t>Title.</w:t>
      </w:r>
      <w:r w:rsidR="002F2ADF" w:rsidRPr="000E28CF">
        <w:rPr>
          <w:rFonts w:ascii="Times New Roman" w:hAnsi="Times New Roman" w:cs="Times New Roman"/>
          <w:sz w:val="20"/>
          <w:szCs w:val="20"/>
        </w:rPr>
        <w:t xml:space="preserve"> </w:t>
      </w:r>
      <w:r w:rsidR="002F2ADF" w:rsidRPr="000E28CF">
        <w:rPr>
          <w:rFonts w:ascii="Times New Roman" w:hAnsi="Times New Roman" w:cs="Times New Roman"/>
          <w:bCs/>
          <w:sz w:val="20"/>
          <w:szCs w:val="20"/>
          <w:bdr w:val="none" w:sz="0" w:space="0" w:color="auto" w:frame="1"/>
        </w:rPr>
        <w:t xml:space="preserve">Incidence rates and trends </w:t>
      </w:r>
      <w:r w:rsidR="002F2ADF" w:rsidRPr="000E28CF">
        <w:rPr>
          <w:rFonts w:ascii="Times New Roman" w:hAnsi="Times New Roman" w:cs="Times New Roman"/>
          <w:bCs/>
          <w:sz w:val="20"/>
          <w:szCs w:val="20"/>
          <w:bdr w:val="none" w:sz="0" w:space="0" w:color="auto" w:frame="1"/>
        </w:rPr>
        <w:t>of outcomes studied before and</w:t>
      </w:r>
      <w:r w:rsidR="002F2ADF" w:rsidRPr="000E28CF">
        <w:rPr>
          <w:rFonts w:ascii="Times New Roman" w:hAnsi="Times New Roman" w:cs="Times New Roman"/>
          <w:bCs/>
          <w:sz w:val="20"/>
          <w:szCs w:val="20"/>
          <w:bdr w:val="none" w:sz="0" w:space="0" w:color="auto" w:frame="1"/>
        </w:rPr>
        <w:t xml:space="preserve"> during the </w:t>
      </w:r>
      <w:r w:rsidR="002F2ADF" w:rsidRPr="000E28CF">
        <w:rPr>
          <w:rFonts w:ascii="Times New Roman" w:hAnsi="Times New Roman" w:cs="Times New Roman"/>
          <w:sz w:val="20"/>
          <w:szCs w:val="20"/>
        </w:rPr>
        <w:t xml:space="preserve">COVID-19 </w:t>
      </w:r>
      <w:r w:rsidR="002F2ADF" w:rsidRPr="000E28CF">
        <w:rPr>
          <w:rFonts w:ascii="Times New Roman" w:hAnsi="Times New Roman" w:cs="Times New Roman"/>
          <w:bCs/>
          <w:sz w:val="20"/>
          <w:szCs w:val="20"/>
          <w:bdr w:val="none" w:sz="0" w:space="0" w:color="auto" w:frame="1"/>
        </w:rPr>
        <w:t>pandemic</w:t>
      </w:r>
      <w:r w:rsidR="002F2ADF" w:rsidRPr="000E28CF">
        <w:rPr>
          <w:rFonts w:ascii="Times New Roman" w:hAnsi="Times New Roman" w:cs="Times New Roman"/>
          <w:bCs/>
          <w:sz w:val="20"/>
          <w:szCs w:val="20"/>
          <w:bdr w:val="none" w:sz="0" w:space="0" w:color="auto" w:frame="1"/>
        </w:rPr>
        <w:t>.</w:t>
      </w:r>
    </w:p>
    <w:p w14:paraId="51240796" w14:textId="0A1B0114" w:rsidR="00CD7E5F" w:rsidRPr="000E28CF" w:rsidRDefault="002F2ADF" w:rsidP="002F2ADF">
      <w:pPr>
        <w:spacing w:line="360" w:lineRule="auto"/>
        <w:rPr>
          <w:rFonts w:ascii="Times New Roman" w:hAnsi="Times New Roman" w:cs="Times New Roman"/>
          <w:sz w:val="20"/>
          <w:szCs w:val="20"/>
        </w:rPr>
      </w:pPr>
      <w:r w:rsidRPr="000E28CF">
        <w:rPr>
          <w:rFonts w:ascii="Times New Roman" w:hAnsi="Times New Roman" w:cs="Times New Roman"/>
          <w:b/>
          <w:bCs/>
          <w:sz w:val="20"/>
          <w:szCs w:val="20"/>
        </w:rPr>
        <w:t>Note.</w:t>
      </w:r>
      <w:r w:rsidRPr="000E28CF">
        <w:rPr>
          <w:rFonts w:ascii="Times New Roman" w:hAnsi="Times New Roman" w:cs="Times New Roman"/>
          <w:sz w:val="20"/>
          <w:szCs w:val="20"/>
        </w:rPr>
        <w:t xml:space="preserve"> </w:t>
      </w:r>
      <w:r w:rsidR="00CD7E5F" w:rsidRPr="000E28CF">
        <w:rPr>
          <w:rFonts w:ascii="Times New Roman" w:hAnsi="Times New Roman" w:cs="Times New Roman"/>
          <w:sz w:val="20"/>
          <w:szCs w:val="20"/>
        </w:rPr>
        <w:t xml:space="preserve">Observed incidence rates and trends in incidence rates of specialized </w:t>
      </w:r>
      <w:r w:rsidR="00CD7E5F" w:rsidRPr="000E28CF">
        <w:rPr>
          <w:rFonts w:ascii="Times New Roman" w:hAnsi="Times New Roman" w:cs="Times New Roman"/>
          <w:color w:val="000000"/>
          <w:sz w:val="20"/>
          <w:szCs w:val="20"/>
        </w:rPr>
        <w:t xml:space="preserve">mental </w:t>
      </w:r>
      <w:r w:rsidR="00CD7E5F" w:rsidRPr="000E28CF">
        <w:rPr>
          <w:rFonts w:ascii="Times New Roman" w:hAnsi="Times New Roman" w:cs="Times New Roman"/>
          <w:sz w:val="20"/>
          <w:szCs w:val="20"/>
        </w:rPr>
        <w:t xml:space="preserve">health care use for common mental disorders and prescription of antidepressants before and during the COVID -19 pandemic for refugees and Swedish born. The dots represent observed values; dashed lines represent linear regression predicted values and the strict lines represent 95% confidence intervals of the predicted values. The vertical dashed line illustrates the interruption, i.e. start of the COVID-19 pandemic. </w:t>
      </w:r>
    </w:p>
    <w:p w14:paraId="2C75CD72" w14:textId="77777777" w:rsidR="002F2ADF" w:rsidRPr="000E28CF" w:rsidRDefault="00CD7E5F" w:rsidP="00CD7E5F">
      <w:pPr>
        <w:spacing w:line="360" w:lineRule="auto"/>
        <w:rPr>
          <w:rFonts w:ascii="Times New Roman" w:hAnsi="Times New Roman" w:cs="Times New Roman"/>
          <w:sz w:val="20"/>
          <w:szCs w:val="20"/>
        </w:rPr>
      </w:pPr>
      <w:r w:rsidRPr="000E28CF">
        <w:rPr>
          <w:rFonts w:ascii="Times New Roman" w:hAnsi="Times New Roman" w:cs="Times New Roman"/>
          <w:b/>
          <w:color w:val="000000"/>
          <w:sz w:val="20"/>
          <w:szCs w:val="20"/>
        </w:rPr>
        <w:t>Figure 2</w:t>
      </w:r>
      <w:r w:rsidRPr="000E28CF">
        <w:rPr>
          <w:rFonts w:ascii="Times New Roman" w:hAnsi="Times New Roman" w:cs="Times New Roman"/>
          <w:color w:val="000000"/>
          <w:sz w:val="20"/>
          <w:szCs w:val="20"/>
        </w:rPr>
        <w:t>.</w:t>
      </w:r>
      <w:r w:rsidRPr="000E28CF">
        <w:rPr>
          <w:rFonts w:ascii="Times New Roman" w:hAnsi="Times New Roman" w:cs="Times New Roman"/>
          <w:sz w:val="20"/>
          <w:szCs w:val="20"/>
        </w:rPr>
        <w:t xml:space="preserve"> </w:t>
      </w:r>
    </w:p>
    <w:p w14:paraId="6ECA3EF9" w14:textId="3F12CEF3" w:rsidR="00827A55" w:rsidRPr="000E28CF" w:rsidRDefault="00827A55" w:rsidP="00CD7E5F">
      <w:pPr>
        <w:spacing w:line="360" w:lineRule="auto"/>
        <w:rPr>
          <w:rFonts w:ascii="Times New Roman" w:hAnsi="Times New Roman" w:cs="Times New Roman"/>
          <w:b/>
          <w:bCs/>
          <w:sz w:val="20"/>
          <w:szCs w:val="20"/>
        </w:rPr>
      </w:pPr>
      <w:r w:rsidRPr="000E28CF">
        <w:rPr>
          <w:rFonts w:ascii="Times New Roman" w:hAnsi="Times New Roman" w:cs="Times New Roman"/>
          <w:b/>
          <w:bCs/>
          <w:sz w:val="20"/>
          <w:szCs w:val="20"/>
        </w:rPr>
        <w:t>Title</w:t>
      </w:r>
      <w:r w:rsidRPr="000E28CF">
        <w:rPr>
          <w:rFonts w:ascii="Times New Roman" w:hAnsi="Times New Roman" w:cs="Times New Roman"/>
          <w:sz w:val="20"/>
          <w:szCs w:val="20"/>
        </w:rPr>
        <w:t xml:space="preserve">. </w:t>
      </w:r>
      <w:r w:rsidRPr="000E28CF">
        <w:rPr>
          <w:rFonts w:ascii="Times New Roman" w:hAnsi="Times New Roman" w:cs="Times New Roman"/>
          <w:sz w:val="20"/>
          <w:szCs w:val="20"/>
          <w:bdr w:val="none" w:sz="0" w:space="0" w:color="auto" w:frame="1"/>
        </w:rPr>
        <w:t xml:space="preserve">Incidence rates and trends </w:t>
      </w:r>
      <w:r w:rsidRPr="000E28CF">
        <w:rPr>
          <w:rFonts w:ascii="Times New Roman" w:hAnsi="Times New Roman" w:cs="Times New Roman"/>
          <w:sz w:val="20"/>
          <w:szCs w:val="20"/>
          <w:bdr w:val="none" w:sz="0" w:space="0" w:color="auto" w:frame="1"/>
        </w:rPr>
        <w:t xml:space="preserve">of outcomes </w:t>
      </w:r>
      <w:r w:rsidRPr="000E28CF">
        <w:rPr>
          <w:rFonts w:ascii="Times New Roman" w:hAnsi="Times New Roman" w:cs="Times New Roman"/>
          <w:bCs/>
          <w:sz w:val="20"/>
          <w:szCs w:val="20"/>
          <w:bdr w:val="none" w:sz="0" w:space="0" w:color="auto" w:frame="1"/>
        </w:rPr>
        <w:t>studied stratified by labor market marginalization</w:t>
      </w:r>
      <w:r w:rsidRPr="000E28CF">
        <w:rPr>
          <w:rFonts w:ascii="Times New Roman" w:hAnsi="Times New Roman" w:cs="Times New Roman"/>
          <w:bCs/>
          <w:sz w:val="20"/>
          <w:szCs w:val="20"/>
          <w:bdr w:val="none" w:sz="0" w:space="0" w:color="auto" w:frame="1"/>
        </w:rPr>
        <w:t>.</w:t>
      </w:r>
    </w:p>
    <w:p w14:paraId="6E43E0FA" w14:textId="5BA1F1E8" w:rsidR="00CD7E5F" w:rsidRPr="000E28CF" w:rsidRDefault="00827A55" w:rsidP="00CD7E5F">
      <w:pPr>
        <w:spacing w:line="360" w:lineRule="auto"/>
        <w:rPr>
          <w:rFonts w:ascii="Times New Roman" w:hAnsi="Times New Roman" w:cs="Times New Roman"/>
          <w:sz w:val="20"/>
          <w:szCs w:val="20"/>
        </w:rPr>
      </w:pPr>
      <w:r w:rsidRPr="000E28CF">
        <w:rPr>
          <w:rFonts w:ascii="Times New Roman" w:hAnsi="Times New Roman" w:cs="Times New Roman"/>
          <w:b/>
          <w:bCs/>
          <w:sz w:val="20"/>
          <w:szCs w:val="20"/>
        </w:rPr>
        <w:t>Note.</w:t>
      </w:r>
      <w:r w:rsidRPr="000E28CF">
        <w:rPr>
          <w:rFonts w:ascii="Times New Roman" w:hAnsi="Times New Roman" w:cs="Times New Roman"/>
          <w:sz w:val="20"/>
          <w:szCs w:val="20"/>
        </w:rPr>
        <w:t xml:space="preserve"> </w:t>
      </w:r>
      <w:r w:rsidR="00CD7E5F" w:rsidRPr="000E28CF">
        <w:rPr>
          <w:rFonts w:ascii="Times New Roman" w:hAnsi="Times New Roman" w:cs="Times New Roman"/>
          <w:sz w:val="20"/>
          <w:szCs w:val="20"/>
        </w:rPr>
        <w:t xml:space="preserve">Observed incidence rates and trends in incidence rates of specialized </w:t>
      </w:r>
      <w:r w:rsidR="00CD7E5F" w:rsidRPr="000E28CF">
        <w:rPr>
          <w:rFonts w:ascii="Times New Roman" w:hAnsi="Times New Roman" w:cs="Times New Roman"/>
          <w:color w:val="000000"/>
          <w:sz w:val="20"/>
          <w:szCs w:val="20"/>
        </w:rPr>
        <w:t xml:space="preserve">mental </w:t>
      </w:r>
      <w:r w:rsidR="00CD7E5F" w:rsidRPr="000E28CF">
        <w:rPr>
          <w:rFonts w:ascii="Times New Roman" w:hAnsi="Times New Roman" w:cs="Times New Roman"/>
          <w:sz w:val="20"/>
          <w:szCs w:val="20"/>
        </w:rPr>
        <w:t xml:space="preserve">health care use for common mental disorders and prescription of antidepressants before and during the COVID -19 pandemic for refugees and Swedish born stratified by labor market marginalization. The dots represent observed values; dashed lines represent linear regression predicted values and the strict lines represent 95% confidence intervals of the predicted values. The vertical dashed line illustrates the interruption i.e. start of the COVID-19 pandemic. </w:t>
      </w:r>
    </w:p>
    <w:p w14:paraId="61B67720" w14:textId="15AEFF69" w:rsidR="00827A55" w:rsidRPr="000E28CF" w:rsidRDefault="00CD7E5F" w:rsidP="00827A55">
      <w:pPr>
        <w:spacing w:line="360" w:lineRule="auto"/>
        <w:rPr>
          <w:rFonts w:ascii="Times New Roman" w:hAnsi="Times New Roman" w:cs="Times New Roman"/>
          <w:b/>
          <w:bCs/>
          <w:sz w:val="20"/>
          <w:szCs w:val="20"/>
        </w:rPr>
      </w:pPr>
      <w:r w:rsidRPr="000E28CF">
        <w:rPr>
          <w:rFonts w:ascii="Times New Roman" w:hAnsi="Times New Roman" w:cs="Times New Roman"/>
          <w:b/>
          <w:sz w:val="20"/>
          <w:szCs w:val="20"/>
        </w:rPr>
        <w:t>Figure 3.</w:t>
      </w:r>
      <w:r w:rsidR="00827A55" w:rsidRPr="000E28CF">
        <w:rPr>
          <w:rFonts w:ascii="Times New Roman" w:hAnsi="Times New Roman" w:cs="Times New Roman"/>
          <w:b/>
          <w:sz w:val="20"/>
          <w:szCs w:val="20"/>
        </w:rPr>
        <w:br/>
      </w:r>
      <w:r w:rsidR="00827A55" w:rsidRPr="000E28CF">
        <w:rPr>
          <w:rFonts w:ascii="Times New Roman" w:hAnsi="Times New Roman" w:cs="Times New Roman"/>
          <w:b/>
          <w:bCs/>
          <w:sz w:val="20"/>
          <w:szCs w:val="20"/>
        </w:rPr>
        <w:t>Title</w:t>
      </w:r>
      <w:r w:rsidR="00827A55" w:rsidRPr="000E28CF">
        <w:rPr>
          <w:rFonts w:ascii="Times New Roman" w:hAnsi="Times New Roman" w:cs="Times New Roman"/>
          <w:sz w:val="20"/>
          <w:szCs w:val="20"/>
        </w:rPr>
        <w:t xml:space="preserve">. </w:t>
      </w:r>
      <w:r w:rsidR="00827A55" w:rsidRPr="000E28CF">
        <w:rPr>
          <w:rFonts w:ascii="Times New Roman" w:hAnsi="Times New Roman" w:cs="Times New Roman"/>
          <w:sz w:val="20"/>
          <w:szCs w:val="20"/>
          <w:bdr w:val="none" w:sz="0" w:space="0" w:color="auto" w:frame="1"/>
        </w:rPr>
        <w:t xml:space="preserve">Incidence rates and trends of outcomes </w:t>
      </w:r>
      <w:r w:rsidR="00827A55" w:rsidRPr="000E28CF">
        <w:rPr>
          <w:rFonts w:ascii="Times New Roman" w:hAnsi="Times New Roman" w:cs="Times New Roman"/>
          <w:bCs/>
          <w:sz w:val="20"/>
          <w:szCs w:val="20"/>
          <w:bdr w:val="none" w:sz="0" w:space="0" w:color="auto" w:frame="1"/>
        </w:rPr>
        <w:t xml:space="preserve">studied before and during </w:t>
      </w:r>
      <w:r w:rsidR="00827A55" w:rsidRPr="000E28CF">
        <w:rPr>
          <w:rFonts w:ascii="Times New Roman" w:hAnsi="Times New Roman" w:cs="Times New Roman"/>
          <w:bCs/>
          <w:sz w:val="20"/>
          <w:szCs w:val="20"/>
          <w:bdr w:val="none" w:sz="0" w:space="0" w:color="auto" w:frame="1"/>
        </w:rPr>
        <w:t xml:space="preserve">the pandemic </w:t>
      </w:r>
      <w:r w:rsidR="00827A55" w:rsidRPr="000E28CF">
        <w:rPr>
          <w:rFonts w:ascii="Times New Roman" w:hAnsi="Times New Roman" w:cs="Times New Roman"/>
          <w:bCs/>
          <w:sz w:val="20"/>
          <w:szCs w:val="20"/>
          <w:bdr w:val="none" w:sz="0" w:space="0" w:color="auto" w:frame="1"/>
        </w:rPr>
        <w:t xml:space="preserve">stratified by </w:t>
      </w:r>
      <w:r w:rsidR="00827A55" w:rsidRPr="000E28CF">
        <w:rPr>
          <w:rFonts w:ascii="Times New Roman" w:hAnsi="Times New Roman" w:cs="Times New Roman"/>
          <w:bCs/>
          <w:sz w:val="20"/>
          <w:szCs w:val="20"/>
          <w:bdr w:val="none" w:sz="0" w:space="0" w:color="auto" w:frame="1"/>
        </w:rPr>
        <w:t>education</w:t>
      </w:r>
      <w:r w:rsidR="00827A55" w:rsidRPr="000E28CF">
        <w:rPr>
          <w:rFonts w:ascii="Times New Roman" w:hAnsi="Times New Roman" w:cs="Times New Roman"/>
          <w:bCs/>
          <w:sz w:val="20"/>
          <w:szCs w:val="20"/>
          <w:bdr w:val="none" w:sz="0" w:space="0" w:color="auto" w:frame="1"/>
        </w:rPr>
        <w:t>.</w:t>
      </w:r>
    </w:p>
    <w:p w14:paraId="3D1ACEB5" w14:textId="6354C964" w:rsidR="00CD7E5F" w:rsidRPr="000E28CF" w:rsidRDefault="00827A55" w:rsidP="00CD7E5F">
      <w:pPr>
        <w:spacing w:line="360" w:lineRule="auto"/>
        <w:rPr>
          <w:rFonts w:ascii="Times New Roman" w:hAnsi="Times New Roman" w:cs="Times New Roman"/>
          <w:b/>
          <w:sz w:val="20"/>
          <w:szCs w:val="20"/>
        </w:rPr>
      </w:pPr>
      <w:r w:rsidRPr="000E28CF">
        <w:rPr>
          <w:rFonts w:ascii="Times New Roman" w:hAnsi="Times New Roman" w:cs="Times New Roman"/>
          <w:b/>
          <w:bCs/>
          <w:sz w:val="20"/>
          <w:szCs w:val="20"/>
        </w:rPr>
        <w:t>Note.</w:t>
      </w:r>
      <w:r w:rsidRPr="000E28CF">
        <w:rPr>
          <w:rFonts w:ascii="Times New Roman" w:hAnsi="Times New Roman" w:cs="Times New Roman"/>
          <w:sz w:val="20"/>
          <w:szCs w:val="20"/>
        </w:rPr>
        <w:t xml:space="preserve"> </w:t>
      </w:r>
      <w:r w:rsidR="00CD7E5F" w:rsidRPr="000E28CF">
        <w:rPr>
          <w:rFonts w:ascii="Times New Roman" w:hAnsi="Times New Roman" w:cs="Times New Roman"/>
          <w:sz w:val="20"/>
          <w:szCs w:val="20"/>
        </w:rPr>
        <w:t xml:space="preserve">Observed incidence rates and trends in incidence rates of specialized </w:t>
      </w:r>
      <w:r w:rsidR="00CD7E5F" w:rsidRPr="000E28CF">
        <w:rPr>
          <w:rFonts w:ascii="Times New Roman" w:hAnsi="Times New Roman" w:cs="Times New Roman"/>
          <w:color w:val="000000"/>
          <w:sz w:val="20"/>
          <w:szCs w:val="20"/>
        </w:rPr>
        <w:t xml:space="preserve">mental </w:t>
      </w:r>
      <w:r w:rsidR="00CD7E5F" w:rsidRPr="000E28CF">
        <w:rPr>
          <w:rFonts w:ascii="Times New Roman" w:hAnsi="Times New Roman" w:cs="Times New Roman"/>
          <w:sz w:val="20"/>
          <w:szCs w:val="20"/>
        </w:rPr>
        <w:t xml:space="preserve">health care use for common mental disorders and prescription of antidepressant before and during the COVID -19 pandemic for refugees and Swedish born stratified by education. The dots represent observed values; dashed lines represent linear regression predicted values and the strict lines represent 95% confidence intervals of the predicted values. The vertical dashed line illustrates the interruption i.e. start of the COVID-19 pandemic. </w:t>
      </w:r>
    </w:p>
    <w:p w14:paraId="4878C135" w14:textId="77777777" w:rsidR="00CD7E5F" w:rsidRPr="000E28CF" w:rsidRDefault="00CD7E5F" w:rsidP="00CD7E5F">
      <w:pPr>
        <w:spacing w:line="360" w:lineRule="auto"/>
        <w:rPr>
          <w:rFonts w:ascii="Times New Roman" w:hAnsi="Times New Roman" w:cs="Times New Roman"/>
          <w:sz w:val="20"/>
          <w:szCs w:val="20"/>
        </w:rPr>
      </w:pPr>
      <w:r w:rsidRPr="000E28CF">
        <w:rPr>
          <w:rFonts w:ascii="Times New Roman" w:hAnsi="Times New Roman" w:cs="Times New Roman"/>
          <w:sz w:val="20"/>
          <w:szCs w:val="20"/>
        </w:rPr>
        <w:br w:type="page"/>
      </w:r>
    </w:p>
    <w:p w14:paraId="5B98E4B8" w14:textId="77777777" w:rsidR="00CD7E5F" w:rsidRPr="000E28CF" w:rsidRDefault="00CD7E5F" w:rsidP="00CD7E5F">
      <w:pPr>
        <w:spacing w:line="360" w:lineRule="auto"/>
        <w:rPr>
          <w:rFonts w:ascii="Times New Roman" w:hAnsi="Times New Roman" w:cs="Times New Roman"/>
          <w:b/>
          <w:color w:val="000000"/>
          <w:sz w:val="20"/>
          <w:szCs w:val="20"/>
        </w:rPr>
      </w:pPr>
      <w:r w:rsidRPr="000E28CF">
        <w:rPr>
          <w:rFonts w:ascii="Times New Roman" w:hAnsi="Times New Roman" w:cs="Times New Roman"/>
          <w:b/>
          <w:color w:val="000000"/>
          <w:sz w:val="20"/>
          <w:szCs w:val="20"/>
        </w:rPr>
        <w:lastRenderedPageBreak/>
        <w:t>TABLES</w:t>
      </w:r>
    </w:p>
    <w:p w14:paraId="138B5837" w14:textId="380FA9A2" w:rsidR="00CD7E5F" w:rsidRPr="000E28CF" w:rsidRDefault="00CD7E5F" w:rsidP="00CD7E5F">
      <w:pPr>
        <w:spacing w:line="360" w:lineRule="auto"/>
        <w:rPr>
          <w:rFonts w:ascii="Times New Roman" w:hAnsi="Times New Roman" w:cs="Times New Roman"/>
          <w:color w:val="000000"/>
          <w:sz w:val="20"/>
          <w:szCs w:val="20"/>
        </w:rPr>
      </w:pPr>
      <w:r w:rsidRPr="000E28CF">
        <w:rPr>
          <w:rFonts w:ascii="Times New Roman" w:hAnsi="Times New Roman" w:cs="Times New Roman"/>
          <w:b/>
          <w:sz w:val="20"/>
          <w:szCs w:val="20"/>
        </w:rPr>
        <w:t>Table 1.</w:t>
      </w:r>
      <w:r w:rsidRPr="000E28CF">
        <w:rPr>
          <w:rFonts w:ascii="Times New Roman" w:hAnsi="Times New Roman" w:cs="Times New Roman"/>
          <w:sz w:val="20"/>
          <w:szCs w:val="20"/>
        </w:rPr>
        <w:t xml:space="preserve"> Descriptive </w:t>
      </w:r>
      <w:r w:rsidRPr="000E28CF">
        <w:rPr>
          <w:rFonts w:ascii="Times New Roman" w:hAnsi="Times New Roman" w:cs="Times New Roman"/>
          <w:color w:val="000000"/>
          <w:sz w:val="20"/>
          <w:szCs w:val="20"/>
        </w:rPr>
        <w:t>statistics of socio</w:t>
      </w:r>
      <w:r w:rsidRPr="000E28CF">
        <w:rPr>
          <w:rFonts w:ascii="Times New Roman" w:hAnsi="Times New Roman" w:cs="Times New Roman"/>
          <w:sz w:val="20"/>
          <w:szCs w:val="20"/>
        </w:rPr>
        <w:t>demographic</w:t>
      </w:r>
      <w:r w:rsidRPr="000E28CF">
        <w:rPr>
          <w:rFonts w:ascii="Times New Roman" w:hAnsi="Times New Roman" w:cs="Times New Roman"/>
          <w:color w:val="000000"/>
          <w:sz w:val="20"/>
          <w:szCs w:val="20"/>
        </w:rPr>
        <w:t xml:space="preserve"> characteristics in the refugee and Swedish-born population, at baseline</w:t>
      </w:r>
      <w:r w:rsidR="001B0213" w:rsidRPr="000E28CF">
        <w:rPr>
          <w:rFonts w:ascii="Times New Roman" w:hAnsi="Times New Roman" w:cs="Times New Roman"/>
          <w:color w:val="000000"/>
          <w:sz w:val="20"/>
          <w:szCs w:val="20"/>
        </w:rPr>
        <w:t>.</w:t>
      </w:r>
      <w:r w:rsidRPr="000E28CF">
        <w:rPr>
          <w:rFonts w:ascii="Times New Roman" w:hAnsi="Times New Roman" w:cs="Times New Roman"/>
          <w:color w:val="000000"/>
          <w:sz w:val="20"/>
          <w:szCs w:val="20"/>
        </w:rPr>
        <w:t xml:space="preserve"> </w:t>
      </w:r>
    </w:p>
    <w:tbl>
      <w:tblPr>
        <w:tblStyle w:val="Tabellrutntljust"/>
        <w:tblW w:w="10490" w:type="dxa"/>
        <w:tblInd w:w="-289" w:type="dxa"/>
        <w:tblLook w:val="04A0" w:firstRow="1" w:lastRow="0" w:firstColumn="1" w:lastColumn="0" w:noHBand="0" w:noVBand="1"/>
      </w:tblPr>
      <w:tblGrid>
        <w:gridCol w:w="2411"/>
        <w:gridCol w:w="2409"/>
        <w:gridCol w:w="1701"/>
        <w:gridCol w:w="1560"/>
        <w:gridCol w:w="1275"/>
        <w:gridCol w:w="1134"/>
      </w:tblGrid>
      <w:tr w:rsidR="00CD7E5F" w:rsidRPr="000E28CF" w14:paraId="6C2D2B61" w14:textId="77777777" w:rsidTr="00B3191F">
        <w:tc>
          <w:tcPr>
            <w:tcW w:w="2411" w:type="dxa"/>
          </w:tcPr>
          <w:p w14:paraId="63C3E2A3" w14:textId="77777777" w:rsidR="00CD7E5F" w:rsidRPr="000E28CF" w:rsidRDefault="00CD7E5F" w:rsidP="00B3191F">
            <w:pPr>
              <w:spacing w:line="360" w:lineRule="auto"/>
              <w:rPr>
                <w:rFonts w:ascii="Times New Roman" w:hAnsi="Times New Roman" w:cs="Times New Roman"/>
                <w:b/>
                <w:bCs/>
              </w:rPr>
            </w:pPr>
            <w:r w:rsidRPr="000E28CF">
              <w:rPr>
                <w:rFonts w:ascii="Times New Roman" w:hAnsi="Times New Roman" w:cs="Times New Roman"/>
                <w:b/>
                <w:bCs/>
              </w:rPr>
              <w:t>Characteristics</w:t>
            </w:r>
          </w:p>
        </w:tc>
        <w:tc>
          <w:tcPr>
            <w:tcW w:w="2409" w:type="dxa"/>
          </w:tcPr>
          <w:p w14:paraId="6CDA6AF1" w14:textId="77777777" w:rsidR="00CD7E5F" w:rsidRPr="000E28CF" w:rsidRDefault="00CD7E5F" w:rsidP="00B3191F">
            <w:pPr>
              <w:spacing w:line="360" w:lineRule="auto"/>
              <w:rPr>
                <w:rFonts w:ascii="Times New Roman" w:hAnsi="Times New Roman" w:cs="Times New Roman"/>
                <w:b/>
                <w:bCs/>
              </w:rPr>
            </w:pPr>
            <w:r w:rsidRPr="000E28CF">
              <w:rPr>
                <w:rFonts w:ascii="Times New Roman" w:hAnsi="Times New Roman" w:cs="Times New Roman"/>
                <w:b/>
                <w:bCs/>
              </w:rPr>
              <w:t>Category</w:t>
            </w:r>
          </w:p>
        </w:tc>
        <w:tc>
          <w:tcPr>
            <w:tcW w:w="3261" w:type="dxa"/>
            <w:gridSpan w:val="2"/>
          </w:tcPr>
          <w:p w14:paraId="124596B1" w14:textId="77777777" w:rsidR="00CD7E5F" w:rsidRPr="000E28CF" w:rsidRDefault="00CD7E5F" w:rsidP="00B3191F">
            <w:pPr>
              <w:spacing w:line="360" w:lineRule="auto"/>
              <w:jc w:val="center"/>
              <w:rPr>
                <w:rFonts w:ascii="Times New Roman" w:hAnsi="Times New Roman" w:cs="Times New Roman"/>
                <w:b/>
                <w:bCs/>
              </w:rPr>
            </w:pPr>
            <w:r w:rsidRPr="000E28CF">
              <w:rPr>
                <w:rFonts w:ascii="Times New Roman" w:hAnsi="Times New Roman" w:cs="Times New Roman"/>
                <w:b/>
                <w:bCs/>
              </w:rPr>
              <w:t>Refugees</w:t>
            </w:r>
            <w:r w:rsidRPr="000E28CF">
              <w:rPr>
                <w:rFonts w:ascii="Times New Roman" w:hAnsi="Times New Roman" w:cs="Times New Roman"/>
                <w:b/>
                <w:bCs/>
              </w:rPr>
              <w:br/>
            </w:r>
            <w:r w:rsidRPr="000E28CF">
              <w:rPr>
                <w:rFonts w:ascii="Times New Roman" w:hAnsi="Times New Roman" w:cs="Times New Roman"/>
              </w:rPr>
              <w:t>N = 488,299</w:t>
            </w:r>
          </w:p>
        </w:tc>
        <w:tc>
          <w:tcPr>
            <w:tcW w:w="2409" w:type="dxa"/>
            <w:gridSpan w:val="2"/>
          </w:tcPr>
          <w:p w14:paraId="12B2B096" w14:textId="77777777" w:rsidR="00CD7E5F" w:rsidRPr="000E28CF" w:rsidRDefault="00CD7E5F" w:rsidP="00B3191F">
            <w:pPr>
              <w:spacing w:line="360" w:lineRule="auto"/>
              <w:jc w:val="center"/>
              <w:rPr>
                <w:rFonts w:ascii="Times New Roman" w:hAnsi="Times New Roman" w:cs="Times New Roman"/>
                <w:b/>
                <w:bCs/>
              </w:rPr>
            </w:pPr>
            <w:r w:rsidRPr="000E28CF">
              <w:rPr>
                <w:rFonts w:ascii="Times New Roman" w:hAnsi="Times New Roman" w:cs="Times New Roman"/>
                <w:b/>
                <w:bCs/>
              </w:rPr>
              <w:t>Swedish-born</w:t>
            </w:r>
            <w:r w:rsidRPr="000E28CF">
              <w:rPr>
                <w:rFonts w:ascii="Times New Roman" w:hAnsi="Times New Roman" w:cs="Times New Roman"/>
                <w:b/>
                <w:bCs/>
              </w:rPr>
              <w:br/>
            </w:r>
            <w:r w:rsidRPr="000E28CF">
              <w:rPr>
                <w:rFonts w:ascii="Times New Roman" w:hAnsi="Times New Roman" w:cs="Times New Roman"/>
              </w:rPr>
              <w:t>N = 4,444,617</w:t>
            </w:r>
          </w:p>
        </w:tc>
      </w:tr>
      <w:tr w:rsidR="00CD7E5F" w:rsidRPr="000E28CF" w14:paraId="1E3F56E5" w14:textId="77777777" w:rsidTr="00B3191F">
        <w:tc>
          <w:tcPr>
            <w:tcW w:w="2411" w:type="dxa"/>
          </w:tcPr>
          <w:p w14:paraId="1BE60D9E" w14:textId="77777777" w:rsidR="00CD7E5F" w:rsidRPr="000E28CF" w:rsidRDefault="00CD7E5F" w:rsidP="00B3191F">
            <w:pPr>
              <w:spacing w:line="360" w:lineRule="auto"/>
              <w:jc w:val="center"/>
              <w:rPr>
                <w:rFonts w:ascii="Times New Roman" w:hAnsi="Times New Roman" w:cs="Times New Roman"/>
              </w:rPr>
            </w:pPr>
          </w:p>
        </w:tc>
        <w:tc>
          <w:tcPr>
            <w:tcW w:w="2409" w:type="dxa"/>
          </w:tcPr>
          <w:p w14:paraId="63A53718" w14:textId="77777777" w:rsidR="00CD7E5F" w:rsidRPr="000E28CF" w:rsidRDefault="00CD7E5F" w:rsidP="00B3191F">
            <w:pPr>
              <w:spacing w:line="360" w:lineRule="auto"/>
              <w:jc w:val="center"/>
              <w:rPr>
                <w:rFonts w:ascii="Times New Roman" w:hAnsi="Times New Roman" w:cs="Times New Roman"/>
              </w:rPr>
            </w:pPr>
          </w:p>
        </w:tc>
        <w:tc>
          <w:tcPr>
            <w:tcW w:w="1701" w:type="dxa"/>
          </w:tcPr>
          <w:p w14:paraId="543F859C" w14:textId="77777777" w:rsidR="00CD7E5F" w:rsidRPr="000E28CF" w:rsidRDefault="00CD7E5F" w:rsidP="00B3191F">
            <w:pPr>
              <w:tabs>
                <w:tab w:val="center" w:pos="431"/>
                <w:tab w:val="right" w:pos="862"/>
              </w:tabs>
              <w:spacing w:line="360" w:lineRule="auto"/>
              <w:jc w:val="center"/>
              <w:rPr>
                <w:rFonts w:ascii="Times New Roman" w:hAnsi="Times New Roman" w:cs="Times New Roman"/>
              </w:rPr>
            </w:pPr>
            <w:r w:rsidRPr="000E28CF">
              <w:rPr>
                <w:rFonts w:ascii="Times New Roman" w:hAnsi="Times New Roman" w:cs="Times New Roman"/>
              </w:rPr>
              <w:t>N</w:t>
            </w:r>
          </w:p>
        </w:tc>
        <w:tc>
          <w:tcPr>
            <w:tcW w:w="1560" w:type="dxa"/>
          </w:tcPr>
          <w:p w14:paraId="23F58F1C"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rPr>
              <w:t>%</w:t>
            </w:r>
          </w:p>
        </w:tc>
        <w:tc>
          <w:tcPr>
            <w:tcW w:w="1275" w:type="dxa"/>
          </w:tcPr>
          <w:p w14:paraId="1E7FEC0E"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rPr>
              <w:t>N</w:t>
            </w:r>
          </w:p>
        </w:tc>
        <w:tc>
          <w:tcPr>
            <w:tcW w:w="1134" w:type="dxa"/>
          </w:tcPr>
          <w:p w14:paraId="2C8FA87C"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rPr>
              <w:t>%</w:t>
            </w:r>
          </w:p>
        </w:tc>
      </w:tr>
      <w:tr w:rsidR="00CD7E5F" w:rsidRPr="000E28CF" w14:paraId="11713B9A" w14:textId="77777777" w:rsidTr="00B3191F">
        <w:tc>
          <w:tcPr>
            <w:tcW w:w="2411" w:type="dxa"/>
            <w:vMerge w:val="restart"/>
          </w:tcPr>
          <w:p w14:paraId="7EF54B5B" w14:textId="77777777" w:rsidR="00CD7E5F" w:rsidRPr="000E28CF" w:rsidRDefault="00CD7E5F" w:rsidP="00B3191F">
            <w:pPr>
              <w:spacing w:line="360" w:lineRule="auto"/>
              <w:rPr>
                <w:rFonts w:ascii="Times New Roman" w:hAnsi="Times New Roman" w:cs="Times New Roman"/>
                <w:bCs/>
              </w:rPr>
            </w:pPr>
            <w:r w:rsidRPr="000E28CF">
              <w:rPr>
                <w:rFonts w:ascii="Times New Roman" w:hAnsi="Times New Roman" w:cs="Times New Roman"/>
                <w:bCs/>
              </w:rPr>
              <w:t>Sex</w:t>
            </w:r>
          </w:p>
        </w:tc>
        <w:tc>
          <w:tcPr>
            <w:tcW w:w="2409" w:type="dxa"/>
          </w:tcPr>
          <w:p w14:paraId="2358DCCB" w14:textId="77777777" w:rsidR="00CD7E5F" w:rsidRPr="000E28CF" w:rsidRDefault="00CD7E5F" w:rsidP="00B3191F">
            <w:pPr>
              <w:spacing w:line="360" w:lineRule="auto"/>
              <w:rPr>
                <w:rFonts w:ascii="Times New Roman" w:hAnsi="Times New Roman" w:cs="Times New Roman"/>
              </w:rPr>
            </w:pPr>
            <w:r w:rsidRPr="000E28CF">
              <w:rPr>
                <w:rFonts w:ascii="Times New Roman" w:hAnsi="Times New Roman" w:cs="Times New Roman"/>
              </w:rPr>
              <w:t>Women</w:t>
            </w:r>
          </w:p>
        </w:tc>
        <w:tc>
          <w:tcPr>
            <w:tcW w:w="1701" w:type="dxa"/>
          </w:tcPr>
          <w:p w14:paraId="231B1F9B"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rPr>
              <w:t>216 187</w:t>
            </w:r>
          </w:p>
        </w:tc>
        <w:tc>
          <w:tcPr>
            <w:tcW w:w="1560" w:type="dxa"/>
          </w:tcPr>
          <w:p w14:paraId="62983833"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rPr>
              <w:t>44.3</w:t>
            </w:r>
          </w:p>
        </w:tc>
        <w:tc>
          <w:tcPr>
            <w:tcW w:w="1275" w:type="dxa"/>
          </w:tcPr>
          <w:p w14:paraId="04B0F3E4"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2 170 597</w:t>
            </w:r>
          </w:p>
        </w:tc>
        <w:tc>
          <w:tcPr>
            <w:tcW w:w="1134" w:type="dxa"/>
          </w:tcPr>
          <w:p w14:paraId="138932DE"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rPr>
              <w:t>48.8</w:t>
            </w:r>
          </w:p>
        </w:tc>
      </w:tr>
      <w:tr w:rsidR="00CD7E5F" w:rsidRPr="000E28CF" w14:paraId="129183E4" w14:textId="77777777" w:rsidTr="00B3191F">
        <w:tc>
          <w:tcPr>
            <w:tcW w:w="2411" w:type="dxa"/>
            <w:vMerge/>
          </w:tcPr>
          <w:p w14:paraId="40084B54" w14:textId="77777777" w:rsidR="00CD7E5F" w:rsidRPr="000E28CF" w:rsidRDefault="00CD7E5F" w:rsidP="00B3191F">
            <w:pPr>
              <w:spacing w:line="360" w:lineRule="auto"/>
              <w:rPr>
                <w:rFonts w:ascii="Times New Roman" w:hAnsi="Times New Roman" w:cs="Times New Roman"/>
                <w:bCs/>
              </w:rPr>
            </w:pPr>
          </w:p>
        </w:tc>
        <w:tc>
          <w:tcPr>
            <w:tcW w:w="2409" w:type="dxa"/>
          </w:tcPr>
          <w:p w14:paraId="193E9AD4" w14:textId="77777777" w:rsidR="00CD7E5F" w:rsidRPr="000E28CF" w:rsidRDefault="00CD7E5F" w:rsidP="00B3191F">
            <w:pPr>
              <w:spacing w:line="360" w:lineRule="auto"/>
              <w:rPr>
                <w:rFonts w:ascii="Times New Roman" w:hAnsi="Times New Roman" w:cs="Times New Roman"/>
              </w:rPr>
            </w:pPr>
            <w:r w:rsidRPr="000E28CF">
              <w:rPr>
                <w:rFonts w:ascii="Times New Roman" w:hAnsi="Times New Roman" w:cs="Times New Roman"/>
              </w:rPr>
              <w:t>Men</w:t>
            </w:r>
          </w:p>
        </w:tc>
        <w:tc>
          <w:tcPr>
            <w:tcW w:w="1701" w:type="dxa"/>
          </w:tcPr>
          <w:p w14:paraId="11C66B2B"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rPr>
              <w:t>272 112</w:t>
            </w:r>
          </w:p>
        </w:tc>
        <w:tc>
          <w:tcPr>
            <w:tcW w:w="1560" w:type="dxa"/>
          </w:tcPr>
          <w:p w14:paraId="040A1449"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rPr>
              <w:t>55.7</w:t>
            </w:r>
          </w:p>
        </w:tc>
        <w:tc>
          <w:tcPr>
            <w:tcW w:w="1275" w:type="dxa"/>
          </w:tcPr>
          <w:p w14:paraId="11B8E8D3"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2 274 020</w:t>
            </w:r>
          </w:p>
        </w:tc>
        <w:tc>
          <w:tcPr>
            <w:tcW w:w="1134" w:type="dxa"/>
          </w:tcPr>
          <w:p w14:paraId="7DC891E2"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rPr>
              <w:t>51.2</w:t>
            </w:r>
          </w:p>
        </w:tc>
      </w:tr>
      <w:tr w:rsidR="00CD7E5F" w:rsidRPr="000E28CF" w14:paraId="750F7C27" w14:textId="77777777" w:rsidTr="00B3191F">
        <w:tc>
          <w:tcPr>
            <w:tcW w:w="2411" w:type="dxa"/>
            <w:vMerge w:val="restart"/>
          </w:tcPr>
          <w:p w14:paraId="737D6DCF" w14:textId="77777777" w:rsidR="00CD7E5F" w:rsidRPr="000E28CF" w:rsidRDefault="00CD7E5F" w:rsidP="00B3191F">
            <w:pPr>
              <w:spacing w:line="360" w:lineRule="auto"/>
              <w:rPr>
                <w:rFonts w:ascii="Times New Roman" w:hAnsi="Times New Roman" w:cs="Times New Roman"/>
                <w:bCs/>
              </w:rPr>
            </w:pPr>
            <w:r w:rsidRPr="000E28CF">
              <w:rPr>
                <w:rFonts w:ascii="Times New Roman" w:hAnsi="Times New Roman" w:cs="Times New Roman"/>
                <w:bCs/>
              </w:rPr>
              <w:t>Age-groups (years)</w:t>
            </w:r>
          </w:p>
        </w:tc>
        <w:tc>
          <w:tcPr>
            <w:tcW w:w="2409" w:type="dxa"/>
          </w:tcPr>
          <w:p w14:paraId="2DEA8FF1" w14:textId="77777777" w:rsidR="00CD7E5F" w:rsidRPr="000E28CF" w:rsidRDefault="00CD7E5F" w:rsidP="00B3191F">
            <w:pPr>
              <w:spacing w:line="360" w:lineRule="auto"/>
              <w:rPr>
                <w:rFonts w:ascii="Times New Roman" w:hAnsi="Times New Roman" w:cs="Times New Roman"/>
              </w:rPr>
            </w:pPr>
            <w:r w:rsidRPr="000E28CF">
              <w:rPr>
                <w:rFonts w:ascii="Times New Roman" w:hAnsi="Times New Roman" w:cs="Times New Roman"/>
              </w:rPr>
              <w:t>19</w:t>
            </w:r>
            <w:r w:rsidRPr="000E28CF">
              <w:rPr>
                <w:rFonts w:ascii="Times New Roman" w:hAnsi="Times New Roman" w:cs="Times New Roman"/>
                <w:color w:val="000000"/>
              </w:rPr>
              <w:t>–</w:t>
            </w:r>
            <w:r w:rsidRPr="000E28CF">
              <w:rPr>
                <w:rFonts w:ascii="Times New Roman" w:hAnsi="Times New Roman" w:cs="Times New Roman"/>
              </w:rPr>
              <w:t>25</w:t>
            </w:r>
          </w:p>
        </w:tc>
        <w:tc>
          <w:tcPr>
            <w:tcW w:w="1701" w:type="dxa"/>
          </w:tcPr>
          <w:p w14:paraId="1AA0E034"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77 736</w:t>
            </w:r>
          </w:p>
        </w:tc>
        <w:tc>
          <w:tcPr>
            <w:tcW w:w="1560" w:type="dxa"/>
          </w:tcPr>
          <w:p w14:paraId="28C5E197"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15.9</w:t>
            </w:r>
          </w:p>
        </w:tc>
        <w:tc>
          <w:tcPr>
            <w:tcW w:w="1275" w:type="dxa"/>
          </w:tcPr>
          <w:p w14:paraId="4A6C2842"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646 218</w:t>
            </w:r>
          </w:p>
        </w:tc>
        <w:tc>
          <w:tcPr>
            <w:tcW w:w="1134" w:type="dxa"/>
          </w:tcPr>
          <w:p w14:paraId="325153FA"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14.5</w:t>
            </w:r>
          </w:p>
        </w:tc>
      </w:tr>
      <w:tr w:rsidR="00CD7E5F" w:rsidRPr="000E28CF" w14:paraId="4EBEE9B5" w14:textId="77777777" w:rsidTr="00B3191F">
        <w:tc>
          <w:tcPr>
            <w:tcW w:w="2411" w:type="dxa"/>
            <w:vMerge/>
          </w:tcPr>
          <w:p w14:paraId="6E1AD84E" w14:textId="77777777" w:rsidR="00CD7E5F" w:rsidRPr="000E28CF" w:rsidRDefault="00CD7E5F" w:rsidP="00B3191F">
            <w:pPr>
              <w:spacing w:line="360" w:lineRule="auto"/>
              <w:rPr>
                <w:rFonts w:ascii="Times New Roman" w:hAnsi="Times New Roman" w:cs="Times New Roman"/>
                <w:bCs/>
              </w:rPr>
            </w:pPr>
          </w:p>
        </w:tc>
        <w:tc>
          <w:tcPr>
            <w:tcW w:w="2409" w:type="dxa"/>
          </w:tcPr>
          <w:p w14:paraId="16E91728" w14:textId="77777777" w:rsidR="00CD7E5F" w:rsidRPr="000E28CF" w:rsidRDefault="00CD7E5F" w:rsidP="00B3191F">
            <w:pPr>
              <w:spacing w:line="360" w:lineRule="auto"/>
              <w:rPr>
                <w:rFonts w:ascii="Times New Roman" w:hAnsi="Times New Roman" w:cs="Times New Roman"/>
              </w:rPr>
            </w:pPr>
            <w:r w:rsidRPr="000E28CF">
              <w:rPr>
                <w:rFonts w:ascii="Times New Roman" w:hAnsi="Times New Roman" w:cs="Times New Roman"/>
              </w:rPr>
              <w:t>26</w:t>
            </w:r>
            <w:r w:rsidRPr="000E28CF">
              <w:rPr>
                <w:rFonts w:ascii="Times New Roman" w:hAnsi="Times New Roman" w:cs="Times New Roman"/>
                <w:color w:val="000000"/>
              </w:rPr>
              <w:t>–</w:t>
            </w:r>
            <w:r w:rsidRPr="000E28CF">
              <w:rPr>
                <w:rFonts w:ascii="Times New Roman" w:hAnsi="Times New Roman" w:cs="Times New Roman"/>
              </w:rPr>
              <w:t>35</w:t>
            </w:r>
          </w:p>
        </w:tc>
        <w:tc>
          <w:tcPr>
            <w:tcW w:w="1701" w:type="dxa"/>
          </w:tcPr>
          <w:p w14:paraId="072A25E3"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136 836</w:t>
            </w:r>
          </w:p>
        </w:tc>
        <w:tc>
          <w:tcPr>
            <w:tcW w:w="1560" w:type="dxa"/>
          </w:tcPr>
          <w:p w14:paraId="76FC2C76"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28.0</w:t>
            </w:r>
          </w:p>
        </w:tc>
        <w:tc>
          <w:tcPr>
            <w:tcW w:w="1275" w:type="dxa"/>
          </w:tcPr>
          <w:p w14:paraId="43429125"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1 008 618</w:t>
            </w:r>
          </w:p>
        </w:tc>
        <w:tc>
          <w:tcPr>
            <w:tcW w:w="1134" w:type="dxa"/>
          </w:tcPr>
          <w:p w14:paraId="6BC71008"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22.7</w:t>
            </w:r>
          </w:p>
        </w:tc>
      </w:tr>
      <w:tr w:rsidR="00CD7E5F" w:rsidRPr="000E28CF" w14:paraId="65CF15C5" w14:textId="77777777" w:rsidTr="00B3191F">
        <w:tc>
          <w:tcPr>
            <w:tcW w:w="2411" w:type="dxa"/>
            <w:vMerge/>
          </w:tcPr>
          <w:p w14:paraId="0D18A6B0" w14:textId="77777777" w:rsidR="00CD7E5F" w:rsidRPr="000E28CF" w:rsidRDefault="00CD7E5F" w:rsidP="00B3191F">
            <w:pPr>
              <w:spacing w:line="360" w:lineRule="auto"/>
              <w:rPr>
                <w:rFonts w:ascii="Times New Roman" w:hAnsi="Times New Roman" w:cs="Times New Roman"/>
                <w:bCs/>
              </w:rPr>
            </w:pPr>
          </w:p>
        </w:tc>
        <w:tc>
          <w:tcPr>
            <w:tcW w:w="2409" w:type="dxa"/>
          </w:tcPr>
          <w:p w14:paraId="05BF70ED" w14:textId="77777777" w:rsidR="00CD7E5F" w:rsidRPr="000E28CF" w:rsidRDefault="00CD7E5F" w:rsidP="00B3191F">
            <w:pPr>
              <w:spacing w:line="360" w:lineRule="auto"/>
              <w:rPr>
                <w:rFonts w:ascii="Times New Roman" w:hAnsi="Times New Roman" w:cs="Times New Roman"/>
              </w:rPr>
            </w:pPr>
            <w:r w:rsidRPr="000E28CF">
              <w:rPr>
                <w:rFonts w:ascii="Times New Roman" w:hAnsi="Times New Roman" w:cs="Times New Roman"/>
              </w:rPr>
              <w:t>36</w:t>
            </w:r>
            <w:r w:rsidRPr="000E28CF">
              <w:rPr>
                <w:rFonts w:ascii="Times New Roman" w:hAnsi="Times New Roman" w:cs="Times New Roman"/>
                <w:color w:val="000000"/>
              </w:rPr>
              <w:t>–</w:t>
            </w:r>
            <w:r w:rsidRPr="000E28CF">
              <w:rPr>
                <w:rFonts w:ascii="Times New Roman" w:hAnsi="Times New Roman" w:cs="Times New Roman"/>
              </w:rPr>
              <w:t>45</w:t>
            </w:r>
          </w:p>
        </w:tc>
        <w:tc>
          <w:tcPr>
            <w:tcW w:w="1701" w:type="dxa"/>
          </w:tcPr>
          <w:p w14:paraId="1C5BF669"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108 143</w:t>
            </w:r>
          </w:p>
        </w:tc>
        <w:tc>
          <w:tcPr>
            <w:tcW w:w="1560" w:type="dxa"/>
          </w:tcPr>
          <w:p w14:paraId="0F08EA79"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22.1</w:t>
            </w:r>
          </w:p>
        </w:tc>
        <w:tc>
          <w:tcPr>
            <w:tcW w:w="1275" w:type="dxa"/>
          </w:tcPr>
          <w:p w14:paraId="6417CCA4"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904 394</w:t>
            </w:r>
          </w:p>
        </w:tc>
        <w:tc>
          <w:tcPr>
            <w:tcW w:w="1134" w:type="dxa"/>
          </w:tcPr>
          <w:p w14:paraId="0012A1A0"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20.3</w:t>
            </w:r>
          </w:p>
        </w:tc>
      </w:tr>
      <w:tr w:rsidR="00CD7E5F" w:rsidRPr="000E28CF" w14:paraId="7D086447" w14:textId="77777777" w:rsidTr="00B3191F">
        <w:tc>
          <w:tcPr>
            <w:tcW w:w="2411" w:type="dxa"/>
            <w:vMerge/>
          </w:tcPr>
          <w:p w14:paraId="54830B92" w14:textId="77777777" w:rsidR="00CD7E5F" w:rsidRPr="000E28CF" w:rsidRDefault="00CD7E5F" w:rsidP="00B3191F">
            <w:pPr>
              <w:spacing w:line="360" w:lineRule="auto"/>
              <w:rPr>
                <w:rFonts w:ascii="Times New Roman" w:hAnsi="Times New Roman" w:cs="Times New Roman"/>
                <w:bCs/>
              </w:rPr>
            </w:pPr>
          </w:p>
        </w:tc>
        <w:tc>
          <w:tcPr>
            <w:tcW w:w="2409" w:type="dxa"/>
          </w:tcPr>
          <w:p w14:paraId="425FC1D2" w14:textId="77777777" w:rsidR="00CD7E5F" w:rsidRPr="000E28CF" w:rsidRDefault="00CD7E5F" w:rsidP="00B3191F">
            <w:pPr>
              <w:spacing w:line="360" w:lineRule="auto"/>
              <w:rPr>
                <w:rFonts w:ascii="Times New Roman" w:hAnsi="Times New Roman" w:cs="Times New Roman"/>
              </w:rPr>
            </w:pPr>
            <w:r w:rsidRPr="000E28CF">
              <w:rPr>
                <w:rFonts w:ascii="Times New Roman" w:hAnsi="Times New Roman" w:cs="Times New Roman"/>
              </w:rPr>
              <w:t>46</w:t>
            </w:r>
            <w:r w:rsidRPr="000E28CF">
              <w:rPr>
                <w:rFonts w:ascii="Times New Roman" w:hAnsi="Times New Roman" w:cs="Times New Roman"/>
                <w:color w:val="000000"/>
              </w:rPr>
              <w:t>–</w:t>
            </w:r>
            <w:r w:rsidRPr="000E28CF">
              <w:rPr>
                <w:rFonts w:ascii="Times New Roman" w:hAnsi="Times New Roman" w:cs="Times New Roman"/>
              </w:rPr>
              <w:t>55</w:t>
            </w:r>
          </w:p>
        </w:tc>
        <w:tc>
          <w:tcPr>
            <w:tcW w:w="1701" w:type="dxa"/>
          </w:tcPr>
          <w:p w14:paraId="6E9B70B3"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97 569</w:t>
            </w:r>
          </w:p>
        </w:tc>
        <w:tc>
          <w:tcPr>
            <w:tcW w:w="1560" w:type="dxa"/>
          </w:tcPr>
          <w:p w14:paraId="5C3F73F1"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20.0</w:t>
            </w:r>
          </w:p>
        </w:tc>
        <w:tc>
          <w:tcPr>
            <w:tcW w:w="1275" w:type="dxa"/>
          </w:tcPr>
          <w:p w14:paraId="094FDA91"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1 048 612</w:t>
            </w:r>
          </w:p>
        </w:tc>
        <w:tc>
          <w:tcPr>
            <w:tcW w:w="1134" w:type="dxa"/>
          </w:tcPr>
          <w:p w14:paraId="5780A35F"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23.6</w:t>
            </w:r>
          </w:p>
        </w:tc>
      </w:tr>
      <w:tr w:rsidR="00CD7E5F" w:rsidRPr="000E28CF" w14:paraId="01D29EAB" w14:textId="77777777" w:rsidTr="00B3191F">
        <w:tc>
          <w:tcPr>
            <w:tcW w:w="2411" w:type="dxa"/>
            <w:vMerge/>
          </w:tcPr>
          <w:p w14:paraId="45FBDFCB" w14:textId="77777777" w:rsidR="00CD7E5F" w:rsidRPr="000E28CF" w:rsidRDefault="00CD7E5F" w:rsidP="00B3191F">
            <w:pPr>
              <w:spacing w:line="360" w:lineRule="auto"/>
              <w:rPr>
                <w:rFonts w:ascii="Times New Roman" w:hAnsi="Times New Roman" w:cs="Times New Roman"/>
                <w:bCs/>
              </w:rPr>
            </w:pPr>
          </w:p>
        </w:tc>
        <w:tc>
          <w:tcPr>
            <w:tcW w:w="2409" w:type="dxa"/>
          </w:tcPr>
          <w:p w14:paraId="6AC54D14" w14:textId="77777777" w:rsidR="00CD7E5F" w:rsidRPr="000E28CF" w:rsidRDefault="00CD7E5F" w:rsidP="00B3191F">
            <w:pPr>
              <w:spacing w:line="360" w:lineRule="auto"/>
              <w:rPr>
                <w:rFonts w:ascii="Times New Roman" w:hAnsi="Times New Roman" w:cs="Times New Roman"/>
              </w:rPr>
            </w:pPr>
            <w:r w:rsidRPr="000E28CF">
              <w:rPr>
                <w:rFonts w:ascii="Times New Roman" w:hAnsi="Times New Roman" w:cs="Times New Roman"/>
              </w:rPr>
              <w:t>56</w:t>
            </w:r>
            <w:r w:rsidRPr="000E28CF">
              <w:rPr>
                <w:rFonts w:ascii="Times New Roman" w:hAnsi="Times New Roman" w:cs="Times New Roman"/>
                <w:color w:val="000000"/>
              </w:rPr>
              <w:t>–</w:t>
            </w:r>
            <w:r w:rsidRPr="000E28CF">
              <w:rPr>
                <w:rFonts w:ascii="Times New Roman" w:hAnsi="Times New Roman" w:cs="Times New Roman"/>
              </w:rPr>
              <w:t>64</w:t>
            </w:r>
          </w:p>
        </w:tc>
        <w:tc>
          <w:tcPr>
            <w:tcW w:w="1701" w:type="dxa"/>
          </w:tcPr>
          <w:p w14:paraId="2E2AEC68"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68 015</w:t>
            </w:r>
          </w:p>
        </w:tc>
        <w:tc>
          <w:tcPr>
            <w:tcW w:w="1560" w:type="dxa"/>
          </w:tcPr>
          <w:p w14:paraId="3FBC1A3D"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13.9</w:t>
            </w:r>
          </w:p>
        </w:tc>
        <w:tc>
          <w:tcPr>
            <w:tcW w:w="1275" w:type="dxa"/>
          </w:tcPr>
          <w:p w14:paraId="2E476270"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836 775</w:t>
            </w:r>
          </w:p>
        </w:tc>
        <w:tc>
          <w:tcPr>
            <w:tcW w:w="1134" w:type="dxa"/>
          </w:tcPr>
          <w:p w14:paraId="03983915"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18.8</w:t>
            </w:r>
          </w:p>
        </w:tc>
      </w:tr>
      <w:tr w:rsidR="00CD7E5F" w:rsidRPr="000E28CF" w14:paraId="4E82A051" w14:textId="77777777" w:rsidTr="00B3191F">
        <w:tc>
          <w:tcPr>
            <w:tcW w:w="2411" w:type="dxa"/>
            <w:vMerge w:val="restart"/>
          </w:tcPr>
          <w:p w14:paraId="081DB6E7" w14:textId="77777777" w:rsidR="00CD7E5F" w:rsidRPr="000E28CF" w:rsidRDefault="00CD7E5F" w:rsidP="00B3191F">
            <w:pPr>
              <w:spacing w:line="360" w:lineRule="auto"/>
              <w:rPr>
                <w:rFonts w:ascii="Times New Roman" w:hAnsi="Times New Roman" w:cs="Times New Roman"/>
                <w:bCs/>
              </w:rPr>
            </w:pPr>
            <w:r w:rsidRPr="000E28CF">
              <w:rPr>
                <w:rFonts w:ascii="Times New Roman" w:hAnsi="Times New Roman" w:cs="Times New Roman"/>
                <w:bCs/>
              </w:rPr>
              <w:t>Years of education</w:t>
            </w:r>
          </w:p>
        </w:tc>
        <w:tc>
          <w:tcPr>
            <w:tcW w:w="2409" w:type="dxa"/>
          </w:tcPr>
          <w:p w14:paraId="76FE78E9" w14:textId="77777777" w:rsidR="00CD7E5F" w:rsidRPr="000E28CF" w:rsidRDefault="00CD7E5F" w:rsidP="00B3191F">
            <w:pPr>
              <w:spacing w:line="360" w:lineRule="auto"/>
              <w:rPr>
                <w:rFonts w:ascii="Times New Roman" w:hAnsi="Times New Roman" w:cs="Times New Roman"/>
              </w:rPr>
            </w:pPr>
            <w:r w:rsidRPr="000E28CF">
              <w:rPr>
                <w:rFonts w:ascii="Times New Roman" w:hAnsi="Times New Roman" w:cs="Times New Roman"/>
              </w:rPr>
              <w:t xml:space="preserve">≤9 </w:t>
            </w:r>
          </w:p>
        </w:tc>
        <w:tc>
          <w:tcPr>
            <w:tcW w:w="1701" w:type="dxa"/>
          </w:tcPr>
          <w:p w14:paraId="1B716DEF"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165 962</w:t>
            </w:r>
          </w:p>
        </w:tc>
        <w:tc>
          <w:tcPr>
            <w:tcW w:w="1560" w:type="dxa"/>
          </w:tcPr>
          <w:p w14:paraId="699338B9"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34.0</w:t>
            </w:r>
          </w:p>
        </w:tc>
        <w:tc>
          <w:tcPr>
            <w:tcW w:w="1275" w:type="dxa"/>
          </w:tcPr>
          <w:p w14:paraId="4FF3F550"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511 945</w:t>
            </w:r>
          </w:p>
        </w:tc>
        <w:tc>
          <w:tcPr>
            <w:tcW w:w="1134" w:type="dxa"/>
          </w:tcPr>
          <w:p w14:paraId="5D16CB50"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11.5</w:t>
            </w:r>
          </w:p>
        </w:tc>
      </w:tr>
      <w:tr w:rsidR="00CD7E5F" w:rsidRPr="000E28CF" w14:paraId="4AEBA6AB" w14:textId="77777777" w:rsidTr="00B3191F">
        <w:tc>
          <w:tcPr>
            <w:tcW w:w="2411" w:type="dxa"/>
            <w:vMerge/>
          </w:tcPr>
          <w:p w14:paraId="044D1E9E" w14:textId="77777777" w:rsidR="00CD7E5F" w:rsidRPr="000E28CF" w:rsidRDefault="00CD7E5F" w:rsidP="00B3191F">
            <w:pPr>
              <w:spacing w:line="360" w:lineRule="auto"/>
              <w:rPr>
                <w:rFonts w:ascii="Times New Roman" w:hAnsi="Times New Roman" w:cs="Times New Roman"/>
                <w:bCs/>
              </w:rPr>
            </w:pPr>
          </w:p>
        </w:tc>
        <w:tc>
          <w:tcPr>
            <w:tcW w:w="2409" w:type="dxa"/>
          </w:tcPr>
          <w:p w14:paraId="1D9C490D" w14:textId="77777777" w:rsidR="00CD7E5F" w:rsidRPr="000E28CF" w:rsidRDefault="00CD7E5F" w:rsidP="00B3191F">
            <w:pPr>
              <w:spacing w:line="360" w:lineRule="auto"/>
              <w:rPr>
                <w:rFonts w:ascii="Times New Roman" w:hAnsi="Times New Roman" w:cs="Times New Roman"/>
              </w:rPr>
            </w:pPr>
            <w:r w:rsidRPr="000E28CF">
              <w:rPr>
                <w:rFonts w:ascii="Times New Roman" w:hAnsi="Times New Roman" w:cs="Times New Roman"/>
              </w:rPr>
              <w:t>&gt;9</w:t>
            </w:r>
          </w:p>
        </w:tc>
        <w:tc>
          <w:tcPr>
            <w:tcW w:w="1701" w:type="dxa"/>
          </w:tcPr>
          <w:p w14:paraId="0FAB2D4D"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322 337</w:t>
            </w:r>
          </w:p>
        </w:tc>
        <w:tc>
          <w:tcPr>
            <w:tcW w:w="1560" w:type="dxa"/>
          </w:tcPr>
          <w:p w14:paraId="34F59194"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66.0</w:t>
            </w:r>
          </w:p>
        </w:tc>
        <w:tc>
          <w:tcPr>
            <w:tcW w:w="1275" w:type="dxa"/>
          </w:tcPr>
          <w:p w14:paraId="4BDEB3DB"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3 932 672</w:t>
            </w:r>
          </w:p>
        </w:tc>
        <w:tc>
          <w:tcPr>
            <w:tcW w:w="1134" w:type="dxa"/>
          </w:tcPr>
          <w:p w14:paraId="39A6B146"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88.5</w:t>
            </w:r>
          </w:p>
        </w:tc>
      </w:tr>
      <w:tr w:rsidR="00CD7E5F" w:rsidRPr="000E28CF" w14:paraId="36B1F9A6" w14:textId="77777777" w:rsidTr="00B3191F">
        <w:tc>
          <w:tcPr>
            <w:tcW w:w="2411" w:type="dxa"/>
            <w:vMerge w:val="restart"/>
          </w:tcPr>
          <w:p w14:paraId="4D65B899" w14:textId="77777777" w:rsidR="00CD7E5F" w:rsidRPr="000E28CF" w:rsidRDefault="00CD7E5F" w:rsidP="00B3191F">
            <w:pPr>
              <w:spacing w:line="360" w:lineRule="auto"/>
              <w:rPr>
                <w:rFonts w:ascii="Times New Roman" w:hAnsi="Times New Roman" w:cs="Times New Roman"/>
                <w:bCs/>
              </w:rPr>
            </w:pPr>
            <w:r w:rsidRPr="000E28CF">
              <w:rPr>
                <w:rFonts w:ascii="Times New Roman" w:hAnsi="Times New Roman" w:cs="Times New Roman"/>
                <w:bCs/>
              </w:rPr>
              <w:t>Level of urbanization</w:t>
            </w:r>
          </w:p>
        </w:tc>
        <w:tc>
          <w:tcPr>
            <w:tcW w:w="2409" w:type="dxa"/>
          </w:tcPr>
          <w:p w14:paraId="5267B48D" w14:textId="77777777" w:rsidR="00CD7E5F" w:rsidRPr="000E28CF" w:rsidRDefault="00CD7E5F" w:rsidP="00B3191F">
            <w:pPr>
              <w:spacing w:line="360" w:lineRule="auto"/>
              <w:rPr>
                <w:rFonts w:ascii="Times New Roman" w:hAnsi="Times New Roman" w:cs="Times New Roman"/>
              </w:rPr>
            </w:pPr>
            <w:r w:rsidRPr="000E28CF">
              <w:rPr>
                <w:rFonts w:ascii="Times New Roman" w:hAnsi="Times New Roman" w:cs="Times New Roman"/>
              </w:rPr>
              <w:t xml:space="preserve">Cities </w:t>
            </w:r>
          </w:p>
        </w:tc>
        <w:tc>
          <w:tcPr>
            <w:tcW w:w="1701" w:type="dxa"/>
          </w:tcPr>
          <w:p w14:paraId="6F865F6F"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243 766</w:t>
            </w:r>
          </w:p>
        </w:tc>
        <w:tc>
          <w:tcPr>
            <w:tcW w:w="1560" w:type="dxa"/>
          </w:tcPr>
          <w:p w14:paraId="110819D7"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49.9</w:t>
            </w:r>
          </w:p>
        </w:tc>
        <w:tc>
          <w:tcPr>
            <w:tcW w:w="1275" w:type="dxa"/>
          </w:tcPr>
          <w:p w14:paraId="7ED411F6"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1 699 065</w:t>
            </w:r>
          </w:p>
        </w:tc>
        <w:tc>
          <w:tcPr>
            <w:tcW w:w="1134" w:type="dxa"/>
          </w:tcPr>
          <w:p w14:paraId="28C207CD"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38.2</w:t>
            </w:r>
          </w:p>
        </w:tc>
      </w:tr>
      <w:tr w:rsidR="00CD7E5F" w:rsidRPr="000E28CF" w14:paraId="34787D63" w14:textId="77777777" w:rsidTr="00B3191F">
        <w:tc>
          <w:tcPr>
            <w:tcW w:w="2411" w:type="dxa"/>
            <w:vMerge/>
          </w:tcPr>
          <w:p w14:paraId="64C3154B" w14:textId="77777777" w:rsidR="00CD7E5F" w:rsidRPr="000E28CF" w:rsidRDefault="00CD7E5F" w:rsidP="00B3191F">
            <w:pPr>
              <w:spacing w:line="360" w:lineRule="auto"/>
              <w:rPr>
                <w:rFonts w:ascii="Times New Roman" w:hAnsi="Times New Roman" w:cs="Times New Roman"/>
                <w:bCs/>
              </w:rPr>
            </w:pPr>
          </w:p>
        </w:tc>
        <w:tc>
          <w:tcPr>
            <w:tcW w:w="2409" w:type="dxa"/>
          </w:tcPr>
          <w:p w14:paraId="2B14BCBB" w14:textId="77777777" w:rsidR="00CD7E5F" w:rsidRPr="000E28CF" w:rsidRDefault="00CD7E5F" w:rsidP="00B3191F">
            <w:pPr>
              <w:spacing w:line="360" w:lineRule="auto"/>
              <w:rPr>
                <w:rFonts w:ascii="Times New Roman" w:hAnsi="Times New Roman" w:cs="Times New Roman"/>
              </w:rPr>
            </w:pPr>
            <w:r w:rsidRPr="000E28CF">
              <w:rPr>
                <w:rFonts w:ascii="Times New Roman" w:hAnsi="Times New Roman" w:cs="Times New Roman"/>
              </w:rPr>
              <w:t>Middle size towns and villages</w:t>
            </w:r>
          </w:p>
        </w:tc>
        <w:tc>
          <w:tcPr>
            <w:tcW w:w="1701" w:type="dxa"/>
          </w:tcPr>
          <w:p w14:paraId="55992DA5"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178 552</w:t>
            </w:r>
          </w:p>
        </w:tc>
        <w:tc>
          <w:tcPr>
            <w:tcW w:w="1560" w:type="dxa"/>
          </w:tcPr>
          <w:p w14:paraId="7078F95E"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36.6</w:t>
            </w:r>
          </w:p>
        </w:tc>
        <w:tc>
          <w:tcPr>
            <w:tcW w:w="1275" w:type="dxa"/>
          </w:tcPr>
          <w:p w14:paraId="6C037099"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1 862 555</w:t>
            </w:r>
          </w:p>
        </w:tc>
        <w:tc>
          <w:tcPr>
            <w:tcW w:w="1134" w:type="dxa"/>
          </w:tcPr>
          <w:p w14:paraId="5B039BAF"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41.9</w:t>
            </w:r>
          </w:p>
        </w:tc>
      </w:tr>
      <w:tr w:rsidR="00CD7E5F" w:rsidRPr="000E28CF" w14:paraId="0B3A227F" w14:textId="77777777" w:rsidTr="00B3191F">
        <w:tc>
          <w:tcPr>
            <w:tcW w:w="2411" w:type="dxa"/>
            <w:vMerge/>
          </w:tcPr>
          <w:p w14:paraId="0D6F1FA0" w14:textId="77777777" w:rsidR="00CD7E5F" w:rsidRPr="000E28CF" w:rsidRDefault="00CD7E5F" w:rsidP="00B3191F">
            <w:pPr>
              <w:spacing w:line="360" w:lineRule="auto"/>
              <w:rPr>
                <w:rFonts w:ascii="Times New Roman" w:hAnsi="Times New Roman" w:cs="Times New Roman"/>
                <w:bCs/>
              </w:rPr>
            </w:pPr>
          </w:p>
        </w:tc>
        <w:tc>
          <w:tcPr>
            <w:tcW w:w="2409" w:type="dxa"/>
          </w:tcPr>
          <w:p w14:paraId="7B1CFCBC" w14:textId="77777777" w:rsidR="00CD7E5F" w:rsidRPr="000E28CF" w:rsidRDefault="00CD7E5F" w:rsidP="00B3191F">
            <w:pPr>
              <w:spacing w:line="360" w:lineRule="auto"/>
              <w:rPr>
                <w:rFonts w:ascii="Times New Roman" w:hAnsi="Times New Roman" w:cs="Times New Roman"/>
              </w:rPr>
            </w:pPr>
            <w:r w:rsidRPr="000E28CF">
              <w:rPr>
                <w:rFonts w:ascii="Times New Roman" w:hAnsi="Times New Roman" w:cs="Times New Roman"/>
              </w:rPr>
              <w:t>Rural areas</w:t>
            </w:r>
          </w:p>
        </w:tc>
        <w:tc>
          <w:tcPr>
            <w:tcW w:w="1701" w:type="dxa"/>
          </w:tcPr>
          <w:p w14:paraId="2218C0AB"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65 981</w:t>
            </w:r>
          </w:p>
        </w:tc>
        <w:tc>
          <w:tcPr>
            <w:tcW w:w="1560" w:type="dxa"/>
          </w:tcPr>
          <w:p w14:paraId="2AA42A14"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13.5</w:t>
            </w:r>
          </w:p>
        </w:tc>
        <w:tc>
          <w:tcPr>
            <w:tcW w:w="1275" w:type="dxa"/>
          </w:tcPr>
          <w:p w14:paraId="76EEFF74"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882 997</w:t>
            </w:r>
          </w:p>
        </w:tc>
        <w:tc>
          <w:tcPr>
            <w:tcW w:w="1134" w:type="dxa"/>
          </w:tcPr>
          <w:p w14:paraId="49CAFC34"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19.9</w:t>
            </w:r>
          </w:p>
        </w:tc>
      </w:tr>
      <w:tr w:rsidR="00CD7E5F" w:rsidRPr="000E28CF" w14:paraId="43E3F43F" w14:textId="77777777" w:rsidTr="00B3191F">
        <w:tc>
          <w:tcPr>
            <w:tcW w:w="2411" w:type="dxa"/>
            <w:vMerge w:val="restart"/>
          </w:tcPr>
          <w:p w14:paraId="504A202D" w14:textId="77777777" w:rsidR="00CD7E5F" w:rsidRPr="000E28CF" w:rsidRDefault="00CD7E5F" w:rsidP="00B3191F">
            <w:pPr>
              <w:spacing w:line="360" w:lineRule="auto"/>
              <w:rPr>
                <w:rFonts w:ascii="Times New Roman" w:hAnsi="Times New Roman" w:cs="Times New Roman"/>
                <w:bCs/>
              </w:rPr>
            </w:pPr>
            <w:r w:rsidRPr="000E28CF">
              <w:rPr>
                <w:rFonts w:ascii="Times New Roman" w:hAnsi="Times New Roman" w:cs="Times New Roman"/>
                <w:bCs/>
              </w:rPr>
              <w:t>Sickness absence</w:t>
            </w:r>
          </w:p>
        </w:tc>
        <w:tc>
          <w:tcPr>
            <w:tcW w:w="2409" w:type="dxa"/>
          </w:tcPr>
          <w:p w14:paraId="46C14779" w14:textId="77777777" w:rsidR="00CD7E5F" w:rsidRPr="000E28CF" w:rsidRDefault="00CD7E5F" w:rsidP="00B3191F">
            <w:pPr>
              <w:spacing w:line="360" w:lineRule="auto"/>
              <w:rPr>
                <w:rFonts w:ascii="Times New Roman" w:hAnsi="Times New Roman" w:cs="Times New Roman"/>
              </w:rPr>
            </w:pPr>
            <w:r w:rsidRPr="000E28CF">
              <w:rPr>
                <w:rFonts w:ascii="Times New Roman" w:hAnsi="Times New Roman" w:cs="Times New Roman"/>
              </w:rPr>
              <w:t>Yes</w:t>
            </w:r>
          </w:p>
        </w:tc>
        <w:tc>
          <w:tcPr>
            <w:tcW w:w="1701" w:type="dxa"/>
          </w:tcPr>
          <w:p w14:paraId="7FDFC0B9"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38 499</w:t>
            </w:r>
          </w:p>
        </w:tc>
        <w:tc>
          <w:tcPr>
            <w:tcW w:w="1560" w:type="dxa"/>
          </w:tcPr>
          <w:p w14:paraId="45F17C42"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7.9</w:t>
            </w:r>
          </w:p>
        </w:tc>
        <w:tc>
          <w:tcPr>
            <w:tcW w:w="1275" w:type="dxa"/>
          </w:tcPr>
          <w:p w14:paraId="5C38BDFA"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490 192</w:t>
            </w:r>
          </w:p>
        </w:tc>
        <w:tc>
          <w:tcPr>
            <w:tcW w:w="1134" w:type="dxa"/>
          </w:tcPr>
          <w:p w14:paraId="07DCFD09"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11.0</w:t>
            </w:r>
          </w:p>
        </w:tc>
      </w:tr>
      <w:tr w:rsidR="00CD7E5F" w:rsidRPr="000E28CF" w14:paraId="5FCAED26" w14:textId="77777777" w:rsidTr="00B3191F">
        <w:tc>
          <w:tcPr>
            <w:tcW w:w="2411" w:type="dxa"/>
            <w:vMerge/>
          </w:tcPr>
          <w:p w14:paraId="1B1DF4A6" w14:textId="77777777" w:rsidR="00CD7E5F" w:rsidRPr="000E28CF" w:rsidRDefault="00CD7E5F" w:rsidP="00B3191F">
            <w:pPr>
              <w:spacing w:line="360" w:lineRule="auto"/>
              <w:rPr>
                <w:rFonts w:ascii="Times New Roman" w:hAnsi="Times New Roman" w:cs="Times New Roman"/>
                <w:bCs/>
              </w:rPr>
            </w:pPr>
          </w:p>
        </w:tc>
        <w:tc>
          <w:tcPr>
            <w:tcW w:w="2409" w:type="dxa"/>
          </w:tcPr>
          <w:p w14:paraId="673F3D06" w14:textId="77777777" w:rsidR="00CD7E5F" w:rsidRPr="000E28CF" w:rsidRDefault="00CD7E5F" w:rsidP="00B3191F">
            <w:pPr>
              <w:spacing w:line="360" w:lineRule="auto"/>
              <w:rPr>
                <w:rFonts w:ascii="Times New Roman" w:hAnsi="Times New Roman" w:cs="Times New Roman"/>
              </w:rPr>
            </w:pPr>
            <w:r w:rsidRPr="000E28CF">
              <w:rPr>
                <w:rFonts w:ascii="Times New Roman" w:hAnsi="Times New Roman" w:cs="Times New Roman"/>
              </w:rPr>
              <w:t>No</w:t>
            </w:r>
          </w:p>
        </w:tc>
        <w:tc>
          <w:tcPr>
            <w:tcW w:w="1701" w:type="dxa"/>
          </w:tcPr>
          <w:p w14:paraId="0014FC48"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449 800</w:t>
            </w:r>
          </w:p>
        </w:tc>
        <w:tc>
          <w:tcPr>
            <w:tcW w:w="1560" w:type="dxa"/>
          </w:tcPr>
          <w:p w14:paraId="401EF540"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92.1</w:t>
            </w:r>
          </w:p>
        </w:tc>
        <w:tc>
          <w:tcPr>
            <w:tcW w:w="1275" w:type="dxa"/>
          </w:tcPr>
          <w:p w14:paraId="7EB380B3"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3 954 452</w:t>
            </w:r>
          </w:p>
        </w:tc>
        <w:tc>
          <w:tcPr>
            <w:tcW w:w="1134" w:type="dxa"/>
          </w:tcPr>
          <w:p w14:paraId="475D4272"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89.0</w:t>
            </w:r>
          </w:p>
        </w:tc>
      </w:tr>
      <w:tr w:rsidR="00CD7E5F" w:rsidRPr="000E28CF" w14:paraId="1C3F7EBE" w14:textId="77777777" w:rsidTr="00B3191F">
        <w:tc>
          <w:tcPr>
            <w:tcW w:w="2411" w:type="dxa"/>
            <w:vMerge w:val="restart"/>
          </w:tcPr>
          <w:p w14:paraId="06F8AD90" w14:textId="77777777" w:rsidR="00CD7E5F" w:rsidRPr="000E28CF" w:rsidRDefault="00CD7E5F" w:rsidP="00B3191F">
            <w:pPr>
              <w:spacing w:line="360" w:lineRule="auto"/>
              <w:rPr>
                <w:rFonts w:ascii="Times New Roman" w:hAnsi="Times New Roman" w:cs="Times New Roman"/>
                <w:bCs/>
              </w:rPr>
            </w:pPr>
            <w:r w:rsidRPr="000E28CF">
              <w:rPr>
                <w:rFonts w:ascii="Times New Roman" w:hAnsi="Times New Roman" w:cs="Times New Roman"/>
                <w:bCs/>
              </w:rPr>
              <w:t>Disability pension</w:t>
            </w:r>
          </w:p>
        </w:tc>
        <w:tc>
          <w:tcPr>
            <w:tcW w:w="2409" w:type="dxa"/>
          </w:tcPr>
          <w:p w14:paraId="0D27303A" w14:textId="77777777" w:rsidR="00CD7E5F" w:rsidRPr="000E28CF" w:rsidRDefault="00CD7E5F" w:rsidP="00B3191F">
            <w:pPr>
              <w:spacing w:line="360" w:lineRule="auto"/>
              <w:rPr>
                <w:rFonts w:ascii="Times New Roman" w:hAnsi="Times New Roman" w:cs="Times New Roman"/>
              </w:rPr>
            </w:pPr>
            <w:r w:rsidRPr="000E28CF">
              <w:rPr>
                <w:rFonts w:ascii="Times New Roman" w:hAnsi="Times New Roman" w:cs="Times New Roman"/>
              </w:rPr>
              <w:t>Yes</w:t>
            </w:r>
          </w:p>
        </w:tc>
        <w:tc>
          <w:tcPr>
            <w:tcW w:w="1701" w:type="dxa"/>
          </w:tcPr>
          <w:p w14:paraId="3371DC6A"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25 363</w:t>
            </w:r>
          </w:p>
        </w:tc>
        <w:tc>
          <w:tcPr>
            <w:tcW w:w="1560" w:type="dxa"/>
          </w:tcPr>
          <w:p w14:paraId="3221A2F4"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5.2</w:t>
            </w:r>
          </w:p>
        </w:tc>
        <w:tc>
          <w:tcPr>
            <w:tcW w:w="1275" w:type="dxa"/>
          </w:tcPr>
          <w:p w14:paraId="4F753951"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234 075</w:t>
            </w:r>
          </w:p>
        </w:tc>
        <w:tc>
          <w:tcPr>
            <w:tcW w:w="1134" w:type="dxa"/>
          </w:tcPr>
          <w:p w14:paraId="5F24A7A0"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5.3</w:t>
            </w:r>
          </w:p>
        </w:tc>
      </w:tr>
      <w:tr w:rsidR="00CD7E5F" w:rsidRPr="000E28CF" w14:paraId="6CA4C9E5" w14:textId="77777777" w:rsidTr="00B3191F">
        <w:tc>
          <w:tcPr>
            <w:tcW w:w="2411" w:type="dxa"/>
            <w:vMerge/>
          </w:tcPr>
          <w:p w14:paraId="4AEDFBCA" w14:textId="77777777" w:rsidR="00CD7E5F" w:rsidRPr="000E28CF" w:rsidRDefault="00CD7E5F" w:rsidP="00B3191F">
            <w:pPr>
              <w:spacing w:line="360" w:lineRule="auto"/>
              <w:rPr>
                <w:rFonts w:ascii="Times New Roman" w:hAnsi="Times New Roman" w:cs="Times New Roman"/>
                <w:bCs/>
              </w:rPr>
            </w:pPr>
          </w:p>
        </w:tc>
        <w:tc>
          <w:tcPr>
            <w:tcW w:w="2409" w:type="dxa"/>
          </w:tcPr>
          <w:p w14:paraId="26E15A23" w14:textId="77777777" w:rsidR="00CD7E5F" w:rsidRPr="000E28CF" w:rsidRDefault="00CD7E5F" w:rsidP="00B3191F">
            <w:pPr>
              <w:spacing w:line="360" w:lineRule="auto"/>
              <w:rPr>
                <w:rFonts w:ascii="Times New Roman" w:hAnsi="Times New Roman" w:cs="Times New Roman"/>
              </w:rPr>
            </w:pPr>
            <w:r w:rsidRPr="000E28CF">
              <w:rPr>
                <w:rFonts w:ascii="Times New Roman" w:hAnsi="Times New Roman" w:cs="Times New Roman"/>
              </w:rPr>
              <w:t xml:space="preserve">No </w:t>
            </w:r>
          </w:p>
        </w:tc>
        <w:tc>
          <w:tcPr>
            <w:tcW w:w="1701" w:type="dxa"/>
          </w:tcPr>
          <w:p w14:paraId="2E4BBDD1"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462 936</w:t>
            </w:r>
          </w:p>
        </w:tc>
        <w:tc>
          <w:tcPr>
            <w:tcW w:w="1560" w:type="dxa"/>
          </w:tcPr>
          <w:p w14:paraId="2ABDD13F"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94.8</w:t>
            </w:r>
          </w:p>
        </w:tc>
        <w:tc>
          <w:tcPr>
            <w:tcW w:w="1275" w:type="dxa"/>
          </w:tcPr>
          <w:p w14:paraId="4F111AF4"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4 210 542</w:t>
            </w:r>
          </w:p>
        </w:tc>
        <w:tc>
          <w:tcPr>
            <w:tcW w:w="1134" w:type="dxa"/>
          </w:tcPr>
          <w:p w14:paraId="5E43DDE7"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94.7</w:t>
            </w:r>
          </w:p>
        </w:tc>
      </w:tr>
      <w:tr w:rsidR="00CD7E5F" w:rsidRPr="000E28CF" w14:paraId="5A06A416" w14:textId="77777777" w:rsidTr="00B3191F">
        <w:tc>
          <w:tcPr>
            <w:tcW w:w="2411" w:type="dxa"/>
            <w:vMerge w:val="restart"/>
          </w:tcPr>
          <w:p w14:paraId="08E25460" w14:textId="77777777" w:rsidR="00CD7E5F" w:rsidRPr="000E28CF" w:rsidRDefault="00CD7E5F" w:rsidP="00B3191F">
            <w:pPr>
              <w:spacing w:line="360" w:lineRule="auto"/>
              <w:rPr>
                <w:rFonts w:ascii="Times New Roman" w:hAnsi="Times New Roman" w:cs="Times New Roman"/>
                <w:bCs/>
              </w:rPr>
            </w:pPr>
            <w:r w:rsidRPr="000E28CF">
              <w:rPr>
                <w:rFonts w:ascii="Times New Roman" w:hAnsi="Times New Roman" w:cs="Times New Roman"/>
                <w:bCs/>
              </w:rPr>
              <w:t>Unemployment</w:t>
            </w:r>
          </w:p>
        </w:tc>
        <w:tc>
          <w:tcPr>
            <w:tcW w:w="2409" w:type="dxa"/>
          </w:tcPr>
          <w:p w14:paraId="6DCB95DA" w14:textId="77777777" w:rsidR="00CD7E5F" w:rsidRPr="000E28CF" w:rsidRDefault="00CD7E5F" w:rsidP="00B3191F">
            <w:pPr>
              <w:spacing w:line="360" w:lineRule="auto"/>
              <w:rPr>
                <w:rFonts w:ascii="Times New Roman" w:hAnsi="Times New Roman" w:cs="Times New Roman"/>
              </w:rPr>
            </w:pPr>
            <w:r w:rsidRPr="000E28CF">
              <w:rPr>
                <w:rFonts w:ascii="Times New Roman" w:hAnsi="Times New Roman" w:cs="Times New Roman"/>
              </w:rPr>
              <w:t>Yes</w:t>
            </w:r>
          </w:p>
        </w:tc>
        <w:tc>
          <w:tcPr>
            <w:tcW w:w="1701" w:type="dxa"/>
          </w:tcPr>
          <w:p w14:paraId="3640C821"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156 502</w:t>
            </w:r>
          </w:p>
        </w:tc>
        <w:tc>
          <w:tcPr>
            <w:tcW w:w="1560" w:type="dxa"/>
          </w:tcPr>
          <w:p w14:paraId="6E4A5E3F"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32.1</w:t>
            </w:r>
          </w:p>
        </w:tc>
        <w:tc>
          <w:tcPr>
            <w:tcW w:w="1275" w:type="dxa"/>
          </w:tcPr>
          <w:p w14:paraId="360E82EF"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276 563</w:t>
            </w:r>
          </w:p>
        </w:tc>
        <w:tc>
          <w:tcPr>
            <w:tcW w:w="1134" w:type="dxa"/>
          </w:tcPr>
          <w:p w14:paraId="65C1E1F7"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6.2</w:t>
            </w:r>
          </w:p>
        </w:tc>
      </w:tr>
      <w:tr w:rsidR="00CD7E5F" w:rsidRPr="000E28CF" w14:paraId="2DF4B29E" w14:textId="77777777" w:rsidTr="00B3191F">
        <w:tc>
          <w:tcPr>
            <w:tcW w:w="2411" w:type="dxa"/>
            <w:vMerge/>
          </w:tcPr>
          <w:p w14:paraId="4BD1B449" w14:textId="77777777" w:rsidR="00CD7E5F" w:rsidRPr="000E28CF" w:rsidRDefault="00CD7E5F" w:rsidP="00B3191F">
            <w:pPr>
              <w:spacing w:line="360" w:lineRule="auto"/>
              <w:rPr>
                <w:rFonts w:ascii="Times New Roman" w:hAnsi="Times New Roman" w:cs="Times New Roman"/>
                <w:bCs/>
              </w:rPr>
            </w:pPr>
          </w:p>
        </w:tc>
        <w:tc>
          <w:tcPr>
            <w:tcW w:w="2409" w:type="dxa"/>
          </w:tcPr>
          <w:p w14:paraId="46FE3B9F" w14:textId="77777777" w:rsidR="00CD7E5F" w:rsidRPr="000E28CF" w:rsidRDefault="00CD7E5F" w:rsidP="00B3191F">
            <w:pPr>
              <w:spacing w:line="360" w:lineRule="auto"/>
              <w:rPr>
                <w:rFonts w:ascii="Times New Roman" w:hAnsi="Times New Roman" w:cs="Times New Roman"/>
              </w:rPr>
            </w:pPr>
            <w:r w:rsidRPr="000E28CF">
              <w:rPr>
                <w:rFonts w:ascii="Times New Roman" w:hAnsi="Times New Roman" w:cs="Times New Roman"/>
              </w:rPr>
              <w:t>No</w:t>
            </w:r>
          </w:p>
        </w:tc>
        <w:tc>
          <w:tcPr>
            <w:tcW w:w="1701" w:type="dxa"/>
          </w:tcPr>
          <w:p w14:paraId="22421A35"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331 797</w:t>
            </w:r>
          </w:p>
        </w:tc>
        <w:tc>
          <w:tcPr>
            <w:tcW w:w="1560" w:type="dxa"/>
          </w:tcPr>
          <w:p w14:paraId="5CF415C1"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67.9</w:t>
            </w:r>
          </w:p>
        </w:tc>
        <w:tc>
          <w:tcPr>
            <w:tcW w:w="1275" w:type="dxa"/>
          </w:tcPr>
          <w:p w14:paraId="1AF3774A"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4 168 054</w:t>
            </w:r>
          </w:p>
        </w:tc>
        <w:tc>
          <w:tcPr>
            <w:tcW w:w="1134" w:type="dxa"/>
          </w:tcPr>
          <w:p w14:paraId="09341420"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93.8</w:t>
            </w:r>
          </w:p>
        </w:tc>
      </w:tr>
      <w:tr w:rsidR="00CD7E5F" w:rsidRPr="000E28CF" w14:paraId="5CC09974" w14:textId="77777777" w:rsidTr="00B3191F">
        <w:tc>
          <w:tcPr>
            <w:tcW w:w="2411" w:type="dxa"/>
            <w:vMerge w:val="restart"/>
          </w:tcPr>
          <w:p w14:paraId="1F752A92" w14:textId="77777777" w:rsidR="00CD7E5F" w:rsidRPr="000E28CF" w:rsidRDefault="00CD7E5F" w:rsidP="00B3191F">
            <w:pPr>
              <w:spacing w:line="360" w:lineRule="auto"/>
              <w:rPr>
                <w:rFonts w:ascii="Times New Roman" w:hAnsi="Times New Roman" w:cs="Times New Roman"/>
                <w:bCs/>
              </w:rPr>
            </w:pPr>
            <w:r w:rsidRPr="000E28CF">
              <w:rPr>
                <w:rFonts w:ascii="Times New Roman" w:hAnsi="Times New Roman" w:cs="Times New Roman"/>
                <w:bCs/>
              </w:rPr>
              <w:t>Labor market marginalization*</w:t>
            </w:r>
          </w:p>
        </w:tc>
        <w:tc>
          <w:tcPr>
            <w:tcW w:w="2409" w:type="dxa"/>
          </w:tcPr>
          <w:p w14:paraId="6CEEEE57" w14:textId="77777777" w:rsidR="00CD7E5F" w:rsidRPr="000E28CF" w:rsidRDefault="00CD7E5F" w:rsidP="00B3191F">
            <w:pPr>
              <w:spacing w:line="360" w:lineRule="auto"/>
              <w:rPr>
                <w:rFonts w:ascii="Times New Roman" w:hAnsi="Times New Roman" w:cs="Times New Roman"/>
              </w:rPr>
            </w:pPr>
            <w:r w:rsidRPr="000E28CF">
              <w:rPr>
                <w:rFonts w:ascii="Times New Roman" w:hAnsi="Times New Roman" w:cs="Times New Roman"/>
              </w:rPr>
              <w:t>Yes</w:t>
            </w:r>
          </w:p>
        </w:tc>
        <w:tc>
          <w:tcPr>
            <w:tcW w:w="1701" w:type="dxa"/>
          </w:tcPr>
          <w:p w14:paraId="253A6E80"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33 617</w:t>
            </w:r>
          </w:p>
        </w:tc>
        <w:tc>
          <w:tcPr>
            <w:tcW w:w="1560" w:type="dxa"/>
          </w:tcPr>
          <w:p w14:paraId="4DADF7BF"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6.9</w:t>
            </w:r>
          </w:p>
        </w:tc>
        <w:tc>
          <w:tcPr>
            <w:tcW w:w="1275" w:type="dxa"/>
          </w:tcPr>
          <w:p w14:paraId="26062CA9"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203 945</w:t>
            </w:r>
          </w:p>
        </w:tc>
        <w:tc>
          <w:tcPr>
            <w:tcW w:w="1134" w:type="dxa"/>
          </w:tcPr>
          <w:p w14:paraId="55EC13CE" w14:textId="77777777" w:rsidR="00CD7E5F" w:rsidRPr="000E28CF" w:rsidRDefault="00CD7E5F" w:rsidP="00B3191F">
            <w:pPr>
              <w:spacing w:line="360" w:lineRule="auto"/>
              <w:jc w:val="center"/>
              <w:rPr>
                <w:rFonts w:ascii="Times New Roman" w:hAnsi="Times New Roman" w:cs="Times New Roman"/>
                <w:color w:val="000000"/>
              </w:rPr>
            </w:pPr>
            <w:r w:rsidRPr="000E28CF">
              <w:rPr>
                <w:rFonts w:ascii="Times New Roman" w:hAnsi="Times New Roman" w:cs="Times New Roman"/>
                <w:color w:val="000000"/>
              </w:rPr>
              <w:t>4.6</w:t>
            </w:r>
          </w:p>
        </w:tc>
      </w:tr>
      <w:tr w:rsidR="00CD7E5F" w:rsidRPr="000E28CF" w14:paraId="1C6E98FB" w14:textId="77777777" w:rsidTr="00B3191F">
        <w:trPr>
          <w:trHeight w:val="265"/>
        </w:trPr>
        <w:tc>
          <w:tcPr>
            <w:tcW w:w="2411" w:type="dxa"/>
            <w:vMerge/>
          </w:tcPr>
          <w:p w14:paraId="63CBEC40" w14:textId="77777777" w:rsidR="00CD7E5F" w:rsidRPr="000E28CF" w:rsidRDefault="00CD7E5F" w:rsidP="00B3191F">
            <w:pPr>
              <w:spacing w:line="360" w:lineRule="auto"/>
              <w:rPr>
                <w:rFonts w:ascii="Times New Roman" w:hAnsi="Times New Roman" w:cs="Times New Roman"/>
                <w:bCs/>
              </w:rPr>
            </w:pPr>
          </w:p>
        </w:tc>
        <w:tc>
          <w:tcPr>
            <w:tcW w:w="2409" w:type="dxa"/>
          </w:tcPr>
          <w:p w14:paraId="21334FC8" w14:textId="77777777" w:rsidR="00CD7E5F" w:rsidRPr="000E28CF" w:rsidRDefault="00CD7E5F" w:rsidP="00B3191F">
            <w:pPr>
              <w:spacing w:line="360" w:lineRule="auto"/>
              <w:rPr>
                <w:rFonts w:ascii="Times New Roman" w:hAnsi="Times New Roman" w:cs="Times New Roman"/>
              </w:rPr>
            </w:pPr>
            <w:r w:rsidRPr="000E28CF">
              <w:rPr>
                <w:rFonts w:ascii="Times New Roman" w:hAnsi="Times New Roman" w:cs="Times New Roman"/>
              </w:rPr>
              <w:t>No</w:t>
            </w:r>
          </w:p>
        </w:tc>
        <w:tc>
          <w:tcPr>
            <w:tcW w:w="1701" w:type="dxa"/>
          </w:tcPr>
          <w:p w14:paraId="48888126"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454 682</w:t>
            </w:r>
          </w:p>
        </w:tc>
        <w:tc>
          <w:tcPr>
            <w:tcW w:w="1560" w:type="dxa"/>
          </w:tcPr>
          <w:p w14:paraId="37CF724F"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93.1</w:t>
            </w:r>
          </w:p>
        </w:tc>
        <w:tc>
          <w:tcPr>
            <w:tcW w:w="1275" w:type="dxa"/>
          </w:tcPr>
          <w:p w14:paraId="2C6122EF"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4 240 672</w:t>
            </w:r>
          </w:p>
        </w:tc>
        <w:tc>
          <w:tcPr>
            <w:tcW w:w="1134" w:type="dxa"/>
          </w:tcPr>
          <w:p w14:paraId="2585E352" w14:textId="77777777" w:rsidR="00CD7E5F" w:rsidRPr="000E28CF" w:rsidRDefault="00CD7E5F" w:rsidP="00B3191F">
            <w:pPr>
              <w:spacing w:line="360" w:lineRule="auto"/>
              <w:jc w:val="center"/>
              <w:rPr>
                <w:rFonts w:ascii="Times New Roman" w:hAnsi="Times New Roman" w:cs="Times New Roman"/>
              </w:rPr>
            </w:pPr>
            <w:r w:rsidRPr="000E28CF">
              <w:rPr>
                <w:rFonts w:ascii="Times New Roman" w:hAnsi="Times New Roman" w:cs="Times New Roman"/>
                <w:color w:val="000000"/>
              </w:rPr>
              <w:t>95.4</w:t>
            </w:r>
          </w:p>
        </w:tc>
      </w:tr>
    </w:tbl>
    <w:p w14:paraId="59EFA701" w14:textId="60816AC2" w:rsidR="00CD7E5F" w:rsidRPr="000E28CF" w:rsidRDefault="001B0213" w:rsidP="00CD7E5F">
      <w:pPr>
        <w:spacing w:line="360" w:lineRule="auto"/>
        <w:rPr>
          <w:rFonts w:ascii="Times New Roman" w:hAnsi="Times New Roman" w:cs="Times New Roman"/>
          <w:color w:val="000000"/>
          <w:sz w:val="20"/>
          <w:szCs w:val="20"/>
        </w:rPr>
      </w:pPr>
      <w:r w:rsidRPr="000E28CF">
        <w:rPr>
          <w:rFonts w:ascii="Times New Roman" w:hAnsi="Times New Roman" w:cs="Times New Roman"/>
          <w:b/>
          <w:bCs/>
          <w:color w:val="000000" w:themeColor="text1"/>
          <w:sz w:val="20"/>
          <w:szCs w:val="20"/>
        </w:rPr>
        <w:t>Note.</w:t>
      </w:r>
      <w:r w:rsidRPr="000E28CF">
        <w:rPr>
          <w:rFonts w:ascii="Times New Roman" w:hAnsi="Times New Roman" w:cs="Times New Roman"/>
          <w:color w:val="000000" w:themeColor="text1"/>
          <w:sz w:val="20"/>
          <w:szCs w:val="20"/>
        </w:rPr>
        <w:t xml:space="preserve"> </w:t>
      </w:r>
      <w:r w:rsidRPr="000E28CF">
        <w:rPr>
          <w:rFonts w:ascii="Times New Roman" w:hAnsi="Times New Roman" w:cs="Times New Roman"/>
          <w:color w:val="000000"/>
          <w:sz w:val="20"/>
          <w:szCs w:val="20"/>
        </w:rPr>
        <w:t xml:space="preserve">Baseline: </w:t>
      </w:r>
      <w:r w:rsidRPr="000E28CF">
        <w:rPr>
          <w:rFonts w:ascii="Times New Roman" w:hAnsi="Times New Roman" w:cs="Times New Roman"/>
          <w:color w:val="000000"/>
          <w:sz w:val="20"/>
          <w:szCs w:val="20"/>
        </w:rPr>
        <w:t xml:space="preserve">2017, i.e. before the first quarter of 2018. </w:t>
      </w:r>
      <w:r w:rsidRPr="000E28CF">
        <w:rPr>
          <w:rFonts w:ascii="Times New Roman" w:hAnsi="Times New Roman" w:cs="Times New Roman"/>
          <w:color w:val="000000"/>
          <w:sz w:val="20"/>
          <w:szCs w:val="20"/>
        </w:rPr>
        <w:t>Statistics p</w:t>
      </w:r>
      <w:r w:rsidRPr="000E28CF">
        <w:rPr>
          <w:rFonts w:ascii="Times New Roman" w:hAnsi="Times New Roman" w:cs="Times New Roman"/>
          <w:color w:val="000000"/>
          <w:sz w:val="20"/>
          <w:szCs w:val="20"/>
        </w:rPr>
        <w:t xml:space="preserve">resented in counts and percentages. </w:t>
      </w:r>
      <w:r w:rsidRPr="000E28CF">
        <w:rPr>
          <w:rFonts w:ascii="Times New Roman" w:hAnsi="Times New Roman" w:cs="Times New Roman"/>
          <w:color w:val="000000"/>
          <w:sz w:val="20"/>
          <w:szCs w:val="20"/>
        </w:rPr>
        <w:br/>
      </w:r>
      <w:r w:rsidRPr="000E28CF">
        <w:rPr>
          <w:rFonts w:ascii="Times New Roman" w:hAnsi="Times New Roman" w:cs="Times New Roman"/>
          <w:color w:val="000000" w:themeColor="text1"/>
          <w:sz w:val="20"/>
          <w:szCs w:val="20"/>
        </w:rPr>
        <w:t xml:space="preserve">          </w:t>
      </w:r>
      <w:r w:rsidR="00CD7E5F" w:rsidRPr="000E28CF">
        <w:rPr>
          <w:rFonts w:ascii="Times New Roman" w:hAnsi="Times New Roman" w:cs="Times New Roman"/>
          <w:color w:val="000000" w:themeColor="text1"/>
          <w:sz w:val="20"/>
          <w:szCs w:val="20"/>
        </w:rPr>
        <w:t xml:space="preserve">*Labor market marginalization was defined as &gt;365 net days of sickness absence, disability pension or </w:t>
      </w:r>
      <w:r w:rsidRPr="000E28CF">
        <w:rPr>
          <w:rFonts w:ascii="Times New Roman" w:hAnsi="Times New Roman" w:cs="Times New Roman"/>
          <w:color w:val="000000" w:themeColor="text1"/>
          <w:sz w:val="20"/>
          <w:szCs w:val="20"/>
        </w:rPr>
        <w:t xml:space="preserve">    </w:t>
      </w:r>
      <w:r w:rsidR="00CD7E5F" w:rsidRPr="000E28CF">
        <w:rPr>
          <w:rFonts w:ascii="Times New Roman" w:hAnsi="Times New Roman" w:cs="Times New Roman"/>
          <w:color w:val="000000" w:themeColor="text1"/>
          <w:sz w:val="20"/>
          <w:szCs w:val="20"/>
        </w:rPr>
        <w:t>unemployment one year prior the outcome measure</w:t>
      </w:r>
    </w:p>
    <w:p w14:paraId="59E6B8B0" w14:textId="77777777" w:rsidR="00CD7E5F" w:rsidRPr="000E28CF" w:rsidRDefault="00CD7E5F" w:rsidP="00CD7E5F">
      <w:pPr>
        <w:pStyle w:val="Brdtext"/>
        <w:spacing w:line="360" w:lineRule="auto"/>
        <w:rPr>
          <w:rFonts w:ascii="Times New Roman" w:hAnsi="Times New Roman"/>
          <w:color w:val="000000" w:themeColor="text1"/>
          <w:szCs w:val="20"/>
        </w:rPr>
      </w:pPr>
    </w:p>
    <w:p w14:paraId="0348244A" w14:textId="77777777" w:rsidR="00CD7E5F" w:rsidRPr="000E28CF" w:rsidRDefault="00CD7E5F" w:rsidP="00CD7E5F">
      <w:pPr>
        <w:pStyle w:val="Brdtext"/>
        <w:spacing w:line="360" w:lineRule="auto"/>
        <w:rPr>
          <w:rFonts w:ascii="Times New Roman" w:hAnsi="Times New Roman"/>
          <w:color w:val="000000" w:themeColor="text1"/>
          <w:szCs w:val="20"/>
        </w:rPr>
      </w:pPr>
    </w:p>
    <w:p w14:paraId="01A4D107" w14:textId="77777777" w:rsidR="00CD7E5F" w:rsidRPr="000E28CF" w:rsidRDefault="00CD7E5F" w:rsidP="00CD7E5F">
      <w:pPr>
        <w:pStyle w:val="Brdtext"/>
        <w:spacing w:line="360" w:lineRule="auto"/>
        <w:rPr>
          <w:rFonts w:ascii="Times New Roman" w:hAnsi="Times New Roman"/>
          <w:color w:val="000000" w:themeColor="text1"/>
          <w:szCs w:val="20"/>
        </w:rPr>
      </w:pPr>
    </w:p>
    <w:p w14:paraId="2AF3981E" w14:textId="77777777" w:rsidR="00CD7E5F" w:rsidRPr="000E28CF" w:rsidRDefault="00CD7E5F" w:rsidP="00CD7E5F">
      <w:pPr>
        <w:pStyle w:val="Brdtext"/>
        <w:spacing w:line="360" w:lineRule="auto"/>
        <w:rPr>
          <w:rFonts w:ascii="Times New Roman" w:hAnsi="Times New Roman"/>
          <w:color w:val="000000" w:themeColor="text1"/>
          <w:szCs w:val="20"/>
        </w:rPr>
      </w:pPr>
    </w:p>
    <w:p w14:paraId="5E1F8591" w14:textId="77777777" w:rsidR="00CD7E5F" w:rsidRPr="000E28CF" w:rsidRDefault="00CD7E5F" w:rsidP="00CD7E5F">
      <w:pPr>
        <w:pStyle w:val="Brdtext"/>
        <w:spacing w:line="360" w:lineRule="auto"/>
        <w:rPr>
          <w:rFonts w:ascii="Times New Roman" w:hAnsi="Times New Roman"/>
          <w:color w:val="000000" w:themeColor="text1"/>
          <w:szCs w:val="20"/>
        </w:rPr>
      </w:pPr>
    </w:p>
    <w:p w14:paraId="1305CB41" w14:textId="2BBD83FB" w:rsidR="00CD7E5F" w:rsidRPr="000E28CF" w:rsidRDefault="00CD7E5F" w:rsidP="00CD7E5F">
      <w:pPr>
        <w:spacing w:line="360" w:lineRule="auto"/>
        <w:rPr>
          <w:rFonts w:ascii="Times New Roman" w:hAnsi="Times New Roman" w:cs="Times New Roman"/>
          <w:color w:val="000000"/>
          <w:sz w:val="20"/>
          <w:szCs w:val="20"/>
        </w:rPr>
      </w:pPr>
      <w:r w:rsidRPr="000E28CF">
        <w:rPr>
          <w:rFonts w:ascii="Times New Roman" w:hAnsi="Times New Roman" w:cs="Times New Roman"/>
          <w:b/>
          <w:color w:val="000000"/>
          <w:sz w:val="20"/>
          <w:szCs w:val="20"/>
        </w:rPr>
        <w:lastRenderedPageBreak/>
        <w:t>Table 2.</w:t>
      </w:r>
      <w:r w:rsidRPr="000E28CF">
        <w:rPr>
          <w:rFonts w:ascii="Times New Roman" w:hAnsi="Times New Roman" w:cs="Times New Roman"/>
          <w:color w:val="000000"/>
          <w:sz w:val="20"/>
          <w:szCs w:val="20"/>
        </w:rPr>
        <w:t xml:space="preserve"> Quarterly changes of incidence rates and incidence rate ratios</w:t>
      </w:r>
      <w:r w:rsidR="001B0213" w:rsidRPr="000E28CF">
        <w:rPr>
          <w:rFonts w:ascii="Times New Roman" w:hAnsi="Times New Roman" w:cs="Times New Roman"/>
          <w:color w:val="000000"/>
          <w:sz w:val="20"/>
          <w:szCs w:val="20"/>
        </w:rPr>
        <w:t xml:space="preserve"> for outcomes observe</w:t>
      </w:r>
      <w:r w:rsidR="000E28CF" w:rsidRPr="000E28CF">
        <w:rPr>
          <w:rFonts w:ascii="Times New Roman" w:hAnsi="Times New Roman" w:cs="Times New Roman"/>
          <w:color w:val="000000"/>
          <w:sz w:val="20"/>
          <w:szCs w:val="20"/>
        </w:rPr>
        <w:t>d</w:t>
      </w:r>
      <w:r w:rsidR="001B0213" w:rsidRPr="000E28CF">
        <w:rPr>
          <w:rFonts w:ascii="Times New Roman" w:hAnsi="Times New Roman" w:cs="Times New Roman"/>
          <w:color w:val="000000"/>
          <w:sz w:val="20"/>
          <w:szCs w:val="20"/>
        </w:rPr>
        <w:t xml:space="preserve">. </w:t>
      </w:r>
    </w:p>
    <w:tbl>
      <w:tblPr>
        <w:tblStyle w:val="Tabellrutnt"/>
        <w:tblW w:w="9351" w:type="dxa"/>
        <w:tblLook w:val="04A0" w:firstRow="1" w:lastRow="0" w:firstColumn="1" w:lastColumn="0" w:noHBand="0" w:noVBand="1"/>
      </w:tblPr>
      <w:tblGrid>
        <w:gridCol w:w="1838"/>
        <w:gridCol w:w="2410"/>
        <w:gridCol w:w="2548"/>
        <w:gridCol w:w="2555"/>
      </w:tblGrid>
      <w:tr w:rsidR="00CD7E5F" w:rsidRPr="000E28CF" w14:paraId="01DE798C" w14:textId="77777777" w:rsidTr="00B3191F">
        <w:tc>
          <w:tcPr>
            <w:tcW w:w="1838" w:type="dxa"/>
          </w:tcPr>
          <w:p w14:paraId="60532A78" w14:textId="77777777" w:rsidR="00CD7E5F" w:rsidRPr="000E28CF" w:rsidRDefault="00CD7E5F" w:rsidP="00B3191F">
            <w:pPr>
              <w:spacing w:line="360" w:lineRule="auto"/>
              <w:rPr>
                <w:color w:val="000000"/>
              </w:rPr>
            </w:pPr>
          </w:p>
        </w:tc>
        <w:tc>
          <w:tcPr>
            <w:tcW w:w="2410" w:type="dxa"/>
          </w:tcPr>
          <w:p w14:paraId="71911DB9" w14:textId="77777777" w:rsidR="00CD7E5F" w:rsidRPr="000E28CF" w:rsidRDefault="00CD7E5F" w:rsidP="00B3191F">
            <w:pPr>
              <w:spacing w:line="360" w:lineRule="auto"/>
              <w:rPr>
                <w:color w:val="000000"/>
              </w:rPr>
            </w:pPr>
            <w:r w:rsidRPr="000E28CF">
              <w:rPr>
                <w:color w:val="000000"/>
              </w:rPr>
              <w:t>Quarterly changes of IRs in % before the COVID-19 pandemic</w:t>
            </w:r>
          </w:p>
        </w:tc>
        <w:tc>
          <w:tcPr>
            <w:tcW w:w="2548" w:type="dxa"/>
          </w:tcPr>
          <w:p w14:paraId="672E4421" w14:textId="77777777" w:rsidR="00CD7E5F" w:rsidRPr="000E28CF" w:rsidRDefault="00CD7E5F" w:rsidP="00B3191F">
            <w:pPr>
              <w:spacing w:line="360" w:lineRule="auto"/>
              <w:rPr>
                <w:color w:val="000000"/>
              </w:rPr>
            </w:pPr>
            <w:r w:rsidRPr="000E28CF">
              <w:rPr>
                <w:color w:val="000000"/>
              </w:rPr>
              <w:t xml:space="preserve">Quarterly changes of IRs in % during the COVID-19 pandemic </w:t>
            </w:r>
          </w:p>
        </w:tc>
        <w:tc>
          <w:tcPr>
            <w:tcW w:w="2555" w:type="dxa"/>
          </w:tcPr>
          <w:p w14:paraId="74F8A4FD" w14:textId="77777777" w:rsidR="00CD7E5F" w:rsidRPr="000E28CF" w:rsidRDefault="00CD7E5F" w:rsidP="00B3191F">
            <w:pPr>
              <w:spacing w:line="360" w:lineRule="auto"/>
              <w:rPr>
                <w:color w:val="000000"/>
              </w:rPr>
            </w:pPr>
            <w:r w:rsidRPr="000E28CF">
              <w:rPr>
                <w:color w:val="000000"/>
              </w:rPr>
              <w:t xml:space="preserve">IRRs comparing quarterly changes of IRs in % during vs before the COVID-19 pandemic </w:t>
            </w:r>
          </w:p>
        </w:tc>
      </w:tr>
      <w:tr w:rsidR="00CD7E5F" w:rsidRPr="000E28CF" w14:paraId="1CFEBBBC" w14:textId="77777777" w:rsidTr="00B3191F">
        <w:tc>
          <w:tcPr>
            <w:tcW w:w="1838" w:type="dxa"/>
          </w:tcPr>
          <w:p w14:paraId="4EE9983F" w14:textId="77777777" w:rsidR="00CD7E5F" w:rsidRPr="000E28CF" w:rsidRDefault="00CD7E5F" w:rsidP="00B3191F">
            <w:pPr>
              <w:spacing w:line="360" w:lineRule="auto"/>
              <w:rPr>
                <w:color w:val="000000"/>
              </w:rPr>
            </w:pPr>
          </w:p>
        </w:tc>
        <w:tc>
          <w:tcPr>
            <w:tcW w:w="2410" w:type="dxa"/>
          </w:tcPr>
          <w:p w14:paraId="72827F0E" w14:textId="77777777" w:rsidR="00CD7E5F" w:rsidRPr="000E28CF" w:rsidRDefault="00CD7E5F" w:rsidP="00B3191F">
            <w:pPr>
              <w:spacing w:line="360" w:lineRule="auto"/>
              <w:rPr>
                <w:b/>
                <w:color w:val="000000"/>
              </w:rPr>
            </w:pPr>
            <w:r w:rsidRPr="000E28CF">
              <w:rPr>
                <w:b/>
                <w:color w:val="000000"/>
              </w:rPr>
              <w:t>Trend IR (95% CIs)</w:t>
            </w:r>
          </w:p>
        </w:tc>
        <w:tc>
          <w:tcPr>
            <w:tcW w:w="2548" w:type="dxa"/>
          </w:tcPr>
          <w:p w14:paraId="13512896" w14:textId="77777777" w:rsidR="00CD7E5F" w:rsidRPr="000E28CF" w:rsidRDefault="00CD7E5F" w:rsidP="00B3191F">
            <w:pPr>
              <w:spacing w:line="360" w:lineRule="auto"/>
              <w:rPr>
                <w:b/>
                <w:color w:val="000000"/>
              </w:rPr>
            </w:pPr>
            <w:r w:rsidRPr="000E28CF">
              <w:rPr>
                <w:b/>
                <w:color w:val="000000"/>
              </w:rPr>
              <w:t>Trend IR (95% CIs)</w:t>
            </w:r>
          </w:p>
        </w:tc>
        <w:tc>
          <w:tcPr>
            <w:tcW w:w="2555" w:type="dxa"/>
          </w:tcPr>
          <w:p w14:paraId="2B8EB692" w14:textId="77777777" w:rsidR="00CD7E5F" w:rsidRPr="000E28CF" w:rsidRDefault="00CD7E5F" w:rsidP="00B3191F">
            <w:pPr>
              <w:spacing w:line="360" w:lineRule="auto"/>
              <w:rPr>
                <w:b/>
                <w:color w:val="000000"/>
              </w:rPr>
            </w:pPr>
            <w:r w:rsidRPr="000E28CF">
              <w:rPr>
                <w:b/>
                <w:color w:val="000000"/>
              </w:rPr>
              <w:t>Trend IRR (95% CIs)</w:t>
            </w:r>
          </w:p>
        </w:tc>
      </w:tr>
      <w:tr w:rsidR="00CD7E5F" w:rsidRPr="000E28CF" w14:paraId="63EB0B10" w14:textId="77777777" w:rsidTr="00B3191F">
        <w:tc>
          <w:tcPr>
            <w:tcW w:w="9351" w:type="dxa"/>
            <w:gridSpan w:val="4"/>
          </w:tcPr>
          <w:p w14:paraId="7374D3B7" w14:textId="77777777" w:rsidR="00CD7E5F" w:rsidRPr="000E28CF" w:rsidRDefault="00CD7E5F" w:rsidP="00B3191F">
            <w:pPr>
              <w:spacing w:line="360" w:lineRule="auto"/>
              <w:rPr>
                <w:b/>
                <w:color w:val="000000"/>
              </w:rPr>
            </w:pPr>
            <w:r w:rsidRPr="000E28CF">
              <w:rPr>
                <w:b/>
                <w:color w:val="000000"/>
              </w:rPr>
              <w:t>Specialized health care use for common mental disorders</w:t>
            </w:r>
          </w:p>
        </w:tc>
      </w:tr>
      <w:tr w:rsidR="00CD7E5F" w:rsidRPr="000E28CF" w14:paraId="4A73A3C6" w14:textId="77777777" w:rsidTr="00B3191F">
        <w:tc>
          <w:tcPr>
            <w:tcW w:w="1838" w:type="dxa"/>
          </w:tcPr>
          <w:p w14:paraId="4B14611E" w14:textId="77777777" w:rsidR="00CD7E5F" w:rsidRPr="000E28CF" w:rsidRDefault="00CD7E5F" w:rsidP="00B3191F">
            <w:pPr>
              <w:spacing w:line="360" w:lineRule="auto"/>
              <w:rPr>
                <w:color w:val="000000"/>
              </w:rPr>
            </w:pPr>
            <w:r w:rsidRPr="000E28CF">
              <w:rPr>
                <w:color w:val="000000"/>
              </w:rPr>
              <w:t>Refugees</w:t>
            </w:r>
          </w:p>
        </w:tc>
        <w:tc>
          <w:tcPr>
            <w:tcW w:w="2410" w:type="dxa"/>
            <w:vAlign w:val="bottom"/>
          </w:tcPr>
          <w:p w14:paraId="67DEA2D9" w14:textId="77777777" w:rsidR="00CD7E5F" w:rsidRPr="000E28CF" w:rsidRDefault="00CD7E5F" w:rsidP="00B3191F">
            <w:pPr>
              <w:spacing w:line="360" w:lineRule="auto"/>
              <w:rPr>
                <w:color w:val="000000"/>
              </w:rPr>
            </w:pPr>
            <w:r w:rsidRPr="000E28CF">
              <w:rPr>
                <w:color w:val="000000"/>
              </w:rPr>
              <w:t>-2.6 (-3.3;-1.8)</w:t>
            </w:r>
          </w:p>
        </w:tc>
        <w:tc>
          <w:tcPr>
            <w:tcW w:w="2548" w:type="dxa"/>
            <w:vAlign w:val="bottom"/>
          </w:tcPr>
          <w:p w14:paraId="631A4EB3" w14:textId="77777777" w:rsidR="00CD7E5F" w:rsidRPr="000E28CF" w:rsidRDefault="00CD7E5F" w:rsidP="00B3191F">
            <w:pPr>
              <w:spacing w:line="360" w:lineRule="auto"/>
              <w:rPr>
                <w:color w:val="000000"/>
              </w:rPr>
            </w:pPr>
            <w:r w:rsidRPr="000E28CF">
              <w:rPr>
                <w:color w:val="000000"/>
              </w:rPr>
              <w:t>-0.1 (-1.3;1.1)</w:t>
            </w:r>
          </w:p>
        </w:tc>
        <w:tc>
          <w:tcPr>
            <w:tcW w:w="2555" w:type="dxa"/>
            <w:vAlign w:val="bottom"/>
          </w:tcPr>
          <w:p w14:paraId="034A0A23" w14:textId="77777777" w:rsidR="00CD7E5F" w:rsidRPr="000E28CF" w:rsidRDefault="00CD7E5F" w:rsidP="00B3191F">
            <w:pPr>
              <w:spacing w:line="360" w:lineRule="auto"/>
              <w:rPr>
                <w:color w:val="000000"/>
              </w:rPr>
            </w:pPr>
            <w:r w:rsidRPr="000E28CF">
              <w:rPr>
                <w:color w:val="000000"/>
              </w:rPr>
              <w:t>2.5 (0.7;4.5)</w:t>
            </w:r>
          </w:p>
        </w:tc>
      </w:tr>
      <w:tr w:rsidR="00CD7E5F" w:rsidRPr="000E28CF" w14:paraId="1D18AD29" w14:textId="77777777" w:rsidTr="00B3191F">
        <w:tc>
          <w:tcPr>
            <w:tcW w:w="1838" w:type="dxa"/>
          </w:tcPr>
          <w:p w14:paraId="515ED293" w14:textId="77777777" w:rsidR="00CD7E5F" w:rsidRPr="000E28CF" w:rsidRDefault="00CD7E5F" w:rsidP="00B3191F">
            <w:pPr>
              <w:spacing w:line="360" w:lineRule="auto"/>
              <w:rPr>
                <w:color w:val="000000"/>
              </w:rPr>
            </w:pPr>
            <w:r w:rsidRPr="000E28CF">
              <w:rPr>
                <w:color w:val="000000"/>
              </w:rPr>
              <w:t>Swedish-born</w:t>
            </w:r>
          </w:p>
        </w:tc>
        <w:tc>
          <w:tcPr>
            <w:tcW w:w="2410" w:type="dxa"/>
            <w:vAlign w:val="bottom"/>
          </w:tcPr>
          <w:p w14:paraId="3DC1349C" w14:textId="77777777" w:rsidR="00CD7E5F" w:rsidRPr="000E28CF" w:rsidRDefault="00CD7E5F" w:rsidP="00B3191F">
            <w:pPr>
              <w:spacing w:line="360" w:lineRule="auto"/>
              <w:rPr>
                <w:color w:val="000000"/>
              </w:rPr>
            </w:pPr>
            <w:r w:rsidRPr="000E28CF">
              <w:rPr>
                <w:color w:val="000000"/>
              </w:rPr>
              <w:t>-1.1 (-1.7;-0.5)</w:t>
            </w:r>
          </w:p>
        </w:tc>
        <w:tc>
          <w:tcPr>
            <w:tcW w:w="2548" w:type="dxa"/>
            <w:vAlign w:val="bottom"/>
          </w:tcPr>
          <w:p w14:paraId="380C0B08" w14:textId="77777777" w:rsidR="00CD7E5F" w:rsidRPr="000E28CF" w:rsidRDefault="00CD7E5F" w:rsidP="00B3191F">
            <w:pPr>
              <w:spacing w:line="360" w:lineRule="auto"/>
              <w:rPr>
                <w:color w:val="000000"/>
              </w:rPr>
            </w:pPr>
            <w:r w:rsidRPr="000E28CF">
              <w:rPr>
                <w:color w:val="000000"/>
              </w:rPr>
              <w:t>-0.5 (-1.2;0.2)</w:t>
            </w:r>
          </w:p>
        </w:tc>
        <w:tc>
          <w:tcPr>
            <w:tcW w:w="2555" w:type="dxa"/>
            <w:vAlign w:val="bottom"/>
          </w:tcPr>
          <w:p w14:paraId="410FFAE3" w14:textId="77777777" w:rsidR="00CD7E5F" w:rsidRPr="000E28CF" w:rsidRDefault="00CD7E5F" w:rsidP="00B3191F">
            <w:pPr>
              <w:spacing w:line="360" w:lineRule="auto"/>
              <w:rPr>
                <w:color w:val="000000"/>
              </w:rPr>
            </w:pPr>
            <w:r w:rsidRPr="000E28CF">
              <w:rPr>
                <w:color w:val="000000"/>
              </w:rPr>
              <w:t>0.6 (-0.6;1.9)</w:t>
            </w:r>
          </w:p>
        </w:tc>
      </w:tr>
      <w:tr w:rsidR="00CD7E5F" w:rsidRPr="000E28CF" w14:paraId="610530B5" w14:textId="77777777" w:rsidTr="00B3191F">
        <w:tc>
          <w:tcPr>
            <w:tcW w:w="9351" w:type="dxa"/>
            <w:gridSpan w:val="4"/>
          </w:tcPr>
          <w:p w14:paraId="56B7B770" w14:textId="77777777" w:rsidR="00CD7E5F" w:rsidRPr="000E28CF" w:rsidRDefault="00CD7E5F" w:rsidP="00B3191F">
            <w:pPr>
              <w:spacing w:line="360" w:lineRule="auto"/>
              <w:rPr>
                <w:b/>
                <w:color w:val="000000"/>
              </w:rPr>
            </w:pPr>
            <w:r w:rsidRPr="000E28CF">
              <w:rPr>
                <w:b/>
                <w:color w:val="000000"/>
              </w:rPr>
              <w:t>Antidepressant prescription</w:t>
            </w:r>
          </w:p>
        </w:tc>
      </w:tr>
      <w:tr w:rsidR="00CD7E5F" w:rsidRPr="000E28CF" w14:paraId="2FCC5709" w14:textId="77777777" w:rsidTr="00B3191F">
        <w:tc>
          <w:tcPr>
            <w:tcW w:w="1838" w:type="dxa"/>
          </w:tcPr>
          <w:p w14:paraId="1F2A749C" w14:textId="77777777" w:rsidR="00CD7E5F" w:rsidRPr="000E28CF" w:rsidRDefault="00CD7E5F" w:rsidP="00B3191F">
            <w:pPr>
              <w:spacing w:line="360" w:lineRule="auto"/>
              <w:rPr>
                <w:color w:val="000000"/>
              </w:rPr>
            </w:pPr>
            <w:r w:rsidRPr="000E28CF">
              <w:rPr>
                <w:color w:val="000000"/>
              </w:rPr>
              <w:t>Refugees</w:t>
            </w:r>
          </w:p>
        </w:tc>
        <w:tc>
          <w:tcPr>
            <w:tcW w:w="2410" w:type="dxa"/>
            <w:vAlign w:val="bottom"/>
          </w:tcPr>
          <w:p w14:paraId="3AC84AE1" w14:textId="77777777" w:rsidR="00CD7E5F" w:rsidRPr="000E28CF" w:rsidRDefault="00CD7E5F" w:rsidP="00B3191F">
            <w:pPr>
              <w:spacing w:line="360" w:lineRule="auto"/>
              <w:rPr>
                <w:color w:val="000000"/>
              </w:rPr>
            </w:pPr>
            <w:r w:rsidRPr="000E28CF">
              <w:rPr>
                <w:color w:val="000000"/>
              </w:rPr>
              <w:t>0.3 (-0.2;0.9)</w:t>
            </w:r>
          </w:p>
        </w:tc>
        <w:tc>
          <w:tcPr>
            <w:tcW w:w="2548" w:type="dxa"/>
            <w:vAlign w:val="bottom"/>
          </w:tcPr>
          <w:p w14:paraId="30ED7B25" w14:textId="77777777" w:rsidR="00CD7E5F" w:rsidRPr="000E28CF" w:rsidRDefault="00CD7E5F" w:rsidP="00B3191F">
            <w:pPr>
              <w:spacing w:line="360" w:lineRule="auto"/>
              <w:rPr>
                <w:color w:val="000000"/>
              </w:rPr>
            </w:pPr>
            <w:r w:rsidRPr="000E28CF">
              <w:rPr>
                <w:color w:val="000000"/>
              </w:rPr>
              <w:t>0.3 (-0.4;1.0)</w:t>
            </w:r>
          </w:p>
        </w:tc>
        <w:tc>
          <w:tcPr>
            <w:tcW w:w="2555" w:type="dxa"/>
            <w:vAlign w:val="bottom"/>
          </w:tcPr>
          <w:p w14:paraId="219A1961" w14:textId="77777777" w:rsidR="00CD7E5F" w:rsidRPr="000E28CF" w:rsidRDefault="00CD7E5F" w:rsidP="00B3191F">
            <w:pPr>
              <w:spacing w:line="360" w:lineRule="auto"/>
              <w:rPr>
                <w:color w:val="000000"/>
              </w:rPr>
            </w:pPr>
            <w:r w:rsidRPr="000E28CF">
              <w:rPr>
                <w:color w:val="000000"/>
              </w:rPr>
              <w:t>0.0 (-1.1;1.0)</w:t>
            </w:r>
          </w:p>
        </w:tc>
      </w:tr>
      <w:tr w:rsidR="00CD7E5F" w:rsidRPr="000E28CF" w14:paraId="3F448DC8" w14:textId="77777777" w:rsidTr="00B3191F">
        <w:tc>
          <w:tcPr>
            <w:tcW w:w="1838" w:type="dxa"/>
          </w:tcPr>
          <w:p w14:paraId="4D33C1F8" w14:textId="77777777" w:rsidR="00CD7E5F" w:rsidRPr="000E28CF" w:rsidRDefault="00CD7E5F" w:rsidP="00B3191F">
            <w:pPr>
              <w:spacing w:line="360" w:lineRule="auto"/>
              <w:rPr>
                <w:color w:val="000000"/>
              </w:rPr>
            </w:pPr>
            <w:r w:rsidRPr="000E28CF">
              <w:rPr>
                <w:color w:val="000000"/>
              </w:rPr>
              <w:t>Swedish-born</w:t>
            </w:r>
          </w:p>
        </w:tc>
        <w:tc>
          <w:tcPr>
            <w:tcW w:w="2410" w:type="dxa"/>
            <w:vAlign w:val="bottom"/>
          </w:tcPr>
          <w:p w14:paraId="55A52ECB" w14:textId="77777777" w:rsidR="00CD7E5F" w:rsidRPr="000E28CF" w:rsidRDefault="00CD7E5F" w:rsidP="00B3191F">
            <w:pPr>
              <w:spacing w:line="360" w:lineRule="auto"/>
              <w:rPr>
                <w:color w:val="000000"/>
              </w:rPr>
            </w:pPr>
            <w:r w:rsidRPr="000E28CF">
              <w:rPr>
                <w:color w:val="000000"/>
              </w:rPr>
              <w:t>-0.3 (-0.8;0.2)</w:t>
            </w:r>
          </w:p>
        </w:tc>
        <w:tc>
          <w:tcPr>
            <w:tcW w:w="2548" w:type="dxa"/>
            <w:vAlign w:val="bottom"/>
          </w:tcPr>
          <w:p w14:paraId="3D010A92" w14:textId="77777777" w:rsidR="00CD7E5F" w:rsidRPr="000E28CF" w:rsidRDefault="00CD7E5F" w:rsidP="00B3191F">
            <w:pPr>
              <w:spacing w:line="360" w:lineRule="auto"/>
              <w:rPr>
                <w:color w:val="000000"/>
              </w:rPr>
            </w:pPr>
            <w:r w:rsidRPr="000E28CF">
              <w:rPr>
                <w:color w:val="000000"/>
              </w:rPr>
              <w:t>0.8 (0.4;1.2)</w:t>
            </w:r>
          </w:p>
        </w:tc>
        <w:tc>
          <w:tcPr>
            <w:tcW w:w="2555" w:type="dxa"/>
            <w:vAlign w:val="bottom"/>
          </w:tcPr>
          <w:p w14:paraId="6BFF614C" w14:textId="77777777" w:rsidR="00CD7E5F" w:rsidRPr="000E28CF" w:rsidRDefault="00CD7E5F" w:rsidP="00B3191F">
            <w:pPr>
              <w:spacing w:line="360" w:lineRule="auto"/>
              <w:rPr>
                <w:color w:val="000000"/>
              </w:rPr>
            </w:pPr>
            <w:r w:rsidRPr="000E28CF">
              <w:rPr>
                <w:color w:val="000000"/>
              </w:rPr>
              <w:t>1.1 (0.3;1.9)</w:t>
            </w:r>
          </w:p>
        </w:tc>
      </w:tr>
    </w:tbl>
    <w:p w14:paraId="43FFFE28" w14:textId="0DA6D919" w:rsidR="00CD7E5F" w:rsidRPr="000E28CF" w:rsidRDefault="001B0213" w:rsidP="00CD7E5F">
      <w:pPr>
        <w:spacing w:line="360" w:lineRule="auto"/>
        <w:rPr>
          <w:rFonts w:ascii="Times New Roman" w:hAnsi="Times New Roman" w:cs="Times New Roman"/>
          <w:b/>
          <w:bCs/>
          <w:color w:val="000000"/>
          <w:sz w:val="20"/>
          <w:szCs w:val="20"/>
        </w:rPr>
      </w:pPr>
      <w:r w:rsidRPr="000E28CF">
        <w:rPr>
          <w:rFonts w:ascii="Times New Roman" w:hAnsi="Times New Roman" w:cs="Times New Roman"/>
          <w:b/>
          <w:bCs/>
          <w:color w:val="000000"/>
          <w:sz w:val="20"/>
          <w:szCs w:val="20"/>
        </w:rPr>
        <w:t xml:space="preserve">Note. </w:t>
      </w:r>
      <w:r w:rsidR="000E28CF" w:rsidRPr="000E28CF">
        <w:rPr>
          <w:rFonts w:ascii="Times New Roman" w:hAnsi="Times New Roman" w:cs="Times New Roman"/>
          <w:color w:val="000000"/>
          <w:sz w:val="20"/>
          <w:szCs w:val="20"/>
        </w:rPr>
        <w:t xml:space="preserve">Quarterly changes of incidence rates </w:t>
      </w:r>
      <w:r w:rsidRPr="000E28CF">
        <w:rPr>
          <w:rFonts w:ascii="Times New Roman" w:hAnsi="Times New Roman" w:cs="Times New Roman"/>
          <w:color w:val="000000"/>
          <w:sz w:val="20"/>
          <w:szCs w:val="20"/>
        </w:rPr>
        <w:t xml:space="preserve">(IRs) in % </w:t>
      </w:r>
      <w:r w:rsidR="000E28CF" w:rsidRPr="000E28CF">
        <w:rPr>
          <w:rFonts w:ascii="Times New Roman" w:hAnsi="Times New Roman" w:cs="Times New Roman"/>
          <w:color w:val="000000"/>
          <w:sz w:val="20"/>
          <w:szCs w:val="20"/>
        </w:rPr>
        <w:t>incidence rate ratios</w:t>
      </w:r>
      <w:r w:rsidRPr="000E28CF">
        <w:rPr>
          <w:rFonts w:ascii="Times New Roman" w:hAnsi="Times New Roman" w:cs="Times New Roman"/>
          <w:color w:val="000000"/>
          <w:sz w:val="20"/>
          <w:szCs w:val="20"/>
        </w:rPr>
        <w:t xml:space="preserve"> </w:t>
      </w:r>
      <w:r w:rsidR="000E28CF" w:rsidRPr="000E28CF">
        <w:rPr>
          <w:rFonts w:ascii="Times New Roman" w:hAnsi="Times New Roman" w:cs="Times New Roman"/>
          <w:color w:val="000000"/>
          <w:sz w:val="20"/>
          <w:szCs w:val="20"/>
        </w:rPr>
        <w:t xml:space="preserve">(IRRs) </w:t>
      </w:r>
      <w:r w:rsidRPr="000E28CF">
        <w:rPr>
          <w:rFonts w:ascii="Times New Roman" w:hAnsi="Times New Roman" w:cs="Times New Roman"/>
          <w:color w:val="000000"/>
          <w:sz w:val="20"/>
          <w:szCs w:val="20"/>
        </w:rPr>
        <w:t>in % with 95% confidence intervals (CIs) for specialized psychiatric health care use for common mental disorder and antidepressant prescription comparing trends before and during the pandemic in the refugees and Swedish-born.</w:t>
      </w:r>
    </w:p>
    <w:p w14:paraId="35BA0DE2" w14:textId="77777777" w:rsidR="003B2189" w:rsidRPr="000E28CF" w:rsidRDefault="003B2189" w:rsidP="00CD7E5F">
      <w:pPr>
        <w:spacing w:line="360" w:lineRule="auto"/>
        <w:rPr>
          <w:rFonts w:ascii="Times New Roman" w:hAnsi="Times New Roman" w:cs="Times New Roman"/>
          <w:color w:val="000000"/>
          <w:sz w:val="20"/>
          <w:szCs w:val="20"/>
        </w:rPr>
      </w:pPr>
    </w:p>
    <w:p w14:paraId="32DD5B55" w14:textId="77777777" w:rsidR="009F3D40" w:rsidRPr="000E28CF" w:rsidRDefault="009F3D40" w:rsidP="00CD7E5F">
      <w:pPr>
        <w:spacing w:line="360" w:lineRule="auto"/>
        <w:rPr>
          <w:rFonts w:ascii="Times New Roman" w:hAnsi="Times New Roman" w:cs="Times New Roman"/>
          <w:color w:val="000000"/>
          <w:sz w:val="20"/>
          <w:szCs w:val="20"/>
        </w:rPr>
      </w:pPr>
    </w:p>
    <w:p w14:paraId="100DB2D8" w14:textId="77777777" w:rsidR="009F3D40" w:rsidRPr="000E28CF" w:rsidRDefault="009F3D40" w:rsidP="00CD7E5F">
      <w:pPr>
        <w:spacing w:line="360" w:lineRule="auto"/>
        <w:rPr>
          <w:rFonts w:ascii="Times New Roman" w:hAnsi="Times New Roman" w:cs="Times New Roman"/>
          <w:color w:val="000000"/>
          <w:sz w:val="20"/>
          <w:szCs w:val="20"/>
        </w:rPr>
      </w:pPr>
    </w:p>
    <w:p w14:paraId="5FE950A4" w14:textId="77777777" w:rsidR="009F3D40" w:rsidRPr="000E28CF" w:rsidRDefault="009F3D40" w:rsidP="00CD7E5F">
      <w:pPr>
        <w:spacing w:line="360" w:lineRule="auto"/>
        <w:rPr>
          <w:rFonts w:ascii="Times New Roman" w:hAnsi="Times New Roman" w:cs="Times New Roman"/>
          <w:color w:val="000000"/>
          <w:sz w:val="20"/>
          <w:szCs w:val="20"/>
        </w:rPr>
      </w:pPr>
    </w:p>
    <w:p w14:paraId="729AD6A3" w14:textId="77777777" w:rsidR="009F3D40" w:rsidRPr="000E28CF" w:rsidRDefault="009F3D40" w:rsidP="00CD7E5F">
      <w:pPr>
        <w:spacing w:line="360" w:lineRule="auto"/>
        <w:rPr>
          <w:rFonts w:ascii="Times New Roman" w:hAnsi="Times New Roman" w:cs="Times New Roman"/>
          <w:color w:val="000000"/>
          <w:sz w:val="20"/>
          <w:szCs w:val="20"/>
        </w:rPr>
      </w:pPr>
    </w:p>
    <w:p w14:paraId="76BA3585" w14:textId="77777777" w:rsidR="009F3D40" w:rsidRPr="000E28CF" w:rsidRDefault="009F3D40" w:rsidP="00CD7E5F">
      <w:pPr>
        <w:spacing w:line="360" w:lineRule="auto"/>
        <w:rPr>
          <w:rFonts w:ascii="Times New Roman" w:hAnsi="Times New Roman" w:cs="Times New Roman"/>
          <w:color w:val="000000"/>
          <w:sz w:val="20"/>
          <w:szCs w:val="20"/>
        </w:rPr>
      </w:pPr>
    </w:p>
    <w:p w14:paraId="4A5DC596" w14:textId="77777777" w:rsidR="009F3D40" w:rsidRPr="000E28CF" w:rsidRDefault="009F3D40" w:rsidP="00CD7E5F">
      <w:pPr>
        <w:spacing w:line="360" w:lineRule="auto"/>
        <w:rPr>
          <w:rFonts w:ascii="Times New Roman" w:hAnsi="Times New Roman" w:cs="Times New Roman"/>
          <w:color w:val="000000"/>
          <w:sz w:val="20"/>
          <w:szCs w:val="20"/>
        </w:rPr>
      </w:pPr>
    </w:p>
    <w:p w14:paraId="36A2756C" w14:textId="77777777" w:rsidR="009F3D40" w:rsidRPr="000E28CF" w:rsidRDefault="009F3D40" w:rsidP="00CD7E5F">
      <w:pPr>
        <w:spacing w:line="360" w:lineRule="auto"/>
        <w:rPr>
          <w:rFonts w:ascii="Times New Roman" w:hAnsi="Times New Roman" w:cs="Times New Roman"/>
          <w:color w:val="000000"/>
          <w:sz w:val="20"/>
          <w:szCs w:val="20"/>
        </w:rPr>
      </w:pPr>
    </w:p>
    <w:p w14:paraId="0D908BAD" w14:textId="77777777" w:rsidR="009F3D40" w:rsidRPr="000E28CF" w:rsidRDefault="009F3D40" w:rsidP="00CD7E5F">
      <w:pPr>
        <w:spacing w:line="360" w:lineRule="auto"/>
        <w:rPr>
          <w:rFonts w:ascii="Times New Roman" w:hAnsi="Times New Roman" w:cs="Times New Roman"/>
          <w:color w:val="000000"/>
          <w:sz w:val="20"/>
          <w:szCs w:val="20"/>
        </w:rPr>
      </w:pPr>
    </w:p>
    <w:p w14:paraId="55000615" w14:textId="77777777" w:rsidR="009F3D40" w:rsidRPr="000E28CF" w:rsidRDefault="009F3D40" w:rsidP="00CD7E5F">
      <w:pPr>
        <w:spacing w:line="360" w:lineRule="auto"/>
        <w:rPr>
          <w:rFonts w:ascii="Times New Roman" w:hAnsi="Times New Roman" w:cs="Times New Roman"/>
          <w:color w:val="000000"/>
          <w:sz w:val="20"/>
          <w:szCs w:val="20"/>
        </w:rPr>
      </w:pPr>
    </w:p>
    <w:p w14:paraId="41015B7D" w14:textId="77777777" w:rsidR="009F3D40" w:rsidRPr="000E28CF" w:rsidRDefault="009F3D40" w:rsidP="00CD7E5F">
      <w:pPr>
        <w:spacing w:line="360" w:lineRule="auto"/>
        <w:rPr>
          <w:rFonts w:ascii="Times New Roman" w:hAnsi="Times New Roman" w:cs="Times New Roman"/>
          <w:color w:val="000000"/>
          <w:sz w:val="20"/>
          <w:szCs w:val="20"/>
        </w:rPr>
      </w:pPr>
    </w:p>
    <w:p w14:paraId="35E21F6F" w14:textId="77777777" w:rsidR="009F3D40" w:rsidRPr="000E28CF" w:rsidRDefault="009F3D40" w:rsidP="00CD7E5F">
      <w:pPr>
        <w:spacing w:line="360" w:lineRule="auto"/>
        <w:rPr>
          <w:rFonts w:ascii="Times New Roman" w:hAnsi="Times New Roman" w:cs="Times New Roman"/>
          <w:color w:val="000000"/>
          <w:sz w:val="20"/>
          <w:szCs w:val="20"/>
        </w:rPr>
      </w:pPr>
    </w:p>
    <w:p w14:paraId="12EBD4E4" w14:textId="77777777" w:rsidR="009F3D40" w:rsidRPr="000E28CF" w:rsidRDefault="009F3D40" w:rsidP="00CD7E5F">
      <w:pPr>
        <w:spacing w:line="360" w:lineRule="auto"/>
        <w:rPr>
          <w:rFonts w:ascii="Times New Roman" w:hAnsi="Times New Roman" w:cs="Times New Roman"/>
          <w:color w:val="000000"/>
          <w:sz w:val="20"/>
          <w:szCs w:val="20"/>
        </w:rPr>
      </w:pPr>
    </w:p>
    <w:p w14:paraId="76138A51" w14:textId="77777777" w:rsidR="009F3D40" w:rsidRPr="000E28CF" w:rsidRDefault="009F3D40" w:rsidP="00CD7E5F">
      <w:pPr>
        <w:spacing w:line="360" w:lineRule="auto"/>
        <w:rPr>
          <w:rFonts w:ascii="Times New Roman" w:hAnsi="Times New Roman" w:cs="Times New Roman"/>
          <w:color w:val="000000"/>
          <w:sz w:val="20"/>
          <w:szCs w:val="20"/>
        </w:rPr>
      </w:pPr>
    </w:p>
    <w:p w14:paraId="39D49EE8" w14:textId="77777777" w:rsidR="003B2189" w:rsidRPr="000E28CF" w:rsidRDefault="003B2189" w:rsidP="00CD7E5F">
      <w:pPr>
        <w:spacing w:line="360" w:lineRule="auto"/>
        <w:rPr>
          <w:rFonts w:ascii="Times New Roman" w:hAnsi="Times New Roman" w:cs="Times New Roman"/>
          <w:color w:val="000000"/>
          <w:sz w:val="20"/>
          <w:szCs w:val="20"/>
        </w:rPr>
      </w:pPr>
    </w:p>
    <w:p w14:paraId="46F24495" w14:textId="446E715B" w:rsidR="009F3D40" w:rsidRPr="000E28CF" w:rsidRDefault="009F3D40" w:rsidP="009F3D40">
      <w:pPr>
        <w:spacing w:line="360" w:lineRule="auto"/>
        <w:rPr>
          <w:rFonts w:ascii="Times New Roman" w:hAnsi="Times New Roman" w:cs="Times New Roman"/>
          <w:color w:val="000000"/>
          <w:sz w:val="20"/>
          <w:szCs w:val="20"/>
        </w:rPr>
      </w:pPr>
      <w:r w:rsidRPr="000E28CF">
        <w:rPr>
          <w:rFonts w:ascii="Times New Roman" w:hAnsi="Times New Roman" w:cs="Times New Roman"/>
          <w:b/>
          <w:sz w:val="20"/>
          <w:szCs w:val="20"/>
        </w:rPr>
        <w:lastRenderedPageBreak/>
        <w:t>Table 3</w:t>
      </w:r>
      <w:r w:rsidRPr="000E28CF">
        <w:rPr>
          <w:rFonts w:ascii="Times New Roman" w:hAnsi="Times New Roman" w:cs="Times New Roman"/>
          <w:color w:val="000000"/>
          <w:sz w:val="20"/>
          <w:szCs w:val="20"/>
        </w:rPr>
        <w:t xml:space="preserve">. </w:t>
      </w:r>
      <w:r w:rsidR="000E28CF" w:rsidRPr="000E28CF">
        <w:rPr>
          <w:rFonts w:ascii="Times New Roman" w:hAnsi="Times New Roman" w:cs="Times New Roman"/>
          <w:color w:val="000000"/>
          <w:sz w:val="20"/>
          <w:szCs w:val="20"/>
        </w:rPr>
        <w:t>Quarterly changes of incidence rates and incidence rate ratios for outcomes observed</w:t>
      </w:r>
      <w:r w:rsidR="000E28CF" w:rsidRPr="000E28CF">
        <w:rPr>
          <w:rFonts w:ascii="Times New Roman" w:hAnsi="Times New Roman" w:cs="Times New Roman"/>
          <w:color w:val="000000"/>
          <w:sz w:val="20"/>
          <w:szCs w:val="20"/>
        </w:rPr>
        <w:t xml:space="preserve"> stratified by labor market </w:t>
      </w:r>
      <w:r w:rsidR="000E28CF">
        <w:rPr>
          <w:rFonts w:ascii="Times New Roman" w:hAnsi="Times New Roman" w:cs="Times New Roman"/>
          <w:color w:val="000000"/>
          <w:sz w:val="20"/>
          <w:szCs w:val="20"/>
        </w:rPr>
        <w:t>marginalization.</w:t>
      </w:r>
    </w:p>
    <w:tbl>
      <w:tblPr>
        <w:tblStyle w:val="Tabellrutnt"/>
        <w:tblW w:w="11058" w:type="dxa"/>
        <w:tblInd w:w="-998" w:type="dxa"/>
        <w:tblLook w:val="04A0" w:firstRow="1" w:lastRow="0" w:firstColumn="1" w:lastColumn="0" w:noHBand="0" w:noVBand="1"/>
      </w:tblPr>
      <w:tblGrid>
        <w:gridCol w:w="1560"/>
        <w:gridCol w:w="1560"/>
        <w:gridCol w:w="1559"/>
        <w:gridCol w:w="1472"/>
        <w:gridCol w:w="1646"/>
        <w:gridCol w:w="1560"/>
        <w:gridCol w:w="1701"/>
      </w:tblGrid>
      <w:tr w:rsidR="009F3D40" w:rsidRPr="000E28CF" w14:paraId="12E55D82" w14:textId="77777777" w:rsidTr="009E4A70">
        <w:tc>
          <w:tcPr>
            <w:tcW w:w="1560" w:type="dxa"/>
          </w:tcPr>
          <w:p w14:paraId="573DD7F7" w14:textId="77777777" w:rsidR="009F3D40" w:rsidRPr="000E28CF" w:rsidRDefault="009F3D40" w:rsidP="009E4A70">
            <w:pPr>
              <w:rPr>
                <w:color w:val="000000"/>
              </w:rPr>
            </w:pPr>
          </w:p>
        </w:tc>
        <w:tc>
          <w:tcPr>
            <w:tcW w:w="4591" w:type="dxa"/>
            <w:gridSpan w:val="3"/>
          </w:tcPr>
          <w:p w14:paraId="7A92F9FD" w14:textId="77777777" w:rsidR="009F3D40" w:rsidRPr="000E28CF" w:rsidRDefault="009F3D40" w:rsidP="009E4A70">
            <w:pPr>
              <w:jc w:val="center"/>
              <w:rPr>
                <w:b/>
                <w:color w:val="000000"/>
              </w:rPr>
            </w:pPr>
            <w:r w:rsidRPr="000E28CF">
              <w:rPr>
                <w:b/>
                <w:color w:val="000000"/>
              </w:rPr>
              <w:t>Labor market marginalized*</w:t>
            </w:r>
          </w:p>
        </w:tc>
        <w:tc>
          <w:tcPr>
            <w:tcW w:w="4907" w:type="dxa"/>
            <w:gridSpan w:val="3"/>
          </w:tcPr>
          <w:p w14:paraId="738D6840" w14:textId="77777777" w:rsidR="009F3D40" w:rsidRPr="000E28CF" w:rsidRDefault="009F3D40" w:rsidP="009E4A70">
            <w:pPr>
              <w:jc w:val="center"/>
              <w:rPr>
                <w:b/>
                <w:color w:val="000000"/>
              </w:rPr>
            </w:pPr>
            <w:r w:rsidRPr="000E28CF">
              <w:rPr>
                <w:b/>
                <w:color w:val="000000"/>
              </w:rPr>
              <w:t>On the labor market</w:t>
            </w:r>
          </w:p>
        </w:tc>
      </w:tr>
      <w:tr w:rsidR="009F3D40" w:rsidRPr="000E28CF" w14:paraId="65CA028E" w14:textId="77777777" w:rsidTr="000E28CF">
        <w:tc>
          <w:tcPr>
            <w:tcW w:w="1560" w:type="dxa"/>
          </w:tcPr>
          <w:p w14:paraId="0440FA41" w14:textId="77777777" w:rsidR="009F3D40" w:rsidRPr="000E28CF" w:rsidRDefault="009F3D40" w:rsidP="009E4A70">
            <w:pPr>
              <w:rPr>
                <w:color w:val="000000"/>
              </w:rPr>
            </w:pPr>
          </w:p>
        </w:tc>
        <w:tc>
          <w:tcPr>
            <w:tcW w:w="1560" w:type="dxa"/>
          </w:tcPr>
          <w:p w14:paraId="4BCD41AA" w14:textId="77777777" w:rsidR="009F3D40" w:rsidRPr="000E28CF" w:rsidRDefault="009F3D40" w:rsidP="009E4A70">
            <w:pPr>
              <w:rPr>
                <w:color w:val="000000"/>
              </w:rPr>
            </w:pPr>
            <w:r w:rsidRPr="000E28CF">
              <w:rPr>
                <w:color w:val="000000"/>
              </w:rPr>
              <w:t>Quarterly changes of IRs in % before the COVID-19 pandemic</w:t>
            </w:r>
          </w:p>
        </w:tc>
        <w:tc>
          <w:tcPr>
            <w:tcW w:w="1559" w:type="dxa"/>
          </w:tcPr>
          <w:p w14:paraId="1C5CFD7D" w14:textId="77777777" w:rsidR="009F3D40" w:rsidRPr="000E28CF" w:rsidRDefault="009F3D40" w:rsidP="009E4A70">
            <w:pPr>
              <w:rPr>
                <w:color w:val="000000"/>
              </w:rPr>
            </w:pPr>
            <w:r w:rsidRPr="000E28CF">
              <w:rPr>
                <w:color w:val="000000"/>
              </w:rPr>
              <w:t xml:space="preserve">Quarterly changes of IRs in % during the COVID-19 pandemic </w:t>
            </w:r>
          </w:p>
        </w:tc>
        <w:tc>
          <w:tcPr>
            <w:tcW w:w="1472" w:type="dxa"/>
          </w:tcPr>
          <w:p w14:paraId="36755903" w14:textId="77777777" w:rsidR="009F3D40" w:rsidRPr="000E28CF" w:rsidRDefault="009F3D40" w:rsidP="009E4A70">
            <w:pPr>
              <w:rPr>
                <w:color w:val="000000"/>
              </w:rPr>
            </w:pPr>
            <w:r w:rsidRPr="000E28CF">
              <w:rPr>
                <w:color w:val="000000"/>
              </w:rPr>
              <w:t xml:space="preserve">IRRs comparing quarterly changes of IRs in % during vs before the COVID-19 pandemic </w:t>
            </w:r>
          </w:p>
        </w:tc>
        <w:tc>
          <w:tcPr>
            <w:tcW w:w="1646" w:type="dxa"/>
          </w:tcPr>
          <w:p w14:paraId="4EE48F32" w14:textId="77777777" w:rsidR="009F3D40" w:rsidRPr="000E28CF" w:rsidRDefault="009F3D40" w:rsidP="009E4A70">
            <w:pPr>
              <w:rPr>
                <w:color w:val="000000"/>
              </w:rPr>
            </w:pPr>
            <w:r w:rsidRPr="000E28CF">
              <w:rPr>
                <w:color w:val="000000"/>
              </w:rPr>
              <w:t>Quarterly changes of IRs in % before the COVID-19 pandemic</w:t>
            </w:r>
          </w:p>
        </w:tc>
        <w:tc>
          <w:tcPr>
            <w:tcW w:w="1560" w:type="dxa"/>
          </w:tcPr>
          <w:p w14:paraId="31565977" w14:textId="77777777" w:rsidR="009F3D40" w:rsidRPr="000E28CF" w:rsidRDefault="009F3D40" w:rsidP="009E4A70">
            <w:pPr>
              <w:rPr>
                <w:color w:val="000000"/>
              </w:rPr>
            </w:pPr>
            <w:r w:rsidRPr="000E28CF">
              <w:rPr>
                <w:color w:val="000000"/>
              </w:rPr>
              <w:t xml:space="preserve">Quarterly changes of IRs in % during the COVID-19 pandemic </w:t>
            </w:r>
          </w:p>
        </w:tc>
        <w:tc>
          <w:tcPr>
            <w:tcW w:w="1701" w:type="dxa"/>
          </w:tcPr>
          <w:p w14:paraId="58B2FE13" w14:textId="77777777" w:rsidR="009F3D40" w:rsidRPr="000E28CF" w:rsidRDefault="009F3D40" w:rsidP="009E4A70">
            <w:pPr>
              <w:rPr>
                <w:color w:val="000000"/>
              </w:rPr>
            </w:pPr>
            <w:r w:rsidRPr="000E28CF">
              <w:rPr>
                <w:color w:val="000000"/>
              </w:rPr>
              <w:t xml:space="preserve">IRRs comparing quarterly changes of IRs in % during vs before the COVID-19 pandemic </w:t>
            </w:r>
          </w:p>
        </w:tc>
      </w:tr>
      <w:tr w:rsidR="009F3D40" w:rsidRPr="000E28CF" w14:paraId="4F881B6E" w14:textId="77777777" w:rsidTr="000E28CF">
        <w:tc>
          <w:tcPr>
            <w:tcW w:w="1560" w:type="dxa"/>
          </w:tcPr>
          <w:p w14:paraId="11D0F1C2" w14:textId="77777777" w:rsidR="009F3D40" w:rsidRPr="000E28CF" w:rsidRDefault="009F3D40" w:rsidP="009E4A70">
            <w:pPr>
              <w:rPr>
                <w:color w:val="000000"/>
              </w:rPr>
            </w:pPr>
          </w:p>
        </w:tc>
        <w:tc>
          <w:tcPr>
            <w:tcW w:w="1560" w:type="dxa"/>
          </w:tcPr>
          <w:p w14:paraId="17D74FBC" w14:textId="77777777" w:rsidR="009F3D40" w:rsidRPr="000E28CF" w:rsidRDefault="009F3D40" w:rsidP="009E4A70">
            <w:pPr>
              <w:rPr>
                <w:color w:val="000000"/>
              </w:rPr>
            </w:pPr>
            <w:r w:rsidRPr="000E28CF">
              <w:rPr>
                <w:color w:val="000000"/>
              </w:rPr>
              <w:t>Trend IR (95% CIs)</w:t>
            </w:r>
          </w:p>
        </w:tc>
        <w:tc>
          <w:tcPr>
            <w:tcW w:w="1559" w:type="dxa"/>
          </w:tcPr>
          <w:p w14:paraId="3A1A91E0" w14:textId="77777777" w:rsidR="009F3D40" w:rsidRPr="000E28CF" w:rsidRDefault="009F3D40" w:rsidP="009E4A70">
            <w:pPr>
              <w:rPr>
                <w:color w:val="000000"/>
              </w:rPr>
            </w:pPr>
            <w:r w:rsidRPr="000E28CF">
              <w:rPr>
                <w:color w:val="000000"/>
              </w:rPr>
              <w:t>Trend IR (95% CIs)</w:t>
            </w:r>
          </w:p>
        </w:tc>
        <w:tc>
          <w:tcPr>
            <w:tcW w:w="1472" w:type="dxa"/>
          </w:tcPr>
          <w:p w14:paraId="285B0928" w14:textId="77777777" w:rsidR="009F3D40" w:rsidRPr="000E28CF" w:rsidRDefault="009F3D40" w:rsidP="009E4A70">
            <w:pPr>
              <w:rPr>
                <w:color w:val="000000"/>
              </w:rPr>
            </w:pPr>
            <w:r w:rsidRPr="000E28CF">
              <w:rPr>
                <w:color w:val="000000"/>
              </w:rPr>
              <w:t>Trend IRR (95% CIs)</w:t>
            </w:r>
          </w:p>
        </w:tc>
        <w:tc>
          <w:tcPr>
            <w:tcW w:w="1646" w:type="dxa"/>
          </w:tcPr>
          <w:p w14:paraId="477B01A6" w14:textId="77777777" w:rsidR="009F3D40" w:rsidRPr="000E28CF" w:rsidRDefault="009F3D40" w:rsidP="009E4A70">
            <w:pPr>
              <w:rPr>
                <w:color w:val="000000"/>
              </w:rPr>
            </w:pPr>
            <w:r w:rsidRPr="000E28CF">
              <w:rPr>
                <w:color w:val="000000"/>
              </w:rPr>
              <w:t>Trend IR (95% CIs)</w:t>
            </w:r>
          </w:p>
        </w:tc>
        <w:tc>
          <w:tcPr>
            <w:tcW w:w="1560" w:type="dxa"/>
          </w:tcPr>
          <w:p w14:paraId="54FB0708" w14:textId="77777777" w:rsidR="009F3D40" w:rsidRPr="000E28CF" w:rsidRDefault="009F3D40" w:rsidP="009E4A70">
            <w:pPr>
              <w:rPr>
                <w:color w:val="000000"/>
              </w:rPr>
            </w:pPr>
            <w:r w:rsidRPr="000E28CF">
              <w:rPr>
                <w:color w:val="000000"/>
              </w:rPr>
              <w:t>Trend IR (95% CIs)</w:t>
            </w:r>
          </w:p>
        </w:tc>
        <w:tc>
          <w:tcPr>
            <w:tcW w:w="1701" w:type="dxa"/>
          </w:tcPr>
          <w:p w14:paraId="3D49B3EB" w14:textId="77777777" w:rsidR="009F3D40" w:rsidRPr="000E28CF" w:rsidRDefault="009F3D40" w:rsidP="009E4A70">
            <w:pPr>
              <w:rPr>
                <w:color w:val="000000"/>
              </w:rPr>
            </w:pPr>
            <w:r w:rsidRPr="000E28CF">
              <w:rPr>
                <w:color w:val="000000"/>
              </w:rPr>
              <w:t>Trend IRR (95% CIs)</w:t>
            </w:r>
          </w:p>
        </w:tc>
      </w:tr>
      <w:tr w:rsidR="009F3D40" w:rsidRPr="000E28CF" w14:paraId="65AD3692" w14:textId="77777777" w:rsidTr="009E4A70">
        <w:tc>
          <w:tcPr>
            <w:tcW w:w="11058" w:type="dxa"/>
            <w:gridSpan w:val="7"/>
          </w:tcPr>
          <w:p w14:paraId="33913BBB" w14:textId="77777777" w:rsidR="009F3D40" w:rsidRPr="000E28CF" w:rsidRDefault="009F3D40" w:rsidP="009E4A70">
            <w:pPr>
              <w:rPr>
                <w:b/>
                <w:color w:val="000000"/>
              </w:rPr>
            </w:pPr>
            <w:r w:rsidRPr="000E28CF">
              <w:rPr>
                <w:b/>
                <w:color w:val="000000"/>
              </w:rPr>
              <w:t>Specialized psychiatric health care use for common mental disorders</w:t>
            </w:r>
          </w:p>
        </w:tc>
      </w:tr>
      <w:tr w:rsidR="009F3D40" w:rsidRPr="000E28CF" w14:paraId="2A1A4ACB" w14:textId="77777777" w:rsidTr="000E28CF">
        <w:tc>
          <w:tcPr>
            <w:tcW w:w="1560" w:type="dxa"/>
          </w:tcPr>
          <w:p w14:paraId="41135D60" w14:textId="77777777" w:rsidR="009F3D40" w:rsidRPr="000E28CF" w:rsidRDefault="009F3D40" w:rsidP="009E4A70">
            <w:pPr>
              <w:rPr>
                <w:color w:val="000000"/>
              </w:rPr>
            </w:pPr>
            <w:r w:rsidRPr="000E28CF">
              <w:rPr>
                <w:color w:val="000000"/>
              </w:rPr>
              <w:t>Refugees</w:t>
            </w:r>
          </w:p>
        </w:tc>
        <w:tc>
          <w:tcPr>
            <w:tcW w:w="1560" w:type="dxa"/>
          </w:tcPr>
          <w:p w14:paraId="1EF1F9A7" w14:textId="77777777" w:rsidR="009F3D40" w:rsidRPr="000E28CF" w:rsidRDefault="009F3D40" w:rsidP="009E4A70">
            <w:pPr>
              <w:rPr>
                <w:color w:val="000000"/>
              </w:rPr>
            </w:pPr>
            <w:r w:rsidRPr="000E28CF">
              <w:rPr>
                <w:color w:val="000000"/>
              </w:rPr>
              <w:t>-3.5 (-5.0;-2.0)</w:t>
            </w:r>
          </w:p>
          <w:p w14:paraId="440343F9" w14:textId="77777777" w:rsidR="009F3D40" w:rsidRPr="000E28CF" w:rsidRDefault="009F3D40" w:rsidP="009E4A70">
            <w:pPr>
              <w:rPr>
                <w:color w:val="000000"/>
              </w:rPr>
            </w:pPr>
          </w:p>
        </w:tc>
        <w:tc>
          <w:tcPr>
            <w:tcW w:w="1559" w:type="dxa"/>
          </w:tcPr>
          <w:p w14:paraId="4C538C29" w14:textId="77777777" w:rsidR="009F3D40" w:rsidRPr="000E28CF" w:rsidRDefault="009F3D40" w:rsidP="009E4A70">
            <w:pPr>
              <w:rPr>
                <w:color w:val="000000"/>
              </w:rPr>
            </w:pPr>
            <w:r w:rsidRPr="000E28CF">
              <w:rPr>
                <w:color w:val="000000"/>
              </w:rPr>
              <w:t>2.6 (0.8;4.4)</w:t>
            </w:r>
          </w:p>
          <w:p w14:paraId="3C34DF88" w14:textId="77777777" w:rsidR="009F3D40" w:rsidRPr="000E28CF" w:rsidRDefault="009F3D40" w:rsidP="009E4A70">
            <w:pPr>
              <w:rPr>
                <w:color w:val="000000"/>
              </w:rPr>
            </w:pPr>
          </w:p>
        </w:tc>
        <w:tc>
          <w:tcPr>
            <w:tcW w:w="1472" w:type="dxa"/>
          </w:tcPr>
          <w:p w14:paraId="537027B1" w14:textId="77777777" w:rsidR="009F3D40" w:rsidRPr="000E28CF" w:rsidRDefault="009F3D40" w:rsidP="009E4A70">
            <w:pPr>
              <w:rPr>
                <w:color w:val="000000"/>
              </w:rPr>
            </w:pPr>
            <w:r w:rsidRPr="000E28CF">
              <w:rPr>
                <w:color w:val="000000"/>
              </w:rPr>
              <w:t>6.3 (3.2;9.5)</w:t>
            </w:r>
          </w:p>
          <w:p w14:paraId="10AF8F7D" w14:textId="77777777" w:rsidR="009F3D40" w:rsidRPr="000E28CF" w:rsidRDefault="009F3D40" w:rsidP="009E4A70">
            <w:pPr>
              <w:rPr>
                <w:color w:val="000000"/>
              </w:rPr>
            </w:pPr>
          </w:p>
        </w:tc>
        <w:tc>
          <w:tcPr>
            <w:tcW w:w="1646" w:type="dxa"/>
          </w:tcPr>
          <w:p w14:paraId="3A206E40" w14:textId="77777777" w:rsidR="009F3D40" w:rsidRPr="000E28CF" w:rsidRDefault="009F3D40" w:rsidP="009E4A70">
            <w:pPr>
              <w:rPr>
                <w:color w:val="000000"/>
              </w:rPr>
            </w:pPr>
            <w:r w:rsidRPr="000E28CF">
              <w:rPr>
                <w:color w:val="000000"/>
              </w:rPr>
              <w:t>-2.1 (-3.0;-1.3)</w:t>
            </w:r>
          </w:p>
          <w:p w14:paraId="09325DCD" w14:textId="77777777" w:rsidR="009F3D40" w:rsidRPr="000E28CF" w:rsidRDefault="009F3D40" w:rsidP="009E4A70">
            <w:pPr>
              <w:rPr>
                <w:color w:val="000000"/>
              </w:rPr>
            </w:pPr>
          </w:p>
        </w:tc>
        <w:tc>
          <w:tcPr>
            <w:tcW w:w="1560" w:type="dxa"/>
          </w:tcPr>
          <w:p w14:paraId="6C453F10" w14:textId="77777777" w:rsidR="009F3D40" w:rsidRPr="000E28CF" w:rsidRDefault="009F3D40" w:rsidP="009E4A70">
            <w:pPr>
              <w:rPr>
                <w:color w:val="000000"/>
              </w:rPr>
            </w:pPr>
            <w:r w:rsidRPr="000E28CF">
              <w:rPr>
                <w:color w:val="000000"/>
              </w:rPr>
              <w:t>-0.4 (-1.7;0.8)</w:t>
            </w:r>
          </w:p>
          <w:p w14:paraId="37912E7E" w14:textId="77777777" w:rsidR="009F3D40" w:rsidRPr="000E28CF" w:rsidRDefault="009F3D40" w:rsidP="009E4A70">
            <w:pPr>
              <w:rPr>
                <w:color w:val="000000"/>
              </w:rPr>
            </w:pPr>
          </w:p>
        </w:tc>
        <w:tc>
          <w:tcPr>
            <w:tcW w:w="1701" w:type="dxa"/>
          </w:tcPr>
          <w:p w14:paraId="57B15DFB" w14:textId="77777777" w:rsidR="009F3D40" w:rsidRPr="000E28CF" w:rsidRDefault="009F3D40" w:rsidP="009E4A70">
            <w:pPr>
              <w:rPr>
                <w:color w:val="000000"/>
              </w:rPr>
            </w:pPr>
            <w:r w:rsidRPr="000E28CF">
              <w:rPr>
                <w:color w:val="000000"/>
              </w:rPr>
              <w:t>1.8 (-0.2;3.7)</w:t>
            </w:r>
          </w:p>
          <w:p w14:paraId="4A6F4797" w14:textId="77777777" w:rsidR="009F3D40" w:rsidRPr="000E28CF" w:rsidRDefault="009F3D40" w:rsidP="009E4A70">
            <w:pPr>
              <w:rPr>
                <w:color w:val="000000"/>
              </w:rPr>
            </w:pPr>
          </w:p>
        </w:tc>
      </w:tr>
      <w:tr w:rsidR="009F3D40" w:rsidRPr="000E28CF" w14:paraId="5B8A0F30" w14:textId="77777777" w:rsidTr="000E28CF">
        <w:tc>
          <w:tcPr>
            <w:tcW w:w="1560" w:type="dxa"/>
          </w:tcPr>
          <w:p w14:paraId="4DB4068B" w14:textId="77777777" w:rsidR="009F3D40" w:rsidRPr="000E28CF" w:rsidRDefault="009F3D40" w:rsidP="009E4A70">
            <w:pPr>
              <w:rPr>
                <w:color w:val="000000"/>
              </w:rPr>
            </w:pPr>
            <w:r w:rsidRPr="000E28CF">
              <w:rPr>
                <w:color w:val="000000"/>
              </w:rPr>
              <w:t>Swedish-born</w:t>
            </w:r>
          </w:p>
        </w:tc>
        <w:tc>
          <w:tcPr>
            <w:tcW w:w="1560" w:type="dxa"/>
          </w:tcPr>
          <w:p w14:paraId="0E6BD033" w14:textId="77777777" w:rsidR="009F3D40" w:rsidRPr="000E28CF" w:rsidRDefault="009F3D40" w:rsidP="009E4A70">
            <w:pPr>
              <w:rPr>
                <w:color w:val="000000"/>
              </w:rPr>
            </w:pPr>
            <w:r w:rsidRPr="000E28CF">
              <w:rPr>
                <w:color w:val="000000"/>
              </w:rPr>
              <w:t>-1.3 (-2.3;-0.3)</w:t>
            </w:r>
          </w:p>
          <w:p w14:paraId="591EF5DD" w14:textId="77777777" w:rsidR="009F3D40" w:rsidRPr="000E28CF" w:rsidRDefault="009F3D40" w:rsidP="009E4A70">
            <w:pPr>
              <w:rPr>
                <w:color w:val="000000"/>
              </w:rPr>
            </w:pPr>
          </w:p>
        </w:tc>
        <w:tc>
          <w:tcPr>
            <w:tcW w:w="1559" w:type="dxa"/>
          </w:tcPr>
          <w:p w14:paraId="13CB081D" w14:textId="77777777" w:rsidR="009F3D40" w:rsidRPr="000E28CF" w:rsidRDefault="009F3D40" w:rsidP="009E4A70">
            <w:pPr>
              <w:rPr>
                <w:color w:val="000000"/>
              </w:rPr>
            </w:pPr>
            <w:r w:rsidRPr="000E28CF">
              <w:rPr>
                <w:color w:val="000000"/>
              </w:rPr>
              <w:t>0.0 (-1.1;1.0)</w:t>
            </w:r>
          </w:p>
          <w:p w14:paraId="6F02F86E" w14:textId="77777777" w:rsidR="009F3D40" w:rsidRPr="000E28CF" w:rsidRDefault="009F3D40" w:rsidP="009E4A70">
            <w:pPr>
              <w:rPr>
                <w:color w:val="000000"/>
              </w:rPr>
            </w:pPr>
          </w:p>
        </w:tc>
        <w:tc>
          <w:tcPr>
            <w:tcW w:w="1472" w:type="dxa"/>
          </w:tcPr>
          <w:p w14:paraId="60018121" w14:textId="77777777" w:rsidR="009F3D40" w:rsidRPr="000E28CF" w:rsidRDefault="009F3D40" w:rsidP="009E4A70">
            <w:pPr>
              <w:rPr>
                <w:color w:val="000000"/>
              </w:rPr>
            </w:pPr>
            <w:r w:rsidRPr="000E28CF">
              <w:rPr>
                <w:color w:val="000000"/>
              </w:rPr>
              <w:t>1.3 (-0.6;3.2)</w:t>
            </w:r>
          </w:p>
          <w:p w14:paraId="34C3C1DB" w14:textId="77777777" w:rsidR="009F3D40" w:rsidRPr="000E28CF" w:rsidRDefault="009F3D40" w:rsidP="009E4A70">
            <w:pPr>
              <w:rPr>
                <w:color w:val="000000"/>
              </w:rPr>
            </w:pPr>
          </w:p>
        </w:tc>
        <w:tc>
          <w:tcPr>
            <w:tcW w:w="1646" w:type="dxa"/>
          </w:tcPr>
          <w:p w14:paraId="54F0B37E" w14:textId="77777777" w:rsidR="009F3D40" w:rsidRPr="000E28CF" w:rsidRDefault="009F3D40" w:rsidP="009E4A70">
            <w:pPr>
              <w:rPr>
                <w:color w:val="000000"/>
              </w:rPr>
            </w:pPr>
            <w:r w:rsidRPr="000E28CF">
              <w:rPr>
                <w:color w:val="000000"/>
              </w:rPr>
              <w:t>-1.0 (-1.6;-0.4)</w:t>
            </w:r>
          </w:p>
          <w:p w14:paraId="3122C6CF" w14:textId="77777777" w:rsidR="009F3D40" w:rsidRPr="000E28CF" w:rsidRDefault="009F3D40" w:rsidP="009E4A70">
            <w:pPr>
              <w:rPr>
                <w:color w:val="000000"/>
              </w:rPr>
            </w:pPr>
          </w:p>
        </w:tc>
        <w:tc>
          <w:tcPr>
            <w:tcW w:w="1560" w:type="dxa"/>
          </w:tcPr>
          <w:p w14:paraId="1E31CB78" w14:textId="77777777" w:rsidR="009F3D40" w:rsidRPr="000E28CF" w:rsidRDefault="009F3D40" w:rsidP="009E4A70">
            <w:pPr>
              <w:rPr>
                <w:color w:val="000000"/>
              </w:rPr>
            </w:pPr>
            <w:r w:rsidRPr="000E28CF">
              <w:rPr>
                <w:color w:val="000000"/>
              </w:rPr>
              <w:t>-0.6 (-1.2;0.1)</w:t>
            </w:r>
          </w:p>
          <w:p w14:paraId="77576D04" w14:textId="77777777" w:rsidR="009F3D40" w:rsidRPr="000E28CF" w:rsidRDefault="009F3D40" w:rsidP="009E4A70">
            <w:pPr>
              <w:rPr>
                <w:color w:val="000000"/>
              </w:rPr>
            </w:pPr>
          </w:p>
        </w:tc>
        <w:tc>
          <w:tcPr>
            <w:tcW w:w="1701" w:type="dxa"/>
          </w:tcPr>
          <w:p w14:paraId="6FFE3C05" w14:textId="77777777" w:rsidR="009F3D40" w:rsidRPr="000E28CF" w:rsidRDefault="009F3D40" w:rsidP="009E4A70">
            <w:pPr>
              <w:rPr>
                <w:color w:val="000000"/>
              </w:rPr>
            </w:pPr>
            <w:r w:rsidRPr="000E28CF">
              <w:rPr>
                <w:color w:val="000000"/>
              </w:rPr>
              <w:t>0.5 (-0.7;1.6)</w:t>
            </w:r>
          </w:p>
          <w:p w14:paraId="0751788B" w14:textId="77777777" w:rsidR="009F3D40" w:rsidRPr="000E28CF" w:rsidRDefault="009F3D40" w:rsidP="009E4A70">
            <w:pPr>
              <w:rPr>
                <w:color w:val="000000"/>
              </w:rPr>
            </w:pPr>
          </w:p>
        </w:tc>
      </w:tr>
      <w:tr w:rsidR="009F3D40" w:rsidRPr="000E28CF" w14:paraId="690CD4DE" w14:textId="77777777" w:rsidTr="009E4A70">
        <w:tc>
          <w:tcPr>
            <w:tcW w:w="11058" w:type="dxa"/>
            <w:gridSpan w:val="7"/>
          </w:tcPr>
          <w:p w14:paraId="5A758219" w14:textId="77777777" w:rsidR="009F3D40" w:rsidRPr="000E28CF" w:rsidRDefault="009F3D40" w:rsidP="009E4A70">
            <w:pPr>
              <w:rPr>
                <w:b/>
                <w:color w:val="000000"/>
              </w:rPr>
            </w:pPr>
            <w:r w:rsidRPr="000E28CF">
              <w:rPr>
                <w:b/>
                <w:color w:val="000000"/>
              </w:rPr>
              <w:t>Antidepressant prescription</w:t>
            </w:r>
          </w:p>
        </w:tc>
      </w:tr>
      <w:tr w:rsidR="009F3D40" w:rsidRPr="000E28CF" w14:paraId="24460D76" w14:textId="77777777" w:rsidTr="000E28CF">
        <w:tc>
          <w:tcPr>
            <w:tcW w:w="1560" w:type="dxa"/>
          </w:tcPr>
          <w:p w14:paraId="2C4F360C" w14:textId="77777777" w:rsidR="009F3D40" w:rsidRPr="000E28CF" w:rsidRDefault="009F3D40" w:rsidP="009E4A70">
            <w:pPr>
              <w:rPr>
                <w:color w:val="000000"/>
              </w:rPr>
            </w:pPr>
            <w:r w:rsidRPr="000E28CF">
              <w:rPr>
                <w:color w:val="000000"/>
              </w:rPr>
              <w:t>Refugees</w:t>
            </w:r>
          </w:p>
        </w:tc>
        <w:tc>
          <w:tcPr>
            <w:tcW w:w="1560" w:type="dxa"/>
          </w:tcPr>
          <w:p w14:paraId="75D92553" w14:textId="77777777" w:rsidR="009F3D40" w:rsidRPr="000E28CF" w:rsidRDefault="009F3D40" w:rsidP="009E4A70">
            <w:pPr>
              <w:rPr>
                <w:color w:val="000000"/>
              </w:rPr>
            </w:pPr>
            <w:r w:rsidRPr="000E28CF">
              <w:rPr>
                <w:color w:val="000000"/>
              </w:rPr>
              <w:t>-0.4 (-1.6;0.9)</w:t>
            </w:r>
          </w:p>
        </w:tc>
        <w:tc>
          <w:tcPr>
            <w:tcW w:w="1559" w:type="dxa"/>
          </w:tcPr>
          <w:p w14:paraId="2679DF7C" w14:textId="77777777" w:rsidR="009F3D40" w:rsidRPr="000E28CF" w:rsidRDefault="009F3D40" w:rsidP="009E4A70">
            <w:pPr>
              <w:rPr>
                <w:color w:val="000000"/>
              </w:rPr>
            </w:pPr>
            <w:r w:rsidRPr="000E28CF">
              <w:rPr>
                <w:color w:val="000000"/>
              </w:rPr>
              <w:t>0.7 (-0.4;1.8)</w:t>
            </w:r>
          </w:p>
          <w:p w14:paraId="2C7F551D" w14:textId="77777777" w:rsidR="009F3D40" w:rsidRPr="000E28CF" w:rsidRDefault="009F3D40" w:rsidP="009E4A70">
            <w:pPr>
              <w:rPr>
                <w:color w:val="000000"/>
              </w:rPr>
            </w:pPr>
          </w:p>
        </w:tc>
        <w:tc>
          <w:tcPr>
            <w:tcW w:w="1472" w:type="dxa"/>
          </w:tcPr>
          <w:p w14:paraId="2BF114CD" w14:textId="77777777" w:rsidR="009F3D40" w:rsidRPr="000E28CF" w:rsidRDefault="009F3D40" w:rsidP="009E4A70">
            <w:pPr>
              <w:rPr>
                <w:color w:val="000000"/>
              </w:rPr>
            </w:pPr>
            <w:r w:rsidRPr="000E28CF">
              <w:rPr>
                <w:color w:val="000000"/>
              </w:rPr>
              <w:t>1.1 (-0.9;3.1)</w:t>
            </w:r>
          </w:p>
          <w:p w14:paraId="5AB7B917" w14:textId="77777777" w:rsidR="009F3D40" w:rsidRPr="000E28CF" w:rsidRDefault="009F3D40" w:rsidP="009E4A70">
            <w:pPr>
              <w:rPr>
                <w:color w:val="000000"/>
              </w:rPr>
            </w:pPr>
          </w:p>
        </w:tc>
        <w:tc>
          <w:tcPr>
            <w:tcW w:w="1646" w:type="dxa"/>
          </w:tcPr>
          <w:p w14:paraId="55447F2C" w14:textId="77777777" w:rsidR="009F3D40" w:rsidRPr="000E28CF" w:rsidRDefault="009F3D40" w:rsidP="009E4A70">
            <w:pPr>
              <w:rPr>
                <w:color w:val="000000"/>
              </w:rPr>
            </w:pPr>
            <w:r w:rsidRPr="000E28CF">
              <w:rPr>
                <w:color w:val="000000"/>
              </w:rPr>
              <w:t>0.6 (-0.1;1.2)</w:t>
            </w:r>
          </w:p>
          <w:p w14:paraId="3FCF9054" w14:textId="77777777" w:rsidR="009F3D40" w:rsidRPr="000E28CF" w:rsidRDefault="009F3D40" w:rsidP="009E4A70">
            <w:pPr>
              <w:rPr>
                <w:color w:val="000000"/>
              </w:rPr>
            </w:pPr>
          </w:p>
        </w:tc>
        <w:tc>
          <w:tcPr>
            <w:tcW w:w="1560" w:type="dxa"/>
          </w:tcPr>
          <w:p w14:paraId="18E0BC16" w14:textId="77777777" w:rsidR="009F3D40" w:rsidRPr="000E28CF" w:rsidRDefault="009F3D40" w:rsidP="009E4A70">
            <w:pPr>
              <w:rPr>
                <w:color w:val="000000"/>
              </w:rPr>
            </w:pPr>
            <w:r w:rsidRPr="000E28CF">
              <w:rPr>
                <w:color w:val="000000"/>
              </w:rPr>
              <w:t>0.3 (-0.5;1.1)</w:t>
            </w:r>
          </w:p>
          <w:p w14:paraId="009C5C1B" w14:textId="77777777" w:rsidR="009F3D40" w:rsidRPr="000E28CF" w:rsidRDefault="009F3D40" w:rsidP="009E4A70">
            <w:pPr>
              <w:rPr>
                <w:color w:val="000000"/>
              </w:rPr>
            </w:pPr>
          </w:p>
        </w:tc>
        <w:tc>
          <w:tcPr>
            <w:tcW w:w="1701" w:type="dxa"/>
          </w:tcPr>
          <w:p w14:paraId="09862F8F" w14:textId="77777777" w:rsidR="009F3D40" w:rsidRPr="000E28CF" w:rsidRDefault="009F3D40" w:rsidP="009E4A70">
            <w:pPr>
              <w:rPr>
                <w:color w:val="000000"/>
              </w:rPr>
            </w:pPr>
            <w:r w:rsidRPr="000E28CF">
              <w:rPr>
                <w:color w:val="000000"/>
              </w:rPr>
              <w:t>-0.3 (-1.5;1.0)</w:t>
            </w:r>
          </w:p>
          <w:p w14:paraId="7BDB39D1" w14:textId="77777777" w:rsidR="009F3D40" w:rsidRPr="000E28CF" w:rsidRDefault="009F3D40" w:rsidP="009E4A70">
            <w:pPr>
              <w:rPr>
                <w:color w:val="000000"/>
              </w:rPr>
            </w:pPr>
          </w:p>
        </w:tc>
      </w:tr>
      <w:tr w:rsidR="009F3D40" w:rsidRPr="000E28CF" w14:paraId="5061C10F" w14:textId="77777777" w:rsidTr="000E28CF">
        <w:tc>
          <w:tcPr>
            <w:tcW w:w="1560" w:type="dxa"/>
          </w:tcPr>
          <w:p w14:paraId="2E7F33C5" w14:textId="77777777" w:rsidR="009F3D40" w:rsidRPr="000E28CF" w:rsidRDefault="009F3D40" w:rsidP="009E4A70">
            <w:pPr>
              <w:rPr>
                <w:color w:val="000000"/>
              </w:rPr>
            </w:pPr>
            <w:r w:rsidRPr="000E28CF">
              <w:rPr>
                <w:color w:val="000000"/>
              </w:rPr>
              <w:t>Swedish-born</w:t>
            </w:r>
          </w:p>
        </w:tc>
        <w:tc>
          <w:tcPr>
            <w:tcW w:w="1560" w:type="dxa"/>
          </w:tcPr>
          <w:p w14:paraId="60F1E67B" w14:textId="77777777" w:rsidR="009F3D40" w:rsidRPr="000E28CF" w:rsidRDefault="009F3D40" w:rsidP="009E4A70">
            <w:pPr>
              <w:rPr>
                <w:color w:val="000000"/>
              </w:rPr>
            </w:pPr>
            <w:r w:rsidRPr="000E28CF">
              <w:rPr>
                <w:color w:val="000000"/>
              </w:rPr>
              <w:t>-0.2 (-0.8;0.5)</w:t>
            </w:r>
          </w:p>
          <w:p w14:paraId="3B23D553" w14:textId="77777777" w:rsidR="009F3D40" w:rsidRPr="000E28CF" w:rsidRDefault="009F3D40" w:rsidP="009E4A70">
            <w:pPr>
              <w:rPr>
                <w:color w:val="000000"/>
              </w:rPr>
            </w:pPr>
          </w:p>
        </w:tc>
        <w:tc>
          <w:tcPr>
            <w:tcW w:w="1559" w:type="dxa"/>
          </w:tcPr>
          <w:p w14:paraId="68BBA66B" w14:textId="77777777" w:rsidR="009F3D40" w:rsidRPr="000E28CF" w:rsidRDefault="009F3D40" w:rsidP="009E4A70">
            <w:pPr>
              <w:rPr>
                <w:color w:val="000000"/>
              </w:rPr>
            </w:pPr>
            <w:r w:rsidRPr="000E28CF">
              <w:rPr>
                <w:color w:val="000000"/>
              </w:rPr>
              <w:t>-0.2 (-0.9;0.4)</w:t>
            </w:r>
          </w:p>
          <w:p w14:paraId="01EC4BD7" w14:textId="77777777" w:rsidR="009F3D40" w:rsidRPr="000E28CF" w:rsidRDefault="009F3D40" w:rsidP="009E4A70">
            <w:pPr>
              <w:rPr>
                <w:color w:val="000000"/>
              </w:rPr>
            </w:pPr>
          </w:p>
        </w:tc>
        <w:tc>
          <w:tcPr>
            <w:tcW w:w="1472" w:type="dxa"/>
          </w:tcPr>
          <w:p w14:paraId="612618F9" w14:textId="77777777" w:rsidR="009F3D40" w:rsidRPr="000E28CF" w:rsidRDefault="009F3D40" w:rsidP="009E4A70">
            <w:pPr>
              <w:rPr>
                <w:color w:val="000000"/>
              </w:rPr>
            </w:pPr>
            <w:r w:rsidRPr="000E28CF">
              <w:rPr>
                <w:color w:val="000000"/>
              </w:rPr>
              <w:t>-0.1 (-1.2;1.1)</w:t>
            </w:r>
          </w:p>
          <w:p w14:paraId="0D98E633" w14:textId="77777777" w:rsidR="009F3D40" w:rsidRPr="000E28CF" w:rsidRDefault="009F3D40" w:rsidP="009E4A70">
            <w:pPr>
              <w:rPr>
                <w:color w:val="000000"/>
              </w:rPr>
            </w:pPr>
          </w:p>
        </w:tc>
        <w:tc>
          <w:tcPr>
            <w:tcW w:w="1646" w:type="dxa"/>
          </w:tcPr>
          <w:p w14:paraId="3DC3DF8F" w14:textId="77777777" w:rsidR="009F3D40" w:rsidRPr="000E28CF" w:rsidRDefault="009F3D40" w:rsidP="009E4A70">
            <w:pPr>
              <w:rPr>
                <w:color w:val="000000"/>
              </w:rPr>
            </w:pPr>
            <w:r w:rsidRPr="000E28CF">
              <w:rPr>
                <w:color w:val="000000"/>
              </w:rPr>
              <w:t>-0.3 (-0.8;0.2)</w:t>
            </w:r>
          </w:p>
          <w:p w14:paraId="1E645129" w14:textId="77777777" w:rsidR="009F3D40" w:rsidRPr="000E28CF" w:rsidRDefault="009F3D40" w:rsidP="009E4A70">
            <w:pPr>
              <w:rPr>
                <w:color w:val="000000"/>
              </w:rPr>
            </w:pPr>
          </w:p>
        </w:tc>
        <w:tc>
          <w:tcPr>
            <w:tcW w:w="1560" w:type="dxa"/>
          </w:tcPr>
          <w:p w14:paraId="098A4E11" w14:textId="77777777" w:rsidR="009F3D40" w:rsidRPr="000E28CF" w:rsidRDefault="009F3D40" w:rsidP="009E4A70">
            <w:pPr>
              <w:rPr>
                <w:color w:val="000000"/>
              </w:rPr>
            </w:pPr>
            <w:r w:rsidRPr="000E28CF">
              <w:rPr>
                <w:color w:val="000000"/>
              </w:rPr>
              <w:t>0.9 (0.5;1.3)</w:t>
            </w:r>
          </w:p>
          <w:p w14:paraId="19E1902F" w14:textId="77777777" w:rsidR="009F3D40" w:rsidRPr="000E28CF" w:rsidRDefault="009F3D40" w:rsidP="009E4A70">
            <w:pPr>
              <w:rPr>
                <w:color w:val="000000"/>
              </w:rPr>
            </w:pPr>
          </w:p>
        </w:tc>
        <w:tc>
          <w:tcPr>
            <w:tcW w:w="1701" w:type="dxa"/>
          </w:tcPr>
          <w:p w14:paraId="7D6522C7" w14:textId="77777777" w:rsidR="009F3D40" w:rsidRPr="000E28CF" w:rsidRDefault="009F3D40" w:rsidP="009E4A70">
            <w:pPr>
              <w:rPr>
                <w:color w:val="000000"/>
              </w:rPr>
            </w:pPr>
            <w:r w:rsidRPr="000E28CF">
              <w:rPr>
                <w:color w:val="000000"/>
              </w:rPr>
              <w:t>1.1 (0.3;1.9)</w:t>
            </w:r>
          </w:p>
          <w:p w14:paraId="2BF425FA" w14:textId="77777777" w:rsidR="009F3D40" w:rsidRPr="000E28CF" w:rsidRDefault="009F3D40" w:rsidP="009E4A70">
            <w:pPr>
              <w:rPr>
                <w:color w:val="000000"/>
              </w:rPr>
            </w:pPr>
          </w:p>
        </w:tc>
      </w:tr>
    </w:tbl>
    <w:p w14:paraId="5138431A" w14:textId="73108BED" w:rsidR="009F3D40" w:rsidRPr="000E28CF" w:rsidRDefault="000E28CF" w:rsidP="009F3D40">
      <w:pPr>
        <w:spacing w:line="240" w:lineRule="auto"/>
        <w:rPr>
          <w:rFonts w:ascii="Times New Roman" w:hAnsi="Times New Roman"/>
          <w:color w:val="000000"/>
          <w:sz w:val="20"/>
          <w:szCs w:val="20"/>
        </w:rPr>
      </w:pPr>
      <w:r w:rsidRPr="000E28CF">
        <w:rPr>
          <w:rFonts w:ascii="Times New Roman" w:hAnsi="Times New Roman" w:cs="Times New Roman"/>
          <w:b/>
          <w:bCs/>
          <w:color w:val="000000" w:themeColor="text1"/>
          <w:sz w:val="20"/>
          <w:szCs w:val="20"/>
        </w:rPr>
        <w:t>Note.</w:t>
      </w:r>
      <w:r w:rsidRPr="000E28CF">
        <w:rPr>
          <w:rFonts w:ascii="Times New Roman" w:hAnsi="Times New Roman" w:cs="Times New Roman"/>
          <w:color w:val="000000" w:themeColor="text1"/>
          <w:sz w:val="20"/>
          <w:szCs w:val="20"/>
        </w:rPr>
        <w:t xml:space="preserve"> </w:t>
      </w:r>
      <w:r w:rsidRPr="000E28CF">
        <w:rPr>
          <w:rFonts w:ascii="Times New Roman" w:hAnsi="Times New Roman"/>
          <w:color w:val="000000"/>
          <w:sz w:val="20"/>
          <w:szCs w:val="20"/>
        </w:rPr>
        <w:t xml:space="preserve">Quarterly changes of incidence rates (IRs) in %s before and during the COVID-19 pandemic, and incidence rate ratios (IRRs) in %s with 95% confidence intervals (CIs) for </w:t>
      </w:r>
      <w:r w:rsidRPr="000E28CF">
        <w:rPr>
          <w:rFonts w:ascii="Times New Roman" w:hAnsi="Times New Roman"/>
          <w:color w:val="000000"/>
          <w:sz w:val="20"/>
          <w:szCs w:val="20"/>
        </w:rPr>
        <w:t>specialized</w:t>
      </w:r>
      <w:r w:rsidRPr="000E28CF">
        <w:rPr>
          <w:rFonts w:ascii="Times New Roman" w:hAnsi="Times New Roman"/>
          <w:color w:val="000000"/>
          <w:sz w:val="20"/>
          <w:szCs w:val="20"/>
        </w:rPr>
        <w:t xml:space="preserve"> psychiatric health care use for common mental disorder and antidepressant prescription comparing before and during the pandemic trends in the refugees and Swedish-born stratified by labor market marginalization.</w:t>
      </w:r>
      <w:r w:rsidRPr="000E28CF">
        <w:rPr>
          <w:rFonts w:ascii="Times New Roman" w:hAnsi="Times New Roman"/>
          <w:color w:val="000000"/>
          <w:sz w:val="20"/>
          <w:szCs w:val="20"/>
        </w:rPr>
        <w:br/>
        <w:t xml:space="preserve">         </w:t>
      </w:r>
      <w:r w:rsidR="009F3D40" w:rsidRPr="000E28CF">
        <w:rPr>
          <w:rFonts w:ascii="Times New Roman" w:hAnsi="Times New Roman" w:cs="Times New Roman"/>
          <w:color w:val="000000" w:themeColor="text1"/>
          <w:sz w:val="20"/>
          <w:szCs w:val="20"/>
        </w:rPr>
        <w:t>* Labor market marginalization was defined as &gt;365 net days of sickness absence, disability pension or unemployment one year prior the outcome measure</w:t>
      </w:r>
    </w:p>
    <w:p w14:paraId="3FDEAEBA" w14:textId="77777777" w:rsidR="003B2189" w:rsidRPr="000E28CF" w:rsidRDefault="003B2189" w:rsidP="00CD7E5F">
      <w:pPr>
        <w:spacing w:line="360" w:lineRule="auto"/>
        <w:rPr>
          <w:rFonts w:ascii="Times New Roman" w:hAnsi="Times New Roman" w:cs="Times New Roman"/>
          <w:color w:val="000000"/>
          <w:sz w:val="20"/>
          <w:szCs w:val="20"/>
        </w:rPr>
      </w:pPr>
    </w:p>
    <w:p w14:paraId="45A2D2E8" w14:textId="77777777" w:rsidR="003B2189" w:rsidRPr="000E28CF" w:rsidRDefault="003B2189" w:rsidP="00CD7E5F">
      <w:pPr>
        <w:spacing w:line="360" w:lineRule="auto"/>
        <w:rPr>
          <w:rFonts w:ascii="Times New Roman" w:hAnsi="Times New Roman" w:cs="Times New Roman"/>
          <w:color w:val="000000"/>
          <w:sz w:val="20"/>
          <w:szCs w:val="20"/>
        </w:rPr>
      </w:pPr>
    </w:p>
    <w:p w14:paraId="425701C6" w14:textId="77777777" w:rsidR="003B2189" w:rsidRPr="000E28CF" w:rsidRDefault="003B2189" w:rsidP="00CD7E5F">
      <w:pPr>
        <w:spacing w:line="360" w:lineRule="auto"/>
        <w:rPr>
          <w:rFonts w:ascii="Times New Roman" w:hAnsi="Times New Roman" w:cs="Times New Roman"/>
          <w:color w:val="000000"/>
          <w:sz w:val="20"/>
          <w:szCs w:val="20"/>
        </w:rPr>
      </w:pPr>
    </w:p>
    <w:p w14:paraId="0B480EA4" w14:textId="77777777" w:rsidR="003B2189" w:rsidRPr="000E28CF" w:rsidRDefault="003B2189" w:rsidP="00CD7E5F">
      <w:pPr>
        <w:spacing w:line="360" w:lineRule="auto"/>
        <w:rPr>
          <w:rFonts w:ascii="Times New Roman" w:hAnsi="Times New Roman" w:cs="Times New Roman"/>
          <w:color w:val="000000"/>
          <w:sz w:val="20"/>
          <w:szCs w:val="20"/>
        </w:rPr>
      </w:pPr>
    </w:p>
    <w:p w14:paraId="187590CB" w14:textId="77777777" w:rsidR="003B2189" w:rsidRPr="000E28CF" w:rsidRDefault="003B2189" w:rsidP="00CD7E5F">
      <w:pPr>
        <w:spacing w:line="360" w:lineRule="auto"/>
        <w:rPr>
          <w:rFonts w:ascii="Times New Roman" w:hAnsi="Times New Roman" w:cs="Times New Roman"/>
          <w:color w:val="000000"/>
          <w:sz w:val="20"/>
          <w:szCs w:val="20"/>
        </w:rPr>
      </w:pPr>
    </w:p>
    <w:p w14:paraId="17648036" w14:textId="77777777" w:rsidR="003B2189" w:rsidRDefault="003B2189" w:rsidP="00CD7E5F">
      <w:pPr>
        <w:spacing w:line="360" w:lineRule="auto"/>
        <w:rPr>
          <w:rFonts w:ascii="Times New Roman" w:hAnsi="Times New Roman" w:cs="Times New Roman"/>
          <w:color w:val="000000"/>
          <w:sz w:val="20"/>
          <w:szCs w:val="20"/>
        </w:rPr>
      </w:pPr>
    </w:p>
    <w:p w14:paraId="5F77369D" w14:textId="77777777" w:rsidR="000E28CF" w:rsidRPr="000E28CF" w:rsidRDefault="000E28CF" w:rsidP="00CD7E5F">
      <w:pPr>
        <w:spacing w:line="360" w:lineRule="auto"/>
        <w:rPr>
          <w:rFonts w:ascii="Times New Roman" w:hAnsi="Times New Roman" w:cs="Times New Roman"/>
          <w:color w:val="000000"/>
          <w:sz w:val="20"/>
          <w:szCs w:val="20"/>
        </w:rPr>
      </w:pPr>
    </w:p>
    <w:p w14:paraId="245666BF" w14:textId="77777777" w:rsidR="003B2189" w:rsidRPr="000E28CF" w:rsidRDefault="003B2189" w:rsidP="00CD7E5F">
      <w:pPr>
        <w:spacing w:line="360" w:lineRule="auto"/>
        <w:rPr>
          <w:rFonts w:ascii="Times New Roman" w:hAnsi="Times New Roman" w:cs="Times New Roman"/>
          <w:color w:val="000000"/>
          <w:sz w:val="20"/>
          <w:szCs w:val="20"/>
        </w:rPr>
      </w:pPr>
    </w:p>
    <w:p w14:paraId="4C2782B2" w14:textId="77777777" w:rsidR="003B2189" w:rsidRPr="000E28CF" w:rsidRDefault="003B2189" w:rsidP="00CD7E5F">
      <w:pPr>
        <w:spacing w:line="360" w:lineRule="auto"/>
        <w:rPr>
          <w:rFonts w:ascii="Times New Roman" w:hAnsi="Times New Roman" w:cs="Times New Roman"/>
          <w:color w:val="000000"/>
          <w:sz w:val="20"/>
          <w:szCs w:val="20"/>
        </w:rPr>
      </w:pPr>
    </w:p>
    <w:p w14:paraId="59FCD51C" w14:textId="77777777" w:rsidR="003B2189" w:rsidRPr="000E28CF" w:rsidRDefault="003B2189" w:rsidP="00CD7E5F">
      <w:pPr>
        <w:spacing w:line="360" w:lineRule="auto"/>
        <w:rPr>
          <w:rFonts w:ascii="Times New Roman" w:hAnsi="Times New Roman" w:cs="Times New Roman"/>
          <w:color w:val="000000"/>
          <w:sz w:val="20"/>
          <w:szCs w:val="20"/>
        </w:rPr>
      </w:pPr>
    </w:p>
    <w:p w14:paraId="21E003B4" w14:textId="0C19E641" w:rsidR="000E28CF" w:rsidRPr="000E28CF" w:rsidRDefault="009F3D40" w:rsidP="009F3D40">
      <w:pPr>
        <w:spacing w:line="360" w:lineRule="auto"/>
        <w:rPr>
          <w:rFonts w:ascii="Times New Roman" w:hAnsi="Times New Roman" w:cs="Times New Roman"/>
          <w:color w:val="000000"/>
          <w:sz w:val="20"/>
          <w:szCs w:val="20"/>
        </w:rPr>
      </w:pPr>
      <w:r w:rsidRPr="000E28CF">
        <w:rPr>
          <w:rFonts w:ascii="Times New Roman" w:hAnsi="Times New Roman" w:cs="Times New Roman"/>
          <w:b/>
          <w:sz w:val="20"/>
          <w:szCs w:val="20"/>
        </w:rPr>
        <w:lastRenderedPageBreak/>
        <w:t xml:space="preserve">Table 4. </w:t>
      </w:r>
      <w:r w:rsidR="000E28CF" w:rsidRPr="000E28CF">
        <w:rPr>
          <w:rFonts w:ascii="Times New Roman" w:hAnsi="Times New Roman" w:cs="Times New Roman"/>
          <w:color w:val="000000"/>
          <w:sz w:val="20"/>
          <w:szCs w:val="20"/>
        </w:rPr>
        <w:t xml:space="preserve">Quarterly changes of incidence rates and incidence rate ratios for outcomes observed stratified by </w:t>
      </w:r>
      <w:r w:rsidR="000E28CF" w:rsidRPr="000E28CF">
        <w:rPr>
          <w:rFonts w:ascii="Times New Roman" w:hAnsi="Times New Roman" w:cs="Times New Roman"/>
          <w:bCs/>
          <w:sz w:val="20"/>
          <w:szCs w:val="20"/>
          <w:bdr w:val="none" w:sz="0" w:space="0" w:color="auto" w:frame="1"/>
        </w:rPr>
        <w:t>education</w:t>
      </w:r>
      <w:r w:rsidR="000E28CF">
        <w:rPr>
          <w:rFonts w:ascii="Times New Roman" w:hAnsi="Times New Roman" w:cs="Times New Roman"/>
          <w:color w:val="000000"/>
          <w:sz w:val="20"/>
          <w:szCs w:val="20"/>
        </w:rPr>
        <w:t>.</w:t>
      </w:r>
    </w:p>
    <w:tbl>
      <w:tblPr>
        <w:tblStyle w:val="Tabellrutnt"/>
        <w:tblW w:w="11058" w:type="dxa"/>
        <w:tblInd w:w="-998" w:type="dxa"/>
        <w:tblLook w:val="04A0" w:firstRow="1" w:lastRow="0" w:firstColumn="1" w:lastColumn="0" w:noHBand="0" w:noVBand="1"/>
      </w:tblPr>
      <w:tblGrid>
        <w:gridCol w:w="1560"/>
        <w:gridCol w:w="1560"/>
        <w:gridCol w:w="1559"/>
        <w:gridCol w:w="1472"/>
        <w:gridCol w:w="1646"/>
        <w:gridCol w:w="1701"/>
        <w:gridCol w:w="1560"/>
      </w:tblGrid>
      <w:tr w:rsidR="009F3D40" w:rsidRPr="000E28CF" w14:paraId="4483A62F" w14:textId="77777777" w:rsidTr="009E4A70">
        <w:tc>
          <w:tcPr>
            <w:tcW w:w="1560" w:type="dxa"/>
          </w:tcPr>
          <w:p w14:paraId="1EFE3F7A" w14:textId="77777777" w:rsidR="009F3D40" w:rsidRPr="000E28CF" w:rsidRDefault="009F3D40" w:rsidP="009E4A70">
            <w:pPr>
              <w:rPr>
                <w:color w:val="000000"/>
              </w:rPr>
            </w:pPr>
          </w:p>
        </w:tc>
        <w:tc>
          <w:tcPr>
            <w:tcW w:w="4591" w:type="dxa"/>
            <w:gridSpan w:val="3"/>
          </w:tcPr>
          <w:p w14:paraId="1AD5DB47" w14:textId="0583862C" w:rsidR="009F3D40" w:rsidRPr="000E28CF" w:rsidRDefault="009F3D40" w:rsidP="009E4A70">
            <w:pPr>
              <w:jc w:val="center"/>
              <w:rPr>
                <w:b/>
                <w:color w:val="000000"/>
              </w:rPr>
            </w:pPr>
            <w:r w:rsidRPr="000E28CF">
              <w:rPr>
                <w:b/>
                <w:color w:val="000000"/>
              </w:rPr>
              <w:t xml:space="preserve">Less than 10 </w:t>
            </w:r>
            <w:r w:rsidR="000E28CF" w:rsidRPr="000E28CF">
              <w:rPr>
                <w:b/>
                <w:color w:val="000000"/>
              </w:rPr>
              <w:t>years of</w:t>
            </w:r>
            <w:r w:rsidRPr="000E28CF">
              <w:rPr>
                <w:b/>
                <w:color w:val="000000"/>
              </w:rPr>
              <w:t xml:space="preserve"> completed education</w:t>
            </w:r>
          </w:p>
        </w:tc>
        <w:tc>
          <w:tcPr>
            <w:tcW w:w="4907" w:type="dxa"/>
            <w:gridSpan w:val="3"/>
          </w:tcPr>
          <w:p w14:paraId="1949EFDD" w14:textId="34DF79AF" w:rsidR="009F3D40" w:rsidRPr="000E28CF" w:rsidRDefault="009F3D40" w:rsidP="009E4A70">
            <w:pPr>
              <w:jc w:val="center"/>
              <w:rPr>
                <w:b/>
                <w:color w:val="000000"/>
              </w:rPr>
            </w:pPr>
            <w:r w:rsidRPr="000E28CF">
              <w:rPr>
                <w:b/>
                <w:color w:val="000000"/>
              </w:rPr>
              <w:t>10 years o</w:t>
            </w:r>
            <w:r w:rsidR="000E28CF">
              <w:rPr>
                <w:b/>
                <w:color w:val="000000"/>
              </w:rPr>
              <w:t>r</w:t>
            </w:r>
            <w:r w:rsidRPr="000E28CF">
              <w:rPr>
                <w:b/>
                <w:color w:val="000000"/>
              </w:rPr>
              <w:t xml:space="preserve"> more</w:t>
            </w:r>
            <w:r w:rsidR="000E28CF">
              <w:rPr>
                <w:b/>
                <w:color w:val="000000"/>
              </w:rPr>
              <w:t xml:space="preserve"> of</w:t>
            </w:r>
            <w:r w:rsidRPr="000E28CF">
              <w:rPr>
                <w:b/>
                <w:color w:val="000000"/>
              </w:rPr>
              <w:t xml:space="preserve"> completed education</w:t>
            </w:r>
          </w:p>
        </w:tc>
      </w:tr>
      <w:tr w:rsidR="009F3D40" w:rsidRPr="000E28CF" w14:paraId="4B89F94B" w14:textId="77777777" w:rsidTr="000E28CF">
        <w:tc>
          <w:tcPr>
            <w:tcW w:w="1560" w:type="dxa"/>
          </w:tcPr>
          <w:p w14:paraId="098B3C0F" w14:textId="77777777" w:rsidR="009F3D40" w:rsidRPr="000E28CF" w:rsidRDefault="009F3D40" w:rsidP="009E4A70">
            <w:pPr>
              <w:rPr>
                <w:color w:val="000000"/>
              </w:rPr>
            </w:pPr>
          </w:p>
        </w:tc>
        <w:tc>
          <w:tcPr>
            <w:tcW w:w="1560" w:type="dxa"/>
          </w:tcPr>
          <w:p w14:paraId="3D8BBCE7" w14:textId="77777777" w:rsidR="009F3D40" w:rsidRPr="000E28CF" w:rsidRDefault="009F3D40" w:rsidP="009E4A70">
            <w:pPr>
              <w:rPr>
                <w:color w:val="000000"/>
              </w:rPr>
            </w:pPr>
            <w:r w:rsidRPr="000E28CF">
              <w:rPr>
                <w:color w:val="000000"/>
              </w:rPr>
              <w:t>Quarterly changes of IRs in % before the COVID-19 pandemic</w:t>
            </w:r>
          </w:p>
        </w:tc>
        <w:tc>
          <w:tcPr>
            <w:tcW w:w="1559" w:type="dxa"/>
          </w:tcPr>
          <w:p w14:paraId="34DABF43" w14:textId="77777777" w:rsidR="009F3D40" w:rsidRPr="000E28CF" w:rsidRDefault="009F3D40" w:rsidP="009E4A70">
            <w:pPr>
              <w:rPr>
                <w:color w:val="000000"/>
              </w:rPr>
            </w:pPr>
            <w:r w:rsidRPr="000E28CF">
              <w:rPr>
                <w:color w:val="000000"/>
              </w:rPr>
              <w:t xml:space="preserve">Quarterly changes of IRs in % during the COVID-19 pandemic </w:t>
            </w:r>
          </w:p>
        </w:tc>
        <w:tc>
          <w:tcPr>
            <w:tcW w:w="1472" w:type="dxa"/>
          </w:tcPr>
          <w:p w14:paraId="46E842E8" w14:textId="77777777" w:rsidR="009F3D40" w:rsidRPr="000E28CF" w:rsidRDefault="009F3D40" w:rsidP="009E4A70">
            <w:pPr>
              <w:rPr>
                <w:color w:val="000000"/>
              </w:rPr>
            </w:pPr>
            <w:r w:rsidRPr="000E28CF">
              <w:rPr>
                <w:color w:val="000000"/>
              </w:rPr>
              <w:t xml:space="preserve">IRRs comparing quarterly changes of IRs in % during vs before the COVID-19 pandemic </w:t>
            </w:r>
          </w:p>
        </w:tc>
        <w:tc>
          <w:tcPr>
            <w:tcW w:w="1646" w:type="dxa"/>
          </w:tcPr>
          <w:p w14:paraId="575BA8C1" w14:textId="77777777" w:rsidR="009F3D40" w:rsidRPr="000E28CF" w:rsidRDefault="009F3D40" w:rsidP="009E4A70">
            <w:pPr>
              <w:rPr>
                <w:color w:val="000000"/>
              </w:rPr>
            </w:pPr>
            <w:r w:rsidRPr="000E28CF">
              <w:rPr>
                <w:color w:val="000000"/>
              </w:rPr>
              <w:t>Quarterly changes of IRs in % before the COVID-19 pandemic</w:t>
            </w:r>
          </w:p>
        </w:tc>
        <w:tc>
          <w:tcPr>
            <w:tcW w:w="1701" w:type="dxa"/>
          </w:tcPr>
          <w:p w14:paraId="7265D238" w14:textId="77777777" w:rsidR="009F3D40" w:rsidRPr="000E28CF" w:rsidRDefault="009F3D40" w:rsidP="009E4A70">
            <w:pPr>
              <w:rPr>
                <w:color w:val="000000"/>
              </w:rPr>
            </w:pPr>
            <w:r w:rsidRPr="000E28CF">
              <w:rPr>
                <w:color w:val="000000"/>
              </w:rPr>
              <w:t xml:space="preserve">Quarterly changes of IRs in % during the COVID-19 pandemic </w:t>
            </w:r>
          </w:p>
        </w:tc>
        <w:tc>
          <w:tcPr>
            <w:tcW w:w="1560" w:type="dxa"/>
          </w:tcPr>
          <w:p w14:paraId="473EB3F1" w14:textId="77777777" w:rsidR="009F3D40" w:rsidRPr="000E28CF" w:rsidRDefault="009F3D40" w:rsidP="009E4A70">
            <w:pPr>
              <w:rPr>
                <w:color w:val="000000"/>
              </w:rPr>
            </w:pPr>
            <w:r w:rsidRPr="000E28CF">
              <w:rPr>
                <w:color w:val="000000"/>
              </w:rPr>
              <w:t xml:space="preserve">IRRs comparing quarterly changes of IRs in % during vs before the COVID-19 pandemic </w:t>
            </w:r>
          </w:p>
        </w:tc>
      </w:tr>
      <w:tr w:rsidR="009F3D40" w:rsidRPr="000E28CF" w14:paraId="4F1BEAD8" w14:textId="77777777" w:rsidTr="000E28CF">
        <w:tc>
          <w:tcPr>
            <w:tcW w:w="1560" w:type="dxa"/>
          </w:tcPr>
          <w:p w14:paraId="072D9CCC" w14:textId="77777777" w:rsidR="009F3D40" w:rsidRPr="000E28CF" w:rsidRDefault="009F3D40" w:rsidP="009E4A70">
            <w:pPr>
              <w:rPr>
                <w:color w:val="000000"/>
              </w:rPr>
            </w:pPr>
          </w:p>
        </w:tc>
        <w:tc>
          <w:tcPr>
            <w:tcW w:w="1560" w:type="dxa"/>
          </w:tcPr>
          <w:p w14:paraId="7BE4FCD2" w14:textId="77777777" w:rsidR="009F3D40" w:rsidRPr="000E28CF" w:rsidRDefault="009F3D40" w:rsidP="009E4A70">
            <w:pPr>
              <w:rPr>
                <w:color w:val="000000"/>
              </w:rPr>
            </w:pPr>
            <w:r w:rsidRPr="000E28CF">
              <w:rPr>
                <w:color w:val="000000"/>
              </w:rPr>
              <w:t>Trend IR (95% CIs)</w:t>
            </w:r>
          </w:p>
        </w:tc>
        <w:tc>
          <w:tcPr>
            <w:tcW w:w="1559" w:type="dxa"/>
          </w:tcPr>
          <w:p w14:paraId="1AC405C5" w14:textId="77777777" w:rsidR="009F3D40" w:rsidRPr="000E28CF" w:rsidRDefault="009F3D40" w:rsidP="009E4A70">
            <w:pPr>
              <w:rPr>
                <w:color w:val="000000"/>
              </w:rPr>
            </w:pPr>
            <w:r w:rsidRPr="000E28CF">
              <w:rPr>
                <w:color w:val="000000"/>
              </w:rPr>
              <w:t>Trend IR (95% CIs)</w:t>
            </w:r>
          </w:p>
        </w:tc>
        <w:tc>
          <w:tcPr>
            <w:tcW w:w="1472" w:type="dxa"/>
          </w:tcPr>
          <w:p w14:paraId="6D1E053F" w14:textId="77777777" w:rsidR="009F3D40" w:rsidRPr="000E28CF" w:rsidRDefault="009F3D40" w:rsidP="009E4A70">
            <w:pPr>
              <w:rPr>
                <w:color w:val="000000"/>
              </w:rPr>
            </w:pPr>
            <w:r w:rsidRPr="000E28CF">
              <w:rPr>
                <w:color w:val="000000"/>
              </w:rPr>
              <w:t>Trend IRR (95% CIs)</w:t>
            </w:r>
          </w:p>
        </w:tc>
        <w:tc>
          <w:tcPr>
            <w:tcW w:w="1646" w:type="dxa"/>
          </w:tcPr>
          <w:p w14:paraId="33BC21F2" w14:textId="77777777" w:rsidR="009F3D40" w:rsidRPr="000E28CF" w:rsidRDefault="009F3D40" w:rsidP="009E4A70">
            <w:pPr>
              <w:rPr>
                <w:color w:val="000000"/>
              </w:rPr>
            </w:pPr>
            <w:r w:rsidRPr="000E28CF">
              <w:rPr>
                <w:color w:val="000000"/>
              </w:rPr>
              <w:t>Trend IR (95% CIs)</w:t>
            </w:r>
          </w:p>
        </w:tc>
        <w:tc>
          <w:tcPr>
            <w:tcW w:w="1701" w:type="dxa"/>
          </w:tcPr>
          <w:p w14:paraId="536F15A8" w14:textId="77777777" w:rsidR="009F3D40" w:rsidRPr="000E28CF" w:rsidRDefault="009F3D40" w:rsidP="009E4A70">
            <w:pPr>
              <w:rPr>
                <w:color w:val="000000"/>
              </w:rPr>
            </w:pPr>
            <w:r w:rsidRPr="000E28CF">
              <w:rPr>
                <w:color w:val="000000"/>
              </w:rPr>
              <w:t>Trend IR (95% CIs)</w:t>
            </w:r>
          </w:p>
        </w:tc>
        <w:tc>
          <w:tcPr>
            <w:tcW w:w="1560" w:type="dxa"/>
          </w:tcPr>
          <w:p w14:paraId="679EB894" w14:textId="77777777" w:rsidR="009F3D40" w:rsidRPr="000E28CF" w:rsidRDefault="009F3D40" w:rsidP="009E4A70">
            <w:pPr>
              <w:rPr>
                <w:color w:val="000000"/>
              </w:rPr>
            </w:pPr>
            <w:r w:rsidRPr="000E28CF">
              <w:rPr>
                <w:color w:val="000000"/>
              </w:rPr>
              <w:t>Trend IRR (95% CIs)</w:t>
            </w:r>
          </w:p>
        </w:tc>
      </w:tr>
      <w:tr w:rsidR="009F3D40" w:rsidRPr="000E28CF" w14:paraId="7FB3982B" w14:textId="77777777" w:rsidTr="009E4A70">
        <w:tc>
          <w:tcPr>
            <w:tcW w:w="11058" w:type="dxa"/>
            <w:gridSpan w:val="7"/>
          </w:tcPr>
          <w:p w14:paraId="7D0D3B94" w14:textId="77777777" w:rsidR="009F3D40" w:rsidRPr="000E28CF" w:rsidRDefault="009F3D40" w:rsidP="009E4A70">
            <w:pPr>
              <w:rPr>
                <w:b/>
                <w:color w:val="000000"/>
              </w:rPr>
            </w:pPr>
            <w:r w:rsidRPr="000E28CF">
              <w:rPr>
                <w:b/>
                <w:color w:val="000000"/>
              </w:rPr>
              <w:t>Specialized psychiatric health care use for common mental disorders</w:t>
            </w:r>
          </w:p>
        </w:tc>
      </w:tr>
      <w:tr w:rsidR="009F3D40" w:rsidRPr="000E28CF" w14:paraId="1E7D429A" w14:textId="77777777" w:rsidTr="000E28CF">
        <w:tc>
          <w:tcPr>
            <w:tcW w:w="1560" w:type="dxa"/>
          </w:tcPr>
          <w:p w14:paraId="27E1B01F" w14:textId="77777777" w:rsidR="009F3D40" w:rsidRPr="000E28CF" w:rsidRDefault="009F3D40" w:rsidP="009E4A70">
            <w:pPr>
              <w:rPr>
                <w:color w:val="000000"/>
              </w:rPr>
            </w:pPr>
            <w:r w:rsidRPr="000E28CF">
              <w:rPr>
                <w:color w:val="000000"/>
              </w:rPr>
              <w:t>Refugees</w:t>
            </w:r>
          </w:p>
        </w:tc>
        <w:tc>
          <w:tcPr>
            <w:tcW w:w="1560" w:type="dxa"/>
          </w:tcPr>
          <w:p w14:paraId="182E4A8A" w14:textId="77777777" w:rsidR="009F3D40" w:rsidRPr="000E28CF" w:rsidRDefault="009F3D40" w:rsidP="009E4A70">
            <w:pPr>
              <w:rPr>
                <w:color w:val="000000"/>
              </w:rPr>
            </w:pPr>
            <w:r w:rsidRPr="000E28CF">
              <w:rPr>
                <w:color w:val="000000"/>
              </w:rPr>
              <w:t>-3.2 (-4.3;-2.0)</w:t>
            </w:r>
          </w:p>
          <w:p w14:paraId="42EE493A" w14:textId="77777777" w:rsidR="009F3D40" w:rsidRPr="000E28CF" w:rsidRDefault="009F3D40" w:rsidP="009E4A70">
            <w:pPr>
              <w:rPr>
                <w:color w:val="000000"/>
              </w:rPr>
            </w:pPr>
          </w:p>
        </w:tc>
        <w:tc>
          <w:tcPr>
            <w:tcW w:w="1559" w:type="dxa"/>
          </w:tcPr>
          <w:p w14:paraId="4A7C1FA5" w14:textId="77777777" w:rsidR="009F3D40" w:rsidRPr="000E28CF" w:rsidRDefault="009F3D40" w:rsidP="009E4A70">
            <w:pPr>
              <w:rPr>
                <w:color w:val="000000"/>
              </w:rPr>
            </w:pPr>
            <w:r w:rsidRPr="000E28CF">
              <w:rPr>
                <w:color w:val="000000"/>
              </w:rPr>
              <w:t>0.8 (-0.8;2.4)</w:t>
            </w:r>
          </w:p>
          <w:p w14:paraId="16D6D429" w14:textId="77777777" w:rsidR="009F3D40" w:rsidRPr="000E28CF" w:rsidRDefault="009F3D40" w:rsidP="009E4A70">
            <w:pPr>
              <w:rPr>
                <w:color w:val="000000"/>
              </w:rPr>
            </w:pPr>
          </w:p>
        </w:tc>
        <w:tc>
          <w:tcPr>
            <w:tcW w:w="1472" w:type="dxa"/>
          </w:tcPr>
          <w:p w14:paraId="4A95ECDB" w14:textId="77777777" w:rsidR="009F3D40" w:rsidRPr="000E28CF" w:rsidRDefault="009F3D40" w:rsidP="009E4A70">
            <w:pPr>
              <w:rPr>
                <w:color w:val="000000"/>
              </w:rPr>
            </w:pPr>
            <w:r w:rsidRPr="000E28CF">
              <w:rPr>
                <w:color w:val="000000"/>
              </w:rPr>
              <w:t>4.1 (1.4;6.8)</w:t>
            </w:r>
          </w:p>
          <w:p w14:paraId="74AC5DBB" w14:textId="77777777" w:rsidR="009F3D40" w:rsidRPr="000E28CF" w:rsidRDefault="009F3D40" w:rsidP="009E4A70">
            <w:pPr>
              <w:rPr>
                <w:color w:val="000000"/>
              </w:rPr>
            </w:pPr>
          </w:p>
        </w:tc>
        <w:tc>
          <w:tcPr>
            <w:tcW w:w="1646" w:type="dxa"/>
          </w:tcPr>
          <w:p w14:paraId="1394B66A" w14:textId="5B790850" w:rsidR="009F3D40" w:rsidRPr="000E28CF" w:rsidRDefault="009F3D40" w:rsidP="009E4A70">
            <w:pPr>
              <w:rPr>
                <w:color w:val="000000"/>
              </w:rPr>
            </w:pPr>
            <w:r w:rsidRPr="000E28CF">
              <w:rPr>
                <w:color w:val="000000"/>
              </w:rPr>
              <w:t>-2.2 (-3.</w:t>
            </w:r>
            <w:r w:rsidR="000E28CF" w:rsidRPr="000E28CF">
              <w:rPr>
                <w:color w:val="000000"/>
              </w:rPr>
              <w:t>0; -</w:t>
            </w:r>
            <w:r w:rsidRPr="000E28CF">
              <w:rPr>
                <w:color w:val="000000"/>
              </w:rPr>
              <w:t>1.5)</w:t>
            </w:r>
          </w:p>
          <w:p w14:paraId="4B26AE24" w14:textId="77777777" w:rsidR="009F3D40" w:rsidRPr="000E28CF" w:rsidRDefault="009F3D40" w:rsidP="009E4A70">
            <w:pPr>
              <w:rPr>
                <w:color w:val="000000"/>
              </w:rPr>
            </w:pPr>
          </w:p>
        </w:tc>
        <w:tc>
          <w:tcPr>
            <w:tcW w:w="1701" w:type="dxa"/>
          </w:tcPr>
          <w:p w14:paraId="25F3664F" w14:textId="77777777" w:rsidR="009F3D40" w:rsidRPr="000E28CF" w:rsidRDefault="009F3D40" w:rsidP="009E4A70">
            <w:pPr>
              <w:rPr>
                <w:color w:val="000000"/>
              </w:rPr>
            </w:pPr>
            <w:r w:rsidRPr="000E28CF">
              <w:rPr>
                <w:color w:val="000000"/>
              </w:rPr>
              <w:t>-0.5 (-1.6;0.5)</w:t>
            </w:r>
          </w:p>
          <w:p w14:paraId="05A8A644" w14:textId="77777777" w:rsidR="009F3D40" w:rsidRPr="000E28CF" w:rsidRDefault="009F3D40" w:rsidP="009E4A70">
            <w:pPr>
              <w:rPr>
                <w:color w:val="000000"/>
              </w:rPr>
            </w:pPr>
          </w:p>
        </w:tc>
        <w:tc>
          <w:tcPr>
            <w:tcW w:w="1560" w:type="dxa"/>
          </w:tcPr>
          <w:p w14:paraId="31FF2FB5" w14:textId="77777777" w:rsidR="009F3D40" w:rsidRPr="000E28CF" w:rsidRDefault="009F3D40" w:rsidP="009E4A70">
            <w:pPr>
              <w:rPr>
                <w:color w:val="000000"/>
              </w:rPr>
            </w:pPr>
            <w:r w:rsidRPr="000E28CF">
              <w:rPr>
                <w:color w:val="000000"/>
              </w:rPr>
              <w:t>1.7 (0.0;3.5)</w:t>
            </w:r>
          </w:p>
          <w:p w14:paraId="25D604A7" w14:textId="77777777" w:rsidR="009F3D40" w:rsidRPr="000E28CF" w:rsidRDefault="009F3D40" w:rsidP="009E4A70">
            <w:pPr>
              <w:rPr>
                <w:color w:val="000000"/>
              </w:rPr>
            </w:pPr>
          </w:p>
        </w:tc>
      </w:tr>
      <w:tr w:rsidR="009F3D40" w:rsidRPr="000E28CF" w14:paraId="62D8C7A9" w14:textId="77777777" w:rsidTr="000E28CF">
        <w:tc>
          <w:tcPr>
            <w:tcW w:w="1560" w:type="dxa"/>
          </w:tcPr>
          <w:p w14:paraId="4670CFCF" w14:textId="77777777" w:rsidR="009F3D40" w:rsidRPr="000E28CF" w:rsidRDefault="009F3D40" w:rsidP="009E4A70">
            <w:pPr>
              <w:rPr>
                <w:color w:val="000000"/>
              </w:rPr>
            </w:pPr>
            <w:r w:rsidRPr="000E28CF">
              <w:rPr>
                <w:color w:val="000000"/>
              </w:rPr>
              <w:t>Swedish-born</w:t>
            </w:r>
          </w:p>
        </w:tc>
        <w:tc>
          <w:tcPr>
            <w:tcW w:w="1560" w:type="dxa"/>
          </w:tcPr>
          <w:p w14:paraId="70E10513" w14:textId="77777777" w:rsidR="009F3D40" w:rsidRPr="000E28CF" w:rsidRDefault="009F3D40" w:rsidP="009E4A70">
            <w:pPr>
              <w:rPr>
                <w:color w:val="000000"/>
              </w:rPr>
            </w:pPr>
            <w:r w:rsidRPr="000E28CF">
              <w:rPr>
                <w:color w:val="000000"/>
              </w:rPr>
              <w:t>-0.6 (-1.4;0.3)</w:t>
            </w:r>
          </w:p>
          <w:p w14:paraId="038C91AF" w14:textId="77777777" w:rsidR="009F3D40" w:rsidRPr="000E28CF" w:rsidRDefault="009F3D40" w:rsidP="009E4A70">
            <w:pPr>
              <w:rPr>
                <w:color w:val="000000"/>
              </w:rPr>
            </w:pPr>
          </w:p>
        </w:tc>
        <w:tc>
          <w:tcPr>
            <w:tcW w:w="1559" w:type="dxa"/>
          </w:tcPr>
          <w:p w14:paraId="42BD89B7" w14:textId="77777777" w:rsidR="009F3D40" w:rsidRPr="000E28CF" w:rsidRDefault="009F3D40" w:rsidP="009E4A70">
            <w:pPr>
              <w:rPr>
                <w:color w:val="000000"/>
              </w:rPr>
            </w:pPr>
            <w:r w:rsidRPr="000E28CF">
              <w:rPr>
                <w:color w:val="000000"/>
              </w:rPr>
              <w:t>-0.5 (-1.3;0.4)</w:t>
            </w:r>
          </w:p>
          <w:p w14:paraId="7C591296" w14:textId="77777777" w:rsidR="009F3D40" w:rsidRPr="000E28CF" w:rsidRDefault="009F3D40" w:rsidP="009E4A70">
            <w:pPr>
              <w:rPr>
                <w:color w:val="000000"/>
              </w:rPr>
            </w:pPr>
          </w:p>
        </w:tc>
        <w:tc>
          <w:tcPr>
            <w:tcW w:w="1472" w:type="dxa"/>
          </w:tcPr>
          <w:p w14:paraId="002AEDEC" w14:textId="77777777" w:rsidR="009F3D40" w:rsidRPr="000E28CF" w:rsidRDefault="009F3D40" w:rsidP="009E4A70">
            <w:pPr>
              <w:rPr>
                <w:color w:val="000000"/>
              </w:rPr>
            </w:pPr>
            <w:r w:rsidRPr="000E28CF">
              <w:rPr>
                <w:color w:val="000000"/>
              </w:rPr>
              <w:t>0.1 (-1.5;1.7)</w:t>
            </w:r>
          </w:p>
          <w:p w14:paraId="09F619BB" w14:textId="77777777" w:rsidR="009F3D40" w:rsidRPr="000E28CF" w:rsidRDefault="009F3D40" w:rsidP="009E4A70">
            <w:pPr>
              <w:rPr>
                <w:color w:val="000000"/>
              </w:rPr>
            </w:pPr>
          </w:p>
        </w:tc>
        <w:tc>
          <w:tcPr>
            <w:tcW w:w="1646" w:type="dxa"/>
          </w:tcPr>
          <w:p w14:paraId="4145C7BE" w14:textId="416257DA" w:rsidR="009F3D40" w:rsidRPr="000E28CF" w:rsidRDefault="009F3D40" w:rsidP="009E4A70">
            <w:pPr>
              <w:rPr>
                <w:color w:val="000000"/>
              </w:rPr>
            </w:pPr>
            <w:r w:rsidRPr="000E28CF">
              <w:rPr>
                <w:color w:val="000000"/>
              </w:rPr>
              <w:t>-1.2 (-1.</w:t>
            </w:r>
            <w:r w:rsidR="000E28CF" w:rsidRPr="000E28CF">
              <w:rPr>
                <w:color w:val="000000"/>
              </w:rPr>
              <w:t>8; -</w:t>
            </w:r>
            <w:r w:rsidRPr="000E28CF">
              <w:rPr>
                <w:color w:val="000000"/>
              </w:rPr>
              <w:t>0.6)</w:t>
            </w:r>
          </w:p>
          <w:p w14:paraId="2D0C9DB4" w14:textId="77777777" w:rsidR="009F3D40" w:rsidRPr="000E28CF" w:rsidRDefault="009F3D40" w:rsidP="009E4A70">
            <w:pPr>
              <w:rPr>
                <w:color w:val="000000"/>
              </w:rPr>
            </w:pPr>
          </w:p>
        </w:tc>
        <w:tc>
          <w:tcPr>
            <w:tcW w:w="1701" w:type="dxa"/>
          </w:tcPr>
          <w:p w14:paraId="580ADD34" w14:textId="77777777" w:rsidR="009F3D40" w:rsidRPr="000E28CF" w:rsidRDefault="009F3D40" w:rsidP="009E4A70">
            <w:pPr>
              <w:rPr>
                <w:color w:val="000000"/>
              </w:rPr>
            </w:pPr>
            <w:r w:rsidRPr="000E28CF">
              <w:rPr>
                <w:color w:val="000000"/>
              </w:rPr>
              <w:t>-0.4 (-1.1;0.2)</w:t>
            </w:r>
          </w:p>
          <w:p w14:paraId="33D4F36D" w14:textId="77777777" w:rsidR="009F3D40" w:rsidRPr="000E28CF" w:rsidRDefault="009F3D40" w:rsidP="009E4A70">
            <w:pPr>
              <w:rPr>
                <w:color w:val="000000"/>
              </w:rPr>
            </w:pPr>
          </w:p>
        </w:tc>
        <w:tc>
          <w:tcPr>
            <w:tcW w:w="1560" w:type="dxa"/>
          </w:tcPr>
          <w:p w14:paraId="0B8B66C8" w14:textId="77777777" w:rsidR="009F3D40" w:rsidRPr="000E28CF" w:rsidRDefault="009F3D40" w:rsidP="009E4A70">
            <w:pPr>
              <w:rPr>
                <w:color w:val="000000"/>
              </w:rPr>
            </w:pPr>
            <w:r w:rsidRPr="000E28CF">
              <w:rPr>
                <w:color w:val="000000"/>
              </w:rPr>
              <w:t>0.8 (-0.4;1.9)</w:t>
            </w:r>
          </w:p>
          <w:p w14:paraId="7DF2B363" w14:textId="77777777" w:rsidR="009F3D40" w:rsidRPr="000E28CF" w:rsidRDefault="009F3D40" w:rsidP="009E4A70">
            <w:pPr>
              <w:rPr>
                <w:color w:val="000000"/>
              </w:rPr>
            </w:pPr>
          </w:p>
        </w:tc>
      </w:tr>
      <w:tr w:rsidR="009F3D40" w:rsidRPr="000E28CF" w14:paraId="46873C04" w14:textId="77777777" w:rsidTr="009E4A70">
        <w:tc>
          <w:tcPr>
            <w:tcW w:w="11058" w:type="dxa"/>
            <w:gridSpan w:val="7"/>
          </w:tcPr>
          <w:p w14:paraId="31709169" w14:textId="77777777" w:rsidR="009F3D40" w:rsidRPr="000E28CF" w:rsidRDefault="009F3D40" w:rsidP="009E4A70">
            <w:pPr>
              <w:rPr>
                <w:b/>
                <w:color w:val="000000"/>
              </w:rPr>
            </w:pPr>
            <w:r w:rsidRPr="000E28CF">
              <w:rPr>
                <w:b/>
                <w:color w:val="000000"/>
              </w:rPr>
              <w:t>Antidepressant prescription</w:t>
            </w:r>
          </w:p>
        </w:tc>
      </w:tr>
      <w:tr w:rsidR="009F3D40" w:rsidRPr="000E28CF" w14:paraId="3BCA497B" w14:textId="77777777" w:rsidTr="000E28CF">
        <w:tc>
          <w:tcPr>
            <w:tcW w:w="1560" w:type="dxa"/>
          </w:tcPr>
          <w:p w14:paraId="4D163B3F" w14:textId="77777777" w:rsidR="009F3D40" w:rsidRPr="000E28CF" w:rsidRDefault="009F3D40" w:rsidP="009E4A70">
            <w:pPr>
              <w:rPr>
                <w:color w:val="000000"/>
              </w:rPr>
            </w:pPr>
            <w:r w:rsidRPr="000E28CF">
              <w:rPr>
                <w:color w:val="000000"/>
              </w:rPr>
              <w:t>Refugees</w:t>
            </w:r>
          </w:p>
        </w:tc>
        <w:tc>
          <w:tcPr>
            <w:tcW w:w="1560" w:type="dxa"/>
          </w:tcPr>
          <w:p w14:paraId="68EBB8E6" w14:textId="77777777" w:rsidR="009F3D40" w:rsidRPr="000E28CF" w:rsidRDefault="009F3D40" w:rsidP="009E4A70">
            <w:pPr>
              <w:rPr>
                <w:color w:val="000000"/>
              </w:rPr>
            </w:pPr>
            <w:r w:rsidRPr="000E28CF">
              <w:rPr>
                <w:color w:val="000000"/>
              </w:rPr>
              <w:t>0.6 (0.2;1.0)</w:t>
            </w:r>
          </w:p>
          <w:p w14:paraId="362147AA" w14:textId="77777777" w:rsidR="009F3D40" w:rsidRPr="000E28CF" w:rsidRDefault="009F3D40" w:rsidP="009E4A70">
            <w:pPr>
              <w:rPr>
                <w:color w:val="000000"/>
              </w:rPr>
            </w:pPr>
          </w:p>
        </w:tc>
        <w:tc>
          <w:tcPr>
            <w:tcW w:w="1559" w:type="dxa"/>
          </w:tcPr>
          <w:p w14:paraId="35C7251E" w14:textId="77777777" w:rsidR="009F3D40" w:rsidRPr="000E28CF" w:rsidRDefault="009F3D40" w:rsidP="009E4A70">
            <w:pPr>
              <w:rPr>
                <w:color w:val="000000"/>
              </w:rPr>
            </w:pPr>
            <w:r w:rsidRPr="000E28CF">
              <w:rPr>
                <w:color w:val="000000"/>
              </w:rPr>
              <w:t>0.2 (-0.4;0.9)</w:t>
            </w:r>
          </w:p>
          <w:p w14:paraId="33E7BA01" w14:textId="77777777" w:rsidR="009F3D40" w:rsidRPr="000E28CF" w:rsidRDefault="009F3D40" w:rsidP="009E4A70">
            <w:pPr>
              <w:rPr>
                <w:color w:val="000000"/>
              </w:rPr>
            </w:pPr>
          </w:p>
        </w:tc>
        <w:tc>
          <w:tcPr>
            <w:tcW w:w="1472" w:type="dxa"/>
          </w:tcPr>
          <w:p w14:paraId="5BD7847D" w14:textId="77777777" w:rsidR="009F3D40" w:rsidRPr="000E28CF" w:rsidRDefault="009F3D40" w:rsidP="009E4A70">
            <w:pPr>
              <w:rPr>
                <w:color w:val="000000"/>
              </w:rPr>
            </w:pPr>
            <w:r w:rsidRPr="000E28CF">
              <w:rPr>
                <w:color w:val="000000"/>
              </w:rPr>
              <w:t>-0.6 (-1.5;0.3)</w:t>
            </w:r>
          </w:p>
          <w:p w14:paraId="76029E3A" w14:textId="77777777" w:rsidR="009F3D40" w:rsidRPr="000E28CF" w:rsidRDefault="009F3D40" w:rsidP="009E4A70">
            <w:pPr>
              <w:rPr>
                <w:color w:val="000000"/>
              </w:rPr>
            </w:pPr>
          </w:p>
        </w:tc>
        <w:tc>
          <w:tcPr>
            <w:tcW w:w="1646" w:type="dxa"/>
          </w:tcPr>
          <w:p w14:paraId="5D7D09B6" w14:textId="77777777" w:rsidR="009F3D40" w:rsidRPr="000E28CF" w:rsidRDefault="009F3D40" w:rsidP="009E4A70">
            <w:pPr>
              <w:rPr>
                <w:color w:val="000000"/>
              </w:rPr>
            </w:pPr>
            <w:r w:rsidRPr="000E28CF">
              <w:rPr>
                <w:color w:val="000000"/>
              </w:rPr>
              <w:t>0.2 (-0.4;0.9)</w:t>
            </w:r>
          </w:p>
        </w:tc>
        <w:tc>
          <w:tcPr>
            <w:tcW w:w="1701" w:type="dxa"/>
          </w:tcPr>
          <w:p w14:paraId="20EA61A9" w14:textId="77777777" w:rsidR="009F3D40" w:rsidRPr="000E28CF" w:rsidRDefault="009F3D40" w:rsidP="009E4A70">
            <w:pPr>
              <w:rPr>
                <w:color w:val="000000"/>
              </w:rPr>
            </w:pPr>
            <w:r w:rsidRPr="000E28CF">
              <w:rPr>
                <w:color w:val="000000"/>
              </w:rPr>
              <w:t>0.5 (-0.3;1.3)</w:t>
            </w:r>
          </w:p>
          <w:p w14:paraId="5AB1625D" w14:textId="77777777" w:rsidR="009F3D40" w:rsidRPr="000E28CF" w:rsidRDefault="009F3D40" w:rsidP="009E4A70">
            <w:pPr>
              <w:rPr>
                <w:color w:val="000000"/>
              </w:rPr>
            </w:pPr>
          </w:p>
        </w:tc>
        <w:tc>
          <w:tcPr>
            <w:tcW w:w="1560" w:type="dxa"/>
          </w:tcPr>
          <w:p w14:paraId="62177F0C" w14:textId="77777777" w:rsidR="009F3D40" w:rsidRPr="000E28CF" w:rsidRDefault="009F3D40" w:rsidP="009E4A70">
            <w:pPr>
              <w:rPr>
                <w:color w:val="000000"/>
              </w:rPr>
            </w:pPr>
            <w:r w:rsidRPr="000E28CF">
              <w:rPr>
                <w:color w:val="000000"/>
              </w:rPr>
              <w:t>1.2 (0.4;2.0)</w:t>
            </w:r>
          </w:p>
          <w:p w14:paraId="3A71D377" w14:textId="77777777" w:rsidR="009F3D40" w:rsidRPr="000E28CF" w:rsidRDefault="009F3D40" w:rsidP="009E4A70">
            <w:pPr>
              <w:rPr>
                <w:color w:val="000000"/>
              </w:rPr>
            </w:pPr>
          </w:p>
        </w:tc>
      </w:tr>
      <w:tr w:rsidR="009F3D40" w:rsidRPr="000E28CF" w14:paraId="7D399D98" w14:textId="77777777" w:rsidTr="000E28CF">
        <w:tc>
          <w:tcPr>
            <w:tcW w:w="1560" w:type="dxa"/>
          </w:tcPr>
          <w:p w14:paraId="5A71D7F0" w14:textId="77777777" w:rsidR="009F3D40" w:rsidRPr="000E28CF" w:rsidRDefault="009F3D40" w:rsidP="009E4A70">
            <w:pPr>
              <w:rPr>
                <w:color w:val="000000"/>
              </w:rPr>
            </w:pPr>
            <w:r w:rsidRPr="000E28CF">
              <w:rPr>
                <w:color w:val="000000"/>
              </w:rPr>
              <w:t>Swedish-born</w:t>
            </w:r>
          </w:p>
        </w:tc>
        <w:tc>
          <w:tcPr>
            <w:tcW w:w="1560" w:type="dxa"/>
          </w:tcPr>
          <w:p w14:paraId="5C75ED60" w14:textId="77777777" w:rsidR="009F3D40" w:rsidRPr="000E28CF" w:rsidRDefault="009F3D40" w:rsidP="009E4A70">
            <w:pPr>
              <w:rPr>
                <w:color w:val="000000"/>
              </w:rPr>
            </w:pPr>
            <w:r w:rsidRPr="000E28CF">
              <w:rPr>
                <w:color w:val="000000"/>
              </w:rPr>
              <w:t>-0.1 (-0.6;0.4)</w:t>
            </w:r>
          </w:p>
          <w:p w14:paraId="332057E3" w14:textId="77777777" w:rsidR="009F3D40" w:rsidRPr="000E28CF" w:rsidRDefault="009F3D40" w:rsidP="009E4A70">
            <w:pPr>
              <w:rPr>
                <w:color w:val="000000"/>
              </w:rPr>
            </w:pPr>
          </w:p>
        </w:tc>
        <w:tc>
          <w:tcPr>
            <w:tcW w:w="1559" w:type="dxa"/>
          </w:tcPr>
          <w:p w14:paraId="7AD87B66" w14:textId="77777777" w:rsidR="009F3D40" w:rsidRPr="000E28CF" w:rsidRDefault="009F3D40" w:rsidP="009E4A70">
            <w:pPr>
              <w:rPr>
                <w:color w:val="000000"/>
              </w:rPr>
            </w:pPr>
            <w:r w:rsidRPr="000E28CF">
              <w:rPr>
                <w:color w:val="000000"/>
              </w:rPr>
              <w:t>-0.3 (-0.8;0.2)</w:t>
            </w:r>
          </w:p>
          <w:p w14:paraId="5E02F363" w14:textId="77777777" w:rsidR="009F3D40" w:rsidRPr="000E28CF" w:rsidRDefault="009F3D40" w:rsidP="009E4A70">
            <w:pPr>
              <w:rPr>
                <w:color w:val="000000"/>
              </w:rPr>
            </w:pPr>
          </w:p>
        </w:tc>
        <w:tc>
          <w:tcPr>
            <w:tcW w:w="1472" w:type="dxa"/>
          </w:tcPr>
          <w:p w14:paraId="323FF635" w14:textId="77777777" w:rsidR="009F3D40" w:rsidRPr="000E28CF" w:rsidRDefault="009F3D40" w:rsidP="009E4A70">
            <w:pPr>
              <w:rPr>
                <w:color w:val="000000"/>
              </w:rPr>
            </w:pPr>
            <w:r w:rsidRPr="000E28CF">
              <w:rPr>
                <w:color w:val="000000"/>
              </w:rPr>
              <w:t>0.2 (-0.7;1.1)</w:t>
            </w:r>
          </w:p>
          <w:p w14:paraId="5AD50F8B" w14:textId="77777777" w:rsidR="009F3D40" w:rsidRPr="000E28CF" w:rsidRDefault="009F3D40" w:rsidP="009E4A70">
            <w:pPr>
              <w:rPr>
                <w:color w:val="000000"/>
              </w:rPr>
            </w:pPr>
          </w:p>
        </w:tc>
        <w:tc>
          <w:tcPr>
            <w:tcW w:w="1646" w:type="dxa"/>
          </w:tcPr>
          <w:p w14:paraId="3AC21B7E" w14:textId="77777777" w:rsidR="009F3D40" w:rsidRPr="000E28CF" w:rsidRDefault="009F3D40" w:rsidP="009E4A70">
            <w:pPr>
              <w:rPr>
                <w:color w:val="000000"/>
              </w:rPr>
            </w:pPr>
            <w:r w:rsidRPr="000E28CF">
              <w:rPr>
                <w:color w:val="000000"/>
              </w:rPr>
              <w:t>-0.3 (-0.8;0.2)</w:t>
            </w:r>
          </w:p>
          <w:p w14:paraId="43A57C00" w14:textId="77777777" w:rsidR="009F3D40" w:rsidRPr="000E28CF" w:rsidRDefault="009F3D40" w:rsidP="009E4A70">
            <w:pPr>
              <w:rPr>
                <w:color w:val="000000"/>
              </w:rPr>
            </w:pPr>
          </w:p>
        </w:tc>
        <w:tc>
          <w:tcPr>
            <w:tcW w:w="1701" w:type="dxa"/>
          </w:tcPr>
          <w:p w14:paraId="3E92F3ED" w14:textId="77777777" w:rsidR="009F3D40" w:rsidRPr="000E28CF" w:rsidRDefault="009F3D40" w:rsidP="009E4A70">
            <w:pPr>
              <w:rPr>
                <w:color w:val="000000"/>
              </w:rPr>
            </w:pPr>
            <w:r w:rsidRPr="000E28CF">
              <w:rPr>
                <w:color w:val="000000"/>
              </w:rPr>
              <w:t>0.9 (0.5;1.3)</w:t>
            </w:r>
          </w:p>
          <w:p w14:paraId="26A4A277" w14:textId="77777777" w:rsidR="009F3D40" w:rsidRPr="000E28CF" w:rsidRDefault="009F3D40" w:rsidP="009E4A70">
            <w:pPr>
              <w:rPr>
                <w:color w:val="000000"/>
              </w:rPr>
            </w:pPr>
          </w:p>
        </w:tc>
        <w:tc>
          <w:tcPr>
            <w:tcW w:w="1560" w:type="dxa"/>
          </w:tcPr>
          <w:p w14:paraId="14F98121" w14:textId="77777777" w:rsidR="009F3D40" w:rsidRPr="000E28CF" w:rsidRDefault="009F3D40" w:rsidP="009E4A70">
            <w:pPr>
              <w:rPr>
                <w:color w:val="000000"/>
              </w:rPr>
            </w:pPr>
            <w:r w:rsidRPr="000E28CF">
              <w:rPr>
                <w:color w:val="000000"/>
              </w:rPr>
              <w:t>0.3 (-1.0;1.6)</w:t>
            </w:r>
          </w:p>
          <w:p w14:paraId="42DB96EB" w14:textId="77777777" w:rsidR="009F3D40" w:rsidRPr="000E28CF" w:rsidRDefault="009F3D40" w:rsidP="009E4A70">
            <w:pPr>
              <w:rPr>
                <w:color w:val="000000"/>
              </w:rPr>
            </w:pPr>
          </w:p>
        </w:tc>
      </w:tr>
    </w:tbl>
    <w:p w14:paraId="265FC376" w14:textId="5CAC40A5" w:rsidR="009F3D40" w:rsidRPr="000E28CF" w:rsidRDefault="000E28CF" w:rsidP="009F3D40">
      <w:pPr>
        <w:rPr>
          <w:rFonts w:ascii="Times New Roman" w:hAnsi="Times New Roman" w:cs="Times New Roman"/>
        </w:rPr>
      </w:pPr>
      <w:r w:rsidRPr="000E28CF">
        <w:rPr>
          <w:rFonts w:ascii="Times New Roman" w:hAnsi="Times New Roman" w:cs="Times New Roman"/>
          <w:b/>
          <w:bCs/>
        </w:rPr>
        <w:t>Note.</w:t>
      </w:r>
      <w:r>
        <w:rPr>
          <w:rFonts w:ascii="Times New Roman" w:hAnsi="Times New Roman" w:cs="Times New Roman"/>
        </w:rPr>
        <w:t xml:space="preserve"> </w:t>
      </w:r>
      <w:r w:rsidRPr="000E28CF">
        <w:rPr>
          <w:rFonts w:ascii="Times New Roman" w:hAnsi="Times New Roman"/>
          <w:color w:val="000000"/>
          <w:sz w:val="20"/>
          <w:szCs w:val="20"/>
        </w:rPr>
        <w:t xml:space="preserve">Quarterly changes of incidence rates (IRs) in %s before and during the COVID-19 pandemic, and incidence rate ratios (IRRs) in %s with 95% confidence intervals (CIs) for </w:t>
      </w:r>
      <w:r w:rsidRPr="000E28CF">
        <w:rPr>
          <w:rFonts w:ascii="Times New Roman" w:hAnsi="Times New Roman"/>
          <w:color w:val="000000"/>
          <w:sz w:val="20"/>
          <w:szCs w:val="20"/>
        </w:rPr>
        <w:t>specialized</w:t>
      </w:r>
      <w:r w:rsidRPr="000E28CF">
        <w:rPr>
          <w:rFonts w:ascii="Times New Roman" w:hAnsi="Times New Roman"/>
          <w:color w:val="000000"/>
          <w:sz w:val="20"/>
          <w:szCs w:val="20"/>
        </w:rPr>
        <w:t xml:space="preserve"> psychiatric health care use for common mental disorder and antidepressant prescription comparing before and during the pandemic trends in the refugees and Swedish-born stratified by level of education.</w:t>
      </w:r>
    </w:p>
    <w:p w14:paraId="6D0806A6" w14:textId="77777777" w:rsidR="009F3D40" w:rsidRPr="000E28CF" w:rsidRDefault="009F3D40" w:rsidP="00CD7E5F">
      <w:pPr>
        <w:spacing w:line="360" w:lineRule="auto"/>
        <w:rPr>
          <w:rFonts w:ascii="Times New Roman" w:hAnsi="Times New Roman" w:cs="Times New Roman"/>
          <w:color w:val="000000"/>
          <w:sz w:val="20"/>
          <w:szCs w:val="20"/>
        </w:rPr>
      </w:pPr>
    </w:p>
    <w:p w14:paraId="3157A49C" w14:textId="77777777" w:rsidR="009F3D40" w:rsidRPr="000E28CF" w:rsidRDefault="009F3D40" w:rsidP="00CD7E5F">
      <w:pPr>
        <w:spacing w:line="360" w:lineRule="auto"/>
        <w:rPr>
          <w:rFonts w:ascii="Times New Roman" w:hAnsi="Times New Roman" w:cs="Times New Roman"/>
          <w:color w:val="000000"/>
          <w:sz w:val="20"/>
          <w:szCs w:val="20"/>
        </w:rPr>
      </w:pPr>
    </w:p>
    <w:p w14:paraId="39453814" w14:textId="77777777" w:rsidR="009F3D40" w:rsidRPr="000E28CF" w:rsidRDefault="009F3D40" w:rsidP="00CD7E5F">
      <w:pPr>
        <w:spacing w:line="360" w:lineRule="auto"/>
        <w:rPr>
          <w:rFonts w:ascii="Times New Roman" w:hAnsi="Times New Roman" w:cs="Times New Roman"/>
          <w:color w:val="000000"/>
          <w:sz w:val="20"/>
          <w:szCs w:val="20"/>
        </w:rPr>
      </w:pPr>
    </w:p>
    <w:p w14:paraId="129B0F23" w14:textId="77777777" w:rsidR="009F3D40" w:rsidRPr="000E28CF" w:rsidRDefault="009F3D40" w:rsidP="00CD7E5F">
      <w:pPr>
        <w:spacing w:line="360" w:lineRule="auto"/>
        <w:rPr>
          <w:rFonts w:ascii="Times New Roman" w:hAnsi="Times New Roman" w:cs="Times New Roman"/>
          <w:color w:val="000000"/>
          <w:sz w:val="20"/>
          <w:szCs w:val="20"/>
        </w:rPr>
      </w:pPr>
    </w:p>
    <w:p w14:paraId="6FFB7CB2" w14:textId="77777777" w:rsidR="009F3D40" w:rsidRPr="000E28CF" w:rsidRDefault="009F3D40" w:rsidP="00CD7E5F">
      <w:pPr>
        <w:spacing w:line="360" w:lineRule="auto"/>
        <w:rPr>
          <w:rFonts w:ascii="Times New Roman" w:hAnsi="Times New Roman" w:cs="Times New Roman"/>
          <w:color w:val="000000"/>
          <w:sz w:val="20"/>
          <w:szCs w:val="20"/>
        </w:rPr>
      </w:pPr>
    </w:p>
    <w:p w14:paraId="3A3F40FF" w14:textId="77777777" w:rsidR="009F3D40" w:rsidRPr="000E28CF" w:rsidRDefault="009F3D40" w:rsidP="00CD7E5F">
      <w:pPr>
        <w:spacing w:line="360" w:lineRule="auto"/>
        <w:rPr>
          <w:rFonts w:ascii="Times New Roman" w:hAnsi="Times New Roman" w:cs="Times New Roman"/>
          <w:color w:val="000000"/>
          <w:sz w:val="20"/>
          <w:szCs w:val="20"/>
        </w:rPr>
      </w:pPr>
    </w:p>
    <w:p w14:paraId="2F19BE3A" w14:textId="77777777" w:rsidR="009F3D40" w:rsidRPr="000E28CF" w:rsidRDefault="009F3D40" w:rsidP="00CD7E5F">
      <w:pPr>
        <w:spacing w:line="360" w:lineRule="auto"/>
        <w:rPr>
          <w:rFonts w:ascii="Times New Roman" w:hAnsi="Times New Roman" w:cs="Times New Roman"/>
          <w:color w:val="000000"/>
          <w:sz w:val="20"/>
          <w:szCs w:val="20"/>
        </w:rPr>
      </w:pPr>
    </w:p>
    <w:p w14:paraId="2C9CA8A3" w14:textId="77777777" w:rsidR="009F3D40" w:rsidRPr="000E28CF" w:rsidRDefault="009F3D40" w:rsidP="00CD7E5F">
      <w:pPr>
        <w:spacing w:line="360" w:lineRule="auto"/>
        <w:rPr>
          <w:rFonts w:ascii="Times New Roman" w:hAnsi="Times New Roman" w:cs="Times New Roman"/>
          <w:color w:val="000000"/>
          <w:sz w:val="20"/>
          <w:szCs w:val="20"/>
        </w:rPr>
      </w:pPr>
    </w:p>
    <w:p w14:paraId="5F77E207" w14:textId="77777777" w:rsidR="009F3D40" w:rsidRPr="000E28CF" w:rsidRDefault="009F3D40" w:rsidP="00CD7E5F">
      <w:pPr>
        <w:spacing w:line="360" w:lineRule="auto"/>
        <w:rPr>
          <w:rFonts w:ascii="Times New Roman" w:hAnsi="Times New Roman" w:cs="Times New Roman"/>
          <w:color w:val="000000"/>
          <w:sz w:val="20"/>
          <w:szCs w:val="20"/>
        </w:rPr>
      </w:pPr>
    </w:p>
    <w:p w14:paraId="64AFDA0D" w14:textId="77777777" w:rsidR="009F3D40" w:rsidRPr="000E28CF" w:rsidRDefault="009F3D40" w:rsidP="00CD7E5F">
      <w:pPr>
        <w:spacing w:line="360" w:lineRule="auto"/>
        <w:rPr>
          <w:rFonts w:ascii="Times New Roman" w:hAnsi="Times New Roman" w:cs="Times New Roman"/>
          <w:color w:val="000000"/>
          <w:sz w:val="20"/>
          <w:szCs w:val="20"/>
        </w:rPr>
      </w:pPr>
    </w:p>
    <w:p w14:paraId="5D67A97F" w14:textId="77777777" w:rsidR="003B2189" w:rsidRDefault="003B2189" w:rsidP="00CD7E5F">
      <w:pPr>
        <w:spacing w:line="360" w:lineRule="auto"/>
        <w:rPr>
          <w:rFonts w:ascii="Times New Roman" w:hAnsi="Times New Roman" w:cs="Times New Roman"/>
          <w:color w:val="000000"/>
          <w:sz w:val="20"/>
          <w:szCs w:val="20"/>
        </w:rPr>
      </w:pPr>
    </w:p>
    <w:p w14:paraId="4548FAB3" w14:textId="77777777" w:rsidR="000E28CF" w:rsidRPr="000E28CF" w:rsidRDefault="000E28CF" w:rsidP="00CD7E5F">
      <w:pPr>
        <w:spacing w:line="360" w:lineRule="auto"/>
        <w:rPr>
          <w:rFonts w:ascii="Times New Roman" w:hAnsi="Times New Roman" w:cs="Times New Roman"/>
          <w:color w:val="000000"/>
          <w:sz w:val="20"/>
          <w:szCs w:val="20"/>
        </w:rPr>
      </w:pPr>
    </w:p>
    <w:p w14:paraId="4EC62FD4" w14:textId="77777777" w:rsidR="00CD7E5F" w:rsidRPr="000E28CF" w:rsidRDefault="00CD7E5F" w:rsidP="00CD7E5F">
      <w:pPr>
        <w:spacing w:line="360" w:lineRule="auto"/>
        <w:rPr>
          <w:rFonts w:ascii="Times New Roman" w:hAnsi="Times New Roman" w:cs="Times New Roman"/>
          <w:b/>
          <w:color w:val="000000" w:themeColor="text1"/>
          <w:sz w:val="20"/>
          <w:szCs w:val="20"/>
        </w:rPr>
      </w:pPr>
      <w:bookmarkStart w:id="7" w:name="_Hlk149816528"/>
      <w:bookmarkStart w:id="8" w:name="_Hlk149816059"/>
      <w:r w:rsidRPr="000E28CF">
        <w:rPr>
          <w:rFonts w:ascii="Times New Roman" w:hAnsi="Times New Roman" w:cs="Times New Roman"/>
          <w:b/>
          <w:color w:val="000000" w:themeColor="text1"/>
          <w:sz w:val="20"/>
          <w:szCs w:val="20"/>
        </w:rPr>
        <w:lastRenderedPageBreak/>
        <w:t xml:space="preserve">References </w:t>
      </w:r>
    </w:p>
    <w:p w14:paraId="42DC660D" w14:textId="77777777" w:rsidR="000E28CF" w:rsidRDefault="00CD7E5F" w:rsidP="000E28CF">
      <w:pPr>
        <w:pStyle w:val="Litteraturfrteckning"/>
      </w:pPr>
      <w:r w:rsidRPr="000E28CF">
        <w:rPr>
          <w:sz w:val="20"/>
          <w:szCs w:val="20"/>
        </w:rPr>
        <w:fldChar w:fldCharType="begin"/>
      </w:r>
      <w:r w:rsidR="000E28CF">
        <w:rPr>
          <w:sz w:val="20"/>
          <w:szCs w:val="20"/>
        </w:rPr>
        <w:instrText xml:space="preserve"> ADDIN ZOTERO_BIBL {"uncited":[],"omitted":[],"custom":[]} CSL_BIBLIOGRAPHY </w:instrText>
      </w:r>
      <w:r w:rsidRPr="000E28CF">
        <w:rPr>
          <w:sz w:val="20"/>
          <w:szCs w:val="20"/>
        </w:rPr>
        <w:fldChar w:fldCharType="separate"/>
      </w:r>
      <w:r w:rsidR="000E28CF">
        <w:t>1.</w:t>
      </w:r>
      <w:r w:rsidR="000E28CF">
        <w:tab/>
        <w:t>World Health Organization. Coronavirus disease (COVID-19) pandemic [Internet]. 2023 [cited 2023 Feb 20]. Available from: https://www.who.int/europe/emergencies/situations/covid-19</w:t>
      </w:r>
    </w:p>
    <w:p w14:paraId="1C43D52B" w14:textId="2A8C7C95" w:rsidR="000E28CF" w:rsidRDefault="000E28CF" w:rsidP="000E28CF">
      <w:pPr>
        <w:pStyle w:val="Litteraturfrteckning"/>
      </w:pPr>
      <w:r>
        <w:t>2.</w:t>
      </w:r>
      <w:r>
        <w:tab/>
        <w:t xml:space="preserve">Pfefferbaum B, North CS. Mental Health and the Covid-19 Pandemic. N Engl J Med. 2020;383(6):510–2. </w:t>
      </w:r>
    </w:p>
    <w:p w14:paraId="7155A14B" w14:textId="77777777" w:rsidR="000E28CF" w:rsidRDefault="000E28CF" w:rsidP="000E28CF">
      <w:pPr>
        <w:pStyle w:val="Litteraturfrteckning"/>
      </w:pPr>
      <w:r>
        <w:t>3.</w:t>
      </w:r>
      <w:r>
        <w:tab/>
        <w:t>United Nation Sustainable Development Group. United Nations Policy Brief: COVID-19 and the Need for Action on Mental Health [Internet]. 2020 May [cited 2023 May 3] p. 17. Available from: https://unsdg.un.org/resources/policy-brief-covid-19-and-need-action-mental-health</w:t>
      </w:r>
    </w:p>
    <w:p w14:paraId="7D19AFCE" w14:textId="77777777" w:rsidR="000E28CF" w:rsidRDefault="000E28CF" w:rsidP="000E28CF">
      <w:pPr>
        <w:pStyle w:val="Litteraturfrteckning"/>
      </w:pPr>
      <w:r>
        <w:t>4.</w:t>
      </w:r>
      <w:r>
        <w:tab/>
        <w:t xml:space="preserve">Witteveen AB, Young S, Cuijpers P, Ayuso-Mateos JL, Barbui C, Bertolini F, et al. Remote mental health care interventions during the COVID-19 pandemic: An umbrella review. Behav Res Ther. 2022 Dec 1;159:104226. </w:t>
      </w:r>
    </w:p>
    <w:p w14:paraId="5D7A71E3" w14:textId="2B019CAD" w:rsidR="000E28CF" w:rsidRDefault="000E28CF" w:rsidP="000E28CF">
      <w:pPr>
        <w:pStyle w:val="Litteraturfrteckning"/>
      </w:pPr>
      <w:r>
        <w:t>5.</w:t>
      </w:r>
      <w:r>
        <w:tab/>
        <w:t xml:space="preserve">World Health Organization. The impact of COVID-19 on  mental, neurological and  substance use services: results of a rapid assessment. Geneva; 2020. Report No.: 978-92-4-001245–5. </w:t>
      </w:r>
    </w:p>
    <w:p w14:paraId="3D6FFBA4" w14:textId="4779ADA4" w:rsidR="000E28CF" w:rsidRDefault="000E28CF" w:rsidP="000E28CF">
      <w:pPr>
        <w:pStyle w:val="Litteraturfrteckning"/>
      </w:pPr>
      <w:r>
        <w:t>6.</w:t>
      </w:r>
      <w:r>
        <w:tab/>
        <w:t xml:space="preserve">Ahmed N, Barnett P, Greenburgh A, Pemovska T, Stefanidou T, Lyons N, et al. Mental health in Europe during the COVID-19 pandemic: a systematic review. Lancet Psychiatry. 2023(7):537–56. </w:t>
      </w:r>
    </w:p>
    <w:p w14:paraId="0C1584D1" w14:textId="54F23960" w:rsidR="000E28CF" w:rsidRDefault="000E28CF" w:rsidP="000E28CF">
      <w:pPr>
        <w:pStyle w:val="Litteraturfrteckning"/>
      </w:pPr>
      <w:r>
        <w:t>7.</w:t>
      </w:r>
      <w:r>
        <w:tab/>
        <w:t xml:space="preserve">Penninx BWJH, Benros ME, Klein RS, Vinkers CH. How COVID-19 shaped mental health: from infection to pandemic effects. Nat Med. 2022(10):2027–37. </w:t>
      </w:r>
    </w:p>
    <w:p w14:paraId="30950F48" w14:textId="097FEFE5" w:rsidR="000E28CF" w:rsidRDefault="000E28CF" w:rsidP="000E28CF">
      <w:pPr>
        <w:pStyle w:val="Litteraturfrteckning"/>
      </w:pPr>
      <w:r>
        <w:t>8.</w:t>
      </w:r>
      <w:r>
        <w:tab/>
        <w:t xml:space="preserve">Pirkis J, Gunnell D, Shin S, Del Pozo-Banos M, Arya V, Aguilar PA, et al. Suicide numbers during the first 9-15 months of the COVID-19 pandemic compared with pre-existing trends: An interrupted time series analysis in 33 countries. EClinicalMedicine. 2022;51:101573. </w:t>
      </w:r>
    </w:p>
    <w:p w14:paraId="61781053" w14:textId="6E30D026" w:rsidR="000E28CF" w:rsidRDefault="000E28CF" w:rsidP="000E28CF">
      <w:pPr>
        <w:pStyle w:val="Litteraturfrteckning"/>
      </w:pPr>
      <w:r>
        <w:t>9.</w:t>
      </w:r>
      <w:r>
        <w:tab/>
        <w:t xml:space="preserve">Sun Y, Wu Y, Fan S, Santo TD, Li L, Jiang X, et al. Comparison of mental health symptoms before and during the covid-19 pandemic: evidence from a systematic review and meta-analysis of 134 cohorts. BMJ. 2023;380:e074224. </w:t>
      </w:r>
    </w:p>
    <w:p w14:paraId="561731D1" w14:textId="77777777" w:rsidR="000E28CF" w:rsidRDefault="000E28CF" w:rsidP="000E28CF">
      <w:pPr>
        <w:pStyle w:val="Litteraturfrteckning"/>
      </w:pPr>
      <w:r>
        <w:t>10.</w:t>
      </w:r>
      <w:r>
        <w:tab/>
        <w:t xml:space="preserve">ten Have M, Tuithof M, van Dorsselaer S, Schouten F, Luik AI, de Graaf R. Prevalence and trends of common mental disorders from 2007-2009 to 2019-2022: results from the Netherlands Mental Health Survey and Incidence Studies (NEMESIS), including comparison of prevalence rates before vs. during the COVID-19 pandemic. World Psychiatry. 2023;22(2):275–85. </w:t>
      </w:r>
    </w:p>
    <w:p w14:paraId="52DF0DD2" w14:textId="3E0FF553" w:rsidR="000E28CF" w:rsidRDefault="000E28CF" w:rsidP="000E28CF">
      <w:pPr>
        <w:pStyle w:val="Litteraturfrteckning"/>
      </w:pPr>
      <w:r>
        <w:t>11.</w:t>
      </w:r>
      <w:r>
        <w:tab/>
        <w:t xml:space="preserve">Flodin P, Sörberg Wallin A, Tarantino B, Cerchiello P, Mladá K, Kuklová M, et al. Differential impact of the COVID-19 pandemic on primary care utilization related to common mental disorders in four European countries: A retrospective observational study. Front Psychiatry. 2023;13:1045325. </w:t>
      </w:r>
    </w:p>
    <w:p w14:paraId="52220489" w14:textId="3A234041" w:rsidR="000E28CF" w:rsidRDefault="000E28CF" w:rsidP="000E28CF">
      <w:pPr>
        <w:pStyle w:val="Litteraturfrteckning"/>
      </w:pPr>
      <w:r>
        <w:t>12.</w:t>
      </w:r>
      <w:r>
        <w:tab/>
        <w:t xml:space="preserve">Hvide HK, Johnsen J. COVID-19 and mental health: a longitudinal population study from Norway. Eur J Epidemiol. 2022;37(2):167–72. </w:t>
      </w:r>
    </w:p>
    <w:p w14:paraId="7E14CE0A" w14:textId="7F70F6F4" w:rsidR="000E28CF" w:rsidRDefault="000E28CF" w:rsidP="000E28CF">
      <w:pPr>
        <w:pStyle w:val="Litteraturfrteckning"/>
      </w:pPr>
      <w:r>
        <w:t>13.</w:t>
      </w:r>
      <w:r>
        <w:tab/>
        <w:t xml:space="preserve">Mansfield KE, Mathur R, Tazare J, Henderson AD, Mulick AR, Carreira H, et al. Indirect acute effects of the COVID-19 pandemic on physical and mental health in the UK: a population-based study. Lancet Digit Health. 2021;3(4):e217–30. </w:t>
      </w:r>
    </w:p>
    <w:p w14:paraId="7F314067" w14:textId="52415277" w:rsidR="000E28CF" w:rsidRDefault="000E28CF" w:rsidP="000E28CF">
      <w:pPr>
        <w:pStyle w:val="Litteraturfrteckning"/>
      </w:pPr>
      <w:r>
        <w:lastRenderedPageBreak/>
        <w:t>14.</w:t>
      </w:r>
      <w:r>
        <w:tab/>
        <w:t xml:space="preserve">Witteveen AB, Young SY, Cuijpers P, Ayuso-Mateos JL, Barbui C, Bertolini F, et al. COVID-19 and common mental health symptoms in the early phase of the pandemic: An umbrella review of the evidence. PLOS Med. 2023;20(4):e1004206. </w:t>
      </w:r>
    </w:p>
    <w:p w14:paraId="1F80A97A" w14:textId="3B2D15FF" w:rsidR="000E28CF" w:rsidRDefault="000E28CF" w:rsidP="000E28CF">
      <w:pPr>
        <w:pStyle w:val="Litteraturfrteckning"/>
      </w:pPr>
      <w:r>
        <w:t>15.</w:t>
      </w:r>
      <w:r>
        <w:tab/>
        <w:t xml:space="preserve">El Tatary G, Gill N. The impact of the COVID-19 pandemic on the mental health and wellbeing of refugees and asylum seekers-A Narrative Review of the Literature. Australas Psychiatry. 2022;30(6):728–31. </w:t>
      </w:r>
    </w:p>
    <w:p w14:paraId="25F2831D" w14:textId="3FBED8E8" w:rsidR="000E28CF" w:rsidRDefault="000E28CF" w:rsidP="000E28CF">
      <w:pPr>
        <w:pStyle w:val="Litteraturfrteckning"/>
      </w:pPr>
      <w:r>
        <w:t>16.</w:t>
      </w:r>
      <w:r>
        <w:tab/>
        <w:t xml:space="preserve">Hollander AC, Bruce D, Ekberg J, Burström B, Borrell C, Ekblad S. Longitudinal study of mortality among refugees in Sweden. Int J Epidemiol. 2012;41(4):1153–61. </w:t>
      </w:r>
    </w:p>
    <w:p w14:paraId="639CC88C" w14:textId="6F8EBBF4" w:rsidR="000E28CF" w:rsidRDefault="000E28CF" w:rsidP="000E28CF">
      <w:pPr>
        <w:pStyle w:val="Litteraturfrteckning"/>
      </w:pPr>
      <w:r>
        <w:t>17.</w:t>
      </w:r>
      <w:r>
        <w:tab/>
        <w:t xml:space="preserve">Niederkrotenthaler T, Mittendorfer-Rutz E, Saboonchi F, Helgesson M. The role of refugee status and mental disorders regarding subsequent labour market marginalisation: a register study from Sweden. Soc Psychiatry Psychiatr Epidemiol. 2020;55(6):697–704. </w:t>
      </w:r>
    </w:p>
    <w:p w14:paraId="10C69AF9" w14:textId="01F4E3C0" w:rsidR="000E28CF" w:rsidRDefault="000E28CF" w:rsidP="000E28CF">
      <w:pPr>
        <w:pStyle w:val="Litteraturfrteckning"/>
      </w:pPr>
      <w:r>
        <w:t>18.</w:t>
      </w:r>
      <w:r>
        <w:tab/>
        <w:t xml:space="preserve">Björkenstam E, Helgesson M, Norredam M, Sijbrandij M, Montgomery CJ de, Mittendorfer-Rutz E. Differences in psychiatric care utilization between refugees, non-refugee migrants and Swedish-born youth. Psychol Med. 2022;52(7):1365–75. </w:t>
      </w:r>
    </w:p>
    <w:p w14:paraId="2E33FC74" w14:textId="685EDF75" w:rsidR="000E28CF" w:rsidRDefault="000E28CF" w:rsidP="000E28CF">
      <w:pPr>
        <w:pStyle w:val="Litteraturfrteckning"/>
      </w:pPr>
      <w:r>
        <w:t>19.</w:t>
      </w:r>
      <w:r>
        <w:tab/>
        <w:t xml:space="preserve">Satinsky E, Fuhr DC, Woodward A, Sondorp E, Roberts B. Mental health care utilisation and access among refugees and asylum seekers in Europe: A systematic review. Health Policy. 2019;123(9):851–63. </w:t>
      </w:r>
    </w:p>
    <w:p w14:paraId="1B68B83F" w14:textId="77777777" w:rsidR="000E28CF" w:rsidRDefault="000E28CF" w:rsidP="000E28CF">
      <w:pPr>
        <w:pStyle w:val="Litteraturfrteckning"/>
      </w:pPr>
      <w:r>
        <w:t>20.</w:t>
      </w:r>
      <w:r>
        <w:tab/>
        <w:t>World Health Organization. COVID-19 pandemic triggers 25% increase in prevalence of anxiety and depression worldwide [Internet]. [cited 2023 Sep 12]. Available from: https://www.who.int/news/item/02-03-2022-covid-19-pandemic-triggers-25-increase-in-prevalence-of-anxiety-and-depression-worldwide</w:t>
      </w:r>
    </w:p>
    <w:p w14:paraId="1B711504" w14:textId="382F7BB0" w:rsidR="000E28CF" w:rsidRDefault="000E28CF" w:rsidP="000E28CF">
      <w:pPr>
        <w:pStyle w:val="Litteraturfrteckning"/>
      </w:pPr>
      <w:r>
        <w:t>21.</w:t>
      </w:r>
      <w:r>
        <w:tab/>
        <w:t>Brickhill-Atkinson M, Hauck FR. Impact of COVID-19 on Resettled Refugees. Prim Care. 202</w:t>
      </w:r>
      <w:r w:rsidR="009053CB">
        <w:t>1</w:t>
      </w:r>
      <w:r>
        <w:t xml:space="preserve">;48(1):57–66. </w:t>
      </w:r>
    </w:p>
    <w:p w14:paraId="5C4002E8" w14:textId="187CB0B7" w:rsidR="000E28CF" w:rsidRDefault="000E28CF" w:rsidP="000E28CF">
      <w:pPr>
        <w:pStyle w:val="Litteraturfrteckning"/>
      </w:pPr>
      <w:r>
        <w:t>22.</w:t>
      </w:r>
      <w:r>
        <w:tab/>
        <w:t xml:space="preserve">Helgesson M, Wang M, Niederkrotenthaler T, Saboonchi F, Mittendorfer-Rutz E. Labour market marginalisation among refugees from different countries of birth: a prospective cohort study on refugees to Sweden. J Epidemiol Community Health. 2019;73(5):407–15. </w:t>
      </w:r>
    </w:p>
    <w:p w14:paraId="1EBC70ED" w14:textId="77777777" w:rsidR="000E28CF" w:rsidRDefault="000E28CF" w:rsidP="000E28CF">
      <w:pPr>
        <w:pStyle w:val="Litteraturfrteckning"/>
      </w:pPr>
      <w:r>
        <w:t>23.</w:t>
      </w:r>
      <w:r>
        <w:tab/>
        <w:t>The World Bank. World Bank. [cited 2023 May 4]. Chapter 1. The economic impacts of the COVID-19 crisis. Available from: https://www.worldbank.org/en/publication/wdr2022/brief/chapter-1-introduction-the-economic-impacts-of-the-covid-19-crisis</w:t>
      </w:r>
    </w:p>
    <w:p w14:paraId="3E44E421" w14:textId="77675C86" w:rsidR="000E28CF" w:rsidRPr="000E28CF" w:rsidRDefault="000E28CF" w:rsidP="000E28CF">
      <w:pPr>
        <w:pStyle w:val="Litteraturfrteckning"/>
        <w:rPr>
          <w:lang w:val="sv-SE"/>
        </w:rPr>
      </w:pPr>
      <w:r>
        <w:t>24.</w:t>
      </w:r>
      <w:r>
        <w:tab/>
        <w:t xml:space="preserve">Gémes K, Bergström J, Papola D, Barbui C, Lam AIF, Hall BJ, et al. Symptoms of anxiety and depression during the COVID-19 pandemic in six European countries and Australia – Differences by prior mental disorders and migration status. </w:t>
      </w:r>
      <w:r w:rsidRPr="000E28CF">
        <w:rPr>
          <w:lang w:val="sv-SE"/>
        </w:rPr>
        <w:t xml:space="preserve">J Affect Disord. 2022;311:214–23. </w:t>
      </w:r>
    </w:p>
    <w:p w14:paraId="73F08A05" w14:textId="77777777" w:rsidR="000E28CF" w:rsidRDefault="000E28CF" w:rsidP="000E28CF">
      <w:pPr>
        <w:pStyle w:val="Litteraturfrteckning"/>
      </w:pPr>
      <w:r w:rsidRPr="000E28CF">
        <w:rPr>
          <w:lang w:val="sv-SE"/>
        </w:rPr>
        <w:t>25.</w:t>
      </w:r>
      <w:r w:rsidRPr="000E28CF">
        <w:rPr>
          <w:lang w:val="sv-SE"/>
        </w:rPr>
        <w:tab/>
        <w:t xml:space="preserve">Public Health Agency of Sweden. Covid-19-pandemin och befolkningens psykiska hälsa – vad indikerar longitudinella studier? </w:t>
      </w:r>
      <w:r>
        <w:t xml:space="preserve">Stockholm: Folkhälsomyndigheten; 2021. Report No.: 20219. </w:t>
      </w:r>
    </w:p>
    <w:p w14:paraId="6DEBDF52" w14:textId="43B9CC6C" w:rsidR="000E28CF" w:rsidRDefault="000E28CF" w:rsidP="000E28CF">
      <w:pPr>
        <w:pStyle w:val="Litteraturfrteckning"/>
      </w:pPr>
      <w:r>
        <w:t>26.</w:t>
      </w:r>
      <w:r>
        <w:tab/>
        <w:t xml:space="preserve">Robinson E, Sutin AR, Daly M, Jones A. A systematic review and meta-analysis of longitudinal cohort studies comparing mental health before versus during the COVID-19 pandemic in 2020. J Affect Disord. 2022;296:567–76. </w:t>
      </w:r>
    </w:p>
    <w:p w14:paraId="0CE33039" w14:textId="77777777" w:rsidR="000E28CF" w:rsidRPr="000E28CF" w:rsidRDefault="000E28CF" w:rsidP="000E28CF">
      <w:pPr>
        <w:pStyle w:val="Litteraturfrteckning"/>
        <w:rPr>
          <w:lang w:val="sv-SE"/>
        </w:rPr>
      </w:pPr>
      <w:r>
        <w:lastRenderedPageBreak/>
        <w:t>27.</w:t>
      </w:r>
      <w:r>
        <w:tab/>
        <w:t xml:space="preserve">Ludvigsson JF. How Sweden approached the COVID-19 pandemic: Summary and commentary on the National Commission Inquiry. </w:t>
      </w:r>
      <w:r w:rsidRPr="000E28CF">
        <w:rPr>
          <w:lang w:val="sv-SE"/>
        </w:rPr>
        <w:t xml:space="preserve">Acta Paediatr. 2023;112(1):19–33. </w:t>
      </w:r>
    </w:p>
    <w:p w14:paraId="02BDAFAF" w14:textId="77777777" w:rsidR="000E28CF" w:rsidRPr="000E28CF" w:rsidRDefault="000E28CF" w:rsidP="000E28CF">
      <w:pPr>
        <w:pStyle w:val="Litteraturfrteckning"/>
        <w:rPr>
          <w:lang w:val="sv-SE"/>
        </w:rPr>
      </w:pPr>
      <w:r w:rsidRPr="000E28CF">
        <w:rPr>
          <w:lang w:val="sv-SE"/>
        </w:rPr>
        <w:t>28.</w:t>
      </w:r>
      <w:r w:rsidRPr="000E28CF">
        <w:rPr>
          <w:lang w:val="sv-SE"/>
        </w:rPr>
        <w:tab/>
        <w:t xml:space="preserve">Sveréus S, Dahlgren C, Goude F, Hagman M B. Konsumtion av digitala och fysiska besök i primärvården för olika grupper i befolkningen under covid-19-pandemin. Region Stockholm: Centrum för hälsoekonomi,  informatik och sjukvårdsforskning; 2021. Report No.: Rapport 2021:2. </w:t>
      </w:r>
    </w:p>
    <w:p w14:paraId="42099029" w14:textId="77777777" w:rsidR="000E28CF" w:rsidRDefault="000E28CF" w:rsidP="000E28CF">
      <w:pPr>
        <w:pStyle w:val="Litteraturfrteckning"/>
      </w:pPr>
      <w:r>
        <w:t>29.</w:t>
      </w:r>
      <w:r>
        <w:tab/>
        <w:t xml:space="preserve">Statistics Sweden. Documentation of STATIV. Stockholm; 2018 May. </w:t>
      </w:r>
    </w:p>
    <w:p w14:paraId="03EC4899" w14:textId="77777777" w:rsidR="000E28CF" w:rsidRDefault="000E28CF" w:rsidP="000E28CF">
      <w:pPr>
        <w:pStyle w:val="Litteraturfrteckning"/>
      </w:pPr>
      <w:r>
        <w:t>30.</w:t>
      </w:r>
      <w:r>
        <w:tab/>
        <w:t xml:space="preserve">Statistics Sweden. Statistiska Centralbyrån. </w:t>
      </w:r>
      <w:r w:rsidRPr="000E28CF">
        <w:rPr>
          <w:lang w:val="sv-SE"/>
        </w:rPr>
        <w:t xml:space="preserve">[cited 2023 Feb 3]. Longitudinell integrationsdatabas för sjukförsäkrings- och arbetsmarknadsstudier (LISA). </w:t>
      </w:r>
      <w:r>
        <w:t>Available from: https://www.scb.se/vara-tjanster/bestall-data-och-statistik/bestalla-mikrodata/vilka-mikrodata-finns/longitudinella-register/longitudinell-integrationsdatabas-for-sjukforsakrings--och-arbetsmarknadsstudier-lisa/</w:t>
      </w:r>
    </w:p>
    <w:p w14:paraId="1AA9B594" w14:textId="77777777" w:rsidR="000E28CF" w:rsidRDefault="000E28CF" w:rsidP="000E28CF">
      <w:pPr>
        <w:pStyle w:val="Litteraturfrteckning"/>
      </w:pPr>
      <w:r>
        <w:t>31.</w:t>
      </w:r>
      <w:r>
        <w:tab/>
        <w:t xml:space="preserve">The Swedish Social Insurance Agency. </w:t>
      </w:r>
      <w:r w:rsidRPr="000E28CF">
        <w:rPr>
          <w:lang w:val="sv-SE"/>
        </w:rPr>
        <w:t xml:space="preserve">Beställning av individdata för forskning [Internet]. </w:t>
      </w:r>
      <w:r>
        <w:t>2023 [cited 2023 Feb 20]. Available from: http://www.forsakringskassan.se/statistik-och-analys/bestallning-av-individdata-och-statistik/bestallning-av-individdata-for-forskning</w:t>
      </w:r>
    </w:p>
    <w:p w14:paraId="7BA7B7BE" w14:textId="77777777" w:rsidR="000E28CF" w:rsidRDefault="000E28CF" w:rsidP="000E28CF">
      <w:pPr>
        <w:pStyle w:val="Litteraturfrteckning"/>
      </w:pPr>
      <w:r>
        <w:t>32.</w:t>
      </w:r>
      <w:r>
        <w:tab/>
        <w:t>National Board of Health and Welfare. National Board of Health and Welfare. 2022 [cited 2023 Feb 20]. National Prescribed Drug Register. Available from: https://www.socialstyrelsen.se/en/statistics-and-data/registers/national-prescribed-drug-register/</w:t>
      </w:r>
    </w:p>
    <w:p w14:paraId="6C40F114" w14:textId="77777777" w:rsidR="000E28CF" w:rsidRDefault="000E28CF" w:rsidP="000E28CF">
      <w:pPr>
        <w:pStyle w:val="Litteraturfrteckning"/>
      </w:pPr>
      <w:r>
        <w:t>33.</w:t>
      </w:r>
      <w:r>
        <w:tab/>
        <w:t xml:space="preserve">Wettermark B, Hammar N, MichaelFored C, Leimanis A, Otterblad Olausson P, Bergman U, et al. The new Swedish Prescribed Drug Register—Opportunities for pharmacoepidemiological research and experience from the first six months. Pharmacoepidemiol Drug Saf. 2007;16(7):726–35. </w:t>
      </w:r>
    </w:p>
    <w:p w14:paraId="126D6C40" w14:textId="77777777" w:rsidR="000E28CF" w:rsidRDefault="000E28CF" w:rsidP="000E28CF">
      <w:pPr>
        <w:pStyle w:val="Litteraturfrteckning"/>
      </w:pPr>
      <w:r>
        <w:t>34.</w:t>
      </w:r>
      <w:r>
        <w:tab/>
        <w:t>World Health Organization. ICD-10 Version:2016 [Internet]. [cited 2023 Jul 17]. Available from: https://icd.who.int/browse10/2016/en</w:t>
      </w:r>
    </w:p>
    <w:p w14:paraId="0ADEA0F4" w14:textId="77777777" w:rsidR="000E28CF" w:rsidRDefault="000E28CF" w:rsidP="000E28CF">
      <w:pPr>
        <w:pStyle w:val="Litteraturfrteckning"/>
      </w:pPr>
      <w:r>
        <w:t>35.</w:t>
      </w:r>
      <w:r>
        <w:tab/>
        <w:t>World Health Organization Collaborating Centre for Drug Statistics Methodology. International language for drug utilization research [Internet]. 2023 [cited 2023 Sep 30]. Available from: https://www.whocc.no/</w:t>
      </w:r>
    </w:p>
    <w:p w14:paraId="19D171FB" w14:textId="1871A389" w:rsidR="000E28CF" w:rsidRDefault="000E28CF" w:rsidP="000E28CF">
      <w:pPr>
        <w:pStyle w:val="Litteraturfrteckning"/>
      </w:pPr>
      <w:r>
        <w:t>36.</w:t>
      </w:r>
      <w:r>
        <w:tab/>
        <w:t xml:space="preserve">Helgesson M, Tinghög P, Wang M, Rahman S, Saboonchi F, Mittendorfer-Rutz E. Trajectories of work disability and unemployment among young adults with common mental disorders. BMC Public Health. 2018;18(1):1228. </w:t>
      </w:r>
    </w:p>
    <w:p w14:paraId="130E6CA6" w14:textId="4B01A314" w:rsidR="000E28CF" w:rsidRDefault="000E28CF" w:rsidP="000E28CF">
      <w:pPr>
        <w:pStyle w:val="Litteraturfrteckning"/>
      </w:pPr>
      <w:r>
        <w:t>37.</w:t>
      </w:r>
      <w:r>
        <w:tab/>
        <w:t>Rømer TB, Christensen RHB, Blomberg SN, Folke F, Christensen HC, Benros ME. Psychiatric Admissions, Referrals, and Suicidal Behavior Before and During the COVID</w:t>
      </w:r>
      <w:r>
        <w:rPr>
          <w:rFonts w:ascii="Cambria Math" w:hAnsi="Cambria Math" w:cs="Cambria Math"/>
        </w:rPr>
        <w:t>‐</w:t>
      </w:r>
      <w:r>
        <w:t>19 Pandemic in Denmark: A Time</w:t>
      </w:r>
      <w:r>
        <w:rPr>
          <w:rFonts w:ascii="Cambria Math" w:hAnsi="Cambria Math" w:cs="Cambria Math"/>
        </w:rPr>
        <w:t>‐</w:t>
      </w:r>
      <w:r>
        <w:t>Trend Study. Acta Psychiatr Scand. 2021;144(6):553</w:t>
      </w:r>
      <w:r>
        <w:rPr>
          <w:rFonts w:ascii="Aptos" w:hAnsi="Aptos" w:cs="Aptos"/>
        </w:rPr>
        <w:t>–</w:t>
      </w:r>
      <w:r>
        <w:t xml:space="preserve">62. </w:t>
      </w:r>
    </w:p>
    <w:p w14:paraId="2B6AD434" w14:textId="77777777" w:rsidR="000E28CF" w:rsidRDefault="000E28CF" w:rsidP="000E28CF">
      <w:pPr>
        <w:pStyle w:val="Litteraturfrteckning"/>
      </w:pPr>
      <w:r>
        <w:t>38.</w:t>
      </w:r>
      <w:r>
        <w:tab/>
        <w:t xml:space="preserve">The Swedish Social Insurance Agency. </w:t>
      </w:r>
      <w:r w:rsidRPr="000E28CF">
        <w:rPr>
          <w:lang w:val="sv-SE"/>
        </w:rPr>
        <w:t xml:space="preserve">Coronaersättningar förlängs till 30 juni [Internet]. </w:t>
      </w:r>
      <w:r>
        <w:t>2021 [cited 2023 May 7]. Available from: http://www.forsakringskassan.se/nyhetsarkiv/nyheter-press/2021-05-07-coronaersattningar-forlangs-till-30-juni</w:t>
      </w:r>
    </w:p>
    <w:p w14:paraId="3C5B95B3" w14:textId="77777777" w:rsidR="000E28CF" w:rsidRDefault="000E28CF" w:rsidP="000E28CF">
      <w:pPr>
        <w:pStyle w:val="Litteraturfrteckning"/>
      </w:pPr>
      <w:r>
        <w:t>39.</w:t>
      </w:r>
      <w:r>
        <w:tab/>
        <w:t xml:space="preserve">Public Health Agency of Sweden. </w:t>
      </w:r>
      <w:r w:rsidRPr="000E28CF">
        <w:rPr>
          <w:lang w:val="sv-SE"/>
        </w:rPr>
        <w:t xml:space="preserve">Covid-19 och psykisk hälsa [Internet]. </w:t>
      </w:r>
      <w:r>
        <w:t>2021 [cited 2023 May 3]. Available from: https://www.folkhalsomyndigheten.se/livsvillkor-</w:t>
      </w:r>
      <w:r>
        <w:lastRenderedPageBreak/>
        <w:t>levnadsvanor/psykisk-halsa-och-suicidprevention/psykisk-halsa/covid-19-och-psykisk-halsa/</w:t>
      </w:r>
    </w:p>
    <w:p w14:paraId="208AC075" w14:textId="7CB4E8F8" w:rsidR="000E28CF" w:rsidRDefault="000E28CF" w:rsidP="000E28CF">
      <w:pPr>
        <w:pStyle w:val="Litteraturfrteckning"/>
      </w:pPr>
      <w:r>
        <w:t>40.</w:t>
      </w:r>
      <w:r>
        <w:tab/>
        <w:t xml:space="preserve">El Arab RA, Somerville J, Abuadas FH, Rubinat-Arnaldo E, Sagbakken M. Health and well-being of refugees, asylum seekers, undocumented migrants, and internally displaced persons under COVID-19: a scoping review. Front Public Health. 2023;11. </w:t>
      </w:r>
      <w:r w:rsidR="009053CB" w:rsidRPr="009053CB">
        <w:t>doi: 10.3389/fpubh.2023.1145002</w:t>
      </w:r>
      <w:r w:rsidR="009053CB">
        <w:t xml:space="preserve">. </w:t>
      </w:r>
    </w:p>
    <w:p w14:paraId="06060679" w14:textId="23DA9B73" w:rsidR="000E28CF" w:rsidRDefault="000E28CF" w:rsidP="000E28CF">
      <w:pPr>
        <w:pStyle w:val="Litteraturfrteckning"/>
      </w:pPr>
      <w:r>
        <w:t>41.</w:t>
      </w:r>
      <w:r>
        <w:tab/>
        <w:t>Graaff AM de, Cuijpers P, Twisk JWR, Kieft B, Hunaidy S, Elsawy M, et al. Peer-provided psychological intervention for Syrian refugees: results of a randomised controlled trial on the effectiveness of Problem Management Plus. BMJ Ment Health. 2023;26(1)</w:t>
      </w:r>
      <w:r w:rsidR="009053CB" w:rsidRPr="009053CB">
        <w:t>. doi: 10.1136/bmjment-2022-30063</w:t>
      </w:r>
      <w:r w:rsidR="009053CB">
        <w:t xml:space="preserve">. </w:t>
      </w:r>
    </w:p>
    <w:p w14:paraId="30330BC0" w14:textId="77777777" w:rsidR="000E28CF" w:rsidRDefault="000E28CF" w:rsidP="000E28CF">
      <w:pPr>
        <w:pStyle w:val="Litteraturfrteckning"/>
      </w:pPr>
      <w:r>
        <w:t>42.</w:t>
      </w:r>
      <w:r>
        <w:tab/>
        <w:t>OECD. Working Together: Skills and Labour Market Integration of Immigrants and their Children in Sweden | READ online [Internet]. Paris: OECD Publishing; 2016 [cited 2023 Oct 31]. Report No.: https://doi.org/10.1787/9789264257382-en. Available from: https://read.oecd-ilibrary.org/social-issues-migration-health/working-together-skills-and-labour-market-integration-of-immigrants-and-their-children-in-sweden_9789264257382-en</w:t>
      </w:r>
    </w:p>
    <w:p w14:paraId="31569CA4" w14:textId="77777777" w:rsidR="000E28CF" w:rsidRPr="000E28CF" w:rsidRDefault="000E28CF" w:rsidP="000E28CF">
      <w:pPr>
        <w:pStyle w:val="Litteraturfrteckning"/>
        <w:rPr>
          <w:lang w:val="sv-SE"/>
        </w:rPr>
      </w:pPr>
      <w:r>
        <w:t>43.</w:t>
      </w:r>
      <w:r>
        <w:tab/>
        <w:t xml:space="preserve">National Board of Health and Welfare. </w:t>
      </w:r>
      <w:r w:rsidRPr="000E28CF">
        <w:rPr>
          <w:lang w:val="sv-SE"/>
        </w:rPr>
        <w:t xml:space="preserve">Utrikesfödda och covid-19 - samsjuklighetens påverkan. Stockholm; 2022 Jan. Report No.: 2022-1–7736. </w:t>
      </w:r>
    </w:p>
    <w:p w14:paraId="62C41BE3" w14:textId="77777777" w:rsidR="000E28CF" w:rsidRDefault="000E28CF" w:rsidP="000E28CF">
      <w:pPr>
        <w:pStyle w:val="Litteraturfrteckning"/>
      </w:pPr>
      <w:r w:rsidRPr="000E28CF">
        <w:rPr>
          <w:lang w:val="sv-SE"/>
        </w:rPr>
        <w:t>44.</w:t>
      </w:r>
      <w:r w:rsidRPr="000E28CF">
        <w:rPr>
          <w:lang w:val="sv-SE"/>
        </w:rPr>
        <w:tab/>
        <w:t xml:space="preserve">Public Health Agency of Sweden. Hälsa hos personer som är utrikes födda – skillnader i hälsa utifrån födelseland – Ett kunskapsunderlag om hälsa, livsvillkor och levnadsvanor bland utrikes födda personer boende i Sverige — Folkhälsomyndigheten [Internet]. </w:t>
      </w:r>
      <w:r>
        <w:t>[cited 2023 Feb 20]. Available from: https://www.folkhalsomyndigheten.se/publikationer-och-material/publikationsarkiv/h/halsa-hos-personer-som-ar-utrikes-fodda--skillnader-i-halsa-utifran-fodelseland/</w:t>
      </w:r>
    </w:p>
    <w:p w14:paraId="186ECB47" w14:textId="77777777" w:rsidR="000E28CF" w:rsidRDefault="000E28CF" w:rsidP="000E28CF">
      <w:pPr>
        <w:pStyle w:val="Litteraturfrteckning"/>
      </w:pPr>
      <w:r>
        <w:t>45.</w:t>
      </w:r>
      <w:r>
        <w:tab/>
        <w:t xml:space="preserve">Taipale H, Niederkrotenthaler T, Helgesson M, Sijbrandij M, Berg L, Tanskanen A, et al. Initiation of antidepressant use among refugee and Swedish-born youth after diagnosis of a common mental disorder: findings from the REMAIN study. Soc Psychiatry Psychiatr Epidemiol. 2021;56(3):463–74. </w:t>
      </w:r>
    </w:p>
    <w:p w14:paraId="6D792746" w14:textId="67C10AF9" w:rsidR="000E28CF" w:rsidRDefault="000E28CF" w:rsidP="000E28CF">
      <w:pPr>
        <w:pStyle w:val="Litteraturfrteckning"/>
      </w:pPr>
      <w:r>
        <w:t>46.</w:t>
      </w:r>
      <w:r>
        <w:tab/>
        <w:t xml:space="preserve">Taipale H, Niederkrotenthaler T, Tanskanen A, Cullen AE, Helgesson M, Berg L, et al. Persistence of antidepressant use among refugee youth with common mental disorder. J Affect Disord. 2021;294:831–7. </w:t>
      </w:r>
    </w:p>
    <w:p w14:paraId="5BE4A961" w14:textId="3A04BC4B" w:rsidR="000E28CF" w:rsidRDefault="000E28CF" w:rsidP="000E28CF">
      <w:pPr>
        <w:pStyle w:val="Litteraturfrteckning"/>
      </w:pPr>
      <w:r>
        <w:t>47.</w:t>
      </w:r>
      <w:r>
        <w:tab/>
        <w:t xml:space="preserve">Manhica H, Almquist Y, Rostila M, Hjern A. The use of psychiatric services by young adults who came to Sweden as teenage refugees: a national cohort study. Epidemiol Psychiatr Sci. 2017;26(5):526–34. </w:t>
      </w:r>
    </w:p>
    <w:p w14:paraId="6E42DF4D" w14:textId="50D9C174" w:rsidR="000E28CF" w:rsidRDefault="000E28CF" w:rsidP="000E28CF">
      <w:pPr>
        <w:pStyle w:val="Litteraturfrteckning"/>
      </w:pPr>
      <w:r>
        <w:t>48.</w:t>
      </w:r>
      <w:r>
        <w:tab/>
        <w:t xml:space="preserve">Björkenstam E, Helgesson M, Norredam M, Sijbrandij M, de Montgomery CJ, Mittendorfer-Rutz E. Common mental disorders among young refugees in Sweden: The role of education and duration of residency. J Affect Disord. 2020;266:563–71. </w:t>
      </w:r>
    </w:p>
    <w:p w14:paraId="167D90D9" w14:textId="48A75DCD" w:rsidR="000E28CF" w:rsidRDefault="000E28CF" w:rsidP="000E28CF">
      <w:pPr>
        <w:pStyle w:val="Litteraturfrteckning"/>
      </w:pPr>
      <w:r>
        <w:t>49.</w:t>
      </w:r>
      <w:r>
        <w:tab/>
        <w:t xml:space="preserve">Ludvigsson JF, Almqvist C, Bonamy AKE, Ljung R, Michaëlsson K, Neovius M, et al. Registers of the Swedish total population and their use in medical research. Eur J Epidemiol. 2016;31(2):125–36. </w:t>
      </w:r>
    </w:p>
    <w:p w14:paraId="6A2AA2AE" w14:textId="77777777" w:rsidR="000E28CF" w:rsidRDefault="000E28CF" w:rsidP="000E28CF">
      <w:pPr>
        <w:pStyle w:val="Litteraturfrteckning"/>
      </w:pPr>
      <w:r>
        <w:t>50.</w:t>
      </w:r>
      <w:r>
        <w:tab/>
        <w:t>National Board of Health and Welfare. National Patient Register. 2022 [cited 2023 Feb 17]. National Patient Register. Available from: https://www.socialstyrelsen.se/en/statistics-and-data/registers/national-patient-register/</w:t>
      </w:r>
    </w:p>
    <w:p w14:paraId="00AFE2DA" w14:textId="77777777" w:rsidR="000E28CF" w:rsidRDefault="000E28CF" w:rsidP="000E28CF">
      <w:pPr>
        <w:pStyle w:val="Litteraturfrteckning"/>
      </w:pPr>
      <w:r>
        <w:lastRenderedPageBreak/>
        <w:t>51.</w:t>
      </w:r>
      <w:r>
        <w:tab/>
        <w:t xml:space="preserve">Ludvigsson JF. The first eight months of Sweden’s COVID-19 strategy and the key actions and actors that were involved. Acta Paediatr. 2020;109(12):2459–71. </w:t>
      </w:r>
    </w:p>
    <w:p w14:paraId="769E7F69" w14:textId="77777777" w:rsidR="000E28CF" w:rsidRDefault="000E28CF" w:rsidP="000E28CF">
      <w:pPr>
        <w:pStyle w:val="Litteraturfrteckning"/>
      </w:pPr>
      <w:r>
        <w:t>52.</w:t>
      </w:r>
      <w:r>
        <w:tab/>
        <w:t xml:space="preserve">Hjern A. Migration and public health: Health in Sweden: The National Public Health Report 2012. Chapter 13. Scand J Public Health. 2012;40(9_suppl):255–67. </w:t>
      </w:r>
    </w:p>
    <w:p w14:paraId="398AE485" w14:textId="77777777" w:rsidR="000E28CF" w:rsidRDefault="000E28CF" w:rsidP="000E28CF">
      <w:pPr>
        <w:pStyle w:val="Litteraturfrteckning"/>
      </w:pPr>
      <w:r>
        <w:t>53.</w:t>
      </w:r>
      <w:r>
        <w:tab/>
        <w:t xml:space="preserve">The Swedish Migration Agency. </w:t>
      </w:r>
      <w:r w:rsidRPr="000E28CF">
        <w:rPr>
          <w:lang w:val="sv-SE"/>
        </w:rPr>
        <w:t xml:space="preserve">Olika skäl för uppehållstillstånd [Internet]. </w:t>
      </w:r>
      <w:r>
        <w:t>2022 [cited 2023 Jul 24]. Available from: https://www.migrationsverket.se/Om-Migrationsverket/Vart-uppdrag/Olika-skal-for-uppehallstillstand.html</w:t>
      </w:r>
    </w:p>
    <w:p w14:paraId="5AD4ADDA" w14:textId="74A7C738" w:rsidR="00CD7E5F" w:rsidRDefault="00CD7E5F" w:rsidP="004E516E">
      <w:pPr>
        <w:spacing w:line="360" w:lineRule="auto"/>
      </w:pPr>
      <w:r w:rsidRPr="000E28CF">
        <w:rPr>
          <w:rFonts w:ascii="Times New Roman" w:hAnsi="Times New Roman" w:cs="Times New Roman"/>
          <w:sz w:val="20"/>
          <w:szCs w:val="20"/>
        </w:rPr>
        <w:fldChar w:fldCharType="end"/>
      </w:r>
      <w:bookmarkEnd w:id="7"/>
      <w:bookmarkEnd w:id="8"/>
    </w:p>
    <w:sectPr w:rsidR="00CD7E5F" w:rsidSect="00CD7E5F">
      <w:footerReference w:type="default" r:id="rId10"/>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0A6FB" w14:textId="77777777" w:rsidR="00D4098F" w:rsidRPr="000E28CF" w:rsidRDefault="00D4098F">
      <w:pPr>
        <w:spacing w:after="0" w:line="240" w:lineRule="auto"/>
      </w:pPr>
      <w:r w:rsidRPr="000E28CF">
        <w:separator/>
      </w:r>
    </w:p>
  </w:endnote>
  <w:endnote w:type="continuationSeparator" w:id="0">
    <w:p w14:paraId="59B1A020" w14:textId="77777777" w:rsidR="00D4098F" w:rsidRPr="000E28CF" w:rsidRDefault="00D4098F">
      <w:pPr>
        <w:spacing w:after="0" w:line="240" w:lineRule="auto"/>
      </w:pPr>
      <w:r w:rsidRPr="000E28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9225554"/>
      <w:docPartObj>
        <w:docPartGallery w:val="Page Numbers (Bottom of Page)"/>
        <w:docPartUnique/>
      </w:docPartObj>
    </w:sdtPr>
    <w:sdtEndPr/>
    <w:sdtContent>
      <w:p w14:paraId="72327281" w14:textId="77777777" w:rsidR="00E503A9" w:rsidRPr="000E28CF" w:rsidRDefault="00E503A9">
        <w:pPr>
          <w:pStyle w:val="Sidfot"/>
          <w:jc w:val="center"/>
        </w:pPr>
        <w:r w:rsidRPr="000E28CF">
          <w:fldChar w:fldCharType="begin"/>
        </w:r>
        <w:r w:rsidRPr="000E28CF">
          <w:instrText>PAGE   \* MERGEFORMAT</w:instrText>
        </w:r>
        <w:r w:rsidRPr="000E28CF">
          <w:fldChar w:fldCharType="separate"/>
        </w:r>
        <w:r w:rsidRPr="000E28CF">
          <w:t>20</w:t>
        </w:r>
        <w:r w:rsidRPr="000E28CF">
          <w:fldChar w:fldCharType="end"/>
        </w:r>
      </w:p>
    </w:sdtContent>
  </w:sdt>
  <w:p w14:paraId="145FB900" w14:textId="77777777" w:rsidR="00E503A9" w:rsidRPr="000E28CF" w:rsidRDefault="00E503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CF0E8" w14:textId="77777777" w:rsidR="00D4098F" w:rsidRPr="000E28CF" w:rsidRDefault="00D4098F">
      <w:pPr>
        <w:spacing w:after="0" w:line="240" w:lineRule="auto"/>
      </w:pPr>
      <w:r w:rsidRPr="000E28CF">
        <w:separator/>
      </w:r>
    </w:p>
  </w:footnote>
  <w:footnote w:type="continuationSeparator" w:id="0">
    <w:p w14:paraId="7D843600" w14:textId="77777777" w:rsidR="00D4098F" w:rsidRPr="000E28CF" w:rsidRDefault="00D4098F">
      <w:pPr>
        <w:spacing w:after="0" w:line="240" w:lineRule="auto"/>
      </w:pPr>
      <w:r w:rsidRPr="000E28C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46393"/>
    <w:multiLevelType w:val="hybridMultilevel"/>
    <w:tmpl w:val="CC00A37A"/>
    <w:lvl w:ilvl="0" w:tplc="1BD4E564">
      <w:start w:val="9"/>
      <w:numFmt w:val="decimal"/>
      <w:lvlText w:val="%1"/>
      <w:lvlJc w:val="left"/>
      <w:pPr>
        <w:ind w:left="720" w:hanging="360"/>
      </w:pPr>
      <w:rPr>
        <w:rFonts w:asciiTheme="minorHAnsi" w:eastAsiaTheme="minorHAnsi" w:hAnsiTheme="minorHAnsi" w:cstheme="minorBidi" w:hint="default"/>
        <w:color w:val="000000"/>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71C2511"/>
    <w:multiLevelType w:val="hybridMultilevel"/>
    <w:tmpl w:val="CC00A37A"/>
    <w:lvl w:ilvl="0" w:tplc="1BD4E564">
      <w:start w:val="9"/>
      <w:numFmt w:val="decimal"/>
      <w:lvlText w:val="%1"/>
      <w:lvlJc w:val="left"/>
      <w:pPr>
        <w:ind w:left="720" w:hanging="360"/>
      </w:pPr>
      <w:rPr>
        <w:rFonts w:asciiTheme="minorHAnsi" w:eastAsiaTheme="minorHAnsi" w:hAnsiTheme="minorHAnsi" w:cstheme="minorBidi" w:hint="default"/>
        <w:color w:val="000000"/>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4C93190"/>
    <w:multiLevelType w:val="multilevel"/>
    <w:tmpl w:val="2038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FA2297"/>
    <w:multiLevelType w:val="hybridMultilevel"/>
    <w:tmpl w:val="51E8AECE"/>
    <w:lvl w:ilvl="0" w:tplc="81A4F738">
      <w:start w:val="1"/>
      <w:numFmt w:val="decimal"/>
      <w:lvlText w:val="%1"/>
      <w:lvlJc w:val="left"/>
      <w:pPr>
        <w:ind w:left="720" w:hanging="360"/>
      </w:pPr>
      <w:rPr>
        <w:rFonts w:hint="default"/>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80387007">
    <w:abstractNumId w:val="2"/>
  </w:num>
  <w:num w:numId="2" w16cid:durableId="1281375580">
    <w:abstractNumId w:val="3"/>
  </w:num>
  <w:num w:numId="3" w16cid:durableId="1209412987">
    <w:abstractNumId w:val="0"/>
  </w:num>
  <w:num w:numId="4" w16cid:durableId="917011944">
    <w:abstractNumId w:val="1"/>
  </w:num>
  <w:num w:numId="5" w16cid:durableId="19503155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E5F"/>
    <w:rsid w:val="00000AAF"/>
    <w:rsid w:val="00023ECA"/>
    <w:rsid w:val="00043A20"/>
    <w:rsid w:val="000C6073"/>
    <w:rsid w:val="000E28CF"/>
    <w:rsid w:val="001327B0"/>
    <w:rsid w:val="00181347"/>
    <w:rsid w:val="001B0213"/>
    <w:rsid w:val="001C662F"/>
    <w:rsid w:val="002B4D5A"/>
    <w:rsid w:val="002E48C8"/>
    <w:rsid w:val="002F2ADF"/>
    <w:rsid w:val="003213FB"/>
    <w:rsid w:val="00366BE2"/>
    <w:rsid w:val="003B2189"/>
    <w:rsid w:val="004E516E"/>
    <w:rsid w:val="0054039B"/>
    <w:rsid w:val="00582086"/>
    <w:rsid w:val="005D79BE"/>
    <w:rsid w:val="0062169B"/>
    <w:rsid w:val="006B356D"/>
    <w:rsid w:val="007028DC"/>
    <w:rsid w:val="00736C33"/>
    <w:rsid w:val="00793DF7"/>
    <w:rsid w:val="00805368"/>
    <w:rsid w:val="00827A55"/>
    <w:rsid w:val="008376EB"/>
    <w:rsid w:val="008D034A"/>
    <w:rsid w:val="009053CB"/>
    <w:rsid w:val="00947589"/>
    <w:rsid w:val="0097435D"/>
    <w:rsid w:val="009A6D06"/>
    <w:rsid w:val="009F3D40"/>
    <w:rsid w:val="00A33324"/>
    <w:rsid w:val="00C174DF"/>
    <w:rsid w:val="00CD7E5F"/>
    <w:rsid w:val="00D0169A"/>
    <w:rsid w:val="00D2135C"/>
    <w:rsid w:val="00D4098F"/>
    <w:rsid w:val="00DD6889"/>
    <w:rsid w:val="00E503A9"/>
    <w:rsid w:val="00F03F17"/>
    <w:rsid w:val="00F90A6E"/>
    <w:rsid w:val="00FC3EFA"/>
    <w:rsid w:val="00FD6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4DE21"/>
  <w15:chartTrackingRefBased/>
  <w15:docId w15:val="{ED0DFE61-2EBC-40E3-959C-BEEC0222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E5F"/>
    <w:pPr>
      <w:spacing w:line="259" w:lineRule="auto"/>
    </w:pPr>
    <w:rPr>
      <w:kern w:val="0"/>
      <w:sz w:val="22"/>
      <w:szCs w:val="22"/>
      <w:lang w:val="en-US"/>
      <w14:ligatures w14:val="none"/>
    </w:rPr>
  </w:style>
  <w:style w:type="paragraph" w:styleId="Rubrik1">
    <w:name w:val="heading 1"/>
    <w:basedOn w:val="Normal"/>
    <w:next w:val="Normal"/>
    <w:link w:val="Rubrik1Char"/>
    <w:uiPriority w:val="9"/>
    <w:qFormat/>
    <w:rsid w:val="00CD7E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D7E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D7E5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D7E5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D7E5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D7E5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D7E5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D7E5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D7E5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D7E5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D7E5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D7E5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D7E5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D7E5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D7E5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D7E5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D7E5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D7E5F"/>
    <w:rPr>
      <w:rFonts w:eastAsiaTheme="majorEastAsia" w:cstheme="majorBidi"/>
      <w:color w:val="272727" w:themeColor="text1" w:themeTint="D8"/>
    </w:rPr>
  </w:style>
  <w:style w:type="paragraph" w:styleId="Rubrik">
    <w:name w:val="Title"/>
    <w:basedOn w:val="Normal"/>
    <w:next w:val="Normal"/>
    <w:link w:val="RubrikChar"/>
    <w:uiPriority w:val="10"/>
    <w:qFormat/>
    <w:rsid w:val="00CD7E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D7E5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D7E5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D7E5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D7E5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D7E5F"/>
    <w:rPr>
      <w:i/>
      <w:iCs/>
      <w:color w:val="404040" w:themeColor="text1" w:themeTint="BF"/>
    </w:rPr>
  </w:style>
  <w:style w:type="paragraph" w:styleId="Liststycke">
    <w:name w:val="List Paragraph"/>
    <w:basedOn w:val="Normal"/>
    <w:uiPriority w:val="34"/>
    <w:qFormat/>
    <w:rsid w:val="00CD7E5F"/>
    <w:pPr>
      <w:ind w:left="720"/>
      <w:contextualSpacing/>
    </w:pPr>
  </w:style>
  <w:style w:type="character" w:styleId="Starkbetoning">
    <w:name w:val="Intense Emphasis"/>
    <w:basedOn w:val="Standardstycketeckensnitt"/>
    <w:uiPriority w:val="21"/>
    <w:qFormat/>
    <w:rsid w:val="00CD7E5F"/>
    <w:rPr>
      <w:i/>
      <w:iCs/>
      <w:color w:val="0F4761" w:themeColor="accent1" w:themeShade="BF"/>
    </w:rPr>
  </w:style>
  <w:style w:type="paragraph" w:styleId="Starktcitat">
    <w:name w:val="Intense Quote"/>
    <w:basedOn w:val="Normal"/>
    <w:next w:val="Normal"/>
    <w:link w:val="StarktcitatChar"/>
    <w:uiPriority w:val="30"/>
    <w:qFormat/>
    <w:rsid w:val="00CD7E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D7E5F"/>
    <w:rPr>
      <w:i/>
      <w:iCs/>
      <w:color w:val="0F4761" w:themeColor="accent1" w:themeShade="BF"/>
    </w:rPr>
  </w:style>
  <w:style w:type="character" w:styleId="Starkreferens">
    <w:name w:val="Intense Reference"/>
    <w:basedOn w:val="Standardstycketeckensnitt"/>
    <w:uiPriority w:val="32"/>
    <w:qFormat/>
    <w:rsid w:val="00CD7E5F"/>
    <w:rPr>
      <w:b/>
      <w:bCs/>
      <w:smallCaps/>
      <w:color w:val="0F4761" w:themeColor="accent1" w:themeShade="BF"/>
      <w:spacing w:val="5"/>
    </w:rPr>
  </w:style>
  <w:style w:type="character" w:styleId="Hyperlnk">
    <w:name w:val="Hyperlink"/>
    <w:basedOn w:val="Standardstycketeckensnitt"/>
    <w:uiPriority w:val="99"/>
    <w:unhideWhenUsed/>
    <w:rsid w:val="00CD7E5F"/>
    <w:rPr>
      <w:color w:val="467886" w:themeColor="hyperlink"/>
      <w:u w:val="single"/>
    </w:rPr>
  </w:style>
  <w:style w:type="character" w:styleId="Kommentarsreferens">
    <w:name w:val="annotation reference"/>
    <w:basedOn w:val="Standardstycketeckensnitt"/>
    <w:uiPriority w:val="99"/>
    <w:semiHidden/>
    <w:unhideWhenUsed/>
    <w:rsid w:val="00CD7E5F"/>
    <w:rPr>
      <w:sz w:val="16"/>
      <w:szCs w:val="16"/>
    </w:rPr>
  </w:style>
  <w:style w:type="paragraph" w:styleId="Kommentarer">
    <w:name w:val="annotation text"/>
    <w:basedOn w:val="Normal"/>
    <w:link w:val="KommentarerChar"/>
    <w:uiPriority w:val="99"/>
    <w:unhideWhenUsed/>
    <w:rsid w:val="00CD7E5F"/>
    <w:pPr>
      <w:spacing w:line="240" w:lineRule="auto"/>
    </w:pPr>
    <w:rPr>
      <w:sz w:val="20"/>
      <w:szCs w:val="20"/>
    </w:rPr>
  </w:style>
  <w:style w:type="character" w:customStyle="1" w:styleId="KommentarerChar">
    <w:name w:val="Kommentarer Char"/>
    <w:basedOn w:val="Standardstycketeckensnitt"/>
    <w:link w:val="Kommentarer"/>
    <w:uiPriority w:val="99"/>
    <w:rsid w:val="00CD7E5F"/>
    <w:rPr>
      <w:kern w:val="0"/>
      <w:sz w:val="20"/>
      <w:szCs w:val="20"/>
      <w14:ligatures w14:val="none"/>
    </w:rPr>
  </w:style>
  <w:style w:type="paragraph" w:styleId="Brdtext">
    <w:name w:val="Body Text"/>
    <w:basedOn w:val="Normal"/>
    <w:link w:val="BrdtextChar"/>
    <w:rsid w:val="00CD7E5F"/>
    <w:pPr>
      <w:spacing w:after="120" w:line="240" w:lineRule="auto"/>
    </w:pPr>
    <w:rPr>
      <w:rFonts w:ascii="Arial" w:eastAsia="Times New Roman" w:hAnsi="Arial" w:cs="Times New Roman"/>
      <w:sz w:val="20"/>
      <w:szCs w:val="24"/>
    </w:rPr>
  </w:style>
  <w:style w:type="character" w:customStyle="1" w:styleId="BrdtextChar">
    <w:name w:val="Brödtext Char"/>
    <w:basedOn w:val="Standardstycketeckensnitt"/>
    <w:link w:val="Brdtext"/>
    <w:rsid w:val="00CD7E5F"/>
    <w:rPr>
      <w:rFonts w:ascii="Arial" w:eastAsia="Times New Roman" w:hAnsi="Arial" w:cs="Times New Roman"/>
      <w:kern w:val="0"/>
      <w:sz w:val="20"/>
      <w:lang w:val="en-US"/>
      <w14:ligatures w14:val="none"/>
    </w:rPr>
  </w:style>
  <w:style w:type="character" w:customStyle="1" w:styleId="normaltextrun">
    <w:name w:val="normaltextrun"/>
    <w:basedOn w:val="Standardstycketeckensnitt"/>
    <w:rsid w:val="00CD7E5F"/>
  </w:style>
  <w:style w:type="character" w:customStyle="1" w:styleId="eop">
    <w:name w:val="eop"/>
    <w:basedOn w:val="Standardstycketeckensnitt"/>
    <w:rsid w:val="00CD7E5F"/>
  </w:style>
  <w:style w:type="paragraph" w:styleId="Ballongtext">
    <w:name w:val="Balloon Text"/>
    <w:basedOn w:val="Normal"/>
    <w:link w:val="BallongtextChar"/>
    <w:uiPriority w:val="99"/>
    <w:semiHidden/>
    <w:unhideWhenUsed/>
    <w:rsid w:val="00CD7E5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D7E5F"/>
    <w:rPr>
      <w:rFonts w:ascii="Segoe UI" w:hAnsi="Segoe UI" w:cs="Segoe UI"/>
      <w:kern w:val="0"/>
      <w:sz w:val="18"/>
      <w:szCs w:val="18"/>
      <w14:ligatures w14:val="none"/>
    </w:rPr>
  </w:style>
  <w:style w:type="paragraph" w:styleId="Litteraturfrteckning">
    <w:name w:val="Bibliography"/>
    <w:basedOn w:val="Normal"/>
    <w:next w:val="Normal"/>
    <w:uiPriority w:val="37"/>
    <w:unhideWhenUsed/>
    <w:rsid w:val="00CD7E5F"/>
    <w:pPr>
      <w:tabs>
        <w:tab w:val="left" w:pos="384"/>
      </w:tabs>
      <w:spacing w:after="240" w:line="240" w:lineRule="auto"/>
      <w:ind w:left="384" w:hanging="384"/>
    </w:pPr>
  </w:style>
  <w:style w:type="paragraph" w:customStyle="1" w:styleId="EndNoteBibliography">
    <w:name w:val="EndNote Bibliography"/>
    <w:basedOn w:val="Normal"/>
    <w:link w:val="EndNoteBibliographyChar"/>
    <w:rsid w:val="00CD7E5F"/>
    <w:pPr>
      <w:spacing w:line="240" w:lineRule="auto"/>
    </w:pPr>
    <w:rPr>
      <w:rFonts w:ascii="Calibri" w:hAnsi="Calibri" w:cs="Calibri"/>
      <w:noProof/>
    </w:rPr>
  </w:style>
  <w:style w:type="character" w:customStyle="1" w:styleId="EndNoteBibliographyChar">
    <w:name w:val="EndNote Bibliography Char"/>
    <w:basedOn w:val="Standardstycketeckensnitt"/>
    <w:link w:val="EndNoteBibliography"/>
    <w:rsid w:val="00CD7E5F"/>
    <w:rPr>
      <w:rFonts w:ascii="Calibri" w:hAnsi="Calibri" w:cs="Calibri"/>
      <w:noProof/>
      <w:kern w:val="0"/>
      <w:sz w:val="22"/>
      <w:szCs w:val="22"/>
      <w:lang w:val="en-US"/>
      <w14:ligatures w14:val="none"/>
    </w:rPr>
  </w:style>
  <w:style w:type="paragraph" w:customStyle="1" w:styleId="Default">
    <w:name w:val="Default"/>
    <w:rsid w:val="00CD7E5F"/>
    <w:pPr>
      <w:autoSpaceDE w:val="0"/>
      <w:autoSpaceDN w:val="0"/>
      <w:adjustRightInd w:val="0"/>
      <w:spacing w:after="0" w:line="240" w:lineRule="auto"/>
    </w:pPr>
    <w:rPr>
      <w:rFonts w:ascii="Calibri" w:hAnsi="Calibri" w:cs="Calibri"/>
      <w:color w:val="000000"/>
      <w:kern w:val="0"/>
      <w14:ligatures w14:val="none"/>
    </w:rPr>
  </w:style>
  <w:style w:type="paragraph" w:styleId="Kommentarsmne">
    <w:name w:val="annotation subject"/>
    <w:basedOn w:val="Kommentarer"/>
    <w:next w:val="Kommentarer"/>
    <w:link w:val="KommentarsmneChar"/>
    <w:uiPriority w:val="99"/>
    <w:semiHidden/>
    <w:unhideWhenUsed/>
    <w:rsid w:val="00CD7E5F"/>
    <w:rPr>
      <w:b/>
      <w:bCs/>
    </w:rPr>
  </w:style>
  <w:style w:type="character" w:customStyle="1" w:styleId="KommentarsmneChar">
    <w:name w:val="Kommentarsämne Char"/>
    <w:basedOn w:val="KommentarerChar"/>
    <w:link w:val="Kommentarsmne"/>
    <w:uiPriority w:val="99"/>
    <w:semiHidden/>
    <w:rsid w:val="00CD7E5F"/>
    <w:rPr>
      <w:b/>
      <w:bCs/>
      <w:kern w:val="0"/>
      <w:sz w:val="20"/>
      <w:szCs w:val="20"/>
      <w14:ligatures w14:val="none"/>
    </w:rPr>
  </w:style>
  <w:style w:type="table" w:styleId="Tabellrutntljust">
    <w:name w:val="Grid Table Light"/>
    <w:basedOn w:val="Normaltabell"/>
    <w:uiPriority w:val="40"/>
    <w:rsid w:val="00CD7E5F"/>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dhuvud">
    <w:name w:val="header"/>
    <w:basedOn w:val="Normal"/>
    <w:link w:val="SidhuvudChar"/>
    <w:uiPriority w:val="99"/>
    <w:unhideWhenUsed/>
    <w:rsid w:val="00CD7E5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D7E5F"/>
    <w:rPr>
      <w:kern w:val="0"/>
      <w:sz w:val="22"/>
      <w:szCs w:val="22"/>
      <w14:ligatures w14:val="none"/>
    </w:rPr>
  </w:style>
  <w:style w:type="paragraph" w:styleId="Sidfot">
    <w:name w:val="footer"/>
    <w:basedOn w:val="Normal"/>
    <w:link w:val="SidfotChar"/>
    <w:uiPriority w:val="99"/>
    <w:unhideWhenUsed/>
    <w:rsid w:val="00CD7E5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D7E5F"/>
    <w:rPr>
      <w:kern w:val="0"/>
      <w:sz w:val="22"/>
      <w:szCs w:val="22"/>
      <w14:ligatures w14:val="none"/>
    </w:rPr>
  </w:style>
  <w:style w:type="character" w:customStyle="1" w:styleId="Mencinsinresolver1">
    <w:name w:val="Mención sin resolver1"/>
    <w:basedOn w:val="Standardstycketeckensnitt"/>
    <w:uiPriority w:val="99"/>
    <w:semiHidden/>
    <w:unhideWhenUsed/>
    <w:rsid w:val="00CD7E5F"/>
    <w:rPr>
      <w:color w:val="605E5C"/>
      <w:shd w:val="clear" w:color="auto" w:fill="E1DFDD"/>
    </w:rPr>
  </w:style>
  <w:style w:type="character" w:styleId="AnvndHyperlnk">
    <w:name w:val="FollowedHyperlink"/>
    <w:basedOn w:val="Standardstycketeckensnitt"/>
    <w:uiPriority w:val="99"/>
    <w:semiHidden/>
    <w:unhideWhenUsed/>
    <w:rsid w:val="00CD7E5F"/>
    <w:rPr>
      <w:color w:val="96607D" w:themeColor="followedHyperlink"/>
      <w:u w:val="single"/>
    </w:rPr>
  </w:style>
  <w:style w:type="paragraph" w:styleId="Revision">
    <w:name w:val="Revision"/>
    <w:hidden/>
    <w:uiPriority w:val="99"/>
    <w:semiHidden/>
    <w:rsid w:val="00CD7E5F"/>
    <w:pPr>
      <w:spacing w:after="0" w:line="240" w:lineRule="auto"/>
    </w:pPr>
    <w:rPr>
      <w:kern w:val="0"/>
      <w:sz w:val="22"/>
      <w:szCs w:val="22"/>
      <w14:ligatures w14:val="none"/>
    </w:rPr>
  </w:style>
  <w:style w:type="table" w:styleId="Tabellrutnt">
    <w:name w:val="Table Grid"/>
    <w:basedOn w:val="Normaltabell"/>
    <w:uiPriority w:val="39"/>
    <w:rsid w:val="00CD7E5F"/>
    <w:pPr>
      <w:spacing w:after="0" w:line="240" w:lineRule="auto"/>
    </w:pPr>
    <w:rPr>
      <w:rFonts w:ascii="Times New Roman" w:eastAsia="Times New Roman" w:hAnsi="Times New Roman" w:cs="Times New Roman"/>
      <w:kern w:val="0"/>
      <w:sz w:val="20"/>
      <w:szCs w:val="20"/>
      <w:lang w:eastAsia="sv-S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CD7E5F"/>
    <w:rPr>
      <w:color w:val="605E5C"/>
      <w:shd w:val="clear" w:color="auto" w:fill="E1DFDD"/>
    </w:rPr>
  </w:style>
  <w:style w:type="character" w:customStyle="1" w:styleId="cf01">
    <w:name w:val="cf01"/>
    <w:basedOn w:val="Standardstycketeckensnitt"/>
    <w:rsid w:val="00CD7E5F"/>
    <w:rPr>
      <w:rFonts w:ascii="Segoe UI" w:hAnsi="Segoe UI" w:cs="Segoe UI" w:hint="default"/>
      <w:color w:val="333333"/>
      <w:sz w:val="18"/>
      <w:szCs w:val="18"/>
      <w:shd w:val="clear" w:color="auto" w:fill="FFFFFF"/>
    </w:rPr>
  </w:style>
  <w:style w:type="paragraph" w:styleId="Normalwebb">
    <w:name w:val="Normal (Web)"/>
    <w:basedOn w:val="Normal"/>
    <w:uiPriority w:val="99"/>
    <w:unhideWhenUsed/>
    <w:rsid w:val="00CD7E5F"/>
    <w:pPr>
      <w:spacing w:before="100" w:beforeAutospacing="1" w:after="100" w:afterAutospacing="1" w:line="240" w:lineRule="auto"/>
    </w:pPr>
    <w:rPr>
      <w:rFonts w:ascii="Calibri" w:hAnsi="Calibri" w:cs="Calibri"/>
      <w:lang w:eastAsia="sv-SE"/>
    </w:rPr>
  </w:style>
  <w:style w:type="paragraph" w:styleId="Ingetavstnd">
    <w:name w:val="No Spacing"/>
    <w:uiPriority w:val="1"/>
    <w:qFormat/>
    <w:rsid w:val="00CD7E5F"/>
    <w:pPr>
      <w:spacing w:after="0" w:line="240" w:lineRule="auto"/>
    </w:pPr>
    <w:rPr>
      <w:kern w:val="0"/>
      <w:sz w:val="22"/>
      <w:szCs w:val="22"/>
      <w14:ligatures w14:val="none"/>
    </w:rPr>
  </w:style>
  <w:style w:type="paragraph" w:customStyle="1" w:styleId="elementtoproof">
    <w:name w:val="elementtoproof"/>
    <w:basedOn w:val="Normal"/>
    <w:rsid w:val="00CD7E5F"/>
    <w:pPr>
      <w:spacing w:after="0" w:line="240" w:lineRule="auto"/>
    </w:pPr>
    <w:rPr>
      <w:rFonts w:ascii="Calibri" w:hAnsi="Calibri" w:cs="Calibri"/>
    </w:rPr>
  </w:style>
  <w:style w:type="character" w:styleId="Radnummer">
    <w:name w:val="line number"/>
    <w:basedOn w:val="Standardstycketeckensnitt"/>
    <w:uiPriority w:val="99"/>
    <w:semiHidden/>
    <w:unhideWhenUsed/>
    <w:rsid w:val="00CD7E5F"/>
  </w:style>
  <w:style w:type="character" w:customStyle="1" w:styleId="textlayer--absolute">
    <w:name w:val="textlayer--absolute"/>
    <w:basedOn w:val="Standardstycketeckensnitt"/>
    <w:rsid w:val="00CD7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58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C5DE1AC957DB440B36FFCF5A7010E4F" ma:contentTypeVersion="13" ma:contentTypeDescription="Skapa ett nytt dokument." ma:contentTypeScope="" ma:versionID="e2bfdf5de80ef4aa64dff605aebe9d1b">
  <xsd:schema xmlns:xsd="http://www.w3.org/2001/XMLSchema" xmlns:xs="http://www.w3.org/2001/XMLSchema" xmlns:p="http://schemas.microsoft.com/office/2006/metadata/properties" xmlns:ns3="ab9a5b39-b205-4b2f-8c55-e018e9f557de" xmlns:ns4="59d27c81-7be1-47ab-9ae8-992f10d092f3" targetNamespace="http://schemas.microsoft.com/office/2006/metadata/properties" ma:root="true" ma:fieldsID="ec05607667e06f2e9f0b050c38758e23" ns3:_="" ns4:_="">
    <xsd:import namespace="ab9a5b39-b205-4b2f-8c55-e018e9f557de"/>
    <xsd:import namespace="59d27c81-7be1-47ab-9ae8-992f10d092f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SystemTags" minOccurs="0"/>
                <xsd:element ref="ns3:MediaServiceOCR" minOccurs="0"/>
                <xsd:element ref="ns3:MediaServiceSearchProperties" minOccurs="0"/>
                <xsd:element ref="ns3:_activity"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a5b39-b205-4b2f-8c55-e018e9f557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_activity" ma:index="16"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27c81-7be1-47ab-9ae8-992f10d092f3"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element name="SharingHintHash" ma:index="19"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b9a5b39-b205-4b2f-8c55-e018e9f557d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182DD6-230A-42F4-9B71-08478D3E3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a5b39-b205-4b2f-8c55-e018e9f557de"/>
    <ds:schemaRef ds:uri="59d27c81-7be1-47ab-9ae8-992f10d092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2CEF2D-A600-468C-A150-6D1C0778BB85}">
  <ds:schemaRefs>
    <ds:schemaRef ds:uri="http://schemas.microsoft.com/office/infopath/2007/PartnerControls"/>
    <ds:schemaRef ds:uri="59d27c81-7be1-47ab-9ae8-992f10d092f3"/>
    <ds:schemaRef ds:uri="http://www.w3.org/XML/1998/namespace"/>
    <ds:schemaRef ds:uri="http://schemas.microsoft.com/office/2006/documentManagement/types"/>
    <ds:schemaRef ds:uri="ab9a5b39-b205-4b2f-8c55-e018e9f557de"/>
    <ds:schemaRef ds:uri="http://schemas.openxmlformats.org/package/2006/metadata/core-properties"/>
    <ds:schemaRef ds:uri="http://purl.org/dc/dcmitype/"/>
    <ds:schemaRef ds:uri="http://purl.org/dc/elements/1.1/"/>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AB40551C-9B24-44EA-8A28-7F0C45F96D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21</Pages>
  <Words>38637</Words>
  <Characters>204778</Characters>
  <Application>Microsoft Office Word</Application>
  <DocSecurity>0</DocSecurity>
  <Lines>1706</Lines>
  <Paragraphs>485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Atarodi</dc:creator>
  <cp:keywords/>
  <dc:description/>
  <cp:lastModifiedBy>Vera Atarodi</cp:lastModifiedBy>
  <cp:revision>7</cp:revision>
  <dcterms:created xsi:type="dcterms:W3CDTF">2025-02-19T13:12:00Z</dcterms:created>
  <dcterms:modified xsi:type="dcterms:W3CDTF">2025-02-19T14:59:00Z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id="pLMpHyTE"/&gt;&lt;style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y fmtid="{D5CDD505-2E9C-101B-9397-08002B2CF9AE}" pid="4" name="ContentTypeId">
    <vt:lpwstr>0x0101004C5DE1AC957DB440B36FFCF5A7010E4F</vt:lpwstr>
  </property>
</Properties>
</file>