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BC26E" w14:textId="04DE471E" w:rsidR="006F6611" w:rsidRPr="000A6853" w:rsidRDefault="006F6611" w:rsidP="006F6611">
      <w:pPr>
        <w:spacing w:line="480" w:lineRule="auto"/>
        <w:rPr>
          <w:sz w:val="20"/>
          <w:szCs w:val="20"/>
        </w:rPr>
      </w:pPr>
      <w:r w:rsidRPr="000A6853">
        <w:rPr>
          <w:sz w:val="20"/>
          <w:szCs w:val="20"/>
        </w:rPr>
        <w:t>Supplemental Table A</w:t>
      </w:r>
      <w:r w:rsidRPr="00A75FE4">
        <w:rPr>
          <w:sz w:val="20"/>
          <w:szCs w:val="20"/>
        </w:rPr>
        <w:t xml:space="preserve">. </w:t>
      </w:r>
      <w:r w:rsidR="00C87CC3">
        <w:rPr>
          <w:color w:val="000000"/>
          <w:sz w:val="20"/>
          <w:szCs w:val="20"/>
        </w:rPr>
        <w:t xml:space="preserve">Survey item descriptions and sources </w:t>
      </w:r>
    </w:p>
    <w:tbl>
      <w:tblPr>
        <w:tblStyle w:val="GridTable2"/>
        <w:tblW w:w="11430" w:type="dxa"/>
        <w:tblInd w:w="-990" w:type="dxa"/>
        <w:tblLayout w:type="fixed"/>
        <w:tblLook w:val="04A0" w:firstRow="1" w:lastRow="0" w:firstColumn="1" w:lastColumn="0" w:noHBand="0" w:noVBand="1"/>
      </w:tblPr>
      <w:tblGrid>
        <w:gridCol w:w="1800"/>
        <w:gridCol w:w="2520"/>
        <w:gridCol w:w="1980"/>
        <w:gridCol w:w="1710"/>
        <w:gridCol w:w="1800"/>
        <w:gridCol w:w="1620"/>
      </w:tblGrid>
      <w:tr w:rsidR="006F6611" w:rsidRPr="000A6853" w14:paraId="2576D71F" w14:textId="77777777" w:rsidTr="00AA05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255EAADD" w14:textId="77777777" w:rsidR="006F6611" w:rsidRPr="000A6853" w:rsidRDefault="006F6611" w:rsidP="00AA05B4">
            <w:pPr>
              <w:spacing w:line="480" w:lineRule="auto"/>
              <w:jc w:val="center"/>
              <w:rPr>
                <w:sz w:val="20"/>
                <w:szCs w:val="20"/>
              </w:rPr>
            </w:pPr>
            <w:r w:rsidRPr="000A6853">
              <w:rPr>
                <w:sz w:val="20"/>
                <w:szCs w:val="20"/>
              </w:rPr>
              <w:t>Constructs</w:t>
            </w:r>
          </w:p>
        </w:tc>
        <w:tc>
          <w:tcPr>
            <w:tcW w:w="2520" w:type="dxa"/>
            <w:vAlign w:val="center"/>
          </w:tcPr>
          <w:p w14:paraId="3BCD9CE7" w14:textId="77777777" w:rsidR="006F6611" w:rsidRPr="000A6853" w:rsidRDefault="006F6611" w:rsidP="00AA05B4">
            <w:pPr>
              <w:spacing w:line="48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0A6853">
              <w:rPr>
                <w:sz w:val="20"/>
                <w:szCs w:val="20"/>
              </w:rPr>
              <w:t>Example item</w:t>
            </w:r>
          </w:p>
        </w:tc>
        <w:tc>
          <w:tcPr>
            <w:tcW w:w="1980" w:type="dxa"/>
            <w:vAlign w:val="center"/>
          </w:tcPr>
          <w:p w14:paraId="5A0921BC" w14:textId="77777777" w:rsidR="006F6611" w:rsidRPr="000A6853" w:rsidRDefault="006F6611" w:rsidP="00AA05B4">
            <w:pPr>
              <w:spacing w:line="48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0A6853">
              <w:rPr>
                <w:sz w:val="20"/>
                <w:szCs w:val="20"/>
              </w:rPr>
              <w:t>Number of items</w:t>
            </w:r>
          </w:p>
        </w:tc>
        <w:tc>
          <w:tcPr>
            <w:tcW w:w="1710" w:type="dxa"/>
            <w:vAlign w:val="center"/>
          </w:tcPr>
          <w:p w14:paraId="2B5FFEA4" w14:textId="77777777" w:rsidR="006F6611" w:rsidRPr="000A6853" w:rsidRDefault="006F6611" w:rsidP="00AA05B4">
            <w:pPr>
              <w:spacing w:line="48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0A6853">
              <w:rPr>
                <w:sz w:val="20"/>
                <w:szCs w:val="20"/>
              </w:rPr>
              <w:t>Post-training</w:t>
            </w:r>
          </w:p>
        </w:tc>
        <w:tc>
          <w:tcPr>
            <w:tcW w:w="1800" w:type="dxa"/>
            <w:vAlign w:val="center"/>
          </w:tcPr>
          <w:p w14:paraId="1CB8AF26" w14:textId="77777777" w:rsidR="006F6611" w:rsidRPr="000A6853" w:rsidRDefault="006F6611" w:rsidP="00AA05B4">
            <w:pPr>
              <w:spacing w:line="48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0A6853">
              <w:rPr>
                <w:sz w:val="20"/>
                <w:szCs w:val="20"/>
              </w:rPr>
              <w:t>3-month follow-up</w:t>
            </w:r>
          </w:p>
        </w:tc>
        <w:tc>
          <w:tcPr>
            <w:tcW w:w="1620" w:type="dxa"/>
            <w:vAlign w:val="center"/>
          </w:tcPr>
          <w:p w14:paraId="742408E9" w14:textId="77777777" w:rsidR="006F6611" w:rsidRPr="000A6853" w:rsidRDefault="006F6611" w:rsidP="00AA05B4">
            <w:pPr>
              <w:spacing w:line="480" w:lineRule="auto"/>
              <w:jc w:val="center"/>
              <w:cnfStyle w:val="100000000000" w:firstRow="1" w:lastRow="0" w:firstColumn="0" w:lastColumn="0" w:oddVBand="0" w:evenVBand="0" w:oddHBand="0" w:evenHBand="0" w:firstRowFirstColumn="0" w:firstRowLastColumn="0" w:lastRowFirstColumn="0" w:lastRowLastColumn="0"/>
              <w:rPr>
                <w:sz w:val="20"/>
              </w:rPr>
            </w:pPr>
            <w:r w:rsidRPr="000A6853">
              <w:rPr>
                <w:sz w:val="20"/>
              </w:rPr>
              <w:t>Reference</w:t>
            </w:r>
          </w:p>
        </w:tc>
      </w:tr>
      <w:tr w:rsidR="006F6611" w:rsidRPr="000A6853" w14:paraId="7BBDF0D2" w14:textId="77777777" w:rsidTr="00AA0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5B277922" w14:textId="77777777" w:rsidR="006F6611" w:rsidRPr="000A6853" w:rsidRDefault="006F6611" w:rsidP="00AA05B4">
            <w:pPr>
              <w:spacing w:line="480" w:lineRule="auto"/>
              <w:jc w:val="center"/>
              <w:rPr>
                <w:sz w:val="20"/>
                <w:szCs w:val="20"/>
              </w:rPr>
            </w:pPr>
            <w:r w:rsidRPr="000A6853">
              <w:rPr>
                <w:sz w:val="20"/>
                <w:szCs w:val="20"/>
              </w:rPr>
              <w:t>Demographics</w:t>
            </w:r>
          </w:p>
        </w:tc>
        <w:tc>
          <w:tcPr>
            <w:tcW w:w="2520" w:type="dxa"/>
            <w:vAlign w:val="center"/>
          </w:tcPr>
          <w:p w14:paraId="145EE206"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Name, country, work area</w:t>
            </w:r>
          </w:p>
        </w:tc>
        <w:tc>
          <w:tcPr>
            <w:tcW w:w="1980" w:type="dxa"/>
            <w:vAlign w:val="center"/>
          </w:tcPr>
          <w:p w14:paraId="1711BD66"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6</w:t>
            </w:r>
          </w:p>
        </w:tc>
        <w:tc>
          <w:tcPr>
            <w:tcW w:w="1710" w:type="dxa"/>
            <w:vAlign w:val="center"/>
          </w:tcPr>
          <w:p w14:paraId="1E9BB4E5"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800" w:type="dxa"/>
            <w:vAlign w:val="center"/>
          </w:tcPr>
          <w:p w14:paraId="56776991"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620" w:type="dxa"/>
            <w:vAlign w:val="center"/>
          </w:tcPr>
          <w:p w14:paraId="3E19B83E"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F6611" w:rsidRPr="000A6853" w14:paraId="0D788DE1" w14:textId="77777777" w:rsidTr="00AA05B4">
        <w:tc>
          <w:tcPr>
            <w:cnfStyle w:val="001000000000" w:firstRow="0" w:lastRow="0" w:firstColumn="1" w:lastColumn="0" w:oddVBand="0" w:evenVBand="0" w:oddHBand="0" w:evenHBand="0" w:firstRowFirstColumn="0" w:firstRowLastColumn="0" w:lastRowFirstColumn="0" w:lastRowLastColumn="0"/>
            <w:tcW w:w="1800" w:type="dxa"/>
            <w:vAlign w:val="center"/>
          </w:tcPr>
          <w:p w14:paraId="40CCA160" w14:textId="77777777" w:rsidR="006F6611" w:rsidRPr="000A6853" w:rsidRDefault="006F6611" w:rsidP="00AA05B4">
            <w:pPr>
              <w:spacing w:line="480" w:lineRule="auto"/>
              <w:jc w:val="center"/>
              <w:rPr>
                <w:sz w:val="20"/>
                <w:szCs w:val="20"/>
              </w:rPr>
            </w:pPr>
            <w:r w:rsidRPr="000A6853">
              <w:rPr>
                <w:sz w:val="20"/>
                <w:szCs w:val="20"/>
              </w:rPr>
              <w:t>Stage of change</w:t>
            </w:r>
          </w:p>
        </w:tc>
        <w:tc>
          <w:tcPr>
            <w:tcW w:w="2520" w:type="dxa"/>
            <w:vAlign w:val="center"/>
          </w:tcPr>
          <w:p w14:paraId="0557A7BC"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There is nothing I really need to change about the way I lead for health, safety, and well-being</w:t>
            </w:r>
          </w:p>
        </w:tc>
        <w:tc>
          <w:tcPr>
            <w:tcW w:w="1980" w:type="dxa"/>
            <w:vAlign w:val="center"/>
          </w:tcPr>
          <w:p w14:paraId="0ECA9232"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5</w:t>
            </w:r>
          </w:p>
        </w:tc>
        <w:tc>
          <w:tcPr>
            <w:tcW w:w="1710" w:type="dxa"/>
            <w:vAlign w:val="center"/>
          </w:tcPr>
          <w:p w14:paraId="0C5732CD"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X</w:t>
            </w:r>
          </w:p>
        </w:tc>
        <w:tc>
          <w:tcPr>
            <w:tcW w:w="1800" w:type="dxa"/>
            <w:vAlign w:val="center"/>
          </w:tcPr>
          <w:p w14:paraId="0844A384"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vAlign w:val="center"/>
          </w:tcPr>
          <w:p w14:paraId="4C41A58A" w14:textId="3EA07823"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 xml:space="preserve">Cunningham et at., </w:t>
            </w:r>
            <w:r w:rsidRPr="000A6853">
              <w:rPr>
                <w:sz w:val="20"/>
                <w:szCs w:val="20"/>
              </w:rPr>
              <w:fldChar w:fldCharType="begin" w:fldLock="1"/>
            </w:r>
            <w:r w:rsidRPr="000A6853">
              <w:rPr>
                <w:sz w:val="20"/>
                <w:szCs w:val="20"/>
              </w:rPr>
              <w:instrText>ADDIN CSL_CITATION {"citationItems":[{"id":"ITEM-1","itemData":{"DOI":"10.1348/096317902321119637","ISSN":"09631798","abstract":"To examine factors influencing readiness for healthcare organizational change, 654 randomly selected hospital staff completed questionnaires measuring the logistical and occupational risks of change, ability to cope with change and to solve job-related problems, social support, measures of Karasek's (1979) active vs. passive job construct (job demand × decision latitude) and readiness for organizational change. Workers in active jobs (Karasek, 1979) which afforded higher decision latitude and control over challenging tasks reported a higher readiness for organizational change scores. Workers with an active approach to job problem-solving with higher job change self-efficacy scores reported a higher readiness for change. In hierarchical regression analyses, active jobs, an active job problem-solving style and job-change self-efficacy contributed independently to the prediction of readiness for organizational change. Time I readiness for organizational change scores and an active approach to job problem-solving were the best predictors of participation in redesign activities during a year-long re-engineering programme.","author":[{"dropping-particle":"","family":"Cunningham","given":"Charles E.","non-dropping-particle":"","parse-names":false,"suffix":""},{"dropping-particle":"","family":"Woodward","given":"Christel A.","non-dropping-particle":"","parse-names":false,"suffix":""},{"dropping-particle":"","family":"Shannon","given":"Harry S.","non-dropping-particle":"","parse-names":false,"suffix":""},{"dropping-particle":"","family":"MacIntosh","given":"John","non-dropping-particle":"","parse-names":false,"suffix":""},{"dropping-particle":"","family":"Lendrum","given":"Bonnie","non-dropping-particle":"","parse-names":false,"suffix":""},{"dropping-particle":"","family":"Rosenbloom","given":"David","non-dropping-particle":"","parse-names":false,"suffix":""},{"dropping-particle":"","family":"Brown","given":"Judy","non-dropping-particle":"","parse-names":false,"suffix":""}],"container-title":"Journal of Occupational and Organizational Psychology","id":"ITEM-1","issue":"4","issued":{"date-parts":[["2002"]]},"page":"377-392","title":"Readiness for organizational change: A longitudinal study of workplace, psychological and behavioural correlates","type":"article-journal","volume":"75"},"uris":["http://www.mendeley.com/documents/?uuid=ec3f7e4e-5bde-4639-bc34-729bbdf1cd86"]}],"mendeley":{"formattedCitation":"(39)","plainTextFormattedCitation":"(39)","previouslyFormattedCitation":"(42)"},"properties":{"noteIndex":0},"schema":"https://github.com/citation-style-language/schema/raw/master/csl-citation.json"}</w:instrText>
            </w:r>
            <w:r w:rsidRPr="000A6853">
              <w:rPr>
                <w:sz w:val="20"/>
                <w:szCs w:val="20"/>
              </w:rPr>
              <w:fldChar w:fldCharType="separate"/>
            </w:r>
            <w:r w:rsidRPr="000A6853">
              <w:rPr>
                <w:noProof/>
                <w:sz w:val="20"/>
                <w:szCs w:val="20"/>
              </w:rPr>
              <w:t>(3</w:t>
            </w:r>
            <w:r w:rsidR="00966F0C">
              <w:rPr>
                <w:noProof/>
                <w:sz w:val="20"/>
                <w:szCs w:val="20"/>
              </w:rPr>
              <w:t>7</w:t>
            </w:r>
            <w:r w:rsidRPr="000A6853">
              <w:rPr>
                <w:noProof/>
                <w:sz w:val="20"/>
                <w:szCs w:val="20"/>
              </w:rPr>
              <w:t>)</w:t>
            </w:r>
            <w:r w:rsidRPr="000A6853">
              <w:rPr>
                <w:sz w:val="20"/>
                <w:szCs w:val="20"/>
              </w:rPr>
              <w:fldChar w:fldCharType="end"/>
            </w:r>
          </w:p>
        </w:tc>
      </w:tr>
      <w:tr w:rsidR="006F6611" w:rsidRPr="000A6853" w14:paraId="4DBC6660" w14:textId="77777777" w:rsidTr="00AA0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64E7B60C" w14:textId="77777777" w:rsidR="006F6611" w:rsidRPr="000A6853" w:rsidRDefault="006F6611" w:rsidP="00AA05B4">
            <w:pPr>
              <w:spacing w:line="480" w:lineRule="auto"/>
              <w:jc w:val="center"/>
              <w:rPr>
                <w:sz w:val="20"/>
                <w:szCs w:val="20"/>
              </w:rPr>
            </w:pPr>
            <w:r w:rsidRPr="000A6853">
              <w:rPr>
                <w:sz w:val="20"/>
                <w:szCs w:val="20"/>
              </w:rPr>
              <w:t>Modifiable health indicators</w:t>
            </w:r>
          </w:p>
        </w:tc>
        <w:tc>
          <w:tcPr>
            <w:tcW w:w="2520" w:type="dxa"/>
            <w:vAlign w:val="center"/>
          </w:tcPr>
          <w:p w14:paraId="283FC4E0"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I have felt cheerful and in good spirits</w:t>
            </w:r>
          </w:p>
        </w:tc>
        <w:tc>
          <w:tcPr>
            <w:tcW w:w="1980" w:type="dxa"/>
            <w:vAlign w:val="center"/>
          </w:tcPr>
          <w:p w14:paraId="31708909"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12</w:t>
            </w:r>
          </w:p>
        </w:tc>
        <w:tc>
          <w:tcPr>
            <w:tcW w:w="1710" w:type="dxa"/>
            <w:vAlign w:val="center"/>
          </w:tcPr>
          <w:p w14:paraId="4545F8EF"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800" w:type="dxa"/>
            <w:vAlign w:val="center"/>
          </w:tcPr>
          <w:p w14:paraId="286BBA6C"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620" w:type="dxa"/>
            <w:vAlign w:val="center"/>
          </w:tcPr>
          <w:p w14:paraId="47DB93A8" w14:textId="4C7B334F"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rFonts w:ascii="Tahoma" w:hAnsi="Tahoma"/>
                <w:sz w:val="20"/>
              </w:rPr>
              <w:t>﻿</w:t>
            </w:r>
            <w:r w:rsidRPr="000A6853">
              <w:rPr>
                <w:sz w:val="20"/>
                <w:szCs w:val="20"/>
              </w:rPr>
              <w:t xml:space="preserve"> </w:t>
            </w:r>
            <w:proofErr w:type="spellStart"/>
            <w:r w:rsidRPr="000A6853">
              <w:rPr>
                <w:sz w:val="20"/>
                <w:szCs w:val="20"/>
              </w:rPr>
              <w:t>Schwatka</w:t>
            </w:r>
            <w:proofErr w:type="spellEnd"/>
            <w:r w:rsidRPr="000A6853">
              <w:rPr>
                <w:sz w:val="20"/>
                <w:szCs w:val="20"/>
              </w:rPr>
              <w:t xml:space="preserve"> et al., 2018</w:t>
            </w:r>
            <w:r w:rsidR="00754344">
              <w:rPr>
                <w:sz w:val="20"/>
                <w:szCs w:val="20"/>
              </w:rPr>
              <w:t>.</w:t>
            </w:r>
            <w:r w:rsidRPr="000A6853">
              <w:rPr>
                <w:sz w:val="20"/>
                <w:szCs w:val="20"/>
              </w:rPr>
              <w:t xml:space="preserve"> Kouzes and Posner 2012, Longshore and Bass 1985. </w:t>
            </w:r>
            <w:r w:rsidRPr="000A6853">
              <w:rPr>
                <w:sz w:val="20"/>
              </w:rPr>
              <w:fldChar w:fldCharType="begin" w:fldLock="1"/>
            </w:r>
            <w:r w:rsidRPr="000A6853">
              <w:rPr>
                <w:sz w:val="20"/>
              </w:rPr>
              <w:instrText>ADDIN CSL_CITATION {"citationItems":[{"id":"ITEM-1","itemData":{"DOI":"10.2307/258081","ISSN":"03637425","abstract":"Why do most leaders or managers elicit merely competent performance from their followers, while a select few inspire extraordinary achievement? Leadership expert Bernard Bass takes this question beyond the usual speculation, presenting original research that for the first time documents the traits of the exceptional leader.","author":[{"dropping-particle":"","family":"Longshore","given":"John M.","non-dropping-particle":"","parse-names":false,"suffix":""},{"dropping-particle":"","family":"Bass","given":"Bernard M.","non-dropping-particle":"","parse-names":false,"suffix":""}],"container-title":"The Academy of Management Review","id":"ITEM-1","issue":"4","issued":{"date-parts":[["1985"]]},"page":"756","title":"Leadership and Performance beyond Expectations","type":"article-journal","volume":"12"},"uris":["http://www.mendeley.com/documents/?uuid=ccb8cf6d-9f14-4718-998c-8e99918a91d7"]},{"id":"ITEM-2","itemData":{"ISSN":"0146-9592","abstract":"Ultrashort-laser-pulse retrieval in frequency-resolved optical gating has previously required an iterative algorithm. Here, however, we show that a computational neural network can directly and rapidly recover the intensity and phase of a pulse. (C) 1996 Optical Society of America","author":[{"dropping-particle":"","family":"Kouzes","given":"J.M.","non-dropping-particle":"","parse-names":false,"suffix":""},{"dropping-particle":"","family":"Posner","given":"","non-dropping-particle":"","parse-names":false,"suffix":""}],"container-title":"The Canadian Journal of Physician Leadership","id":"ITEM-2","issue":"1","issued":{"date-parts":[["2012"]]},"page":"1-28","title":"The leadership challenge: How to make extraordinary things happen in organizations","type":"article-journal","volume":"2"},"uris":["http://www.mendeley.com/documents/?uuid=29fe397f-4b46-4213-9857-83e3bc65fafc"]},{"id":"ITEM-3","itemData":{"DOI":"10.1007/s41542-018-0013-9","ISBN":"4154201800139","ISSN":"2367-0134","abstract":"Nearly half of Americans are employed by small businesses, and future projections suggest that the number of those employed by small businesses will rise. Despite this, there is relatively little small business intervention research on the integration of health protection and health promotion, known as Total Worker Health® (TWH). We first discuss the importance of studying small businesses in TWH research and practice. Second, we describe an example of a small business TWH intervention, Health Links™ plus TWH owner/senior manager leadership training, that we are evaluating via the Small+Safe+Well (SSWell) study. Key features of the intervention and the SSWell study include attention to multi-level influences on worker health, safety and well-being; organizational change; and dissemination and implementation science strategies via the RE-AIM model. We offer several considerations for future small business TWH research and practice both in terms of the small business context as well as intervention development and evaluation. Our goal is to provide TWH researchers and practitioners with a framework and an example of how to approach small business TWH interventions. Ultimately, through the SSWell study, we aim to provide small businesses with strong evidence to support the use of TWH strategies that are practical, effective and sustainable.","author":[{"dropping-particle":"V.","family":"Schwatka","given":"Natalie","non-dropping-particle":"","parse-names":false,"suffix":""},{"dropping-particle":"","family":"Tenney","given":"Liliana","non-dropping-particle":"","parse-names":false,"suffix":""},{"dropping-particle":"","family":"Dally","given":"Miranda J.","non-dropping-particle":"","parse-names":false,"suffix":""},{"dropping-particle":"","family":"Scott","given":"Joshua","non-dropping-particle":"","parse-names":false,"suffix":""},{"dropping-particle":"","family":"Brown","given":"Carol E.","non-dropping-particle":"","parse-names":false,"suffix":""},{"dropping-particle":"","family":"Weitzenkamp","given":"David","non-dropping-particle":"","parse-names":false,"suffix":""},{"dropping-particle":"","family":"Shore","given":"Erin","non-dropping-particle":"","parse-names":false,"suffix":""},{"dropping-particle":"","family":"Newman","given":"Lee S.","non-dropping-particle":"","parse-names":false,"suffix":""}],"container-title":"Occupational Health Science","id":"ITEM-3","issue":"1","issued":{"date-parts":[["2018","3","8"]]},"page":"25-41","title":"Small Business Total Worker Health: a Conceptual and Methodological Approach to Facilitating Organizational Change","type":"article-journal","volume":"2"},"uris":["http://www.mendeley.com/documents/?uuid=e755f709-c229-4ae4-87cf-eae4cb647133"]}],"mendeley":{"formattedCitation":"(10,32,34)","plainTextFormattedCitation":"(10,32,34)","previouslyFormattedCitation":"(10,33,35)"},"properties":{"noteIndex":0},"schema":"https://github.com/citation-style-language/schema/raw/master/csl-citation.json"}</w:instrText>
            </w:r>
            <w:r w:rsidRPr="000A6853">
              <w:rPr>
                <w:sz w:val="20"/>
              </w:rPr>
              <w:fldChar w:fldCharType="separate"/>
            </w:r>
            <w:r w:rsidRPr="000A6853">
              <w:rPr>
                <w:rFonts w:ascii="Calibri" w:hAnsi="Calibri"/>
                <w:noProof/>
                <w:sz w:val="20"/>
              </w:rPr>
              <w:t>(10,32,34)</w:t>
            </w:r>
            <w:r w:rsidRPr="000A6853">
              <w:rPr>
                <w:sz w:val="20"/>
              </w:rPr>
              <w:fldChar w:fldCharType="end"/>
            </w:r>
          </w:p>
        </w:tc>
      </w:tr>
      <w:tr w:rsidR="006F6611" w:rsidRPr="000A6853" w14:paraId="34AD7564" w14:textId="77777777" w:rsidTr="00AA05B4">
        <w:tc>
          <w:tcPr>
            <w:cnfStyle w:val="001000000000" w:firstRow="0" w:lastRow="0" w:firstColumn="1" w:lastColumn="0" w:oddVBand="0" w:evenVBand="0" w:oddHBand="0" w:evenHBand="0" w:firstRowFirstColumn="0" w:firstRowLastColumn="0" w:lastRowFirstColumn="0" w:lastRowLastColumn="0"/>
            <w:tcW w:w="1800" w:type="dxa"/>
            <w:vAlign w:val="center"/>
          </w:tcPr>
          <w:p w14:paraId="4FB0629E" w14:textId="77777777" w:rsidR="006F6611" w:rsidRPr="000A6853" w:rsidRDefault="006F6611" w:rsidP="00AA05B4">
            <w:pPr>
              <w:spacing w:line="480" w:lineRule="auto"/>
              <w:jc w:val="center"/>
              <w:rPr>
                <w:sz w:val="20"/>
                <w:szCs w:val="20"/>
              </w:rPr>
            </w:pPr>
            <w:r w:rsidRPr="000A6853">
              <w:rPr>
                <w:sz w:val="20"/>
                <w:szCs w:val="20"/>
              </w:rPr>
              <w:t>Training reactions</w:t>
            </w:r>
          </w:p>
        </w:tc>
        <w:tc>
          <w:tcPr>
            <w:tcW w:w="2520" w:type="dxa"/>
            <w:vAlign w:val="center"/>
          </w:tcPr>
          <w:p w14:paraId="3CC416E6"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This course increased your awareness about Total Worker Health Leadership</w:t>
            </w:r>
          </w:p>
        </w:tc>
        <w:tc>
          <w:tcPr>
            <w:tcW w:w="1980" w:type="dxa"/>
            <w:vAlign w:val="center"/>
          </w:tcPr>
          <w:p w14:paraId="49AF44AE"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9</w:t>
            </w:r>
          </w:p>
        </w:tc>
        <w:tc>
          <w:tcPr>
            <w:tcW w:w="1710" w:type="dxa"/>
            <w:vAlign w:val="center"/>
          </w:tcPr>
          <w:p w14:paraId="63EA99DB"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X</w:t>
            </w:r>
          </w:p>
        </w:tc>
        <w:tc>
          <w:tcPr>
            <w:tcW w:w="1800" w:type="dxa"/>
            <w:vAlign w:val="center"/>
          </w:tcPr>
          <w:p w14:paraId="3A1D4DCF"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vAlign w:val="center"/>
          </w:tcPr>
          <w:p w14:paraId="113EE395"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A6853">
              <w:rPr>
                <w:sz w:val="20"/>
                <w:szCs w:val="20"/>
              </w:rPr>
              <w:t>Schwatka</w:t>
            </w:r>
            <w:proofErr w:type="spellEnd"/>
            <w:r w:rsidRPr="000A6853">
              <w:rPr>
                <w:sz w:val="20"/>
                <w:szCs w:val="20"/>
              </w:rPr>
              <w:t xml:space="preserve"> et al., 2018. </w:t>
            </w:r>
            <w:r w:rsidRPr="000A6853">
              <w:rPr>
                <w:sz w:val="20"/>
                <w:szCs w:val="20"/>
              </w:rPr>
              <w:fldChar w:fldCharType="begin" w:fldLock="1"/>
            </w:r>
            <w:r w:rsidRPr="000A6853">
              <w:rPr>
                <w:sz w:val="20"/>
                <w:szCs w:val="20"/>
              </w:rPr>
              <w:instrText>ADDIN CSL_CITATION {"citationItems":[{"id":"ITEM-1","itemData":{"DOI":"10.1007/s41542-018-0013-9","ISBN":"4154201800139","ISSN":"2367-0134","abstract":"Nearly half of Americans are employed by small businesses, and future projections suggest that the number of those employed by small businesses will rise. Despite this, there is relatively little small business intervention research on the integration of health protection and health promotion, known as Total Worker Health® (TWH). We first discuss the importance of studying small businesses in TWH research and practice. Second, we describe an example of a small business TWH intervention, Health Links™ plus TWH owner/senior manager leadership training, that we are evaluating via the Small+Safe+Well (SSWell) study. Key features of the intervention and the SSWell study include attention to multi-level influences on worker health, safety and well-being; organizational change; and dissemination and implementation science strategies via the RE-AIM model. We offer several considerations for future small business TWH research and practice both in terms of the small business context as well as intervention development and evaluation. Our goal is to provide TWH researchers and practitioners with a framework and an example of how to approach small business TWH interventions. Ultimately, through the SSWell study, we aim to provide small businesses with strong evidence to support the use of TWH strategies that are practical, effective and sustainable.","author":[{"dropping-particle":"V.","family":"Schwatka","given":"Natalie","non-dropping-particle":"","parse-names":false,"suffix":""},{"dropping-particle":"","family":"Tenney","given":"Liliana","non-dropping-particle":"","parse-names":false,"suffix":""},{"dropping-particle":"","family":"Dally","given":"Miranda J.","non-dropping-particle":"","parse-names":false,"suffix":""},{"dropping-particle":"","family":"Scott","given":"Joshua","non-dropping-particle":"","parse-names":false,"suffix":""},{"dropping-particle":"","family":"Brown","given":"Carol E.","non-dropping-particle":"","parse-names":false,"suffix":""},{"dropping-particle":"","family":"Weitzenkamp","given":"David","non-dropping-particle":"","parse-names":false,"suffix":""},{"dropping-particle":"","family":"Shore","given":"Erin","non-dropping-particle":"","parse-names":false,"suffix":""},{"dropping-particle":"","family":"Newman","given":"Lee S.","non-dropping-particle":"","parse-names":false,"suffix":""}],"container-title":"Occupational Health Science","id":"ITEM-1","issue":"1","issued":{"date-parts":[["2018","3","8"]]},"page":"25-41","title":"Small Business Total Worker Health: a Conceptual and Methodological Approach to Facilitating Organizational Change","type":"article-journal","volume":"2"},"uris":["http://www.mendeley.com/documents/?uuid=e755f709-c229-4ae4-87cf-eae4cb647133"]}],"mendeley":{"formattedCitation":"(32)","plainTextFormattedCitation":"(32)","previouslyFormattedCitation":"(33)"},"properties":{"noteIndex":0},"schema":"https://github.com/citation-style-language/schema/raw/master/csl-citation.json"}</w:instrText>
            </w:r>
            <w:r w:rsidRPr="000A6853">
              <w:rPr>
                <w:sz w:val="20"/>
                <w:szCs w:val="20"/>
              </w:rPr>
              <w:fldChar w:fldCharType="separate"/>
            </w:r>
            <w:r w:rsidRPr="000A6853">
              <w:rPr>
                <w:noProof/>
                <w:sz w:val="20"/>
                <w:szCs w:val="20"/>
              </w:rPr>
              <w:t>(32)</w:t>
            </w:r>
            <w:r w:rsidRPr="000A6853">
              <w:rPr>
                <w:sz w:val="20"/>
                <w:szCs w:val="20"/>
              </w:rPr>
              <w:fldChar w:fldCharType="end"/>
            </w:r>
          </w:p>
        </w:tc>
      </w:tr>
      <w:tr w:rsidR="006F6611" w:rsidRPr="000A6853" w14:paraId="3003D219" w14:textId="77777777" w:rsidTr="00AA0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7D7D41E2" w14:textId="77777777" w:rsidR="006F6611" w:rsidRPr="000A6853" w:rsidRDefault="006F6611" w:rsidP="00AA05B4">
            <w:pPr>
              <w:spacing w:line="480" w:lineRule="auto"/>
              <w:jc w:val="center"/>
              <w:rPr>
                <w:sz w:val="20"/>
              </w:rPr>
            </w:pPr>
            <w:r w:rsidRPr="000A6853">
              <w:rPr>
                <w:sz w:val="20"/>
                <w:szCs w:val="20"/>
              </w:rPr>
              <w:t>Leadership practices</w:t>
            </w:r>
          </w:p>
        </w:tc>
        <w:tc>
          <w:tcPr>
            <w:tcW w:w="2520" w:type="dxa"/>
            <w:vAlign w:val="center"/>
          </w:tcPr>
          <w:p w14:paraId="49558305"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I communicate a positive outlook for employee health, safety, and well-being</w:t>
            </w:r>
          </w:p>
        </w:tc>
        <w:tc>
          <w:tcPr>
            <w:tcW w:w="1980" w:type="dxa"/>
            <w:vAlign w:val="center"/>
          </w:tcPr>
          <w:p w14:paraId="709043D6"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4</w:t>
            </w:r>
          </w:p>
        </w:tc>
        <w:tc>
          <w:tcPr>
            <w:tcW w:w="1710" w:type="dxa"/>
            <w:vAlign w:val="center"/>
          </w:tcPr>
          <w:p w14:paraId="69874D98"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800" w:type="dxa"/>
            <w:vAlign w:val="center"/>
          </w:tcPr>
          <w:p w14:paraId="06B8ACF2"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620" w:type="dxa"/>
            <w:vAlign w:val="center"/>
          </w:tcPr>
          <w:p w14:paraId="75CF6287" w14:textId="00712D0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rFonts w:ascii="Calibri" w:hAnsi="Calibri"/>
                <w:sz w:val="20"/>
              </w:rPr>
              <w:t xml:space="preserve">﻿ </w:t>
            </w:r>
            <w:r w:rsidRPr="000A6853">
              <w:rPr>
                <w:sz w:val="20"/>
                <w:szCs w:val="20"/>
              </w:rPr>
              <w:t>Kouzes and Posner 2012.</w:t>
            </w:r>
            <w:r w:rsidRPr="000A6853">
              <w:rPr>
                <w:rFonts w:ascii="Calibri" w:hAnsi="Calibri"/>
                <w:sz w:val="20"/>
              </w:rPr>
              <w:t xml:space="preserve"> </w:t>
            </w:r>
            <w:proofErr w:type="spellStart"/>
            <w:r w:rsidR="00F60C0B" w:rsidRPr="000A6853">
              <w:rPr>
                <w:rFonts w:ascii="Calibri" w:hAnsi="Calibri"/>
                <w:sz w:val="20"/>
              </w:rPr>
              <w:t>Kraiger</w:t>
            </w:r>
            <w:proofErr w:type="spellEnd"/>
            <w:r w:rsidR="00F60C0B" w:rsidRPr="000A6853">
              <w:rPr>
                <w:rFonts w:ascii="Calibri" w:hAnsi="Calibri"/>
                <w:sz w:val="20"/>
              </w:rPr>
              <w:t xml:space="preserve"> 2002, </w:t>
            </w:r>
            <w:r w:rsidRPr="000A6853">
              <w:rPr>
                <w:rFonts w:ascii="Calibri" w:hAnsi="Calibri"/>
                <w:sz w:val="20"/>
              </w:rPr>
              <w:fldChar w:fldCharType="begin" w:fldLock="1"/>
            </w:r>
            <w:r w:rsidRPr="000A6853">
              <w:rPr>
                <w:rFonts w:ascii="Calibri" w:hAnsi="Calibri"/>
                <w:sz w:val="20"/>
              </w:rPr>
              <w:instrText>ADDIN CSL_CITATION {"citationItems":[{"id":"ITEM-1","itemData":{"author":[{"dropping-particle":"","family":"Kraiger","given":"Kurt","non-dropping-particle":"","parse-names":false,"suffix":""}],"id":"ITEM-1","issued":{"date-parts":[["2002"]]},"publisher":"Jossey-Bass","title":"Creating, implementing, and managing effective training and development: State-of-the-art lessons for practice","type":"book"},"uris":["http://www.mendeley.com/documents/?uuid=fb0a36e8-0f48-426d-a845-6a14f6046327"]},{"id":"ITEM-2","itemData":{"ISSN":"0146-9592","abstract":"Ultrashort-laser-pulse retrieval in frequency-resolved optical gating has previously required an iterative algorithm. Here, however, we show that a computational neural network can directly and rapidly recover the intensity and phase of a pulse. (C) 1996 Optical Society of America","author":[{"dropping-particle":"","family":"Kouzes","given":"J.M.","non-dropping-particle":"","parse-names":false,"suffix":""},{"dropping-particle":"","family":"Posner","given":"","non-dropping-particle":"","parse-names":false,"suffix":""}],"container-title":"The Canadian Journal of Physician Leadership","id":"ITEM-2","issue":"1","issued":{"date-parts":[["2012"]]},"page":"1-28","title":"The leadership challenge: How to make extraordinary things happen in organizations","type":"article-journal","volume":"2"},"uris":["http://www.mendeley.com/documents/?uuid=29fe397f-4b46-4213-9857-83e3bc65fafc"]}],"mendeley":{"formattedCitation":"(34,40)","plainTextFormattedCitation":"(34,40)","previouslyFormattedCitation":"(35,43)"},"properties":{"noteIndex":0},"schema":"https://github.com/citation-style-language/schema/raw/master/csl-citation.json"}</w:instrText>
            </w:r>
            <w:r w:rsidRPr="000A6853">
              <w:rPr>
                <w:rFonts w:ascii="Calibri" w:hAnsi="Calibri"/>
                <w:sz w:val="20"/>
              </w:rPr>
              <w:fldChar w:fldCharType="separate"/>
            </w:r>
            <w:r w:rsidRPr="000A6853">
              <w:rPr>
                <w:rFonts w:ascii="Calibri" w:hAnsi="Calibri"/>
                <w:noProof/>
                <w:sz w:val="20"/>
              </w:rPr>
              <w:t>(34,</w:t>
            </w:r>
            <w:r w:rsidR="00966F0C">
              <w:rPr>
                <w:rFonts w:ascii="Calibri" w:hAnsi="Calibri"/>
                <w:noProof/>
                <w:sz w:val="20"/>
              </w:rPr>
              <w:t>38</w:t>
            </w:r>
            <w:r w:rsidRPr="000A6853">
              <w:rPr>
                <w:rFonts w:ascii="Calibri" w:hAnsi="Calibri"/>
                <w:noProof/>
                <w:sz w:val="20"/>
              </w:rPr>
              <w:t>)</w:t>
            </w:r>
            <w:r w:rsidRPr="000A6853">
              <w:rPr>
                <w:rFonts w:ascii="Calibri" w:hAnsi="Calibri"/>
                <w:sz w:val="20"/>
              </w:rPr>
              <w:fldChar w:fldCharType="end"/>
            </w:r>
          </w:p>
        </w:tc>
      </w:tr>
      <w:tr w:rsidR="006F6611" w:rsidRPr="000A6853" w14:paraId="5A145DD4" w14:textId="77777777" w:rsidTr="00AA05B4">
        <w:tc>
          <w:tcPr>
            <w:cnfStyle w:val="001000000000" w:firstRow="0" w:lastRow="0" w:firstColumn="1" w:lastColumn="0" w:oddVBand="0" w:evenVBand="0" w:oddHBand="0" w:evenHBand="0" w:firstRowFirstColumn="0" w:firstRowLastColumn="0" w:lastRowFirstColumn="0" w:lastRowLastColumn="0"/>
            <w:tcW w:w="1800" w:type="dxa"/>
            <w:vAlign w:val="center"/>
          </w:tcPr>
          <w:p w14:paraId="1D9FE911" w14:textId="77777777" w:rsidR="006F6611" w:rsidRPr="000A6853" w:rsidRDefault="006F6611" w:rsidP="00AA05B4">
            <w:pPr>
              <w:spacing w:line="480" w:lineRule="auto"/>
              <w:jc w:val="center"/>
              <w:rPr>
                <w:sz w:val="20"/>
                <w:szCs w:val="20"/>
              </w:rPr>
            </w:pPr>
            <w:r w:rsidRPr="000A6853">
              <w:rPr>
                <w:sz w:val="20"/>
                <w:szCs w:val="20"/>
              </w:rPr>
              <w:t>Training transfer intentions</w:t>
            </w:r>
          </w:p>
        </w:tc>
        <w:tc>
          <w:tcPr>
            <w:tcW w:w="2520" w:type="dxa"/>
            <w:vAlign w:val="center"/>
          </w:tcPr>
          <w:p w14:paraId="1ABCFECE"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I plan to discuss ways to apply the material that I have learned in the TWH Leadership Program with my team</w:t>
            </w:r>
          </w:p>
        </w:tc>
        <w:tc>
          <w:tcPr>
            <w:tcW w:w="1980" w:type="dxa"/>
            <w:vAlign w:val="center"/>
          </w:tcPr>
          <w:p w14:paraId="5F87DF34"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4</w:t>
            </w:r>
          </w:p>
        </w:tc>
        <w:tc>
          <w:tcPr>
            <w:tcW w:w="1710" w:type="dxa"/>
            <w:vAlign w:val="center"/>
          </w:tcPr>
          <w:p w14:paraId="7A8ABAD5"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X</w:t>
            </w:r>
          </w:p>
        </w:tc>
        <w:tc>
          <w:tcPr>
            <w:tcW w:w="1800" w:type="dxa"/>
            <w:vAlign w:val="center"/>
          </w:tcPr>
          <w:p w14:paraId="372E81A1"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X</w:t>
            </w:r>
          </w:p>
        </w:tc>
        <w:tc>
          <w:tcPr>
            <w:tcW w:w="1620" w:type="dxa"/>
            <w:vAlign w:val="center"/>
          </w:tcPr>
          <w:p w14:paraId="0E2FC7E5" w14:textId="4EEA767F"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754344">
              <w:rPr>
                <w:rFonts w:ascii="Calibri" w:hAnsi="Calibri"/>
                <w:sz w:val="20"/>
              </w:rPr>
              <w:t>Al-Eisa et al., 2009.</w:t>
            </w:r>
            <w:r w:rsidR="00754344">
              <w:rPr>
                <w:rFonts w:ascii="Calibri" w:hAnsi="Calibri"/>
                <w:sz w:val="20"/>
              </w:rPr>
              <w:t xml:space="preserve"> </w:t>
            </w:r>
            <w:r w:rsidR="00754344" w:rsidRPr="000A6853">
              <w:rPr>
                <w:rFonts w:ascii="Calibri" w:hAnsi="Calibri"/>
                <w:sz w:val="20"/>
              </w:rPr>
              <w:t>﻿</w:t>
            </w:r>
            <w:r w:rsidR="00754344" w:rsidRPr="000A6853">
              <w:rPr>
                <w:sz w:val="20"/>
                <w:szCs w:val="20"/>
              </w:rPr>
              <w:t>Machin and Fogarty 2004</w:t>
            </w:r>
            <w:r w:rsidR="00754344">
              <w:rPr>
                <w:rFonts w:ascii="Calibri" w:hAnsi="Calibri"/>
                <w:sz w:val="20"/>
              </w:rPr>
              <w:t>.</w:t>
            </w:r>
            <w:r w:rsidR="00754344" w:rsidRPr="00754344">
              <w:rPr>
                <w:rFonts w:ascii="Calibri" w:hAnsi="Calibri"/>
                <w:sz w:val="20"/>
              </w:rPr>
              <w:t xml:space="preserve"> </w:t>
            </w:r>
            <w:r w:rsidRPr="000A6853">
              <w:rPr>
                <w:rFonts w:ascii="Calibri" w:hAnsi="Calibri"/>
                <w:sz w:val="20"/>
              </w:rPr>
              <w:fldChar w:fldCharType="begin" w:fldLock="1"/>
            </w:r>
            <w:r w:rsidRPr="00754344">
              <w:rPr>
                <w:rFonts w:ascii="Calibri" w:hAnsi="Calibri"/>
                <w:sz w:val="20"/>
              </w:rPr>
              <w:instrText>ADDIN CSL_CITATION {"citationItems":[{"id":"ITEM-1","itemData":{"DOI":"10.1108/00251740910984514","ISBN":"0025174091098","ISSN":"00251747","abstract":"Purpose Recent developments in research related to training transfer have recognized transfer as a complex process rather than a product of training. Transfer intention has been viewed as the first and most crucial stage in the transfer process. Despite its importance in determining the extent to which training transfer can occur, transfer intention has not been examined sufficiently in the literature. This paper aims to address this deficiency. Design/methodology/approach For the purpose of enhancing the knowledge and understanding of transfer intention as an important facet of the transfer process, the study was conducted to examine the influences of self</w:instrText>
            </w:r>
            <w:r w:rsidRPr="000A6853">
              <w:rPr>
                <w:rFonts w:ascii="Calibri" w:hAnsi="Calibri" w:hint="eastAsia"/>
                <w:sz w:val="20"/>
                <w:lang w:val="es-ES"/>
              </w:rPr>
              <w:instrText></w:instrText>
            </w:r>
            <w:r w:rsidRPr="00754344">
              <w:rPr>
                <w:rFonts w:ascii="Calibri" w:hAnsi="Calibri"/>
                <w:sz w:val="20"/>
              </w:rPr>
              <w:instrText>efficacy as an individual</w:instrText>
            </w:r>
            <w:r w:rsidRPr="000A6853">
              <w:rPr>
                <w:rFonts w:ascii="Calibri" w:hAnsi="Calibri" w:hint="eastAsia"/>
                <w:sz w:val="20"/>
                <w:lang w:val="es-ES"/>
              </w:rPr>
              <w:instrText></w:instrText>
            </w:r>
            <w:r w:rsidRPr="00754344">
              <w:rPr>
                <w:rFonts w:ascii="Calibri" w:hAnsi="Calibri"/>
                <w:sz w:val="20"/>
              </w:rPr>
              <w:instrText>level factor and supervisor support as an organizational</w:instrText>
            </w:r>
            <w:r w:rsidRPr="000A6853">
              <w:rPr>
                <w:rFonts w:ascii="Calibri" w:hAnsi="Calibri" w:hint="eastAsia"/>
                <w:sz w:val="20"/>
                <w:lang w:val="es-ES"/>
              </w:rPr>
              <w:instrText></w:instrText>
            </w:r>
            <w:r w:rsidRPr="00754344">
              <w:rPr>
                <w:rFonts w:ascii="Calibri" w:hAnsi="Calibri"/>
                <w:sz w:val="20"/>
              </w:rPr>
              <w:instrText>level constituent on transfer intention. Owing to the paucity of research on transfer intention, the theoretical framework on the bases of which the hypotheses regarding the relationships between those two antecedents and transfer intention were constructed was partially supplemented by the Theory of Planned Behavior. The mediation role of motivation to learn in each of those relationships was also investigated, based on a series of regression analyses performed on the data collected from 287 public employees in Saudi Arabia. Findings The results showed that supervisor support was the most salient factor that affects transfer intention. Motivation to learn was found to influence transfer intention directly and to partially mediate the relationships of transfer intention with supervisor support and self</w:instrText>
            </w:r>
            <w:r w:rsidRPr="000A6853">
              <w:rPr>
                <w:rFonts w:ascii="Calibri" w:hAnsi="Calibri" w:hint="eastAsia"/>
                <w:sz w:val="20"/>
                <w:lang w:val="es-ES"/>
              </w:rPr>
              <w:instrText></w:instrText>
            </w:r>
            <w:r w:rsidRPr="00754344">
              <w:rPr>
                <w:rFonts w:ascii="Calibri" w:hAnsi="Calibri"/>
                <w:sz w:val="20"/>
              </w:rPr>
              <w:instrText>efficacy. Originality/value Further analysis showed that supervisor support fully mediates the relationship between self</w:instrText>
            </w:r>
            <w:r w:rsidRPr="000A6853">
              <w:rPr>
                <w:rFonts w:ascii="Calibri" w:hAnsi="Calibri" w:hint="eastAsia"/>
                <w:sz w:val="20"/>
                <w:lang w:val="es-ES"/>
              </w:rPr>
              <w:instrText></w:instrText>
            </w:r>
            <w:r w:rsidRPr="00754344">
              <w:rPr>
                <w:rFonts w:ascii="Calibri" w:hAnsi="Calibri"/>
                <w:sz w:val="20"/>
              </w:rPr>
              <w:instrText>efficacy and transfer intention. © 2009, Emerald Group Publishing Limited","author":[{"dropping-particle":"","family":"Al-Eisa","given":"Abdulkarim S.","non-dropping-particle":"","parse-names":false,"suffix":""},{"dropping-particle":"","family":"Alhemoud","given":"Abdulla M.","non-dropping-particle":"","parse-names":false,"suffix":""},{"dropping-particle":"","family":"Furayyan","given":"Musaed A.","non-dropping-particle":"","parse-names":false,"suffix":""}],"container-title":"Management Decision","id":"ITEM-1","issue":"8","issued":{"date-parts":[["2009"]]},"page":"1221-1244","title":"An empirical examination of the effects of self-efficacy, supervisor support and motivation to learn on transfer intention","type":"article-journal","volume":"47"},"uris":["http://www.mendeley.com/documents/?uuid=11f38c4c-a1f9-4614-b6cf-dd6538d66a84"]},{"id":"ITEM-2","itemData":{"author":[{"dropping-particle":"","family":"Machin","given":"Anthony. M","non-dropping-particle":"","parse-names":false,"suffix":""},{"dropping-particle":"","family":"Fogarty","given":"Gerard. J","non-dropping-particle":"","parse-names":false,"suffix":""}],"id":"ITEM-2","issued":{"date-parts":[["2004"]]},"page":"1-37","title":"Assessing the antecedents of transfer intentions in a training context","type":"article-journal"},"uris":["http://www.mendeley.com/documents/?uuid=2d6af731-41f7-4365-a99f-a2f30897f639"]}],"mendeley":{"formattedCitation":"(41,42)","manualFormatting":" ","plainTextFormattedCitation":"(41,42)","previouslyFormattedCitation":"(44,45)"},"properties":{"noteIndex":0},"schema":"https://github.com/citation-style-language/schema/raw/master/csl-citation.json"}</w:instrText>
            </w:r>
            <w:r w:rsidRPr="000A6853">
              <w:rPr>
                <w:rFonts w:ascii="Calibri" w:hAnsi="Calibri"/>
                <w:sz w:val="20"/>
              </w:rPr>
              <w:fldChar w:fldCharType="separate"/>
            </w:r>
            <w:r w:rsidRPr="00754344">
              <w:rPr>
                <w:rFonts w:ascii="Calibri" w:hAnsi="Calibri"/>
                <w:noProof/>
                <w:sz w:val="20"/>
              </w:rPr>
              <w:t xml:space="preserve"> </w:t>
            </w:r>
            <w:r w:rsidRPr="000A6853">
              <w:rPr>
                <w:rFonts w:ascii="Calibri" w:hAnsi="Calibri"/>
                <w:sz w:val="20"/>
              </w:rPr>
              <w:fldChar w:fldCharType="end"/>
            </w:r>
            <w:r w:rsidRPr="000A6853">
              <w:rPr>
                <w:rFonts w:ascii="Calibri" w:hAnsi="Calibri"/>
                <w:sz w:val="20"/>
              </w:rPr>
              <w:fldChar w:fldCharType="begin" w:fldLock="1"/>
            </w:r>
            <w:r w:rsidRPr="000A6853">
              <w:rPr>
                <w:rFonts w:ascii="Calibri" w:hAnsi="Calibri"/>
                <w:sz w:val="20"/>
              </w:rPr>
              <w:instrText>ADDIN CSL_CITATION {"citationItems":[{"id":"ITEM-1","itemData":{"DOI":"10.1108/00251740910984514","ISBN":"0025174091098","ISSN":"00251747","abstract":"Purpose Recent developments in research related to training transfer have recognized transfer as a complex process rather than a product of training. Transfer intention has been viewed as the first and most crucial stage in the transfer process. Despite its importance in determining the extent to which training transfer can occur, transfer intention has not been examined sufficiently in the literature. This paper aims to address this deficiency. Design/methodology/approach For the purpose of enhancing the knowledge and understanding of transfer intention as an important facet of the transfer process, the study was conducted to examine the influences of self</w:instrText>
            </w:r>
            <w:r w:rsidRPr="000A6853">
              <w:rPr>
                <w:rFonts w:ascii="Calibri" w:hAnsi="Calibri" w:hint="eastAsia"/>
                <w:sz w:val="20"/>
              </w:rPr>
              <w:instrText></w:instrText>
            </w:r>
            <w:r w:rsidRPr="000A6853">
              <w:rPr>
                <w:rFonts w:ascii="Calibri" w:hAnsi="Calibri"/>
                <w:sz w:val="20"/>
              </w:rPr>
              <w:instrText>efficacy as an individual</w:instrText>
            </w:r>
            <w:r w:rsidRPr="000A6853">
              <w:rPr>
                <w:rFonts w:ascii="Calibri" w:hAnsi="Calibri" w:hint="eastAsia"/>
                <w:sz w:val="20"/>
              </w:rPr>
              <w:instrText></w:instrText>
            </w:r>
            <w:r w:rsidRPr="000A6853">
              <w:rPr>
                <w:rFonts w:ascii="Calibri" w:hAnsi="Calibri"/>
                <w:sz w:val="20"/>
              </w:rPr>
              <w:instrText>level factor and supervisor support as an organizational</w:instrText>
            </w:r>
            <w:r w:rsidRPr="000A6853">
              <w:rPr>
                <w:rFonts w:ascii="Calibri" w:hAnsi="Calibri" w:hint="eastAsia"/>
                <w:sz w:val="20"/>
              </w:rPr>
              <w:instrText></w:instrText>
            </w:r>
            <w:r w:rsidRPr="000A6853">
              <w:rPr>
                <w:rFonts w:ascii="Calibri" w:hAnsi="Calibri"/>
                <w:sz w:val="20"/>
              </w:rPr>
              <w:instrText>level constituent on transfer intention. Owing to the paucity of research on transfer intention, the theoretical framework on the bases of which the hypotheses regarding the relationships between those two antecedents and transfer intention were constructed was partially supplemented by the Theory of Planned Behavior. The mediation role of motivation to learn in each of those relationships was also investigated, based on a series of regression analyses performed on the data collected from 287 public employees in Saudi Arabia. Findings The results showed that supervisor support was the most salient factor that affects transfer intention. Motivation to learn was found to influence transfer intention directly and to partially mediate the relationships of transfer intention with supervisor support and self</w:instrText>
            </w:r>
            <w:r w:rsidRPr="000A6853">
              <w:rPr>
                <w:rFonts w:ascii="Calibri" w:hAnsi="Calibri" w:hint="eastAsia"/>
                <w:sz w:val="20"/>
              </w:rPr>
              <w:instrText></w:instrText>
            </w:r>
            <w:r w:rsidRPr="000A6853">
              <w:rPr>
                <w:rFonts w:ascii="Calibri" w:hAnsi="Calibri"/>
                <w:sz w:val="20"/>
              </w:rPr>
              <w:instrText>efficacy. Originality/value Further analysis showed that supervisor support fully mediates the relationship between self</w:instrText>
            </w:r>
            <w:r w:rsidRPr="000A6853">
              <w:rPr>
                <w:rFonts w:ascii="Calibri" w:hAnsi="Calibri" w:hint="eastAsia"/>
                <w:sz w:val="20"/>
              </w:rPr>
              <w:instrText></w:instrText>
            </w:r>
            <w:r w:rsidRPr="000A6853">
              <w:rPr>
                <w:rFonts w:ascii="Calibri" w:hAnsi="Calibri"/>
                <w:sz w:val="20"/>
              </w:rPr>
              <w:instrText>efficacy and transfer intention. © 2009, Emerald Group Publishing Limited","author":[{"dropping-particle":"","family":"Al-Eisa","given":"Abdulkarim S.","non-dropping-particle":"","parse-names":false,"suffix":""},{"dropping-particle":"","family":"Alhemoud","given":"Abdulla M.","non-dropping-particle":"","parse-names":false,"suffix":""},{"dropping-particle":"","family":"Furayyan","given":"Musaed A.","non-dropping-particle":"","parse-names":false,"suffix":""}],"container-title":"Management Decision","id":"ITEM-1","issue":"8","issued":{"date-parts":[["2009"]]},"page":"1221-1244","title":"An empirical examination of the effects of self-efficacy, supervisor support and motivation to learn on transfer intention","type":"article-journal","volume":"47"},"uris":["http://www.mendeley.com/documents/?uuid=11f38c4c-a1f9-4614-b6cf-dd6538d66a84"]},{"id":"ITEM-2","itemData":{"author":[{"dropping-particle":"","family":"Machin","given":"Anthony. M","non-dropping-particle":"","parse-names":false,"suffix":""},{"dropping-particle":"","family":"Fogarty","given":"Gerard. J","non-dropping-particle":"","parse-names":false,"suffix":""}],"id":"ITEM-2","issued":{"date-parts":[["2004"]]},"page":"1-37","title":"Assessing the antecedents of transfer intentions in a training context","type":"article-journal"},"uris":["http://www.mendeley.com/documents/?uuid=2d6af731-41f7-4365-a99f-a2f30897f639"]}],"mendeley":{"formattedCitation":"(41,42)","plainTextFormattedCitation":"(41,42)","previouslyFormattedCitation":"(44,45)"},"properties":{"noteIndex":0},"schema":"https://github.com/citation-style-language/schema/raw/master/csl-citation.json"}</w:instrText>
            </w:r>
            <w:r w:rsidRPr="000A6853">
              <w:rPr>
                <w:rFonts w:ascii="Calibri" w:hAnsi="Calibri"/>
                <w:sz w:val="20"/>
              </w:rPr>
              <w:fldChar w:fldCharType="separate"/>
            </w:r>
            <w:r w:rsidRPr="000A6853">
              <w:rPr>
                <w:rFonts w:ascii="Calibri" w:hAnsi="Calibri"/>
                <w:noProof/>
                <w:sz w:val="20"/>
              </w:rPr>
              <w:t>(4</w:t>
            </w:r>
            <w:r w:rsidR="00966F0C">
              <w:rPr>
                <w:rFonts w:ascii="Calibri" w:hAnsi="Calibri"/>
                <w:noProof/>
                <w:sz w:val="20"/>
              </w:rPr>
              <w:t>0</w:t>
            </w:r>
            <w:r w:rsidRPr="000A6853">
              <w:rPr>
                <w:rFonts w:ascii="Calibri" w:hAnsi="Calibri"/>
                <w:noProof/>
                <w:sz w:val="20"/>
              </w:rPr>
              <w:t>,4</w:t>
            </w:r>
            <w:r w:rsidR="00966F0C">
              <w:rPr>
                <w:rFonts w:ascii="Calibri" w:hAnsi="Calibri"/>
                <w:noProof/>
                <w:sz w:val="20"/>
              </w:rPr>
              <w:t>1</w:t>
            </w:r>
            <w:r w:rsidRPr="000A6853">
              <w:rPr>
                <w:rFonts w:ascii="Calibri" w:hAnsi="Calibri"/>
                <w:noProof/>
                <w:sz w:val="20"/>
              </w:rPr>
              <w:t>)</w:t>
            </w:r>
            <w:r w:rsidRPr="000A6853">
              <w:rPr>
                <w:rFonts w:ascii="Calibri" w:hAnsi="Calibri"/>
                <w:sz w:val="20"/>
              </w:rPr>
              <w:fldChar w:fldCharType="end"/>
            </w:r>
          </w:p>
        </w:tc>
      </w:tr>
      <w:tr w:rsidR="006F6611" w:rsidRPr="000A6853" w14:paraId="254325E7" w14:textId="77777777" w:rsidTr="00AA0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5A606C59" w14:textId="77777777" w:rsidR="006F6611" w:rsidRPr="000A6853" w:rsidRDefault="006F6611" w:rsidP="00AA05B4">
            <w:pPr>
              <w:spacing w:line="480" w:lineRule="auto"/>
              <w:jc w:val="center"/>
              <w:rPr>
                <w:sz w:val="20"/>
                <w:szCs w:val="20"/>
              </w:rPr>
            </w:pPr>
            <w:r w:rsidRPr="000A6853">
              <w:rPr>
                <w:sz w:val="20"/>
                <w:szCs w:val="20"/>
              </w:rPr>
              <w:t>Training transfer facilitators</w:t>
            </w:r>
          </w:p>
        </w:tc>
        <w:tc>
          <w:tcPr>
            <w:tcW w:w="2520" w:type="dxa"/>
            <w:vAlign w:val="center"/>
          </w:tcPr>
          <w:p w14:paraId="40298679"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 xml:space="preserve">What qualities does your business have that helped </w:t>
            </w:r>
            <w:r w:rsidRPr="000A6853">
              <w:rPr>
                <w:sz w:val="20"/>
                <w:szCs w:val="20"/>
              </w:rPr>
              <w:lastRenderedPageBreak/>
              <w:t>you accomplish the goal for your department?</w:t>
            </w:r>
          </w:p>
        </w:tc>
        <w:tc>
          <w:tcPr>
            <w:tcW w:w="1980" w:type="dxa"/>
            <w:vAlign w:val="center"/>
          </w:tcPr>
          <w:p w14:paraId="14189844"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lastRenderedPageBreak/>
              <w:t>20</w:t>
            </w:r>
          </w:p>
        </w:tc>
        <w:tc>
          <w:tcPr>
            <w:tcW w:w="1710" w:type="dxa"/>
            <w:vAlign w:val="center"/>
          </w:tcPr>
          <w:p w14:paraId="0E96270C"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800" w:type="dxa"/>
            <w:vAlign w:val="center"/>
          </w:tcPr>
          <w:p w14:paraId="3164AFA2"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620" w:type="dxa"/>
            <w:vAlign w:val="center"/>
          </w:tcPr>
          <w:p w14:paraId="7EB29D22" w14:textId="350AC4CA" w:rsidR="006F6611" w:rsidRPr="000A6853" w:rsidRDefault="00754344"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754344">
              <w:rPr>
                <w:rFonts w:ascii="Calibri" w:hAnsi="Calibri"/>
                <w:sz w:val="20"/>
              </w:rPr>
              <w:t>Schwatka</w:t>
            </w:r>
            <w:proofErr w:type="spellEnd"/>
            <w:r w:rsidRPr="00754344">
              <w:rPr>
                <w:rFonts w:ascii="Calibri" w:hAnsi="Calibri"/>
                <w:sz w:val="20"/>
              </w:rPr>
              <w:t xml:space="preserve"> et al., 2021</w:t>
            </w:r>
            <w:r>
              <w:rPr>
                <w:rFonts w:ascii="Calibri" w:hAnsi="Calibri"/>
                <w:sz w:val="20"/>
              </w:rPr>
              <w:t xml:space="preserve">. </w:t>
            </w:r>
            <w:r w:rsidR="006F6611" w:rsidRPr="000A6853">
              <w:rPr>
                <w:sz w:val="20"/>
                <w:szCs w:val="20"/>
              </w:rPr>
              <w:fldChar w:fldCharType="begin" w:fldLock="1"/>
            </w:r>
            <w:r w:rsidR="006F6611" w:rsidRPr="000A6853">
              <w:rPr>
                <w:sz w:val="20"/>
                <w:szCs w:val="20"/>
              </w:rPr>
              <w:instrText>ADDIN CSL_CITATION {"citationItems":[{"id":"ITEM-1","itemData":{"author":[{"dropping-particle":"V","family":"Schwatka","given":"Natalie","non-dropping-particle":"","parse-names":false,"suffix":""},{"dropping-particle":"","family":"Brown","given":"Carol E","non-dropping-particle":"","parse-names":false,"suffix":""},{"dropping-particle":"","family":"Tenney","given":"Liliana","non-dropping-particle":"","parse-names":false,"suffix":""},{"dropping-particle":"","family":"Scott","given":"Joshua G","non-dropping-particle":"","parse-names":false,"suffix":""},{"dropping-particle":"","family":"Shore","given":"Erin","non-dropping-particle":"","parse-names":false,"suffix":""},{"dropping-particle":"","family":"Dally","given":"Miranda","non-dropping-particle":"","parse-names":false,"suffix":""},{"dropping-particle":"","family":"Newman","given":"Lee S","non-dropping-particle":"","parse-names":false,"suffix":""},{"dropping-particle":"V","family":"Schwatka","given":"Natalie","non-dropping-particle":"","parse-names":false,"suffix":""}],"container-title":"Occupational Health Science","id":"ITEM-1","issue":"1","issued":{"date-parts":[["2021"]]},"page":"163-188","title":"Evaluation of a Total Worker Health Leadership Development Program for Small Business","type":"article-journal","volume":"5"},"uris":["http://www.mendeley.com/documents/?uuid=67cf4598-1d34-44b9-b6f1-f9607605d303"]}],"mendeley":{"formattedCitation":"(43)","plainTextFormattedCitation":"(43)","previouslyFormattedCitation":"(46)"},"properties":{"noteIndex":0},"schema":"https://github.com/citation-style-language/schema/raw/master/csl-citation.json"}</w:instrText>
            </w:r>
            <w:r w:rsidR="006F6611" w:rsidRPr="000A6853">
              <w:rPr>
                <w:sz w:val="20"/>
                <w:szCs w:val="20"/>
              </w:rPr>
              <w:fldChar w:fldCharType="separate"/>
            </w:r>
            <w:r w:rsidR="006F6611" w:rsidRPr="000A6853">
              <w:rPr>
                <w:noProof/>
                <w:sz w:val="20"/>
                <w:szCs w:val="20"/>
              </w:rPr>
              <w:t>(43)</w:t>
            </w:r>
            <w:r w:rsidR="006F6611" w:rsidRPr="000A6853">
              <w:rPr>
                <w:sz w:val="20"/>
                <w:szCs w:val="20"/>
              </w:rPr>
              <w:fldChar w:fldCharType="end"/>
            </w:r>
          </w:p>
        </w:tc>
      </w:tr>
      <w:tr w:rsidR="006F6611" w:rsidRPr="000A6853" w14:paraId="26E2E533" w14:textId="77777777" w:rsidTr="00AA05B4">
        <w:tc>
          <w:tcPr>
            <w:cnfStyle w:val="001000000000" w:firstRow="0" w:lastRow="0" w:firstColumn="1" w:lastColumn="0" w:oddVBand="0" w:evenVBand="0" w:oddHBand="0" w:evenHBand="0" w:firstRowFirstColumn="0" w:firstRowLastColumn="0" w:lastRowFirstColumn="0" w:lastRowLastColumn="0"/>
            <w:tcW w:w="1800" w:type="dxa"/>
            <w:vAlign w:val="center"/>
          </w:tcPr>
          <w:p w14:paraId="1C11CED6" w14:textId="77777777" w:rsidR="006F6611" w:rsidRPr="000A6853" w:rsidRDefault="006F6611" w:rsidP="00AA05B4">
            <w:pPr>
              <w:spacing w:line="480" w:lineRule="auto"/>
              <w:jc w:val="center"/>
              <w:rPr>
                <w:sz w:val="20"/>
                <w:szCs w:val="20"/>
              </w:rPr>
            </w:pPr>
            <w:r w:rsidRPr="000A6853">
              <w:rPr>
                <w:sz w:val="20"/>
                <w:szCs w:val="20"/>
              </w:rPr>
              <w:t>Training transfer barriers</w:t>
            </w:r>
          </w:p>
        </w:tc>
        <w:tc>
          <w:tcPr>
            <w:tcW w:w="2520" w:type="dxa"/>
            <w:vAlign w:val="center"/>
          </w:tcPr>
          <w:p w14:paraId="723898E4"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What are some potential barriers that may have prevented you from accomplishing the goal for your department?</w:t>
            </w:r>
          </w:p>
        </w:tc>
        <w:tc>
          <w:tcPr>
            <w:tcW w:w="1980" w:type="dxa"/>
            <w:vAlign w:val="center"/>
          </w:tcPr>
          <w:p w14:paraId="004E6907"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19</w:t>
            </w:r>
          </w:p>
        </w:tc>
        <w:tc>
          <w:tcPr>
            <w:tcW w:w="1710" w:type="dxa"/>
            <w:vAlign w:val="center"/>
          </w:tcPr>
          <w:p w14:paraId="5B1FF14E"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X</w:t>
            </w:r>
          </w:p>
        </w:tc>
        <w:tc>
          <w:tcPr>
            <w:tcW w:w="1800" w:type="dxa"/>
            <w:vAlign w:val="center"/>
          </w:tcPr>
          <w:p w14:paraId="73792D47"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X</w:t>
            </w:r>
          </w:p>
        </w:tc>
        <w:tc>
          <w:tcPr>
            <w:tcW w:w="1620" w:type="dxa"/>
            <w:vAlign w:val="center"/>
          </w:tcPr>
          <w:p w14:paraId="0ACAF342" w14:textId="50E36691"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A6853">
              <w:rPr>
                <w:sz w:val="20"/>
                <w:szCs w:val="20"/>
              </w:rPr>
              <w:t>Schwatka</w:t>
            </w:r>
            <w:proofErr w:type="spellEnd"/>
            <w:r w:rsidRPr="000A6853">
              <w:rPr>
                <w:sz w:val="20"/>
                <w:szCs w:val="20"/>
              </w:rPr>
              <w:t xml:space="preserve"> et al., 2020. </w:t>
            </w:r>
            <w:r w:rsidRPr="000A6853">
              <w:rPr>
                <w:sz w:val="20"/>
                <w:szCs w:val="20"/>
              </w:rPr>
              <w:fldChar w:fldCharType="begin" w:fldLock="1"/>
            </w:r>
            <w:r w:rsidRPr="000A6853">
              <w:rPr>
                <w:sz w:val="20"/>
                <w:szCs w:val="20"/>
              </w:rPr>
              <w:instrText>ADDIN CSL_CITATION {"citationItems":[{"id":"ITEM-1","itemData":{"DOI":"10.1097/JOM.0000000000001839","ISBN":"0000000000","ISSN":"15365948","PMID":"32080015","abstract":"Objective:This study evaluates the motivational processes between employee occupational safety and health climates and behaviors using the Theory of Self-Determination in a sample of diverse small businesses.Methods:We used cross-sectional data to assess whether employee safety/health intrinsic, identified, and external motives mediate the relationship between safety/health climate and behavior.Results:All three types of motivation mediated the relationship between safety and health climates and behaviors.Conclusion:Small businesses seeking to engage employees in Total Worker Health efforts should build strong safety and health climates because of their influence on employees' motivation to participate in health promoting and health protective programs.","author":[{"dropping-particle":"V.","family":"Schwatka","given":"Natalie","non-dropping-particle":"","parse-names":false,"suffix":""},{"dropping-particle":"","family":"Sinclair","given":"Robert R.","non-dropping-particle":"","parse-names":false,"suffix":""},{"dropping-particle":"","family":"Fan","given":"Wenyi","non-dropping-particle":"","parse-names":false,"suffix":""},{"dropping-particle":"","family":"Dally","given":"Miranda","non-dropping-particle":"","parse-names":false,"suffix":""},{"dropping-particle":"","family":"Shore","given":"Erin","non-dropping-particle":"","parse-names":false,"suffix":""},{"dropping-particle":"","family":"Brown","given":"Carol E.","non-dropping-particle":"","parse-names":false,"suffix":""},{"dropping-particle":"","family":"Tenney","given":"Liliana","non-dropping-particle":"","parse-names":false,"suffix":""},{"dropping-particle":"","family":"Newman","given":"Lee S.","non-dropping-particle":"","parse-names":false,"suffix":""}],"container-title":"Journal of Occupational and Environmental Medicine","id":"ITEM-1","issue":"5","issued":{"date-parts":[["2020"]]},"page":"350-358","title":"How does Organizational Climate Motivate Employee Safe and Healthy Behavior in Small Business?: A Self-Determination Theory Perspective","type":"article-journal","volume":"62"},"uris":["http://www.mendeley.com/documents/?uuid=ff930199-cc0c-4813-aa92-e10d9a1d9556"]}],"mendeley":{"formattedCitation":"(44)","plainTextFormattedCitation":"(44)","previouslyFormattedCitation":"(47)"},"properties":{"noteIndex":0},"schema":"https://github.com/citation-style-language/schema/raw/master/csl-citation.json"}</w:instrText>
            </w:r>
            <w:r w:rsidRPr="000A6853">
              <w:rPr>
                <w:sz w:val="20"/>
                <w:szCs w:val="20"/>
              </w:rPr>
              <w:fldChar w:fldCharType="separate"/>
            </w:r>
            <w:r w:rsidRPr="000A6853">
              <w:rPr>
                <w:noProof/>
                <w:sz w:val="20"/>
                <w:szCs w:val="20"/>
              </w:rPr>
              <w:t>(4</w:t>
            </w:r>
            <w:r w:rsidR="00966F0C">
              <w:rPr>
                <w:noProof/>
                <w:sz w:val="20"/>
                <w:szCs w:val="20"/>
              </w:rPr>
              <w:t>2</w:t>
            </w:r>
            <w:r w:rsidRPr="000A6853">
              <w:rPr>
                <w:noProof/>
                <w:sz w:val="20"/>
                <w:szCs w:val="20"/>
              </w:rPr>
              <w:t>)</w:t>
            </w:r>
            <w:r w:rsidRPr="000A6853">
              <w:rPr>
                <w:sz w:val="20"/>
                <w:szCs w:val="20"/>
              </w:rPr>
              <w:fldChar w:fldCharType="end"/>
            </w:r>
          </w:p>
        </w:tc>
      </w:tr>
      <w:tr w:rsidR="006F6611" w:rsidRPr="000A6853" w14:paraId="3EB50400" w14:textId="77777777" w:rsidTr="00AA0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697F8E2C" w14:textId="77777777" w:rsidR="006F6611" w:rsidRPr="000A6853" w:rsidRDefault="006F6611" w:rsidP="00AA05B4">
            <w:pPr>
              <w:spacing w:line="480" w:lineRule="auto"/>
              <w:jc w:val="center"/>
              <w:rPr>
                <w:sz w:val="20"/>
              </w:rPr>
            </w:pPr>
            <w:r w:rsidRPr="000A6853">
              <w:rPr>
                <w:sz w:val="20"/>
                <w:szCs w:val="20"/>
              </w:rPr>
              <w:t>Goal setting follow-up</w:t>
            </w:r>
          </w:p>
        </w:tc>
        <w:tc>
          <w:tcPr>
            <w:tcW w:w="2520" w:type="dxa"/>
            <w:vAlign w:val="center"/>
          </w:tcPr>
          <w:p w14:paraId="5D7E141C"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Did you meet your personal/department goal set during the leadership training?</w:t>
            </w:r>
          </w:p>
        </w:tc>
        <w:tc>
          <w:tcPr>
            <w:tcW w:w="1980" w:type="dxa"/>
            <w:vAlign w:val="center"/>
          </w:tcPr>
          <w:p w14:paraId="48D6661D"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2</w:t>
            </w:r>
          </w:p>
        </w:tc>
        <w:tc>
          <w:tcPr>
            <w:tcW w:w="1710" w:type="dxa"/>
            <w:vAlign w:val="center"/>
          </w:tcPr>
          <w:p w14:paraId="64184E9C"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800" w:type="dxa"/>
            <w:vAlign w:val="center"/>
          </w:tcPr>
          <w:p w14:paraId="138C9BFA" w14:textId="77777777"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A6853">
              <w:rPr>
                <w:sz w:val="20"/>
                <w:szCs w:val="20"/>
              </w:rPr>
              <w:t>X</w:t>
            </w:r>
          </w:p>
        </w:tc>
        <w:tc>
          <w:tcPr>
            <w:tcW w:w="1620" w:type="dxa"/>
            <w:vAlign w:val="center"/>
          </w:tcPr>
          <w:p w14:paraId="14488F7A" w14:textId="29D24DDC" w:rsidR="006F6611" w:rsidRPr="000A6853" w:rsidRDefault="006F6611" w:rsidP="00AA05B4">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A6853">
              <w:rPr>
                <w:sz w:val="20"/>
                <w:szCs w:val="20"/>
              </w:rPr>
              <w:t>Schwatka</w:t>
            </w:r>
            <w:proofErr w:type="spellEnd"/>
            <w:r w:rsidRPr="000A6853">
              <w:rPr>
                <w:sz w:val="20"/>
                <w:szCs w:val="20"/>
              </w:rPr>
              <w:t xml:space="preserve"> et al., 2020. </w:t>
            </w:r>
            <w:r w:rsidRPr="000A6853">
              <w:rPr>
                <w:sz w:val="20"/>
                <w:szCs w:val="20"/>
              </w:rPr>
              <w:fldChar w:fldCharType="begin" w:fldLock="1"/>
            </w:r>
            <w:r w:rsidRPr="000A6853">
              <w:rPr>
                <w:sz w:val="20"/>
                <w:szCs w:val="20"/>
              </w:rPr>
              <w:instrText>ADDIN CSL_CITATION {"citationItems":[{"id":"ITEM-1","itemData":{"DOI":"10.1097/JOM.0000000000001839","ISBN":"0000000000","ISSN":"15365948","PMID":"32080015","abstract":"Objective:This study evaluates the motivational processes between employee occupational safety and health climates and behaviors using the Theory of Self-Determination in a sample of diverse small businesses.Methods:We used cross-sectional data to assess whether employee safety/health intrinsic, identified, and external motives mediate the relationship between safety/health climate and behavior.Results:All three types of motivation mediated the relationship between safety and health climates and behaviors.Conclusion:Small businesses seeking to engage employees in Total Worker Health efforts should build strong safety and health climates because of their influence on employees' motivation to participate in health promoting and health protective programs.","author":[{"dropping-particle":"V.","family":"Schwatka","given":"Natalie","non-dropping-particle":"","parse-names":false,"suffix":""},{"dropping-particle":"","family":"Sinclair","given":"Robert R.","non-dropping-particle":"","parse-names":false,"suffix":""},{"dropping-particle":"","family":"Fan","given":"Wenyi","non-dropping-particle":"","parse-names":false,"suffix":""},{"dropping-particle":"","family":"Dally","given":"Miranda","non-dropping-particle":"","parse-names":false,"suffix":""},{"dropping-particle":"","family":"Shore","given":"Erin","non-dropping-particle":"","parse-names":false,"suffix":""},{"dropping-particle":"","family":"Brown","given":"Carol E.","non-dropping-particle":"","parse-names":false,"suffix":""},{"dropping-particle":"","family":"Tenney","given":"Liliana","non-dropping-particle":"","parse-names":false,"suffix":""},{"dropping-particle":"","family":"Newman","given":"Lee S.","non-dropping-particle":"","parse-names":false,"suffix":""}],"container-title":"Journal of Occupational and Environmental Medicine","id":"ITEM-1","issue":"5","issued":{"date-parts":[["2020"]]},"page":"350-358","title":"How does Organizational Climate Motivate Employee Safe and Healthy Behavior in Small Business?: A Self-Determination Theory Perspective","type":"article-journal","volume":"62"},"uris":["http://www.mendeley.com/documents/?uuid=ff930199-cc0c-4813-aa92-e10d9a1d9556"]}],"mendeley":{"formattedCitation":"(44)","plainTextFormattedCitation":"(44)","previouslyFormattedCitation":"(47)"},"properties":{"noteIndex":0},"schema":"https://github.com/citation-style-language/schema/raw/master/csl-citation.json"}</w:instrText>
            </w:r>
            <w:r w:rsidRPr="000A6853">
              <w:rPr>
                <w:sz w:val="20"/>
                <w:szCs w:val="20"/>
              </w:rPr>
              <w:fldChar w:fldCharType="separate"/>
            </w:r>
            <w:r w:rsidRPr="000A6853">
              <w:rPr>
                <w:noProof/>
                <w:sz w:val="20"/>
                <w:szCs w:val="20"/>
              </w:rPr>
              <w:t>(4</w:t>
            </w:r>
            <w:r w:rsidR="00966F0C">
              <w:rPr>
                <w:noProof/>
                <w:sz w:val="20"/>
                <w:szCs w:val="20"/>
              </w:rPr>
              <w:t>2</w:t>
            </w:r>
            <w:r w:rsidRPr="000A6853">
              <w:rPr>
                <w:noProof/>
                <w:sz w:val="20"/>
                <w:szCs w:val="20"/>
              </w:rPr>
              <w:t>)</w:t>
            </w:r>
            <w:r w:rsidRPr="000A6853">
              <w:rPr>
                <w:sz w:val="20"/>
                <w:szCs w:val="20"/>
              </w:rPr>
              <w:fldChar w:fldCharType="end"/>
            </w:r>
          </w:p>
        </w:tc>
      </w:tr>
      <w:tr w:rsidR="006F6611" w:rsidRPr="000A6853" w14:paraId="3D59B54F" w14:textId="77777777" w:rsidTr="00AA05B4">
        <w:tc>
          <w:tcPr>
            <w:cnfStyle w:val="001000000000" w:firstRow="0" w:lastRow="0" w:firstColumn="1" w:lastColumn="0" w:oddVBand="0" w:evenVBand="0" w:oddHBand="0" w:evenHBand="0" w:firstRowFirstColumn="0" w:firstRowLastColumn="0" w:lastRowFirstColumn="0" w:lastRowLastColumn="0"/>
            <w:tcW w:w="1800" w:type="dxa"/>
            <w:vAlign w:val="center"/>
          </w:tcPr>
          <w:p w14:paraId="4167552F" w14:textId="77777777" w:rsidR="006F6611" w:rsidRPr="000A6853" w:rsidRDefault="006F6611" w:rsidP="00AA05B4">
            <w:pPr>
              <w:spacing w:line="480" w:lineRule="auto"/>
              <w:jc w:val="center"/>
              <w:rPr>
                <w:sz w:val="20"/>
              </w:rPr>
            </w:pPr>
            <w:r w:rsidRPr="000A6853">
              <w:rPr>
                <w:sz w:val="20"/>
                <w:szCs w:val="20"/>
              </w:rPr>
              <w:t>Shared leadership</w:t>
            </w:r>
          </w:p>
        </w:tc>
        <w:tc>
          <w:tcPr>
            <w:tcW w:w="2520" w:type="dxa"/>
            <w:vAlign w:val="center"/>
          </w:tcPr>
          <w:p w14:paraId="343BB61B"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My team member and I worked together to address the Total Worker Health leadership goals we set during the in-person training</w:t>
            </w:r>
          </w:p>
        </w:tc>
        <w:tc>
          <w:tcPr>
            <w:tcW w:w="1980" w:type="dxa"/>
            <w:vAlign w:val="center"/>
          </w:tcPr>
          <w:p w14:paraId="71C5EEF7"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3</w:t>
            </w:r>
          </w:p>
        </w:tc>
        <w:tc>
          <w:tcPr>
            <w:tcW w:w="1710" w:type="dxa"/>
            <w:vAlign w:val="center"/>
          </w:tcPr>
          <w:p w14:paraId="516D6CAB"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800" w:type="dxa"/>
            <w:vAlign w:val="center"/>
          </w:tcPr>
          <w:p w14:paraId="6DEECE89" w14:textId="77777777"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A6853">
              <w:rPr>
                <w:sz w:val="20"/>
                <w:szCs w:val="20"/>
              </w:rPr>
              <w:t>X</w:t>
            </w:r>
          </w:p>
        </w:tc>
        <w:tc>
          <w:tcPr>
            <w:tcW w:w="1620" w:type="dxa"/>
            <w:vAlign w:val="center"/>
          </w:tcPr>
          <w:p w14:paraId="7D76459E" w14:textId="199645DF" w:rsidR="006F6611" w:rsidRPr="000A6853" w:rsidRDefault="006F6611" w:rsidP="00AA05B4">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A6853">
              <w:rPr>
                <w:sz w:val="20"/>
                <w:szCs w:val="20"/>
              </w:rPr>
              <w:t>Schwatka</w:t>
            </w:r>
            <w:proofErr w:type="spellEnd"/>
            <w:r w:rsidRPr="000A6853">
              <w:rPr>
                <w:sz w:val="20"/>
                <w:szCs w:val="20"/>
              </w:rPr>
              <w:t xml:space="preserve"> et al., 2020. </w:t>
            </w:r>
            <w:r w:rsidRPr="000A6853">
              <w:rPr>
                <w:sz w:val="20"/>
                <w:szCs w:val="20"/>
              </w:rPr>
              <w:fldChar w:fldCharType="begin" w:fldLock="1"/>
            </w:r>
            <w:r w:rsidRPr="000A6853">
              <w:rPr>
                <w:sz w:val="20"/>
                <w:szCs w:val="20"/>
              </w:rPr>
              <w:instrText>ADDIN CSL_CITATION {"citationItems":[{"id":"ITEM-1","itemData":{"DOI":"10.1097/JOM.0000000000001839","ISBN":"0000000000","ISSN":"15365948","PMID":"32080015","abstract":"Objective:This study evaluates the motivational processes between employee occupational safety and health climates and behaviors using the Theory of Self-Determination in a sample of diverse small businesses.Methods:We used cross-sectional data to assess whether employee safety/health intrinsic, identified, and external motives mediate the relationship between safety/health climate and behavior.Results:All three types of motivation mediated the relationship between safety and health climates and behaviors.Conclusion:Small businesses seeking to engage employees in Total Worker Health efforts should build strong safety and health climates because of their influence on employees' motivation to participate in health promoting and health protective programs.","author":[{"dropping-particle":"V.","family":"Schwatka","given":"Natalie","non-dropping-particle":"","parse-names":false,"suffix":""},{"dropping-particle":"","family":"Sinclair","given":"Robert R.","non-dropping-particle":"","parse-names":false,"suffix":""},{"dropping-particle":"","family":"Fan","given":"Wenyi","non-dropping-particle":"","parse-names":false,"suffix":""},{"dropping-particle":"","family":"Dally","given":"Miranda","non-dropping-particle":"","parse-names":false,"suffix":""},{"dropping-particle":"","family":"Shore","given":"Erin","non-dropping-particle":"","parse-names":false,"suffix":""},{"dropping-particle":"","family":"Brown","given":"Carol E.","non-dropping-particle":"","parse-names":false,"suffix":""},{"dropping-particle":"","family":"Tenney","given":"Liliana","non-dropping-particle":"","parse-names":false,"suffix":""},{"dropping-particle":"","family":"Newman","given":"Lee S.","non-dropping-particle":"","parse-names":false,"suffix":""}],"container-title":"Journal of Occupational and Environmental Medicine","id":"ITEM-1","issue":"5","issued":{"date-parts":[["2020"]]},"page":"350-358","title":"How does Organizational Climate Motivate Employee Safe and Healthy Behavior in Small Business?: A Self-Determination Theory Perspective","type":"article-journal","volume":"62"},"uris":["http://www.mendeley.com/documents/?uuid=ff930199-cc0c-4813-aa92-e10d9a1d9556"]}],"mendeley":{"formattedCitation":"(44)","plainTextFormattedCitation":"(44)","previouslyFormattedCitation":"(47)"},"properties":{"noteIndex":0},"schema":"https://github.com/citation-style-language/schema/raw/master/csl-citation.json"}</w:instrText>
            </w:r>
            <w:r w:rsidRPr="000A6853">
              <w:rPr>
                <w:sz w:val="20"/>
                <w:szCs w:val="20"/>
              </w:rPr>
              <w:fldChar w:fldCharType="separate"/>
            </w:r>
            <w:r w:rsidRPr="000A6853">
              <w:rPr>
                <w:noProof/>
                <w:sz w:val="20"/>
                <w:szCs w:val="20"/>
              </w:rPr>
              <w:t>(4</w:t>
            </w:r>
            <w:r w:rsidR="00966F0C">
              <w:rPr>
                <w:noProof/>
                <w:sz w:val="20"/>
                <w:szCs w:val="20"/>
              </w:rPr>
              <w:t>2</w:t>
            </w:r>
            <w:r w:rsidRPr="000A6853">
              <w:rPr>
                <w:noProof/>
                <w:sz w:val="20"/>
                <w:szCs w:val="20"/>
              </w:rPr>
              <w:t>)</w:t>
            </w:r>
            <w:r w:rsidRPr="000A6853">
              <w:rPr>
                <w:sz w:val="20"/>
                <w:szCs w:val="20"/>
              </w:rPr>
              <w:fldChar w:fldCharType="end"/>
            </w:r>
          </w:p>
        </w:tc>
      </w:tr>
    </w:tbl>
    <w:p w14:paraId="3A64BBF2" w14:textId="77777777" w:rsidR="006C5960" w:rsidRDefault="006C5960"/>
    <w:sectPr w:rsidR="006C5960" w:rsidSect="00F47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11"/>
    <w:rsid w:val="00017CAC"/>
    <w:rsid w:val="00027FF1"/>
    <w:rsid w:val="00044E77"/>
    <w:rsid w:val="00060C0D"/>
    <w:rsid w:val="0006228D"/>
    <w:rsid w:val="00063A67"/>
    <w:rsid w:val="00092A53"/>
    <w:rsid w:val="000C5AE9"/>
    <w:rsid w:val="000C6FC5"/>
    <w:rsid w:val="000E46AC"/>
    <w:rsid w:val="0010127B"/>
    <w:rsid w:val="00101A85"/>
    <w:rsid w:val="00103481"/>
    <w:rsid w:val="00103DFD"/>
    <w:rsid w:val="00114B6B"/>
    <w:rsid w:val="00123B28"/>
    <w:rsid w:val="00134C23"/>
    <w:rsid w:val="00145AC7"/>
    <w:rsid w:val="00186977"/>
    <w:rsid w:val="001902DA"/>
    <w:rsid w:val="00191F94"/>
    <w:rsid w:val="00197BAA"/>
    <w:rsid w:val="001A606E"/>
    <w:rsid w:val="001C59CF"/>
    <w:rsid w:val="001D3FAB"/>
    <w:rsid w:val="001E1686"/>
    <w:rsid w:val="001E1FC6"/>
    <w:rsid w:val="001F16D2"/>
    <w:rsid w:val="0020429E"/>
    <w:rsid w:val="00215EA2"/>
    <w:rsid w:val="00221EB4"/>
    <w:rsid w:val="00223FDD"/>
    <w:rsid w:val="00234DE2"/>
    <w:rsid w:val="00237BAB"/>
    <w:rsid w:val="00267164"/>
    <w:rsid w:val="0027153D"/>
    <w:rsid w:val="00282AF3"/>
    <w:rsid w:val="00282BE8"/>
    <w:rsid w:val="002861C1"/>
    <w:rsid w:val="0029067E"/>
    <w:rsid w:val="002B0B96"/>
    <w:rsid w:val="002B5B2F"/>
    <w:rsid w:val="002E07E6"/>
    <w:rsid w:val="002E694D"/>
    <w:rsid w:val="002E6D52"/>
    <w:rsid w:val="00301619"/>
    <w:rsid w:val="003027D7"/>
    <w:rsid w:val="0034233F"/>
    <w:rsid w:val="00342F41"/>
    <w:rsid w:val="003445F6"/>
    <w:rsid w:val="003455D8"/>
    <w:rsid w:val="00352D49"/>
    <w:rsid w:val="00355EBC"/>
    <w:rsid w:val="003742CE"/>
    <w:rsid w:val="00376727"/>
    <w:rsid w:val="0038292D"/>
    <w:rsid w:val="00383DA2"/>
    <w:rsid w:val="00384AE7"/>
    <w:rsid w:val="00385660"/>
    <w:rsid w:val="0039309D"/>
    <w:rsid w:val="00393C0F"/>
    <w:rsid w:val="003A1DE6"/>
    <w:rsid w:val="003A7282"/>
    <w:rsid w:val="003C45DD"/>
    <w:rsid w:val="003D16C1"/>
    <w:rsid w:val="003D7C78"/>
    <w:rsid w:val="003E650C"/>
    <w:rsid w:val="003F128D"/>
    <w:rsid w:val="00456DA0"/>
    <w:rsid w:val="004611F1"/>
    <w:rsid w:val="0047161B"/>
    <w:rsid w:val="00474115"/>
    <w:rsid w:val="004935D1"/>
    <w:rsid w:val="00495E24"/>
    <w:rsid w:val="004B2448"/>
    <w:rsid w:val="004C0C0D"/>
    <w:rsid w:val="004C6204"/>
    <w:rsid w:val="004D16A2"/>
    <w:rsid w:val="004D18CC"/>
    <w:rsid w:val="004F5668"/>
    <w:rsid w:val="004F77C6"/>
    <w:rsid w:val="005110E1"/>
    <w:rsid w:val="00530D06"/>
    <w:rsid w:val="00530E60"/>
    <w:rsid w:val="005725BC"/>
    <w:rsid w:val="005863BA"/>
    <w:rsid w:val="00594A90"/>
    <w:rsid w:val="005A19ED"/>
    <w:rsid w:val="005A59B9"/>
    <w:rsid w:val="005A7178"/>
    <w:rsid w:val="005C49B5"/>
    <w:rsid w:val="005D4BD6"/>
    <w:rsid w:val="005D70A0"/>
    <w:rsid w:val="00601FFF"/>
    <w:rsid w:val="006068EA"/>
    <w:rsid w:val="006125CA"/>
    <w:rsid w:val="00612717"/>
    <w:rsid w:val="006548B9"/>
    <w:rsid w:val="00660D7A"/>
    <w:rsid w:val="00683232"/>
    <w:rsid w:val="00696BA6"/>
    <w:rsid w:val="006A4D79"/>
    <w:rsid w:val="006B6CBF"/>
    <w:rsid w:val="006C2ADD"/>
    <w:rsid w:val="006C5960"/>
    <w:rsid w:val="006E7334"/>
    <w:rsid w:val="006F6611"/>
    <w:rsid w:val="0070059B"/>
    <w:rsid w:val="00716162"/>
    <w:rsid w:val="00722873"/>
    <w:rsid w:val="00754344"/>
    <w:rsid w:val="00787C18"/>
    <w:rsid w:val="00797FBE"/>
    <w:rsid w:val="007A1536"/>
    <w:rsid w:val="007D71D4"/>
    <w:rsid w:val="007D7CDE"/>
    <w:rsid w:val="007E61F2"/>
    <w:rsid w:val="007F1003"/>
    <w:rsid w:val="00826DF9"/>
    <w:rsid w:val="00832F2A"/>
    <w:rsid w:val="00852604"/>
    <w:rsid w:val="00865A21"/>
    <w:rsid w:val="008855F2"/>
    <w:rsid w:val="00887CF5"/>
    <w:rsid w:val="00890B24"/>
    <w:rsid w:val="00897B79"/>
    <w:rsid w:val="008C0905"/>
    <w:rsid w:val="008C3AF8"/>
    <w:rsid w:val="008D696F"/>
    <w:rsid w:val="008D7293"/>
    <w:rsid w:val="008E2DE9"/>
    <w:rsid w:val="008F0A66"/>
    <w:rsid w:val="009025E0"/>
    <w:rsid w:val="00921F87"/>
    <w:rsid w:val="00927A4F"/>
    <w:rsid w:val="00935AA0"/>
    <w:rsid w:val="0094615E"/>
    <w:rsid w:val="00953CE0"/>
    <w:rsid w:val="0096112D"/>
    <w:rsid w:val="00966F0C"/>
    <w:rsid w:val="00967148"/>
    <w:rsid w:val="00971DE8"/>
    <w:rsid w:val="009738C8"/>
    <w:rsid w:val="00975733"/>
    <w:rsid w:val="00976662"/>
    <w:rsid w:val="009858FA"/>
    <w:rsid w:val="0099303E"/>
    <w:rsid w:val="009A5FEC"/>
    <w:rsid w:val="009A6F4F"/>
    <w:rsid w:val="009C25D9"/>
    <w:rsid w:val="009C2CCF"/>
    <w:rsid w:val="009D0C8F"/>
    <w:rsid w:val="009D6196"/>
    <w:rsid w:val="009E210D"/>
    <w:rsid w:val="009E7524"/>
    <w:rsid w:val="00A04441"/>
    <w:rsid w:val="00A1502C"/>
    <w:rsid w:val="00A20401"/>
    <w:rsid w:val="00A20724"/>
    <w:rsid w:val="00A333D0"/>
    <w:rsid w:val="00A54174"/>
    <w:rsid w:val="00A5480B"/>
    <w:rsid w:val="00A71104"/>
    <w:rsid w:val="00A75FE4"/>
    <w:rsid w:val="00A942D6"/>
    <w:rsid w:val="00AC7CC7"/>
    <w:rsid w:val="00AE22AB"/>
    <w:rsid w:val="00B265CF"/>
    <w:rsid w:val="00B363D4"/>
    <w:rsid w:val="00B42254"/>
    <w:rsid w:val="00B6203A"/>
    <w:rsid w:val="00B62B07"/>
    <w:rsid w:val="00B710DE"/>
    <w:rsid w:val="00B870DB"/>
    <w:rsid w:val="00B87E1F"/>
    <w:rsid w:val="00B95084"/>
    <w:rsid w:val="00BA3CC2"/>
    <w:rsid w:val="00BA5A1E"/>
    <w:rsid w:val="00BA73C3"/>
    <w:rsid w:val="00BB5E29"/>
    <w:rsid w:val="00BB6D06"/>
    <w:rsid w:val="00BC5451"/>
    <w:rsid w:val="00BC63AB"/>
    <w:rsid w:val="00BD5598"/>
    <w:rsid w:val="00BD773D"/>
    <w:rsid w:val="00C15E2D"/>
    <w:rsid w:val="00C20C8F"/>
    <w:rsid w:val="00C24848"/>
    <w:rsid w:val="00C625B3"/>
    <w:rsid w:val="00C66927"/>
    <w:rsid w:val="00C677A1"/>
    <w:rsid w:val="00C71D86"/>
    <w:rsid w:val="00C77520"/>
    <w:rsid w:val="00C86E88"/>
    <w:rsid w:val="00C87CC3"/>
    <w:rsid w:val="00C95B89"/>
    <w:rsid w:val="00CD1E11"/>
    <w:rsid w:val="00CF33BE"/>
    <w:rsid w:val="00D01999"/>
    <w:rsid w:val="00D03F7F"/>
    <w:rsid w:val="00D41CA0"/>
    <w:rsid w:val="00D43E2B"/>
    <w:rsid w:val="00D47F49"/>
    <w:rsid w:val="00D5001C"/>
    <w:rsid w:val="00D54852"/>
    <w:rsid w:val="00D60E14"/>
    <w:rsid w:val="00D81A06"/>
    <w:rsid w:val="00DD3A6F"/>
    <w:rsid w:val="00DD5D4A"/>
    <w:rsid w:val="00DF45D2"/>
    <w:rsid w:val="00E151AD"/>
    <w:rsid w:val="00E437A6"/>
    <w:rsid w:val="00E50787"/>
    <w:rsid w:val="00E54B51"/>
    <w:rsid w:val="00E64DEE"/>
    <w:rsid w:val="00E77F67"/>
    <w:rsid w:val="00E9792B"/>
    <w:rsid w:val="00EA0365"/>
    <w:rsid w:val="00EA24A2"/>
    <w:rsid w:val="00EA35F0"/>
    <w:rsid w:val="00EA6594"/>
    <w:rsid w:val="00EA6C2C"/>
    <w:rsid w:val="00EC060B"/>
    <w:rsid w:val="00EC2FF5"/>
    <w:rsid w:val="00ED14D4"/>
    <w:rsid w:val="00EE18B0"/>
    <w:rsid w:val="00EF172C"/>
    <w:rsid w:val="00EF6F41"/>
    <w:rsid w:val="00F063FB"/>
    <w:rsid w:val="00F116FA"/>
    <w:rsid w:val="00F151B4"/>
    <w:rsid w:val="00F25C30"/>
    <w:rsid w:val="00F25DE0"/>
    <w:rsid w:val="00F32B93"/>
    <w:rsid w:val="00F347DF"/>
    <w:rsid w:val="00F43156"/>
    <w:rsid w:val="00F43687"/>
    <w:rsid w:val="00F4775F"/>
    <w:rsid w:val="00F5294E"/>
    <w:rsid w:val="00F60C0B"/>
    <w:rsid w:val="00F60DE9"/>
    <w:rsid w:val="00F61806"/>
    <w:rsid w:val="00F73968"/>
    <w:rsid w:val="00FC2A7A"/>
    <w:rsid w:val="00FD1E91"/>
    <w:rsid w:val="00FD6815"/>
    <w:rsid w:val="00FE0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6DC8D3"/>
  <w15:chartTrackingRefBased/>
  <w15:docId w15:val="{2EF17ED3-31AC-E747-9F7C-DD73CC609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61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661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F661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F661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661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F661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F661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F661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F661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F661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611"/>
    <w:rPr>
      <w:rFonts w:eastAsiaTheme="majorEastAsia" w:cstheme="majorBidi"/>
      <w:color w:val="272727" w:themeColor="text1" w:themeTint="D8"/>
    </w:rPr>
  </w:style>
  <w:style w:type="paragraph" w:styleId="Title">
    <w:name w:val="Title"/>
    <w:basedOn w:val="Normal"/>
    <w:next w:val="Normal"/>
    <w:link w:val="TitleChar"/>
    <w:uiPriority w:val="10"/>
    <w:qFormat/>
    <w:rsid w:val="006F661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6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61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6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61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F6611"/>
    <w:rPr>
      <w:i/>
      <w:iCs/>
      <w:color w:val="404040" w:themeColor="text1" w:themeTint="BF"/>
    </w:rPr>
  </w:style>
  <w:style w:type="paragraph" w:styleId="ListParagraph">
    <w:name w:val="List Paragraph"/>
    <w:basedOn w:val="Normal"/>
    <w:uiPriority w:val="34"/>
    <w:qFormat/>
    <w:rsid w:val="006F661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F6611"/>
    <w:rPr>
      <w:i/>
      <w:iCs/>
      <w:color w:val="0F4761" w:themeColor="accent1" w:themeShade="BF"/>
    </w:rPr>
  </w:style>
  <w:style w:type="paragraph" w:styleId="IntenseQuote">
    <w:name w:val="Intense Quote"/>
    <w:basedOn w:val="Normal"/>
    <w:next w:val="Normal"/>
    <w:link w:val="IntenseQuoteChar"/>
    <w:uiPriority w:val="30"/>
    <w:qFormat/>
    <w:rsid w:val="006F661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F6611"/>
    <w:rPr>
      <w:i/>
      <w:iCs/>
      <w:color w:val="0F4761" w:themeColor="accent1" w:themeShade="BF"/>
    </w:rPr>
  </w:style>
  <w:style w:type="character" w:styleId="IntenseReference">
    <w:name w:val="Intense Reference"/>
    <w:basedOn w:val="DefaultParagraphFont"/>
    <w:uiPriority w:val="32"/>
    <w:qFormat/>
    <w:rsid w:val="006F6611"/>
    <w:rPr>
      <w:b/>
      <w:bCs/>
      <w:smallCaps/>
      <w:color w:val="0F4761" w:themeColor="accent1" w:themeShade="BF"/>
      <w:spacing w:val="5"/>
    </w:rPr>
  </w:style>
  <w:style w:type="table" w:styleId="GridTable2">
    <w:name w:val="Grid Table 2"/>
    <w:basedOn w:val="TableNormal"/>
    <w:uiPriority w:val="47"/>
    <w:rsid w:val="006F6611"/>
    <w:pPr>
      <w:spacing w:after="0" w:line="240" w:lineRule="auto"/>
    </w:pPr>
    <w:rPr>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263</Words>
  <Characters>1340</Characters>
  <Application>Microsoft Office Word</Application>
  <DocSecurity>0</DocSecurity>
  <Lines>117</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Jaramillo, Diana</dc:creator>
  <cp:keywords/>
  <dc:description/>
  <cp:lastModifiedBy>Jaramillo, Diana</cp:lastModifiedBy>
  <cp:revision>4</cp:revision>
  <dcterms:created xsi:type="dcterms:W3CDTF">2025-02-21T16:15:00Z</dcterms:created>
  <dcterms:modified xsi:type="dcterms:W3CDTF">2025-02-26T22:44:00Z</dcterms:modified>
  <cp:category/>
</cp:coreProperties>
</file>