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0C7C5A" w14:textId="0329C8F0" w:rsidR="00B8114A" w:rsidRPr="00B8114A" w:rsidRDefault="00B8114A" w:rsidP="00B8114A">
      <w:pPr>
        <w:widowControl w:val="0"/>
        <w:spacing w:line="480" w:lineRule="auto"/>
        <w:rPr>
          <w:rFonts w:ascii="Times New Roman" w:hAnsi="Times New Roman" w:cs="Times New Roman"/>
          <w:sz w:val="24"/>
          <w:szCs w:val="24"/>
        </w:rPr>
      </w:pPr>
      <w:r>
        <w:rPr>
          <w:rFonts w:ascii="Times New Roman" w:hAnsi="Times New Roman" w:cs="Times New Roman"/>
          <w:sz w:val="24"/>
          <w:szCs w:val="24"/>
        </w:rPr>
        <w:t>Additional file 2: Further details on Proctor et al</w:t>
      </w:r>
      <w:r w:rsidR="00460128">
        <w:rPr>
          <w:rFonts w:ascii="Times New Roman" w:hAnsi="Times New Roman" w:cs="Times New Roman"/>
          <w:sz w:val="24"/>
          <w:szCs w:val="24"/>
        </w:rPr>
        <w:t>.</w:t>
      </w:r>
      <w:r>
        <w:rPr>
          <w:rFonts w:ascii="Times New Roman" w:hAnsi="Times New Roman" w:cs="Times New Roman"/>
          <w:sz w:val="24"/>
          <w:szCs w:val="24"/>
        </w:rPr>
        <w:t>’s (2011) implementation outcomes reported by studies.</w:t>
      </w:r>
    </w:p>
    <w:p w14:paraId="1E4C3EE2" w14:textId="1F799316" w:rsidR="00B8114A" w:rsidRDefault="00B8114A" w:rsidP="00B8114A">
      <w:pPr>
        <w:widowControl w:val="0"/>
        <w:spacing w:line="480" w:lineRule="auto"/>
        <w:rPr>
          <w:rFonts w:ascii="Times New Roman" w:hAnsi="Times New Roman" w:cs="Times New Roman"/>
          <w:i/>
          <w:iCs/>
          <w:sz w:val="24"/>
          <w:szCs w:val="24"/>
        </w:rPr>
      </w:pPr>
      <w:r w:rsidRPr="65867AE3">
        <w:rPr>
          <w:rFonts w:ascii="Times New Roman" w:hAnsi="Times New Roman" w:cs="Times New Roman"/>
          <w:i/>
          <w:iCs/>
          <w:sz w:val="24"/>
          <w:szCs w:val="24"/>
        </w:rPr>
        <w:t>Acceptability</w:t>
      </w:r>
    </w:p>
    <w:p w14:paraId="6E1523B7" w14:textId="4736C262" w:rsidR="00B8114A" w:rsidRDefault="00B8114A" w:rsidP="00B8114A">
      <w:pPr>
        <w:widowControl w:val="0"/>
        <w:spacing w:line="480" w:lineRule="auto"/>
        <w:rPr>
          <w:rFonts w:ascii="Times New Roman" w:hAnsi="Times New Roman" w:cs="Times New Roman"/>
          <w:sz w:val="24"/>
          <w:szCs w:val="24"/>
        </w:rPr>
      </w:pPr>
      <w:r>
        <w:rPr>
          <w:rFonts w:ascii="Times New Roman" w:hAnsi="Times New Roman" w:cs="Times New Roman"/>
          <w:sz w:val="24"/>
          <w:szCs w:val="24"/>
        </w:rPr>
        <w:t>Nine</w:t>
      </w:r>
      <w:r w:rsidRPr="65867AE3">
        <w:rPr>
          <w:rFonts w:ascii="Times New Roman" w:hAnsi="Times New Roman" w:cs="Times New Roman"/>
          <w:sz w:val="24"/>
          <w:szCs w:val="24"/>
        </w:rPr>
        <w:t xml:space="preserve"> studies reported data about stakeholder acceptability. Five studies presented qualitative findings regarding staff perspectives on acceptability of the DHI. Allan et al. (2019) explored clinicians’ hypothetical acceptability of an app aimed at helping to manage psychosis relapse and found staff felt the DHI would be acceptable for use with some service users but not with others; for example, many thought it would not be acceptable for those with delusional beliefs about technology. In a study investigating an app for the self-management of symptoms with an associated clinician portal, staff were satisfied with the DHI aiding service user-clinician communication, goal setting and structuring clinical consultations (Sequeira et al., 20</w:t>
      </w:r>
      <w:r w:rsidR="00396647">
        <w:rPr>
          <w:rFonts w:ascii="Times New Roman" w:hAnsi="Times New Roman" w:cs="Times New Roman"/>
          <w:sz w:val="24"/>
          <w:szCs w:val="24"/>
        </w:rPr>
        <w:t>23</w:t>
      </w:r>
      <w:r w:rsidRPr="65867AE3">
        <w:rPr>
          <w:rFonts w:ascii="Times New Roman" w:hAnsi="Times New Roman" w:cs="Times New Roman"/>
          <w:sz w:val="24"/>
          <w:szCs w:val="24"/>
        </w:rPr>
        <w:t xml:space="preserve">). Two studies investigated staff views on the implementation of a CPT in community mental health services and found staff were satisfied with the CPT’s ability to aid co-production of care plans (Pithara et al., 2020; Farr et al., 2019) but not with the limited features of the CPT and the potential for it to damage therapeutic relationships with service users (Farr et al., 2019). Staff in Gremyr and colleagues’ (2022) study reported that a digital dashboard was useful in supporting care-planning. </w:t>
      </w:r>
    </w:p>
    <w:p w14:paraId="3C08057D" w14:textId="27AFF342"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 xml:space="preserve">Six studies reported findings about people with SMI’s views on DHI acceptability. In Allan et al.’s study, service users reported that having control over the self-monitoring app’s content would improve acceptability, though stated some service users may find the app unacceptable due to experiences of paranoia and expressed concerns about privacy, security and being monitored by others. Similarly, service users in Fortuna and colleagues’ (2023) study reported privacy and security concerns, which they argued could limit the acceptability of digital peer support interventions for people with SMI. In a study exploring the use of a digital social </w:t>
      </w:r>
      <w:r w:rsidRPr="65867AE3">
        <w:rPr>
          <w:rFonts w:ascii="Times New Roman" w:hAnsi="Times New Roman" w:cs="Times New Roman"/>
          <w:sz w:val="24"/>
          <w:szCs w:val="24"/>
        </w:rPr>
        <w:lastRenderedPageBreak/>
        <w:t>network mapping programme, service users felt the DHI aided self-discovery, but some reported finding the DHI burdensome because it required cognitive and emotional effort (Nicaise et al., 2022). Sequeira and colleagues (20</w:t>
      </w:r>
      <w:r w:rsidR="00396647">
        <w:rPr>
          <w:rFonts w:ascii="Times New Roman" w:hAnsi="Times New Roman" w:cs="Times New Roman"/>
          <w:sz w:val="24"/>
          <w:szCs w:val="24"/>
        </w:rPr>
        <w:t>23</w:t>
      </w:r>
      <w:r w:rsidRPr="65867AE3">
        <w:rPr>
          <w:rFonts w:ascii="Times New Roman" w:hAnsi="Times New Roman" w:cs="Times New Roman"/>
          <w:sz w:val="24"/>
          <w:szCs w:val="24"/>
        </w:rPr>
        <w:t>) found service users thought a self-monitoring app and related clinician portal was useful in helping them to speak more openly and to guide symptom-related conversations with their clinicians.</w:t>
      </w:r>
    </w:p>
    <w:p w14:paraId="1AC7565E" w14:textId="77777777"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Two studies reported quantitative data on service user acceptability. Blajeski et al. found service users gave high scores for acceptability of VR-JIT on a post-intervention survey, a finding that was also supported by qualitative data. In their study, O’Sullivan and colleagues (2024) exceeded their service user acceptability goal, with 92% (22/24) of the young people stating they would recommend the DHI to others.</w:t>
      </w:r>
    </w:p>
    <w:p w14:paraId="6C491256" w14:textId="77777777" w:rsidR="00B8114A" w:rsidRDefault="00B8114A" w:rsidP="00B8114A">
      <w:pPr>
        <w:widowControl w:val="0"/>
        <w:spacing w:line="480" w:lineRule="auto"/>
        <w:rPr>
          <w:rFonts w:ascii="Times New Roman" w:hAnsi="Times New Roman" w:cs="Times New Roman"/>
          <w:i/>
          <w:iCs/>
          <w:sz w:val="24"/>
          <w:szCs w:val="24"/>
        </w:rPr>
      </w:pPr>
      <w:r w:rsidRPr="65867AE3">
        <w:rPr>
          <w:rFonts w:ascii="Times New Roman" w:hAnsi="Times New Roman" w:cs="Times New Roman"/>
          <w:i/>
          <w:iCs/>
          <w:sz w:val="24"/>
          <w:szCs w:val="24"/>
        </w:rPr>
        <w:t>Adoption</w:t>
      </w:r>
    </w:p>
    <w:p w14:paraId="4A51644E" w14:textId="1ACBFB6D"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 xml:space="preserve">Six studies reported data on DHI adoption: most reported quantitative data with regards to access or use of the DHI. Gremyr and colleagues (2022) found all clinicians in their pilot study used the digital dashboard and provided data on how often the DHI was accessed on average. In another pilot study, the authors reported only 39 of 91 clinicians had used the DHI to complete a sociogram interview with service users (Nicaise et al., 2022). O’Sullivan et al. (2024) reported the numbers of clinicians and young people who enrolled in their pilot study to use a web-based integrated care system as well as the number of active days young people used the system. In their study, Lobban and colleagues (2020) reported on the number of staff who registered for their online toolkit, and the number of invitations to use it, that were sent to relatives across three different implementation phases. Finally, Sequeira et al. (2023) provided data on the number of service users onboarded onto their app across three settings and retention rates over 90 days. Included studies did not provide information on the total number of clinicians or service users who </w:t>
      </w:r>
      <w:r w:rsidRPr="65867AE3">
        <w:rPr>
          <w:rFonts w:ascii="Times New Roman" w:hAnsi="Times New Roman" w:cs="Times New Roman"/>
          <w:i/>
          <w:iCs/>
          <w:sz w:val="24"/>
          <w:szCs w:val="24"/>
        </w:rPr>
        <w:t xml:space="preserve">could </w:t>
      </w:r>
      <w:r w:rsidRPr="65867AE3">
        <w:rPr>
          <w:rFonts w:ascii="Times New Roman" w:hAnsi="Times New Roman" w:cs="Times New Roman"/>
          <w:sz w:val="24"/>
          <w:szCs w:val="24"/>
        </w:rPr>
        <w:t xml:space="preserve">adopt the DHI but did not, making it difficult </w:t>
      </w:r>
      <w:r w:rsidRPr="65867AE3">
        <w:rPr>
          <w:rFonts w:ascii="Times New Roman" w:hAnsi="Times New Roman" w:cs="Times New Roman"/>
          <w:sz w:val="24"/>
          <w:szCs w:val="24"/>
        </w:rPr>
        <w:lastRenderedPageBreak/>
        <w:t>to drew firm conclusions about adoption.</w:t>
      </w:r>
    </w:p>
    <w:p w14:paraId="2F81CFF1" w14:textId="77777777"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 xml:space="preserve">Two studies reported qualitative data pertaining to adoption. Clinicians in Sequeira et al.’s (2023) study reported limited and infrequent use of the clinician portal associated with the service user app. In another study, it was reported that most staff who had used the digital CPT wanted to continue using it, with two stating they did not want to use it further (Farr et al., 2019). </w:t>
      </w:r>
    </w:p>
    <w:p w14:paraId="22130E98" w14:textId="77777777" w:rsidR="00B8114A" w:rsidRPr="003A7604"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i/>
          <w:iCs/>
          <w:sz w:val="24"/>
          <w:szCs w:val="24"/>
        </w:rPr>
        <w:t>Appropriateness</w:t>
      </w:r>
    </w:p>
    <w:p w14:paraId="50239FFB" w14:textId="1E794590"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Five papers presented data on appropriateness, all from the perspective of staff participants. Clinicians in Allan et al.’s (2019) study thought a monitoring app for people with psychosis may have limited utility for staff in predicting relapse and that service users with chaotic lifestyles would struggle to use it. Farr and colleagues (2019) reported that the digital CPT may not always be appropriate to use for people with SMI due to it requiring service users to reflect on their past and personal circumstances. Clinicians using the digital sociogram to map service users’ social networks in Nicaise et al.’s (2022) study had a positive view of the appropriateness of the DHI, but some noted that some service users found it tiring. Lobban et al. (2020) reported that clinicians felt the online toolkit for relatives of people with SMI may not be appropriate for everyone, particularly older adults. Finally, Blajeski and colleagues (2024) reported quantitative data on appropriateness from staff surveys and stated VR-JIT was considered appropriate for interview practice within their service setting, with qualitative findings also supporting this view.</w:t>
      </w:r>
    </w:p>
    <w:p w14:paraId="01BD33F5" w14:textId="77777777" w:rsidR="00B8114A" w:rsidRPr="00F52786"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i/>
          <w:iCs/>
          <w:sz w:val="24"/>
          <w:szCs w:val="24"/>
        </w:rPr>
        <w:t>Feasibility</w:t>
      </w:r>
    </w:p>
    <w:p w14:paraId="527EF453" w14:textId="2D6E6B4C"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 xml:space="preserve">Nine studies presented data on feasibility, all from the perspective of staff. One study quantitatively measured feasibility using a survey with staff who implemented VR-JIT and it was found to be feasible to deliver in the service setting: qualitative data mapped to this </w:t>
      </w:r>
      <w:r w:rsidRPr="65867AE3">
        <w:rPr>
          <w:rFonts w:ascii="Times New Roman" w:hAnsi="Times New Roman" w:cs="Times New Roman"/>
          <w:sz w:val="24"/>
          <w:szCs w:val="24"/>
        </w:rPr>
        <w:lastRenderedPageBreak/>
        <w:t xml:space="preserve">outcome supported this finding (Blajeski et al., 2024). The remaining eight studies presented qualitative data on staff perceptions of the barriers to DHI implementation which likely affected feasibility. Barriers reported include lack of staff time (Allan et al., 2019; Farr et al., 2019; Pithara et al., 2020), competing priorities (Lobban et al., 2020; O’Sullivan et al., 2024; Pithara et al., 2020; Sequeira et al., 2023), technical issues and interoperability between the DHI and existing systems (Farr et al., 2019; Gremyr et al., 2020; Lobban et al., 2020; Pithara et al., 2020; Sequiera et al., 2023), length of the DHI onboarding process for users (O’Sulllivan et al., 2024), structural and organisational complexities (Gremyr et al., 2020; Pithara et al., 2020) and service users not having access to digital devices (Fortuna et al., 2023). </w:t>
      </w:r>
    </w:p>
    <w:p w14:paraId="6B700871" w14:textId="77777777" w:rsidR="00B8114A" w:rsidRDefault="00B8114A" w:rsidP="00B8114A">
      <w:pPr>
        <w:widowControl w:val="0"/>
        <w:spacing w:line="480" w:lineRule="auto"/>
        <w:rPr>
          <w:rFonts w:ascii="Times New Roman" w:hAnsi="Times New Roman" w:cs="Times New Roman"/>
          <w:i/>
          <w:iCs/>
          <w:sz w:val="24"/>
          <w:szCs w:val="24"/>
        </w:rPr>
      </w:pPr>
      <w:r w:rsidRPr="65867AE3">
        <w:rPr>
          <w:rFonts w:ascii="Times New Roman" w:hAnsi="Times New Roman" w:cs="Times New Roman"/>
          <w:i/>
          <w:iCs/>
          <w:sz w:val="24"/>
          <w:szCs w:val="24"/>
        </w:rPr>
        <w:t>Fidelity</w:t>
      </w:r>
    </w:p>
    <w:p w14:paraId="4400C44C" w14:textId="00170F1E"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 xml:space="preserve">Three studies reported findings on fidelity. Two studies reported quantitative data: one on the number of service user interactions with a self-monitoring and support app (Sequeira et al., 2023) and one on clinician and service user use of various components of an integrated web-based clinic (O’Sullivan et al., 2024). Allan and colleagues (2019) reported qualitative data on staff, carer and service user expectations about implementation issues that could affect fidelity, for example, service users inputting inaccurate data into the self-monitoring app.  </w:t>
      </w:r>
    </w:p>
    <w:p w14:paraId="6C776B27" w14:textId="77777777" w:rsidR="00B8114A" w:rsidRPr="0079697C" w:rsidRDefault="00B8114A" w:rsidP="00B8114A">
      <w:pPr>
        <w:widowControl w:val="0"/>
        <w:spacing w:line="480" w:lineRule="auto"/>
        <w:rPr>
          <w:rFonts w:ascii="Times New Roman" w:hAnsi="Times New Roman" w:cs="Times New Roman"/>
          <w:i/>
          <w:iCs/>
          <w:sz w:val="24"/>
          <w:szCs w:val="24"/>
        </w:rPr>
      </w:pPr>
      <w:r w:rsidRPr="65867AE3">
        <w:rPr>
          <w:rFonts w:ascii="Times New Roman" w:hAnsi="Times New Roman" w:cs="Times New Roman"/>
          <w:i/>
          <w:iCs/>
          <w:sz w:val="24"/>
          <w:szCs w:val="24"/>
        </w:rPr>
        <w:t>Implementation costs</w:t>
      </w:r>
    </w:p>
    <w:p w14:paraId="3C56A550" w14:textId="0FAB9079"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None of the studies reported costs. However, three studies reported qualitative findings that mention concerns about cost negatively affecting implementation of the DHI (Fortuna et al., 2023; Moitra et al., 2022) or uncertainty about the implementation cost and cost-effectiveness of the DHI (Gremyr et al., 2020).</w:t>
      </w:r>
    </w:p>
    <w:p w14:paraId="6310C880" w14:textId="77777777" w:rsidR="00B8114A" w:rsidRDefault="00B8114A" w:rsidP="00B8114A">
      <w:pPr>
        <w:widowControl w:val="0"/>
        <w:spacing w:line="480" w:lineRule="auto"/>
        <w:rPr>
          <w:rFonts w:ascii="Times New Roman" w:hAnsi="Times New Roman" w:cs="Times New Roman"/>
          <w:i/>
          <w:iCs/>
          <w:sz w:val="24"/>
          <w:szCs w:val="24"/>
        </w:rPr>
      </w:pPr>
      <w:r w:rsidRPr="65867AE3">
        <w:rPr>
          <w:rFonts w:ascii="Times New Roman" w:hAnsi="Times New Roman" w:cs="Times New Roman"/>
          <w:i/>
          <w:iCs/>
          <w:sz w:val="24"/>
          <w:szCs w:val="24"/>
        </w:rPr>
        <w:t>Penetration</w:t>
      </w:r>
    </w:p>
    <w:p w14:paraId="15E8B98F" w14:textId="43D229A1" w:rsidR="00B8114A" w:rsidRPr="00D615C0"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None of the studies reported data on this outcome.</w:t>
      </w:r>
    </w:p>
    <w:p w14:paraId="1C235B5F" w14:textId="77777777" w:rsidR="00B8114A" w:rsidRPr="00D3395F" w:rsidRDefault="00B8114A" w:rsidP="00B8114A">
      <w:pPr>
        <w:widowControl w:val="0"/>
        <w:spacing w:line="480" w:lineRule="auto"/>
        <w:rPr>
          <w:rFonts w:ascii="Times New Roman" w:hAnsi="Times New Roman" w:cs="Times New Roman"/>
          <w:i/>
          <w:iCs/>
          <w:sz w:val="24"/>
          <w:szCs w:val="24"/>
        </w:rPr>
      </w:pPr>
      <w:r w:rsidRPr="65867AE3">
        <w:rPr>
          <w:rFonts w:ascii="Times New Roman" w:hAnsi="Times New Roman" w:cs="Times New Roman"/>
          <w:i/>
          <w:iCs/>
          <w:sz w:val="24"/>
          <w:szCs w:val="24"/>
        </w:rPr>
        <w:lastRenderedPageBreak/>
        <w:t>Sustainability</w:t>
      </w:r>
    </w:p>
    <w:p w14:paraId="13751CBD" w14:textId="7093EB68" w:rsidR="00B8114A" w:rsidRDefault="00B8114A" w:rsidP="00B8114A">
      <w:pPr>
        <w:widowControl w:val="0"/>
        <w:spacing w:line="480" w:lineRule="auto"/>
        <w:rPr>
          <w:rFonts w:ascii="Times New Roman" w:hAnsi="Times New Roman" w:cs="Times New Roman"/>
          <w:sz w:val="24"/>
          <w:szCs w:val="24"/>
        </w:rPr>
      </w:pPr>
      <w:r w:rsidRPr="65867AE3">
        <w:rPr>
          <w:rFonts w:ascii="Times New Roman" w:hAnsi="Times New Roman" w:cs="Times New Roman"/>
          <w:sz w:val="24"/>
          <w:szCs w:val="24"/>
        </w:rPr>
        <w:t xml:space="preserve">One study mentioned sustainability: </w:t>
      </w:r>
      <w:r w:rsidR="004E7FE5">
        <w:rPr>
          <w:rFonts w:ascii="Times New Roman" w:hAnsi="Times New Roman" w:cs="Times New Roman"/>
          <w:sz w:val="24"/>
          <w:szCs w:val="24"/>
        </w:rPr>
        <w:t>Farr</w:t>
      </w:r>
      <w:r w:rsidRPr="65867AE3">
        <w:rPr>
          <w:rFonts w:ascii="Times New Roman" w:hAnsi="Times New Roman" w:cs="Times New Roman"/>
          <w:sz w:val="24"/>
          <w:szCs w:val="24"/>
        </w:rPr>
        <w:t xml:space="preserve"> and colleagues (20</w:t>
      </w:r>
      <w:r w:rsidR="004E7FE5">
        <w:rPr>
          <w:rFonts w:ascii="Times New Roman" w:hAnsi="Times New Roman" w:cs="Times New Roman"/>
          <w:sz w:val="24"/>
          <w:szCs w:val="24"/>
        </w:rPr>
        <w:t>19</w:t>
      </w:r>
      <w:r w:rsidRPr="65867AE3">
        <w:rPr>
          <w:rFonts w:ascii="Times New Roman" w:hAnsi="Times New Roman" w:cs="Times New Roman"/>
          <w:sz w:val="24"/>
          <w:szCs w:val="24"/>
        </w:rPr>
        <w:t>) stated it was not possible to sustain a digital CPT in the setting it was piloted in due to the NHS Trust not being able to invest in its development.</w:t>
      </w:r>
    </w:p>
    <w:p w14:paraId="489DC5D7" w14:textId="77777777" w:rsidR="008E6A0E" w:rsidRDefault="008E6A0E"/>
    <w:sectPr w:rsidR="008E6A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4A"/>
    <w:rsid w:val="00125475"/>
    <w:rsid w:val="0036484B"/>
    <w:rsid w:val="00396647"/>
    <w:rsid w:val="00460128"/>
    <w:rsid w:val="004E7FE5"/>
    <w:rsid w:val="008D1EDE"/>
    <w:rsid w:val="008D3282"/>
    <w:rsid w:val="008E6A0E"/>
    <w:rsid w:val="009157B4"/>
    <w:rsid w:val="00B81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D4655"/>
  <w15:chartTrackingRefBased/>
  <w15:docId w15:val="{9A04D7DD-8952-4D83-8295-AFD694E173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14A"/>
  </w:style>
  <w:style w:type="paragraph" w:styleId="Heading1">
    <w:name w:val="heading 1"/>
    <w:basedOn w:val="Normal"/>
    <w:next w:val="Normal"/>
    <w:link w:val="Heading1Char"/>
    <w:uiPriority w:val="9"/>
    <w:qFormat/>
    <w:rsid w:val="00B811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11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114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114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114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11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11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11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11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114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114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114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114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114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11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11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11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114A"/>
    <w:rPr>
      <w:rFonts w:eastAsiaTheme="majorEastAsia" w:cstheme="majorBidi"/>
      <w:color w:val="272727" w:themeColor="text1" w:themeTint="D8"/>
    </w:rPr>
  </w:style>
  <w:style w:type="paragraph" w:styleId="Title">
    <w:name w:val="Title"/>
    <w:basedOn w:val="Normal"/>
    <w:next w:val="Normal"/>
    <w:link w:val="TitleChar"/>
    <w:uiPriority w:val="10"/>
    <w:qFormat/>
    <w:rsid w:val="00B811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11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11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11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114A"/>
    <w:pPr>
      <w:spacing w:before="160"/>
      <w:jc w:val="center"/>
    </w:pPr>
    <w:rPr>
      <w:i/>
      <w:iCs/>
      <w:color w:val="404040" w:themeColor="text1" w:themeTint="BF"/>
    </w:rPr>
  </w:style>
  <w:style w:type="character" w:customStyle="1" w:styleId="QuoteChar">
    <w:name w:val="Quote Char"/>
    <w:basedOn w:val="DefaultParagraphFont"/>
    <w:link w:val="Quote"/>
    <w:uiPriority w:val="29"/>
    <w:rsid w:val="00B8114A"/>
    <w:rPr>
      <w:i/>
      <w:iCs/>
      <w:color w:val="404040" w:themeColor="text1" w:themeTint="BF"/>
    </w:rPr>
  </w:style>
  <w:style w:type="paragraph" w:styleId="ListParagraph">
    <w:name w:val="List Paragraph"/>
    <w:basedOn w:val="Normal"/>
    <w:uiPriority w:val="34"/>
    <w:qFormat/>
    <w:rsid w:val="00B8114A"/>
    <w:pPr>
      <w:ind w:left="720"/>
      <w:contextualSpacing/>
    </w:pPr>
  </w:style>
  <w:style w:type="character" w:styleId="IntenseEmphasis">
    <w:name w:val="Intense Emphasis"/>
    <w:basedOn w:val="DefaultParagraphFont"/>
    <w:uiPriority w:val="21"/>
    <w:qFormat/>
    <w:rsid w:val="00B8114A"/>
    <w:rPr>
      <w:i/>
      <w:iCs/>
      <w:color w:val="0F4761" w:themeColor="accent1" w:themeShade="BF"/>
    </w:rPr>
  </w:style>
  <w:style w:type="paragraph" w:styleId="IntenseQuote">
    <w:name w:val="Intense Quote"/>
    <w:basedOn w:val="Normal"/>
    <w:next w:val="Normal"/>
    <w:link w:val="IntenseQuoteChar"/>
    <w:uiPriority w:val="30"/>
    <w:qFormat/>
    <w:rsid w:val="00B811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114A"/>
    <w:rPr>
      <w:i/>
      <w:iCs/>
      <w:color w:val="0F4761" w:themeColor="accent1" w:themeShade="BF"/>
    </w:rPr>
  </w:style>
  <w:style w:type="character" w:styleId="IntenseReference">
    <w:name w:val="Intense Reference"/>
    <w:basedOn w:val="DefaultParagraphFont"/>
    <w:uiPriority w:val="32"/>
    <w:qFormat/>
    <w:rsid w:val="00B811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1197</Words>
  <Characters>6828</Characters>
  <Application>Microsoft Office Word</Application>
  <DocSecurity>0</DocSecurity>
  <Lines>56</Lines>
  <Paragraphs>16</Paragraphs>
  <ScaleCrop>false</ScaleCrop>
  <Company>University of Manchester</Company>
  <LinksUpToDate>false</LinksUpToDate>
  <CharactersWithSpaces>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Ball</dc:creator>
  <cp:keywords/>
  <dc:description/>
  <cp:lastModifiedBy>Hannah Ball</cp:lastModifiedBy>
  <cp:revision>5</cp:revision>
  <dcterms:created xsi:type="dcterms:W3CDTF">2024-07-03T16:10:00Z</dcterms:created>
  <dcterms:modified xsi:type="dcterms:W3CDTF">2024-07-05T15:13:00Z</dcterms:modified>
</cp:coreProperties>
</file>