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1D62C">
      <w:pPr>
        <w:rPr>
          <w:rFonts w:hint="default" w:ascii="Times New Roman" w:hAnsi="Times New Roman" w:cs="Times New Roman"/>
          <w:b/>
          <w:bCs/>
          <w:sz w:val="24"/>
          <w:szCs w:val="32"/>
        </w:rPr>
      </w:pPr>
      <w:bookmarkStart w:id="0" w:name="_GoBack"/>
      <w:r>
        <w:rPr>
          <w:rFonts w:hint="default" w:ascii="Times New Roman" w:hAnsi="Times New Roman" w:cs="Times New Roman"/>
          <w:b/>
          <w:bCs/>
          <w:sz w:val="24"/>
          <w:szCs w:val="32"/>
        </w:rPr>
        <w:t>Supplementary Summary of Key Findings</w:t>
      </w:r>
    </w:p>
    <w:bookmarkEnd w:id="0"/>
    <w:p w14:paraId="08210741">
      <w:pPr>
        <w:rPr>
          <w:rFonts w:hint="default" w:ascii="Times New Roman" w:hAnsi="Times New Roman" w:cs="Times New Roman"/>
          <w:sz w:val="24"/>
          <w:szCs w:val="32"/>
        </w:rPr>
      </w:pPr>
    </w:p>
    <w:p w14:paraId="60C3C988">
      <w:pPr>
        <w:rPr>
          <w:rFonts w:hint="default" w:ascii="Times New Roman" w:hAnsi="Times New Roman" w:cs="Times New Roman"/>
          <w:sz w:val="24"/>
          <w:szCs w:val="32"/>
        </w:rPr>
      </w:pPr>
      <w:r>
        <w:rPr>
          <w:rFonts w:hint="default" w:ascii="Times New Roman" w:hAnsi="Times New Roman" w:cs="Times New Roman"/>
          <w:sz w:val="24"/>
          <w:szCs w:val="32"/>
        </w:rPr>
        <w:t>Globally, the prevalence of periodontal diseases among the working-age population (15–69 years) reached 951 million cases (95% UI: 729–1,183 million) in 2021, with an age-standardized prevalence rate (ASPR) of 17,011.6 per 100,000 population. The annual incidence was 80.3 million new cases (ASIR: 1,464.7 per 100,000), and disability-adjusted life years (DALYs) totaled 6.2 million (age-standardized DALY rate: 110.8 per 100,000). Regionally, Asia exhibited the highest burden across all metrics, with South Asia recording the highest ASPR (24,235.8 per 100,000), while Oceania had the lowest ASPR (2,847.3 per 100,000).</w:t>
      </w:r>
    </w:p>
    <w:p w14:paraId="732E5DFE">
      <w:pPr>
        <w:rPr>
          <w:rFonts w:hint="default" w:ascii="Times New Roman" w:hAnsi="Times New Roman" w:cs="Times New Roman"/>
          <w:sz w:val="24"/>
          <w:szCs w:val="32"/>
        </w:rPr>
      </w:pPr>
    </w:p>
    <w:p w14:paraId="6292F60C">
      <w:pPr>
        <w:rPr>
          <w:rFonts w:hint="default" w:ascii="Times New Roman" w:hAnsi="Times New Roman" w:cs="Times New Roman"/>
          <w:sz w:val="24"/>
          <w:szCs w:val="32"/>
        </w:rPr>
      </w:pPr>
      <w:r>
        <w:rPr>
          <w:rFonts w:hint="default" w:ascii="Times New Roman" w:hAnsi="Times New Roman" w:cs="Times New Roman"/>
          <w:sz w:val="24"/>
          <w:szCs w:val="32"/>
        </w:rPr>
        <w:t>At the national level, Sierra Leone, Gambia, and Cabo Verde had the highest ASPR (&gt;34,000 per 100,000), whereas Qatar, UAE, and Jordan experienced over 500% increases in prevalence since 1990. Conversely, Pacific nations like Tonga and Tokelau achieved &gt;70% reductions in prevalence. Males consistently showed higher prevalence rates than females, with peak rates in the 50–59 age group globally.</w:t>
      </w:r>
    </w:p>
    <w:p w14:paraId="1E019127">
      <w:pPr>
        <w:rPr>
          <w:rFonts w:hint="default" w:ascii="Times New Roman" w:hAnsi="Times New Roman" w:cs="Times New Roman"/>
          <w:sz w:val="24"/>
          <w:szCs w:val="32"/>
        </w:rPr>
      </w:pPr>
    </w:p>
    <w:p w14:paraId="0ACB6A34">
      <w:pPr>
        <w:rPr>
          <w:rFonts w:hint="default" w:ascii="Times New Roman" w:hAnsi="Times New Roman" w:cs="Times New Roman"/>
          <w:sz w:val="24"/>
          <w:szCs w:val="32"/>
        </w:rPr>
      </w:pPr>
      <w:r>
        <w:rPr>
          <w:rFonts w:hint="default" w:ascii="Times New Roman" w:hAnsi="Times New Roman" w:cs="Times New Roman"/>
          <w:sz w:val="24"/>
          <w:szCs w:val="32"/>
        </w:rPr>
        <w:t>Decomposition analysis revealed that population growth (74.56%) and aging (23.00%) were the primary drivers of increased DALYs, while epidemiological changes contributed minimally (2.43%). Projections indicate rising burden in older age groups, with ASPR expected to reach 40,463.5 per 100,000 in the 50–54 age group by 2046. These findings underscore urgent needs for targeted interventions in high-burden regions and policies addressing demographic and socioeconomic drivers of periodontal disease.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SansHans">
    <w:altName w:val="魂心"/>
    <w:panose1 w:val="00000000000000000000"/>
    <w:charset w:val="00"/>
    <w:family w:val="auto"/>
    <w:pitch w:val="default"/>
    <w:sig w:usb0="00000000" w:usb1="00000000" w:usb2="00000000" w:usb3="00000000" w:csb0="00000000" w:csb1="00000000"/>
  </w:font>
  <w:font w:name="魂心">
    <w:panose1 w:val="02000009000000000000"/>
    <w:charset w:val="80"/>
    <w:family w:val="auto"/>
    <w:pitch w:val="default"/>
    <w:sig w:usb0="A1007AEF" w:usb1="F9DF7CFB" w:usb2="0000001E" w:usb3="00000000" w:csb0="2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EF3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2025-03-22T12:03:37Z</dcterms:created>
  <dc:creator>lixin</dc:creator>
  <cp:lastModifiedBy>李新宇</cp:lastModifiedBy>
  <dcterms:modified xsi:type="dcterms:W3CDTF">2025-03-22T12:03:57Z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eyJoZGlkIjoiM2FiZDIzMjBhYjY3YjcwYmIxYWI1NjM4YzVmYjEyMDMiLCJ1c2VySWQiOiIyNDAzNzQ3OTcifQ==</vt:lpwstr>
  </property>
  <property fmtid="{D5CDD505-2E9C-101B-9397-08002B2CF9AE}" pid="4" name="ICV">
    <vt:lpwstr>E004EA4569FD4F688D9A014F31E14637_12</vt:lpwstr>
  </property>
</Properties>
</file>