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colors7.xml" ContentType="application/vnd.ms-office.chartcolorstyle+xml"/>
  <Override PartName="/word/charts/colors8.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charts/style7.xml" ContentType="application/vnd.ms-office.chartstyle+xml"/>
  <Override PartName="/word/charts/style8.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4EEE0C">
      <w:pPr>
        <w:jc w:val="center"/>
        <w:rPr>
          <w:rFonts w:hint="default" w:ascii="Times New Roman" w:hAnsi="Times New Roman" w:cs="Times New Roman"/>
          <w:b/>
          <w:bCs/>
          <w:sz w:val="24"/>
          <w:szCs w:val="32"/>
          <w:lang w:val="en-US" w:eastAsia="zh-CN"/>
        </w:rPr>
      </w:pPr>
      <w:r>
        <w:rPr>
          <w:rFonts w:hint="eastAsia" w:ascii="Times New Roman" w:hAnsi="Times New Roman" w:cs="Times New Roman"/>
          <w:b/>
          <w:bCs/>
          <w:sz w:val="24"/>
          <w:szCs w:val="32"/>
          <w:lang w:val="en-US" w:eastAsia="zh-CN"/>
        </w:rPr>
        <w:t>Supplementary Material</w:t>
      </w:r>
    </w:p>
    <w:p w14:paraId="5ADDDF8F">
      <w:pPr>
        <w:rPr>
          <w:rFonts w:hint="default" w:ascii="Times New Roman" w:hAnsi="Times New Roman" w:cs="Times New Roman"/>
          <w:lang w:val="en-US" w:eastAsia="zh-CN"/>
        </w:rPr>
      </w:pPr>
      <w:r>
        <w:rPr>
          <w:rFonts w:hint="default" w:ascii="Times New Roman" w:hAnsi="Times New Roman" w:cs="Times New Roman"/>
          <w:lang w:val="en-US" w:eastAsia="zh-CN"/>
        </w:rPr>
        <w:t>Table S1</w:t>
      </w:r>
      <w:r>
        <w:rPr>
          <w:rFonts w:hint="eastAsia" w:ascii="Times New Roman" w:hAnsi="Times New Roman" w:cs="Times New Roman"/>
          <w:lang w:val="en-US" w:eastAsia="zh-CN"/>
        </w:rPr>
        <w:t>.</w:t>
      </w:r>
      <w:r>
        <w:rPr>
          <w:rFonts w:hint="default" w:ascii="Times New Roman" w:hAnsi="Times New Roman" w:cs="Times New Roman"/>
          <w:lang w:val="en-US" w:eastAsia="zh-CN"/>
        </w:rPr>
        <w:t xml:space="preserve"> </w:t>
      </w:r>
      <w:r>
        <w:rPr>
          <w:rFonts w:hint="eastAsia" w:ascii="Times New Roman" w:hAnsi="Times New Roman" w:cs="Times New Roman"/>
          <w:lang w:val="en-US" w:eastAsia="zh-CN"/>
        </w:rPr>
        <w:t>Crude rates of</w:t>
      </w:r>
      <w:r>
        <w:rPr>
          <w:rFonts w:hint="eastAsia" w:ascii="Times New Roman" w:hAnsi="Times New Roman" w:cs="Times New Roman"/>
        </w:rPr>
        <w:t xml:space="preserve"> low back pain in China from 1990 to 2021</w:t>
      </w:r>
      <w:r>
        <w:rPr>
          <w:rFonts w:hint="eastAsia" w:ascii="Times New Roman" w:hAnsi="Times New Roman" w:cs="Times New Roman"/>
          <w:lang w:val="en-US" w:eastAsia="zh-CN"/>
        </w:rPr>
        <w:t>, stratified by gender (per 100,000)</w:t>
      </w:r>
    </w:p>
    <w:tbl>
      <w:tblPr>
        <w:tblStyle w:val="2"/>
        <w:tblpPr w:leftFromText="181" w:rightFromText="181" w:vertAnchor="text" w:horzAnchor="page" w:tblpX="887" w:tblpY="22"/>
        <w:tblOverlap w:val="never"/>
        <w:tblW w:w="1031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6"/>
        <w:gridCol w:w="935"/>
        <w:gridCol w:w="1045"/>
        <w:gridCol w:w="1046"/>
        <w:gridCol w:w="236"/>
        <w:gridCol w:w="1046"/>
        <w:gridCol w:w="1046"/>
        <w:gridCol w:w="1047"/>
        <w:gridCol w:w="236"/>
        <w:gridCol w:w="1011"/>
        <w:gridCol w:w="915"/>
        <w:gridCol w:w="965"/>
      </w:tblGrid>
      <w:tr w14:paraId="5D67BA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jc w:val="center"/>
        </w:trPr>
        <w:tc>
          <w:tcPr>
            <w:tcW w:w="786" w:type="dxa"/>
            <w:tcBorders>
              <w:top w:val="single" w:color="000000" w:sz="4" w:space="0"/>
              <w:left w:val="nil"/>
              <w:bottom w:val="nil"/>
              <w:right w:val="nil"/>
            </w:tcBorders>
            <w:shd w:val="clear" w:color="auto" w:fill="auto"/>
            <w:noWrap/>
            <w:vAlign w:val="center"/>
          </w:tcPr>
          <w:p w14:paraId="2E04E743">
            <w:pPr>
              <w:rPr>
                <w:rFonts w:hint="eastAsia" w:ascii="宋体" w:hAnsi="宋体" w:eastAsia="宋体" w:cs="宋体"/>
                <w:i w:val="0"/>
                <w:iCs w:val="0"/>
                <w:color w:val="000000"/>
                <w:sz w:val="22"/>
                <w:szCs w:val="22"/>
                <w:u w:val="none"/>
              </w:rPr>
            </w:pPr>
          </w:p>
        </w:tc>
        <w:tc>
          <w:tcPr>
            <w:tcW w:w="3026" w:type="dxa"/>
            <w:gridSpan w:val="3"/>
            <w:tcBorders>
              <w:top w:val="single" w:color="000000" w:sz="4" w:space="0"/>
              <w:left w:val="nil"/>
              <w:bottom w:val="nil"/>
              <w:right w:val="nil"/>
            </w:tcBorders>
            <w:shd w:val="clear" w:color="auto" w:fill="auto"/>
            <w:noWrap/>
            <w:vAlign w:val="center"/>
          </w:tcPr>
          <w:p w14:paraId="5D2FD36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lang w:val="en-US"/>
              </w:rPr>
            </w:pPr>
            <w:r>
              <w:rPr>
                <w:rFonts w:hint="default" w:ascii="Times New Roman" w:hAnsi="Times New Roman" w:eastAsia="宋体" w:cs="Times New Roman"/>
                <w:i w:val="0"/>
                <w:iCs w:val="0"/>
                <w:color w:val="000000"/>
                <w:kern w:val="0"/>
                <w:sz w:val="20"/>
                <w:szCs w:val="20"/>
                <w:u w:val="none"/>
                <w:lang w:val="en-US" w:eastAsia="zh-CN" w:bidi="ar"/>
              </w:rPr>
              <w:t>C</w:t>
            </w:r>
            <w:r>
              <w:rPr>
                <w:rFonts w:hint="eastAsia" w:ascii="Times New Roman" w:hAnsi="Times New Roman" w:eastAsia="宋体" w:cs="Times New Roman"/>
                <w:i w:val="0"/>
                <w:iCs w:val="0"/>
                <w:color w:val="000000"/>
                <w:kern w:val="0"/>
                <w:sz w:val="20"/>
                <w:szCs w:val="20"/>
                <w:u w:val="none"/>
                <w:lang w:val="en-US" w:eastAsia="zh-CN" w:bidi="ar"/>
              </w:rPr>
              <w:t>rude Incidence Rate</w:t>
            </w:r>
          </w:p>
        </w:tc>
        <w:tc>
          <w:tcPr>
            <w:tcW w:w="236" w:type="dxa"/>
            <w:tcBorders>
              <w:top w:val="single" w:color="000000" w:sz="4" w:space="0"/>
              <w:left w:val="nil"/>
              <w:bottom w:val="nil"/>
              <w:right w:val="nil"/>
            </w:tcBorders>
            <w:shd w:val="clear" w:color="auto" w:fill="auto"/>
            <w:noWrap/>
            <w:vAlign w:val="center"/>
          </w:tcPr>
          <w:p w14:paraId="63DC25B3">
            <w:pPr>
              <w:jc w:val="center"/>
              <w:rPr>
                <w:rFonts w:hint="default" w:ascii="Times New Roman" w:hAnsi="Times New Roman" w:eastAsia="宋体" w:cs="Times New Roman"/>
                <w:i w:val="0"/>
                <w:iCs w:val="0"/>
                <w:color w:val="000000"/>
                <w:sz w:val="20"/>
                <w:szCs w:val="20"/>
                <w:u w:val="none"/>
              </w:rPr>
            </w:pPr>
          </w:p>
        </w:tc>
        <w:tc>
          <w:tcPr>
            <w:tcW w:w="3139" w:type="dxa"/>
            <w:gridSpan w:val="3"/>
            <w:tcBorders>
              <w:top w:val="single" w:color="000000" w:sz="4" w:space="0"/>
              <w:left w:val="nil"/>
              <w:bottom w:val="nil"/>
              <w:right w:val="nil"/>
            </w:tcBorders>
            <w:shd w:val="clear" w:color="auto" w:fill="auto"/>
            <w:noWrap/>
            <w:vAlign w:val="center"/>
          </w:tcPr>
          <w:p w14:paraId="76C52AD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lang w:val="en-US"/>
              </w:rPr>
            </w:pPr>
            <w:bookmarkStart w:id="0" w:name="_GoBack"/>
            <w:bookmarkEnd w:id="0"/>
            <w:r>
              <w:rPr>
                <w:rFonts w:hint="default" w:ascii="Times New Roman" w:hAnsi="Times New Roman" w:eastAsia="宋体" w:cs="Times New Roman"/>
                <w:i w:val="0"/>
                <w:iCs w:val="0"/>
                <w:color w:val="000000"/>
                <w:kern w:val="0"/>
                <w:sz w:val="20"/>
                <w:szCs w:val="20"/>
                <w:u w:val="none"/>
                <w:lang w:val="en-US" w:eastAsia="zh-CN" w:bidi="ar"/>
              </w:rPr>
              <w:t>C</w:t>
            </w:r>
            <w:r>
              <w:rPr>
                <w:rFonts w:hint="eastAsia" w:ascii="Times New Roman" w:hAnsi="Times New Roman" w:eastAsia="宋体" w:cs="Times New Roman"/>
                <w:i w:val="0"/>
                <w:iCs w:val="0"/>
                <w:color w:val="000000"/>
                <w:kern w:val="0"/>
                <w:sz w:val="20"/>
                <w:szCs w:val="20"/>
                <w:u w:val="none"/>
                <w:lang w:val="en-US" w:eastAsia="zh-CN" w:bidi="ar"/>
              </w:rPr>
              <w:t>rude Prevalence Rate</w:t>
            </w:r>
          </w:p>
        </w:tc>
        <w:tc>
          <w:tcPr>
            <w:tcW w:w="236" w:type="dxa"/>
            <w:tcBorders>
              <w:top w:val="single" w:color="000000" w:sz="4" w:space="0"/>
              <w:left w:val="nil"/>
              <w:bottom w:val="nil"/>
              <w:right w:val="nil"/>
            </w:tcBorders>
            <w:shd w:val="clear" w:color="auto" w:fill="auto"/>
            <w:noWrap/>
            <w:vAlign w:val="center"/>
          </w:tcPr>
          <w:p w14:paraId="33280E46">
            <w:pPr>
              <w:jc w:val="center"/>
              <w:rPr>
                <w:rFonts w:hint="default" w:ascii="Times New Roman" w:hAnsi="Times New Roman" w:eastAsia="宋体" w:cs="Times New Roman"/>
                <w:i w:val="0"/>
                <w:iCs w:val="0"/>
                <w:color w:val="000000"/>
                <w:sz w:val="20"/>
                <w:szCs w:val="20"/>
                <w:u w:val="none"/>
              </w:rPr>
            </w:pPr>
          </w:p>
        </w:tc>
        <w:tc>
          <w:tcPr>
            <w:tcW w:w="2891" w:type="dxa"/>
            <w:gridSpan w:val="3"/>
            <w:tcBorders>
              <w:top w:val="single" w:color="000000" w:sz="4" w:space="0"/>
              <w:left w:val="nil"/>
              <w:bottom w:val="nil"/>
              <w:right w:val="nil"/>
            </w:tcBorders>
            <w:shd w:val="clear" w:color="auto" w:fill="auto"/>
            <w:noWrap/>
            <w:vAlign w:val="center"/>
          </w:tcPr>
          <w:p w14:paraId="52C5AD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Crude DALY </w:t>
            </w:r>
            <w:r>
              <w:rPr>
                <w:rFonts w:hint="eastAsia" w:ascii="Times New Roman" w:hAnsi="Times New Roman" w:eastAsia="宋体" w:cs="Times New Roman"/>
                <w:i w:val="0"/>
                <w:iCs w:val="0"/>
                <w:color w:val="000000"/>
                <w:kern w:val="0"/>
                <w:sz w:val="20"/>
                <w:szCs w:val="20"/>
                <w:u w:val="none"/>
                <w:lang w:val="en-US" w:eastAsia="zh-CN" w:bidi="ar"/>
              </w:rPr>
              <w:t>R</w:t>
            </w:r>
            <w:r>
              <w:rPr>
                <w:rFonts w:hint="default" w:ascii="Times New Roman" w:hAnsi="Times New Roman" w:eastAsia="宋体" w:cs="Times New Roman"/>
                <w:i w:val="0"/>
                <w:iCs w:val="0"/>
                <w:color w:val="000000"/>
                <w:kern w:val="0"/>
                <w:sz w:val="20"/>
                <w:szCs w:val="20"/>
                <w:u w:val="none"/>
                <w:lang w:val="en-US" w:eastAsia="zh-CN" w:bidi="ar"/>
              </w:rPr>
              <w:t>ate</w:t>
            </w:r>
          </w:p>
        </w:tc>
      </w:tr>
      <w:tr w14:paraId="2E6D5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jc w:val="center"/>
        </w:trPr>
        <w:tc>
          <w:tcPr>
            <w:tcW w:w="786" w:type="dxa"/>
            <w:tcBorders>
              <w:top w:val="nil"/>
              <w:left w:val="nil"/>
              <w:bottom w:val="single" w:color="000000" w:sz="4" w:space="0"/>
              <w:right w:val="nil"/>
            </w:tcBorders>
            <w:shd w:val="clear" w:color="auto" w:fill="auto"/>
            <w:noWrap/>
            <w:vAlign w:val="center"/>
          </w:tcPr>
          <w:p w14:paraId="50601CB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Year</w:t>
            </w:r>
          </w:p>
        </w:tc>
        <w:tc>
          <w:tcPr>
            <w:tcW w:w="935" w:type="dxa"/>
            <w:tcBorders>
              <w:top w:val="single" w:color="000000" w:sz="4" w:space="0"/>
              <w:left w:val="nil"/>
              <w:bottom w:val="single" w:color="000000" w:sz="4" w:space="0"/>
              <w:right w:val="nil"/>
            </w:tcBorders>
            <w:shd w:val="clear" w:color="auto" w:fill="auto"/>
            <w:noWrap/>
            <w:vAlign w:val="center"/>
          </w:tcPr>
          <w:p w14:paraId="7770AEB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Both</w:t>
            </w:r>
          </w:p>
        </w:tc>
        <w:tc>
          <w:tcPr>
            <w:tcW w:w="1045" w:type="dxa"/>
            <w:tcBorders>
              <w:top w:val="single" w:color="000000" w:sz="4" w:space="0"/>
              <w:left w:val="nil"/>
              <w:bottom w:val="single" w:color="000000" w:sz="4" w:space="0"/>
              <w:right w:val="nil"/>
            </w:tcBorders>
            <w:shd w:val="clear" w:color="auto" w:fill="auto"/>
            <w:noWrap/>
            <w:vAlign w:val="center"/>
          </w:tcPr>
          <w:p w14:paraId="1A3CED5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Male</w:t>
            </w:r>
          </w:p>
        </w:tc>
        <w:tc>
          <w:tcPr>
            <w:tcW w:w="1046" w:type="dxa"/>
            <w:tcBorders>
              <w:top w:val="single" w:color="000000" w:sz="4" w:space="0"/>
              <w:left w:val="nil"/>
              <w:bottom w:val="single" w:color="000000" w:sz="4" w:space="0"/>
              <w:right w:val="nil"/>
            </w:tcBorders>
            <w:shd w:val="clear" w:color="auto" w:fill="auto"/>
            <w:noWrap/>
            <w:vAlign w:val="center"/>
          </w:tcPr>
          <w:p w14:paraId="455E2B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Female</w:t>
            </w:r>
          </w:p>
        </w:tc>
        <w:tc>
          <w:tcPr>
            <w:tcW w:w="236" w:type="dxa"/>
            <w:tcBorders>
              <w:top w:val="nil"/>
              <w:left w:val="nil"/>
              <w:bottom w:val="single" w:color="000000" w:sz="4" w:space="0"/>
              <w:right w:val="nil"/>
            </w:tcBorders>
            <w:shd w:val="clear" w:color="auto" w:fill="auto"/>
            <w:noWrap/>
            <w:vAlign w:val="center"/>
          </w:tcPr>
          <w:p w14:paraId="750877F1">
            <w:pPr>
              <w:jc w:val="center"/>
              <w:rPr>
                <w:rFonts w:hint="default" w:ascii="Times New Roman" w:hAnsi="Times New Roman" w:eastAsia="宋体" w:cs="Times New Roman"/>
                <w:i w:val="0"/>
                <w:iCs w:val="0"/>
                <w:color w:val="000000"/>
                <w:sz w:val="20"/>
                <w:szCs w:val="20"/>
                <w:u w:val="none"/>
              </w:rPr>
            </w:pPr>
          </w:p>
        </w:tc>
        <w:tc>
          <w:tcPr>
            <w:tcW w:w="1046" w:type="dxa"/>
            <w:tcBorders>
              <w:top w:val="single" w:color="000000" w:sz="4" w:space="0"/>
              <w:left w:val="nil"/>
              <w:bottom w:val="single" w:color="000000" w:sz="4" w:space="0"/>
              <w:right w:val="nil"/>
            </w:tcBorders>
            <w:shd w:val="clear" w:color="auto" w:fill="auto"/>
            <w:noWrap/>
            <w:vAlign w:val="center"/>
          </w:tcPr>
          <w:p w14:paraId="205E6EE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Both</w:t>
            </w:r>
          </w:p>
        </w:tc>
        <w:tc>
          <w:tcPr>
            <w:tcW w:w="1046" w:type="dxa"/>
            <w:tcBorders>
              <w:top w:val="single" w:color="000000" w:sz="4" w:space="0"/>
              <w:left w:val="nil"/>
              <w:bottom w:val="single" w:color="000000" w:sz="4" w:space="0"/>
              <w:right w:val="nil"/>
            </w:tcBorders>
            <w:shd w:val="clear" w:color="auto" w:fill="auto"/>
            <w:noWrap/>
            <w:vAlign w:val="center"/>
          </w:tcPr>
          <w:p w14:paraId="3E6E3E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Male</w:t>
            </w:r>
          </w:p>
        </w:tc>
        <w:tc>
          <w:tcPr>
            <w:tcW w:w="1047" w:type="dxa"/>
            <w:tcBorders>
              <w:top w:val="single" w:color="000000" w:sz="4" w:space="0"/>
              <w:left w:val="nil"/>
              <w:bottom w:val="single" w:color="000000" w:sz="4" w:space="0"/>
              <w:right w:val="nil"/>
            </w:tcBorders>
            <w:shd w:val="clear" w:color="auto" w:fill="auto"/>
            <w:noWrap/>
            <w:vAlign w:val="center"/>
          </w:tcPr>
          <w:p w14:paraId="4F5E6ED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Female</w:t>
            </w:r>
          </w:p>
        </w:tc>
        <w:tc>
          <w:tcPr>
            <w:tcW w:w="236" w:type="dxa"/>
            <w:tcBorders>
              <w:top w:val="nil"/>
              <w:left w:val="nil"/>
              <w:bottom w:val="single" w:color="000000" w:sz="4" w:space="0"/>
              <w:right w:val="nil"/>
            </w:tcBorders>
            <w:shd w:val="clear" w:color="auto" w:fill="auto"/>
            <w:noWrap/>
            <w:vAlign w:val="center"/>
          </w:tcPr>
          <w:p w14:paraId="34CB7820">
            <w:pPr>
              <w:jc w:val="center"/>
              <w:rPr>
                <w:rFonts w:hint="default" w:ascii="Times New Roman" w:hAnsi="Times New Roman" w:eastAsia="宋体" w:cs="Times New Roman"/>
                <w:i w:val="0"/>
                <w:iCs w:val="0"/>
                <w:color w:val="000000"/>
                <w:sz w:val="20"/>
                <w:szCs w:val="20"/>
                <w:u w:val="none"/>
              </w:rPr>
            </w:pPr>
          </w:p>
        </w:tc>
        <w:tc>
          <w:tcPr>
            <w:tcW w:w="1011" w:type="dxa"/>
            <w:tcBorders>
              <w:top w:val="single" w:color="000000" w:sz="4" w:space="0"/>
              <w:left w:val="nil"/>
              <w:bottom w:val="single" w:color="000000" w:sz="4" w:space="0"/>
              <w:right w:val="nil"/>
            </w:tcBorders>
            <w:shd w:val="clear" w:color="auto" w:fill="auto"/>
            <w:noWrap/>
            <w:vAlign w:val="center"/>
          </w:tcPr>
          <w:p w14:paraId="4A0E48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Both</w:t>
            </w:r>
          </w:p>
        </w:tc>
        <w:tc>
          <w:tcPr>
            <w:tcW w:w="915" w:type="dxa"/>
            <w:tcBorders>
              <w:top w:val="single" w:color="000000" w:sz="4" w:space="0"/>
              <w:left w:val="nil"/>
              <w:bottom w:val="single" w:color="000000" w:sz="4" w:space="0"/>
              <w:right w:val="nil"/>
            </w:tcBorders>
            <w:shd w:val="clear" w:color="auto" w:fill="auto"/>
            <w:noWrap/>
            <w:vAlign w:val="center"/>
          </w:tcPr>
          <w:p w14:paraId="121865F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Male</w:t>
            </w:r>
          </w:p>
        </w:tc>
        <w:tc>
          <w:tcPr>
            <w:tcW w:w="965" w:type="dxa"/>
            <w:tcBorders>
              <w:top w:val="single" w:color="000000" w:sz="4" w:space="0"/>
              <w:left w:val="nil"/>
              <w:bottom w:val="single" w:color="000000" w:sz="4" w:space="0"/>
              <w:right w:val="nil"/>
            </w:tcBorders>
            <w:shd w:val="clear" w:color="auto" w:fill="auto"/>
            <w:noWrap/>
            <w:vAlign w:val="center"/>
          </w:tcPr>
          <w:p w14:paraId="2E7ACD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Female</w:t>
            </w:r>
          </w:p>
        </w:tc>
      </w:tr>
      <w:tr w14:paraId="21B1A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 w:hRule="atLeast"/>
          <w:jc w:val="center"/>
        </w:trPr>
        <w:tc>
          <w:tcPr>
            <w:tcW w:w="786" w:type="dxa"/>
            <w:tcBorders>
              <w:top w:val="nil"/>
              <w:left w:val="nil"/>
              <w:bottom w:val="nil"/>
              <w:right w:val="nil"/>
            </w:tcBorders>
            <w:shd w:val="clear" w:color="auto" w:fill="auto"/>
            <w:noWrap/>
            <w:vAlign w:val="center"/>
          </w:tcPr>
          <w:p w14:paraId="7F7658E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1990</w:t>
            </w:r>
          </w:p>
        </w:tc>
        <w:tc>
          <w:tcPr>
            <w:tcW w:w="935" w:type="dxa"/>
            <w:tcBorders>
              <w:top w:val="nil"/>
              <w:left w:val="nil"/>
              <w:bottom w:val="nil"/>
              <w:right w:val="nil"/>
            </w:tcBorders>
            <w:shd w:val="clear" w:color="auto" w:fill="auto"/>
            <w:noWrap/>
            <w:vAlign w:val="center"/>
          </w:tcPr>
          <w:p w14:paraId="14FFF16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2536.77 </w:t>
            </w:r>
          </w:p>
        </w:tc>
        <w:tc>
          <w:tcPr>
            <w:tcW w:w="1045" w:type="dxa"/>
            <w:tcBorders>
              <w:top w:val="nil"/>
              <w:left w:val="nil"/>
              <w:bottom w:val="nil"/>
              <w:right w:val="nil"/>
            </w:tcBorders>
            <w:shd w:val="clear" w:color="auto" w:fill="auto"/>
            <w:noWrap/>
            <w:vAlign w:val="center"/>
          </w:tcPr>
          <w:p w14:paraId="69B43F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1966.80 </w:t>
            </w:r>
          </w:p>
        </w:tc>
        <w:tc>
          <w:tcPr>
            <w:tcW w:w="1046" w:type="dxa"/>
            <w:tcBorders>
              <w:top w:val="nil"/>
              <w:left w:val="nil"/>
              <w:bottom w:val="nil"/>
              <w:right w:val="nil"/>
            </w:tcBorders>
            <w:shd w:val="clear" w:color="auto" w:fill="auto"/>
            <w:noWrap/>
            <w:vAlign w:val="center"/>
          </w:tcPr>
          <w:p w14:paraId="7944B6A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3143.97 </w:t>
            </w:r>
          </w:p>
        </w:tc>
        <w:tc>
          <w:tcPr>
            <w:tcW w:w="236" w:type="dxa"/>
            <w:tcBorders>
              <w:top w:val="nil"/>
              <w:left w:val="nil"/>
              <w:bottom w:val="nil"/>
              <w:right w:val="nil"/>
            </w:tcBorders>
            <w:shd w:val="clear" w:color="auto" w:fill="auto"/>
            <w:noWrap/>
            <w:vAlign w:val="center"/>
          </w:tcPr>
          <w:p w14:paraId="79D77CB7">
            <w:pPr>
              <w:jc w:val="center"/>
              <w:rPr>
                <w:rFonts w:hint="default" w:ascii="Times New Roman" w:hAnsi="Times New Roman" w:eastAsia="宋体" w:cs="Times New Roman"/>
                <w:i w:val="0"/>
                <w:iCs w:val="0"/>
                <w:color w:val="000000"/>
                <w:sz w:val="20"/>
                <w:szCs w:val="20"/>
                <w:u w:val="none"/>
              </w:rPr>
            </w:pPr>
          </w:p>
        </w:tc>
        <w:tc>
          <w:tcPr>
            <w:tcW w:w="1046" w:type="dxa"/>
            <w:tcBorders>
              <w:top w:val="nil"/>
              <w:left w:val="nil"/>
              <w:bottom w:val="nil"/>
              <w:right w:val="nil"/>
            </w:tcBorders>
            <w:shd w:val="clear" w:color="auto" w:fill="auto"/>
            <w:noWrap/>
            <w:vAlign w:val="center"/>
          </w:tcPr>
          <w:p w14:paraId="501768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5803.95 </w:t>
            </w:r>
          </w:p>
        </w:tc>
        <w:tc>
          <w:tcPr>
            <w:tcW w:w="1046" w:type="dxa"/>
            <w:tcBorders>
              <w:top w:val="nil"/>
              <w:left w:val="nil"/>
              <w:bottom w:val="nil"/>
              <w:right w:val="nil"/>
            </w:tcBorders>
            <w:shd w:val="clear" w:color="auto" w:fill="auto"/>
            <w:noWrap/>
            <w:vAlign w:val="center"/>
          </w:tcPr>
          <w:p w14:paraId="3520522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4369.96 </w:t>
            </w:r>
          </w:p>
        </w:tc>
        <w:tc>
          <w:tcPr>
            <w:tcW w:w="1047" w:type="dxa"/>
            <w:tcBorders>
              <w:top w:val="nil"/>
              <w:left w:val="nil"/>
              <w:bottom w:val="nil"/>
              <w:right w:val="nil"/>
            </w:tcBorders>
            <w:shd w:val="clear" w:color="auto" w:fill="auto"/>
            <w:noWrap/>
            <w:vAlign w:val="center"/>
          </w:tcPr>
          <w:p w14:paraId="178112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7331.64 </w:t>
            </w:r>
          </w:p>
        </w:tc>
        <w:tc>
          <w:tcPr>
            <w:tcW w:w="236" w:type="dxa"/>
            <w:tcBorders>
              <w:top w:val="nil"/>
              <w:left w:val="nil"/>
              <w:bottom w:val="nil"/>
              <w:right w:val="nil"/>
            </w:tcBorders>
            <w:shd w:val="clear" w:color="auto" w:fill="auto"/>
            <w:noWrap/>
            <w:vAlign w:val="center"/>
          </w:tcPr>
          <w:p w14:paraId="4FE9FFE3">
            <w:pPr>
              <w:jc w:val="center"/>
              <w:rPr>
                <w:rFonts w:hint="default" w:ascii="Times New Roman" w:hAnsi="Times New Roman" w:eastAsia="宋体" w:cs="Times New Roman"/>
                <w:i w:val="0"/>
                <w:iCs w:val="0"/>
                <w:color w:val="000000"/>
                <w:sz w:val="20"/>
                <w:szCs w:val="20"/>
                <w:u w:val="none"/>
              </w:rPr>
            </w:pPr>
          </w:p>
        </w:tc>
        <w:tc>
          <w:tcPr>
            <w:tcW w:w="1011" w:type="dxa"/>
            <w:tcBorders>
              <w:top w:val="nil"/>
              <w:left w:val="nil"/>
              <w:bottom w:val="nil"/>
              <w:right w:val="nil"/>
            </w:tcBorders>
            <w:shd w:val="clear" w:color="auto" w:fill="auto"/>
            <w:noWrap/>
            <w:vAlign w:val="center"/>
          </w:tcPr>
          <w:p w14:paraId="41555E1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660.71 </w:t>
            </w:r>
          </w:p>
        </w:tc>
        <w:tc>
          <w:tcPr>
            <w:tcW w:w="915" w:type="dxa"/>
            <w:tcBorders>
              <w:top w:val="nil"/>
              <w:left w:val="nil"/>
              <w:bottom w:val="nil"/>
              <w:right w:val="nil"/>
            </w:tcBorders>
            <w:shd w:val="clear" w:color="auto" w:fill="auto"/>
            <w:noWrap/>
            <w:vAlign w:val="center"/>
          </w:tcPr>
          <w:p w14:paraId="5DA4E7B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503.54 </w:t>
            </w:r>
          </w:p>
        </w:tc>
        <w:tc>
          <w:tcPr>
            <w:tcW w:w="965" w:type="dxa"/>
            <w:tcBorders>
              <w:top w:val="nil"/>
              <w:left w:val="nil"/>
              <w:bottom w:val="nil"/>
              <w:right w:val="nil"/>
            </w:tcBorders>
            <w:shd w:val="clear" w:color="auto" w:fill="auto"/>
            <w:noWrap/>
            <w:vAlign w:val="center"/>
          </w:tcPr>
          <w:p w14:paraId="0D00016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828.14 </w:t>
            </w:r>
          </w:p>
        </w:tc>
      </w:tr>
      <w:tr w14:paraId="5E111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86" w:type="dxa"/>
            <w:tcBorders>
              <w:top w:val="nil"/>
              <w:left w:val="nil"/>
              <w:bottom w:val="nil"/>
              <w:right w:val="nil"/>
            </w:tcBorders>
            <w:shd w:val="clear" w:color="auto" w:fill="auto"/>
            <w:noWrap/>
            <w:vAlign w:val="center"/>
          </w:tcPr>
          <w:p w14:paraId="378842F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1991</w:t>
            </w:r>
          </w:p>
        </w:tc>
        <w:tc>
          <w:tcPr>
            <w:tcW w:w="935" w:type="dxa"/>
            <w:tcBorders>
              <w:top w:val="nil"/>
              <w:left w:val="nil"/>
              <w:bottom w:val="nil"/>
              <w:right w:val="nil"/>
            </w:tcBorders>
            <w:shd w:val="clear" w:color="auto" w:fill="auto"/>
            <w:noWrap/>
            <w:vAlign w:val="center"/>
          </w:tcPr>
          <w:p w14:paraId="52F18F1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2458.39 </w:t>
            </w:r>
          </w:p>
        </w:tc>
        <w:tc>
          <w:tcPr>
            <w:tcW w:w="1045" w:type="dxa"/>
            <w:tcBorders>
              <w:top w:val="nil"/>
              <w:left w:val="nil"/>
              <w:bottom w:val="nil"/>
              <w:right w:val="nil"/>
            </w:tcBorders>
            <w:shd w:val="clear" w:color="auto" w:fill="auto"/>
            <w:noWrap/>
            <w:vAlign w:val="center"/>
          </w:tcPr>
          <w:p w14:paraId="38D618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1932.58 </w:t>
            </w:r>
          </w:p>
        </w:tc>
        <w:tc>
          <w:tcPr>
            <w:tcW w:w="1046" w:type="dxa"/>
            <w:tcBorders>
              <w:top w:val="nil"/>
              <w:left w:val="nil"/>
              <w:bottom w:val="nil"/>
              <w:right w:val="nil"/>
            </w:tcBorders>
            <w:shd w:val="clear" w:color="auto" w:fill="auto"/>
            <w:noWrap/>
            <w:vAlign w:val="center"/>
          </w:tcPr>
          <w:p w14:paraId="08222E7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3019.62 </w:t>
            </w:r>
          </w:p>
        </w:tc>
        <w:tc>
          <w:tcPr>
            <w:tcW w:w="236" w:type="dxa"/>
            <w:tcBorders>
              <w:top w:val="nil"/>
              <w:left w:val="nil"/>
              <w:bottom w:val="nil"/>
              <w:right w:val="nil"/>
            </w:tcBorders>
            <w:shd w:val="clear" w:color="auto" w:fill="auto"/>
            <w:noWrap/>
            <w:vAlign w:val="center"/>
          </w:tcPr>
          <w:p w14:paraId="0298DB82">
            <w:pPr>
              <w:jc w:val="center"/>
              <w:rPr>
                <w:rFonts w:hint="default" w:ascii="Times New Roman" w:hAnsi="Times New Roman" w:eastAsia="宋体" w:cs="Times New Roman"/>
                <w:i w:val="0"/>
                <w:iCs w:val="0"/>
                <w:color w:val="000000"/>
                <w:sz w:val="20"/>
                <w:szCs w:val="20"/>
                <w:u w:val="none"/>
              </w:rPr>
            </w:pPr>
          </w:p>
        </w:tc>
        <w:tc>
          <w:tcPr>
            <w:tcW w:w="1046" w:type="dxa"/>
            <w:tcBorders>
              <w:top w:val="nil"/>
              <w:left w:val="nil"/>
              <w:bottom w:val="nil"/>
              <w:right w:val="nil"/>
            </w:tcBorders>
            <w:shd w:val="clear" w:color="auto" w:fill="auto"/>
            <w:noWrap/>
            <w:vAlign w:val="center"/>
          </w:tcPr>
          <w:p w14:paraId="4FA527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5608.08 </w:t>
            </w:r>
          </w:p>
        </w:tc>
        <w:tc>
          <w:tcPr>
            <w:tcW w:w="1046" w:type="dxa"/>
            <w:tcBorders>
              <w:top w:val="nil"/>
              <w:left w:val="nil"/>
              <w:bottom w:val="nil"/>
              <w:right w:val="nil"/>
            </w:tcBorders>
            <w:shd w:val="clear" w:color="auto" w:fill="auto"/>
            <w:noWrap/>
            <w:vAlign w:val="center"/>
          </w:tcPr>
          <w:p w14:paraId="4687CA5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4291.28 </w:t>
            </w:r>
          </w:p>
        </w:tc>
        <w:tc>
          <w:tcPr>
            <w:tcW w:w="1047" w:type="dxa"/>
            <w:tcBorders>
              <w:top w:val="nil"/>
              <w:left w:val="nil"/>
              <w:bottom w:val="nil"/>
              <w:right w:val="nil"/>
            </w:tcBorders>
            <w:shd w:val="clear" w:color="auto" w:fill="auto"/>
            <w:noWrap/>
            <w:vAlign w:val="center"/>
          </w:tcPr>
          <w:p w14:paraId="4C66DE4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7013.58 </w:t>
            </w:r>
          </w:p>
        </w:tc>
        <w:tc>
          <w:tcPr>
            <w:tcW w:w="236" w:type="dxa"/>
            <w:tcBorders>
              <w:top w:val="nil"/>
              <w:left w:val="nil"/>
              <w:bottom w:val="nil"/>
              <w:right w:val="nil"/>
            </w:tcBorders>
            <w:shd w:val="clear" w:color="auto" w:fill="auto"/>
            <w:noWrap/>
            <w:vAlign w:val="center"/>
          </w:tcPr>
          <w:p w14:paraId="283D1C44">
            <w:pPr>
              <w:jc w:val="center"/>
              <w:rPr>
                <w:rFonts w:hint="default" w:ascii="Times New Roman" w:hAnsi="Times New Roman" w:eastAsia="宋体" w:cs="Times New Roman"/>
                <w:i w:val="0"/>
                <w:iCs w:val="0"/>
                <w:color w:val="000000"/>
                <w:sz w:val="20"/>
                <w:szCs w:val="20"/>
                <w:u w:val="none"/>
              </w:rPr>
            </w:pPr>
          </w:p>
        </w:tc>
        <w:tc>
          <w:tcPr>
            <w:tcW w:w="1011" w:type="dxa"/>
            <w:tcBorders>
              <w:top w:val="nil"/>
              <w:left w:val="nil"/>
              <w:bottom w:val="nil"/>
              <w:right w:val="nil"/>
            </w:tcBorders>
            <w:shd w:val="clear" w:color="auto" w:fill="auto"/>
            <w:noWrap/>
            <w:vAlign w:val="center"/>
          </w:tcPr>
          <w:p w14:paraId="78E064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638.73 </w:t>
            </w:r>
          </w:p>
        </w:tc>
        <w:tc>
          <w:tcPr>
            <w:tcW w:w="915" w:type="dxa"/>
            <w:tcBorders>
              <w:top w:val="nil"/>
              <w:left w:val="nil"/>
              <w:bottom w:val="nil"/>
              <w:right w:val="nil"/>
            </w:tcBorders>
            <w:shd w:val="clear" w:color="auto" w:fill="auto"/>
            <w:noWrap/>
            <w:vAlign w:val="center"/>
          </w:tcPr>
          <w:p w14:paraId="08D490F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494.62 </w:t>
            </w:r>
          </w:p>
        </w:tc>
        <w:tc>
          <w:tcPr>
            <w:tcW w:w="965" w:type="dxa"/>
            <w:tcBorders>
              <w:top w:val="nil"/>
              <w:left w:val="nil"/>
              <w:bottom w:val="nil"/>
              <w:right w:val="nil"/>
            </w:tcBorders>
            <w:shd w:val="clear" w:color="auto" w:fill="auto"/>
            <w:noWrap/>
            <w:vAlign w:val="center"/>
          </w:tcPr>
          <w:p w14:paraId="2F72FD8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792.56 </w:t>
            </w:r>
          </w:p>
        </w:tc>
      </w:tr>
      <w:tr w14:paraId="4FC54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786" w:type="dxa"/>
            <w:tcBorders>
              <w:top w:val="nil"/>
              <w:left w:val="nil"/>
              <w:bottom w:val="nil"/>
              <w:right w:val="nil"/>
            </w:tcBorders>
            <w:shd w:val="clear" w:color="auto" w:fill="auto"/>
            <w:noWrap/>
            <w:vAlign w:val="center"/>
          </w:tcPr>
          <w:p w14:paraId="4DCD111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1992</w:t>
            </w:r>
          </w:p>
        </w:tc>
        <w:tc>
          <w:tcPr>
            <w:tcW w:w="935" w:type="dxa"/>
            <w:tcBorders>
              <w:top w:val="nil"/>
              <w:left w:val="nil"/>
              <w:bottom w:val="nil"/>
              <w:right w:val="nil"/>
            </w:tcBorders>
            <w:shd w:val="clear" w:color="auto" w:fill="auto"/>
            <w:noWrap/>
            <w:vAlign w:val="center"/>
          </w:tcPr>
          <w:p w14:paraId="27406A2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2388.58 </w:t>
            </w:r>
          </w:p>
        </w:tc>
        <w:tc>
          <w:tcPr>
            <w:tcW w:w="1045" w:type="dxa"/>
            <w:tcBorders>
              <w:top w:val="nil"/>
              <w:left w:val="nil"/>
              <w:bottom w:val="nil"/>
              <w:right w:val="nil"/>
            </w:tcBorders>
            <w:shd w:val="clear" w:color="auto" w:fill="auto"/>
            <w:noWrap/>
            <w:vAlign w:val="center"/>
          </w:tcPr>
          <w:p w14:paraId="0C0377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1904.11 </w:t>
            </w:r>
          </w:p>
        </w:tc>
        <w:tc>
          <w:tcPr>
            <w:tcW w:w="1046" w:type="dxa"/>
            <w:tcBorders>
              <w:top w:val="nil"/>
              <w:left w:val="nil"/>
              <w:bottom w:val="nil"/>
              <w:right w:val="nil"/>
            </w:tcBorders>
            <w:shd w:val="clear" w:color="auto" w:fill="auto"/>
            <w:noWrap/>
            <w:vAlign w:val="center"/>
          </w:tcPr>
          <w:p w14:paraId="1FC786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2906.45 </w:t>
            </w:r>
          </w:p>
        </w:tc>
        <w:tc>
          <w:tcPr>
            <w:tcW w:w="236" w:type="dxa"/>
            <w:tcBorders>
              <w:top w:val="nil"/>
              <w:left w:val="nil"/>
              <w:bottom w:val="nil"/>
              <w:right w:val="nil"/>
            </w:tcBorders>
            <w:shd w:val="clear" w:color="auto" w:fill="auto"/>
            <w:noWrap/>
            <w:vAlign w:val="center"/>
          </w:tcPr>
          <w:p w14:paraId="5985E856">
            <w:pPr>
              <w:jc w:val="center"/>
              <w:rPr>
                <w:rFonts w:hint="default" w:ascii="Times New Roman" w:hAnsi="Times New Roman" w:eastAsia="宋体" w:cs="Times New Roman"/>
                <w:i w:val="0"/>
                <w:iCs w:val="0"/>
                <w:color w:val="000000"/>
                <w:sz w:val="20"/>
                <w:szCs w:val="20"/>
                <w:u w:val="none"/>
              </w:rPr>
            </w:pPr>
          </w:p>
        </w:tc>
        <w:tc>
          <w:tcPr>
            <w:tcW w:w="1046" w:type="dxa"/>
            <w:tcBorders>
              <w:top w:val="nil"/>
              <w:left w:val="nil"/>
              <w:bottom w:val="nil"/>
              <w:right w:val="nil"/>
            </w:tcBorders>
            <w:shd w:val="clear" w:color="auto" w:fill="auto"/>
            <w:noWrap/>
            <w:vAlign w:val="center"/>
          </w:tcPr>
          <w:p w14:paraId="43DF987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5431.27 </w:t>
            </w:r>
          </w:p>
        </w:tc>
        <w:tc>
          <w:tcPr>
            <w:tcW w:w="1046" w:type="dxa"/>
            <w:tcBorders>
              <w:top w:val="nil"/>
              <w:left w:val="nil"/>
              <w:bottom w:val="nil"/>
              <w:right w:val="nil"/>
            </w:tcBorders>
            <w:shd w:val="clear" w:color="auto" w:fill="auto"/>
            <w:noWrap/>
            <w:vAlign w:val="center"/>
          </w:tcPr>
          <w:p w14:paraId="44A76D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4224.82 </w:t>
            </w:r>
          </w:p>
        </w:tc>
        <w:tc>
          <w:tcPr>
            <w:tcW w:w="1047" w:type="dxa"/>
            <w:tcBorders>
              <w:top w:val="nil"/>
              <w:left w:val="nil"/>
              <w:bottom w:val="nil"/>
              <w:right w:val="nil"/>
            </w:tcBorders>
            <w:shd w:val="clear" w:color="auto" w:fill="auto"/>
            <w:noWrap/>
            <w:vAlign w:val="center"/>
          </w:tcPr>
          <w:p w14:paraId="3DF6EC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6720.94 </w:t>
            </w:r>
          </w:p>
        </w:tc>
        <w:tc>
          <w:tcPr>
            <w:tcW w:w="236" w:type="dxa"/>
            <w:tcBorders>
              <w:top w:val="nil"/>
              <w:left w:val="nil"/>
              <w:bottom w:val="nil"/>
              <w:right w:val="nil"/>
            </w:tcBorders>
            <w:shd w:val="clear" w:color="auto" w:fill="auto"/>
            <w:noWrap/>
            <w:vAlign w:val="center"/>
          </w:tcPr>
          <w:p w14:paraId="65A8DFE6">
            <w:pPr>
              <w:jc w:val="center"/>
              <w:rPr>
                <w:rFonts w:hint="default" w:ascii="Times New Roman" w:hAnsi="Times New Roman" w:eastAsia="宋体" w:cs="Times New Roman"/>
                <w:i w:val="0"/>
                <w:iCs w:val="0"/>
                <w:color w:val="000000"/>
                <w:sz w:val="20"/>
                <w:szCs w:val="20"/>
                <w:u w:val="none"/>
              </w:rPr>
            </w:pPr>
          </w:p>
        </w:tc>
        <w:tc>
          <w:tcPr>
            <w:tcW w:w="1011" w:type="dxa"/>
            <w:tcBorders>
              <w:top w:val="nil"/>
              <w:left w:val="nil"/>
              <w:bottom w:val="nil"/>
              <w:right w:val="nil"/>
            </w:tcBorders>
            <w:shd w:val="clear" w:color="auto" w:fill="auto"/>
            <w:noWrap/>
            <w:vAlign w:val="center"/>
          </w:tcPr>
          <w:p w14:paraId="66D1C8E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618.64 </w:t>
            </w:r>
          </w:p>
        </w:tc>
        <w:tc>
          <w:tcPr>
            <w:tcW w:w="915" w:type="dxa"/>
            <w:tcBorders>
              <w:top w:val="nil"/>
              <w:left w:val="nil"/>
              <w:bottom w:val="nil"/>
              <w:right w:val="nil"/>
            </w:tcBorders>
            <w:shd w:val="clear" w:color="auto" w:fill="auto"/>
            <w:noWrap/>
            <w:vAlign w:val="center"/>
          </w:tcPr>
          <w:p w14:paraId="2C209D1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486.91 </w:t>
            </w:r>
          </w:p>
        </w:tc>
        <w:tc>
          <w:tcPr>
            <w:tcW w:w="965" w:type="dxa"/>
            <w:tcBorders>
              <w:top w:val="nil"/>
              <w:left w:val="nil"/>
              <w:bottom w:val="nil"/>
              <w:right w:val="nil"/>
            </w:tcBorders>
            <w:shd w:val="clear" w:color="auto" w:fill="auto"/>
            <w:noWrap/>
            <w:vAlign w:val="center"/>
          </w:tcPr>
          <w:p w14:paraId="2D1E6B5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759.45 </w:t>
            </w:r>
          </w:p>
        </w:tc>
      </w:tr>
      <w:tr w14:paraId="4E564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86" w:type="dxa"/>
            <w:tcBorders>
              <w:top w:val="nil"/>
              <w:left w:val="nil"/>
              <w:bottom w:val="nil"/>
              <w:right w:val="nil"/>
            </w:tcBorders>
            <w:shd w:val="clear" w:color="auto" w:fill="auto"/>
            <w:noWrap/>
            <w:vAlign w:val="center"/>
          </w:tcPr>
          <w:p w14:paraId="4C9628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1993</w:t>
            </w:r>
          </w:p>
        </w:tc>
        <w:tc>
          <w:tcPr>
            <w:tcW w:w="935" w:type="dxa"/>
            <w:tcBorders>
              <w:top w:val="nil"/>
              <w:left w:val="nil"/>
              <w:bottom w:val="nil"/>
              <w:right w:val="nil"/>
            </w:tcBorders>
            <w:shd w:val="clear" w:color="auto" w:fill="auto"/>
            <w:noWrap/>
            <w:vAlign w:val="center"/>
          </w:tcPr>
          <w:p w14:paraId="332414A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2335.22 </w:t>
            </w:r>
          </w:p>
        </w:tc>
        <w:tc>
          <w:tcPr>
            <w:tcW w:w="1045" w:type="dxa"/>
            <w:tcBorders>
              <w:top w:val="nil"/>
              <w:left w:val="nil"/>
              <w:bottom w:val="nil"/>
              <w:right w:val="nil"/>
            </w:tcBorders>
            <w:shd w:val="clear" w:color="auto" w:fill="auto"/>
            <w:noWrap/>
            <w:vAlign w:val="center"/>
          </w:tcPr>
          <w:p w14:paraId="3BC4D9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1885.47 </w:t>
            </w:r>
          </w:p>
        </w:tc>
        <w:tc>
          <w:tcPr>
            <w:tcW w:w="1046" w:type="dxa"/>
            <w:tcBorders>
              <w:top w:val="nil"/>
              <w:left w:val="nil"/>
              <w:bottom w:val="nil"/>
              <w:right w:val="nil"/>
            </w:tcBorders>
            <w:shd w:val="clear" w:color="auto" w:fill="auto"/>
            <w:noWrap/>
            <w:vAlign w:val="center"/>
          </w:tcPr>
          <w:p w14:paraId="381227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2816.46 </w:t>
            </w:r>
          </w:p>
        </w:tc>
        <w:tc>
          <w:tcPr>
            <w:tcW w:w="236" w:type="dxa"/>
            <w:tcBorders>
              <w:top w:val="nil"/>
              <w:left w:val="nil"/>
              <w:bottom w:val="nil"/>
              <w:right w:val="nil"/>
            </w:tcBorders>
            <w:shd w:val="clear" w:color="auto" w:fill="auto"/>
            <w:noWrap/>
            <w:vAlign w:val="center"/>
          </w:tcPr>
          <w:p w14:paraId="12B7CA39">
            <w:pPr>
              <w:jc w:val="center"/>
              <w:rPr>
                <w:rFonts w:hint="default" w:ascii="Times New Roman" w:hAnsi="Times New Roman" w:eastAsia="宋体" w:cs="Times New Roman"/>
                <w:i w:val="0"/>
                <w:iCs w:val="0"/>
                <w:color w:val="000000"/>
                <w:sz w:val="20"/>
                <w:szCs w:val="20"/>
                <w:u w:val="none"/>
              </w:rPr>
            </w:pPr>
          </w:p>
        </w:tc>
        <w:tc>
          <w:tcPr>
            <w:tcW w:w="1046" w:type="dxa"/>
            <w:tcBorders>
              <w:top w:val="nil"/>
              <w:left w:val="nil"/>
              <w:bottom w:val="nil"/>
              <w:right w:val="nil"/>
            </w:tcBorders>
            <w:shd w:val="clear" w:color="auto" w:fill="auto"/>
            <w:noWrap/>
            <w:vAlign w:val="center"/>
          </w:tcPr>
          <w:p w14:paraId="3B77A17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5293.61 </w:t>
            </w:r>
          </w:p>
        </w:tc>
        <w:tc>
          <w:tcPr>
            <w:tcW w:w="1046" w:type="dxa"/>
            <w:tcBorders>
              <w:top w:val="nil"/>
              <w:left w:val="nil"/>
              <w:bottom w:val="nil"/>
              <w:right w:val="nil"/>
            </w:tcBorders>
            <w:shd w:val="clear" w:color="auto" w:fill="auto"/>
            <w:noWrap/>
            <w:vAlign w:val="center"/>
          </w:tcPr>
          <w:p w14:paraId="0921DC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4180.39 </w:t>
            </w:r>
          </w:p>
        </w:tc>
        <w:tc>
          <w:tcPr>
            <w:tcW w:w="1047" w:type="dxa"/>
            <w:tcBorders>
              <w:top w:val="nil"/>
              <w:left w:val="nil"/>
              <w:bottom w:val="nil"/>
              <w:right w:val="nil"/>
            </w:tcBorders>
            <w:shd w:val="clear" w:color="auto" w:fill="auto"/>
            <w:noWrap/>
            <w:vAlign w:val="center"/>
          </w:tcPr>
          <w:p w14:paraId="25A4F9A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6484.80 </w:t>
            </w:r>
          </w:p>
        </w:tc>
        <w:tc>
          <w:tcPr>
            <w:tcW w:w="236" w:type="dxa"/>
            <w:tcBorders>
              <w:top w:val="nil"/>
              <w:left w:val="nil"/>
              <w:bottom w:val="nil"/>
              <w:right w:val="nil"/>
            </w:tcBorders>
            <w:shd w:val="clear" w:color="auto" w:fill="auto"/>
            <w:noWrap/>
            <w:vAlign w:val="center"/>
          </w:tcPr>
          <w:p w14:paraId="703B432E">
            <w:pPr>
              <w:jc w:val="center"/>
              <w:rPr>
                <w:rFonts w:hint="default" w:ascii="Times New Roman" w:hAnsi="Times New Roman" w:eastAsia="宋体" w:cs="Times New Roman"/>
                <w:i w:val="0"/>
                <w:iCs w:val="0"/>
                <w:color w:val="000000"/>
                <w:sz w:val="20"/>
                <w:szCs w:val="20"/>
                <w:u w:val="none"/>
              </w:rPr>
            </w:pPr>
          </w:p>
        </w:tc>
        <w:tc>
          <w:tcPr>
            <w:tcW w:w="1011" w:type="dxa"/>
            <w:tcBorders>
              <w:top w:val="nil"/>
              <w:left w:val="nil"/>
              <w:bottom w:val="nil"/>
              <w:right w:val="nil"/>
            </w:tcBorders>
            <w:shd w:val="clear" w:color="auto" w:fill="auto"/>
            <w:noWrap/>
            <w:vAlign w:val="center"/>
          </w:tcPr>
          <w:p w14:paraId="4072383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603.21 </w:t>
            </w:r>
          </w:p>
        </w:tc>
        <w:tc>
          <w:tcPr>
            <w:tcW w:w="915" w:type="dxa"/>
            <w:tcBorders>
              <w:top w:val="nil"/>
              <w:left w:val="nil"/>
              <w:bottom w:val="nil"/>
              <w:right w:val="nil"/>
            </w:tcBorders>
            <w:shd w:val="clear" w:color="auto" w:fill="auto"/>
            <w:noWrap/>
            <w:vAlign w:val="center"/>
          </w:tcPr>
          <w:p w14:paraId="30EA74E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481.95 </w:t>
            </w:r>
          </w:p>
        </w:tc>
        <w:tc>
          <w:tcPr>
            <w:tcW w:w="965" w:type="dxa"/>
            <w:tcBorders>
              <w:top w:val="nil"/>
              <w:left w:val="nil"/>
              <w:bottom w:val="nil"/>
              <w:right w:val="nil"/>
            </w:tcBorders>
            <w:shd w:val="clear" w:color="auto" w:fill="auto"/>
            <w:noWrap/>
            <w:vAlign w:val="center"/>
          </w:tcPr>
          <w:p w14:paraId="3B738D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732.95 </w:t>
            </w:r>
          </w:p>
        </w:tc>
      </w:tr>
      <w:tr w14:paraId="3CE4C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86" w:type="dxa"/>
            <w:tcBorders>
              <w:top w:val="nil"/>
              <w:left w:val="nil"/>
              <w:bottom w:val="nil"/>
              <w:right w:val="nil"/>
            </w:tcBorders>
            <w:shd w:val="clear" w:color="auto" w:fill="auto"/>
            <w:noWrap/>
            <w:vAlign w:val="center"/>
          </w:tcPr>
          <w:p w14:paraId="66E010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1994</w:t>
            </w:r>
          </w:p>
        </w:tc>
        <w:tc>
          <w:tcPr>
            <w:tcW w:w="935" w:type="dxa"/>
            <w:tcBorders>
              <w:top w:val="nil"/>
              <w:left w:val="nil"/>
              <w:bottom w:val="nil"/>
              <w:right w:val="nil"/>
            </w:tcBorders>
            <w:shd w:val="clear" w:color="auto" w:fill="auto"/>
            <w:noWrap/>
            <w:vAlign w:val="center"/>
          </w:tcPr>
          <w:p w14:paraId="7B1A54D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2308.82 </w:t>
            </w:r>
          </w:p>
        </w:tc>
        <w:tc>
          <w:tcPr>
            <w:tcW w:w="1045" w:type="dxa"/>
            <w:tcBorders>
              <w:top w:val="nil"/>
              <w:left w:val="nil"/>
              <w:bottom w:val="nil"/>
              <w:right w:val="nil"/>
            </w:tcBorders>
            <w:shd w:val="clear" w:color="auto" w:fill="auto"/>
            <w:noWrap/>
            <w:vAlign w:val="center"/>
          </w:tcPr>
          <w:p w14:paraId="23F9A1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1881.35 </w:t>
            </w:r>
          </w:p>
        </w:tc>
        <w:tc>
          <w:tcPr>
            <w:tcW w:w="1046" w:type="dxa"/>
            <w:tcBorders>
              <w:top w:val="nil"/>
              <w:left w:val="nil"/>
              <w:bottom w:val="nil"/>
              <w:right w:val="nil"/>
            </w:tcBorders>
            <w:shd w:val="clear" w:color="auto" w:fill="auto"/>
            <w:noWrap/>
            <w:vAlign w:val="center"/>
          </w:tcPr>
          <w:p w14:paraId="226F2D3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2766.43 </w:t>
            </w:r>
          </w:p>
        </w:tc>
        <w:tc>
          <w:tcPr>
            <w:tcW w:w="236" w:type="dxa"/>
            <w:tcBorders>
              <w:top w:val="nil"/>
              <w:left w:val="nil"/>
              <w:bottom w:val="nil"/>
              <w:right w:val="nil"/>
            </w:tcBorders>
            <w:shd w:val="clear" w:color="auto" w:fill="auto"/>
            <w:noWrap/>
            <w:vAlign w:val="center"/>
          </w:tcPr>
          <w:p w14:paraId="6248F667">
            <w:pPr>
              <w:jc w:val="center"/>
              <w:rPr>
                <w:rFonts w:hint="default" w:ascii="Times New Roman" w:hAnsi="Times New Roman" w:eastAsia="宋体" w:cs="Times New Roman"/>
                <w:i w:val="0"/>
                <w:iCs w:val="0"/>
                <w:color w:val="000000"/>
                <w:sz w:val="20"/>
                <w:szCs w:val="20"/>
                <w:u w:val="none"/>
              </w:rPr>
            </w:pPr>
          </w:p>
        </w:tc>
        <w:tc>
          <w:tcPr>
            <w:tcW w:w="1046" w:type="dxa"/>
            <w:tcBorders>
              <w:top w:val="nil"/>
              <w:left w:val="nil"/>
              <w:bottom w:val="nil"/>
              <w:right w:val="nil"/>
            </w:tcBorders>
            <w:shd w:val="clear" w:color="auto" w:fill="auto"/>
            <w:noWrap/>
            <w:vAlign w:val="center"/>
          </w:tcPr>
          <w:p w14:paraId="151C83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5221.81 </w:t>
            </w:r>
          </w:p>
        </w:tc>
        <w:tc>
          <w:tcPr>
            <w:tcW w:w="1046" w:type="dxa"/>
            <w:tcBorders>
              <w:top w:val="nil"/>
              <w:left w:val="nil"/>
              <w:bottom w:val="nil"/>
              <w:right w:val="nil"/>
            </w:tcBorders>
            <w:shd w:val="clear" w:color="auto" w:fill="auto"/>
            <w:noWrap/>
            <w:vAlign w:val="center"/>
          </w:tcPr>
          <w:p w14:paraId="6AE8395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4170.69 </w:t>
            </w:r>
          </w:p>
        </w:tc>
        <w:tc>
          <w:tcPr>
            <w:tcW w:w="1047" w:type="dxa"/>
            <w:tcBorders>
              <w:top w:val="nil"/>
              <w:left w:val="nil"/>
              <w:bottom w:val="nil"/>
              <w:right w:val="nil"/>
            </w:tcBorders>
            <w:shd w:val="clear" w:color="auto" w:fill="auto"/>
            <w:noWrap/>
            <w:vAlign w:val="center"/>
          </w:tcPr>
          <w:p w14:paraId="1E877C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6347.05 </w:t>
            </w:r>
          </w:p>
        </w:tc>
        <w:tc>
          <w:tcPr>
            <w:tcW w:w="236" w:type="dxa"/>
            <w:tcBorders>
              <w:top w:val="nil"/>
              <w:left w:val="nil"/>
              <w:bottom w:val="nil"/>
              <w:right w:val="nil"/>
            </w:tcBorders>
            <w:shd w:val="clear" w:color="auto" w:fill="auto"/>
            <w:noWrap/>
            <w:vAlign w:val="center"/>
          </w:tcPr>
          <w:p w14:paraId="7207A431">
            <w:pPr>
              <w:jc w:val="center"/>
              <w:rPr>
                <w:rFonts w:hint="default" w:ascii="Times New Roman" w:hAnsi="Times New Roman" w:eastAsia="宋体" w:cs="Times New Roman"/>
                <w:i w:val="0"/>
                <w:iCs w:val="0"/>
                <w:color w:val="000000"/>
                <w:sz w:val="20"/>
                <w:szCs w:val="20"/>
                <w:u w:val="none"/>
              </w:rPr>
            </w:pPr>
          </w:p>
        </w:tc>
        <w:tc>
          <w:tcPr>
            <w:tcW w:w="1011" w:type="dxa"/>
            <w:tcBorders>
              <w:top w:val="nil"/>
              <w:left w:val="nil"/>
              <w:bottom w:val="nil"/>
              <w:right w:val="nil"/>
            </w:tcBorders>
            <w:shd w:val="clear" w:color="auto" w:fill="auto"/>
            <w:noWrap/>
            <w:vAlign w:val="center"/>
          </w:tcPr>
          <w:p w14:paraId="1A2C530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595.14 </w:t>
            </w:r>
          </w:p>
        </w:tc>
        <w:tc>
          <w:tcPr>
            <w:tcW w:w="915" w:type="dxa"/>
            <w:tcBorders>
              <w:top w:val="nil"/>
              <w:left w:val="nil"/>
              <w:bottom w:val="nil"/>
              <w:right w:val="nil"/>
            </w:tcBorders>
            <w:shd w:val="clear" w:color="auto" w:fill="auto"/>
            <w:noWrap/>
            <w:vAlign w:val="center"/>
          </w:tcPr>
          <w:p w14:paraId="1F9D4BF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480.89 </w:t>
            </w:r>
          </w:p>
        </w:tc>
        <w:tc>
          <w:tcPr>
            <w:tcW w:w="965" w:type="dxa"/>
            <w:tcBorders>
              <w:top w:val="nil"/>
              <w:left w:val="nil"/>
              <w:bottom w:val="nil"/>
              <w:right w:val="nil"/>
            </w:tcBorders>
            <w:shd w:val="clear" w:color="auto" w:fill="auto"/>
            <w:noWrap/>
            <w:vAlign w:val="center"/>
          </w:tcPr>
          <w:p w14:paraId="3F59735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717.43 </w:t>
            </w:r>
          </w:p>
        </w:tc>
      </w:tr>
      <w:tr w14:paraId="76340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86" w:type="dxa"/>
            <w:tcBorders>
              <w:top w:val="nil"/>
              <w:left w:val="nil"/>
              <w:bottom w:val="nil"/>
              <w:right w:val="nil"/>
            </w:tcBorders>
            <w:shd w:val="clear" w:color="auto" w:fill="auto"/>
            <w:noWrap/>
            <w:vAlign w:val="center"/>
          </w:tcPr>
          <w:p w14:paraId="2B73A94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1995</w:t>
            </w:r>
          </w:p>
        </w:tc>
        <w:tc>
          <w:tcPr>
            <w:tcW w:w="935" w:type="dxa"/>
            <w:tcBorders>
              <w:top w:val="nil"/>
              <w:left w:val="nil"/>
              <w:bottom w:val="nil"/>
              <w:right w:val="nil"/>
            </w:tcBorders>
            <w:shd w:val="clear" w:color="auto" w:fill="auto"/>
            <w:noWrap/>
            <w:vAlign w:val="center"/>
          </w:tcPr>
          <w:p w14:paraId="6B8B60F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2315.56 </w:t>
            </w:r>
          </w:p>
        </w:tc>
        <w:tc>
          <w:tcPr>
            <w:tcW w:w="1045" w:type="dxa"/>
            <w:tcBorders>
              <w:top w:val="nil"/>
              <w:left w:val="nil"/>
              <w:bottom w:val="nil"/>
              <w:right w:val="nil"/>
            </w:tcBorders>
            <w:shd w:val="clear" w:color="auto" w:fill="auto"/>
            <w:noWrap/>
            <w:vAlign w:val="center"/>
          </w:tcPr>
          <w:p w14:paraId="2218C8D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1895.14 </w:t>
            </w:r>
          </w:p>
        </w:tc>
        <w:tc>
          <w:tcPr>
            <w:tcW w:w="1046" w:type="dxa"/>
            <w:tcBorders>
              <w:top w:val="nil"/>
              <w:left w:val="nil"/>
              <w:bottom w:val="nil"/>
              <w:right w:val="nil"/>
            </w:tcBorders>
            <w:shd w:val="clear" w:color="auto" w:fill="auto"/>
            <w:noWrap/>
            <w:vAlign w:val="center"/>
          </w:tcPr>
          <w:p w14:paraId="2937C8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2765.53 </w:t>
            </w:r>
          </w:p>
        </w:tc>
        <w:tc>
          <w:tcPr>
            <w:tcW w:w="236" w:type="dxa"/>
            <w:tcBorders>
              <w:top w:val="nil"/>
              <w:left w:val="nil"/>
              <w:bottom w:val="nil"/>
              <w:right w:val="nil"/>
            </w:tcBorders>
            <w:shd w:val="clear" w:color="auto" w:fill="auto"/>
            <w:noWrap/>
            <w:vAlign w:val="center"/>
          </w:tcPr>
          <w:p w14:paraId="205B391F">
            <w:pPr>
              <w:jc w:val="center"/>
              <w:rPr>
                <w:rFonts w:hint="default" w:ascii="Times New Roman" w:hAnsi="Times New Roman" w:eastAsia="宋体" w:cs="Times New Roman"/>
                <w:i w:val="0"/>
                <w:iCs w:val="0"/>
                <w:color w:val="000000"/>
                <w:sz w:val="20"/>
                <w:szCs w:val="20"/>
                <w:u w:val="none"/>
              </w:rPr>
            </w:pPr>
          </w:p>
        </w:tc>
        <w:tc>
          <w:tcPr>
            <w:tcW w:w="1046" w:type="dxa"/>
            <w:tcBorders>
              <w:top w:val="nil"/>
              <w:left w:val="nil"/>
              <w:bottom w:val="nil"/>
              <w:right w:val="nil"/>
            </w:tcBorders>
            <w:shd w:val="clear" w:color="auto" w:fill="auto"/>
            <w:noWrap/>
            <w:vAlign w:val="center"/>
          </w:tcPr>
          <w:p w14:paraId="6C2DF63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5232.19 </w:t>
            </w:r>
          </w:p>
        </w:tc>
        <w:tc>
          <w:tcPr>
            <w:tcW w:w="1046" w:type="dxa"/>
            <w:tcBorders>
              <w:top w:val="nil"/>
              <w:left w:val="nil"/>
              <w:bottom w:val="nil"/>
              <w:right w:val="nil"/>
            </w:tcBorders>
            <w:shd w:val="clear" w:color="auto" w:fill="auto"/>
            <w:noWrap/>
            <w:vAlign w:val="center"/>
          </w:tcPr>
          <w:p w14:paraId="0E775E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4201.21 </w:t>
            </w:r>
          </w:p>
        </w:tc>
        <w:tc>
          <w:tcPr>
            <w:tcW w:w="1047" w:type="dxa"/>
            <w:tcBorders>
              <w:top w:val="nil"/>
              <w:left w:val="nil"/>
              <w:bottom w:val="nil"/>
              <w:right w:val="nil"/>
            </w:tcBorders>
            <w:shd w:val="clear" w:color="auto" w:fill="auto"/>
            <w:noWrap/>
            <w:vAlign w:val="center"/>
          </w:tcPr>
          <w:p w14:paraId="5706347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6335.68 </w:t>
            </w:r>
          </w:p>
        </w:tc>
        <w:tc>
          <w:tcPr>
            <w:tcW w:w="236" w:type="dxa"/>
            <w:tcBorders>
              <w:top w:val="nil"/>
              <w:left w:val="nil"/>
              <w:bottom w:val="nil"/>
              <w:right w:val="nil"/>
            </w:tcBorders>
            <w:shd w:val="clear" w:color="auto" w:fill="auto"/>
            <w:noWrap/>
            <w:vAlign w:val="center"/>
          </w:tcPr>
          <w:p w14:paraId="7726619A">
            <w:pPr>
              <w:jc w:val="center"/>
              <w:rPr>
                <w:rFonts w:hint="default" w:ascii="Times New Roman" w:hAnsi="Times New Roman" w:eastAsia="宋体" w:cs="Times New Roman"/>
                <w:i w:val="0"/>
                <w:iCs w:val="0"/>
                <w:color w:val="000000"/>
                <w:sz w:val="20"/>
                <w:szCs w:val="20"/>
                <w:u w:val="none"/>
              </w:rPr>
            </w:pPr>
          </w:p>
        </w:tc>
        <w:tc>
          <w:tcPr>
            <w:tcW w:w="1011" w:type="dxa"/>
            <w:tcBorders>
              <w:top w:val="nil"/>
              <w:left w:val="nil"/>
              <w:bottom w:val="nil"/>
              <w:right w:val="nil"/>
            </w:tcBorders>
            <w:shd w:val="clear" w:color="auto" w:fill="auto"/>
            <w:noWrap/>
            <w:vAlign w:val="center"/>
          </w:tcPr>
          <w:p w14:paraId="58EB2C5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596.31 </w:t>
            </w:r>
          </w:p>
        </w:tc>
        <w:tc>
          <w:tcPr>
            <w:tcW w:w="915" w:type="dxa"/>
            <w:tcBorders>
              <w:top w:val="nil"/>
              <w:left w:val="nil"/>
              <w:bottom w:val="nil"/>
              <w:right w:val="nil"/>
            </w:tcBorders>
            <w:shd w:val="clear" w:color="auto" w:fill="auto"/>
            <w:noWrap/>
            <w:vAlign w:val="center"/>
          </w:tcPr>
          <w:p w14:paraId="014EAB6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484.45 </w:t>
            </w:r>
          </w:p>
        </w:tc>
        <w:tc>
          <w:tcPr>
            <w:tcW w:w="965" w:type="dxa"/>
            <w:tcBorders>
              <w:top w:val="nil"/>
              <w:left w:val="nil"/>
              <w:bottom w:val="nil"/>
              <w:right w:val="nil"/>
            </w:tcBorders>
            <w:shd w:val="clear" w:color="auto" w:fill="auto"/>
            <w:noWrap/>
            <w:vAlign w:val="center"/>
          </w:tcPr>
          <w:p w14:paraId="1527F61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716.03 </w:t>
            </w:r>
          </w:p>
        </w:tc>
      </w:tr>
      <w:tr w14:paraId="30A43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86" w:type="dxa"/>
            <w:tcBorders>
              <w:top w:val="nil"/>
              <w:left w:val="nil"/>
              <w:bottom w:val="nil"/>
              <w:right w:val="nil"/>
            </w:tcBorders>
            <w:shd w:val="clear" w:color="auto" w:fill="auto"/>
            <w:noWrap/>
            <w:vAlign w:val="center"/>
          </w:tcPr>
          <w:p w14:paraId="5B589E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1996</w:t>
            </w:r>
          </w:p>
        </w:tc>
        <w:tc>
          <w:tcPr>
            <w:tcW w:w="935" w:type="dxa"/>
            <w:tcBorders>
              <w:top w:val="nil"/>
              <w:left w:val="nil"/>
              <w:bottom w:val="nil"/>
              <w:right w:val="nil"/>
            </w:tcBorders>
            <w:shd w:val="clear" w:color="auto" w:fill="auto"/>
            <w:noWrap/>
            <w:vAlign w:val="center"/>
          </w:tcPr>
          <w:p w14:paraId="2736A8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2346.23 </w:t>
            </w:r>
          </w:p>
        </w:tc>
        <w:tc>
          <w:tcPr>
            <w:tcW w:w="1045" w:type="dxa"/>
            <w:tcBorders>
              <w:top w:val="nil"/>
              <w:left w:val="nil"/>
              <w:bottom w:val="nil"/>
              <w:right w:val="nil"/>
            </w:tcBorders>
            <w:shd w:val="clear" w:color="auto" w:fill="auto"/>
            <w:noWrap/>
            <w:vAlign w:val="center"/>
          </w:tcPr>
          <w:p w14:paraId="28C5BB6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1921.35 </w:t>
            </w:r>
          </w:p>
        </w:tc>
        <w:tc>
          <w:tcPr>
            <w:tcW w:w="1046" w:type="dxa"/>
            <w:tcBorders>
              <w:top w:val="nil"/>
              <w:left w:val="nil"/>
              <w:bottom w:val="nil"/>
              <w:right w:val="nil"/>
            </w:tcBorders>
            <w:shd w:val="clear" w:color="auto" w:fill="auto"/>
            <w:noWrap/>
            <w:vAlign w:val="center"/>
          </w:tcPr>
          <w:p w14:paraId="5EAF4CC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2800.65 </w:t>
            </w:r>
          </w:p>
        </w:tc>
        <w:tc>
          <w:tcPr>
            <w:tcW w:w="236" w:type="dxa"/>
            <w:tcBorders>
              <w:top w:val="nil"/>
              <w:left w:val="nil"/>
              <w:bottom w:val="nil"/>
              <w:right w:val="nil"/>
            </w:tcBorders>
            <w:shd w:val="clear" w:color="auto" w:fill="auto"/>
            <w:noWrap/>
            <w:vAlign w:val="center"/>
          </w:tcPr>
          <w:p w14:paraId="6652B287">
            <w:pPr>
              <w:jc w:val="center"/>
              <w:rPr>
                <w:rFonts w:hint="default" w:ascii="Times New Roman" w:hAnsi="Times New Roman" w:eastAsia="宋体" w:cs="Times New Roman"/>
                <w:i w:val="0"/>
                <w:iCs w:val="0"/>
                <w:color w:val="000000"/>
                <w:sz w:val="20"/>
                <w:szCs w:val="20"/>
                <w:u w:val="none"/>
              </w:rPr>
            </w:pPr>
          </w:p>
        </w:tc>
        <w:tc>
          <w:tcPr>
            <w:tcW w:w="1046" w:type="dxa"/>
            <w:tcBorders>
              <w:top w:val="nil"/>
              <w:left w:val="nil"/>
              <w:bottom w:val="nil"/>
              <w:right w:val="nil"/>
            </w:tcBorders>
            <w:shd w:val="clear" w:color="auto" w:fill="auto"/>
            <w:noWrap/>
            <w:vAlign w:val="center"/>
          </w:tcPr>
          <w:p w14:paraId="37A98A2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5301.81 </w:t>
            </w:r>
          </w:p>
        </w:tc>
        <w:tc>
          <w:tcPr>
            <w:tcW w:w="1046" w:type="dxa"/>
            <w:tcBorders>
              <w:top w:val="nil"/>
              <w:left w:val="nil"/>
              <w:bottom w:val="nil"/>
              <w:right w:val="nil"/>
            </w:tcBorders>
            <w:shd w:val="clear" w:color="auto" w:fill="auto"/>
            <w:noWrap/>
            <w:vAlign w:val="center"/>
          </w:tcPr>
          <w:p w14:paraId="417AD47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4261.25 </w:t>
            </w:r>
          </w:p>
        </w:tc>
        <w:tc>
          <w:tcPr>
            <w:tcW w:w="1047" w:type="dxa"/>
            <w:tcBorders>
              <w:top w:val="nil"/>
              <w:left w:val="nil"/>
              <w:bottom w:val="nil"/>
              <w:right w:val="nil"/>
            </w:tcBorders>
            <w:shd w:val="clear" w:color="auto" w:fill="auto"/>
            <w:noWrap/>
            <w:vAlign w:val="center"/>
          </w:tcPr>
          <w:p w14:paraId="4AD4D9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6414.68 </w:t>
            </w:r>
          </w:p>
        </w:tc>
        <w:tc>
          <w:tcPr>
            <w:tcW w:w="236" w:type="dxa"/>
            <w:tcBorders>
              <w:top w:val="nil"/>
              <w:left w:val="nil"/>
              <w:bottom w:val="nil"/>
              <w:right w:val="nil"/>
            </w:tcBorders>
            <w:shd w:val="clear" w:color="auto" w:fill="auto"/>
            <w:noWrap/>
            <w:vAlign w:val="center"/>
          </w:tcPr>
          <w:p w14:paraId="483D8A6F">
            <w:pPr>
              <w:jc w:val="center"/>
              <w:rPr>
                <w:rFonts w:hint="default" w:ascii="Times New Roman" w:hAnsi="Times New Roman" w:eastAsia="宋体" w:cs="Times New Roman"/>
                <w:i w:val="0"/>
                <w:iCs w:val="0"/>
                <w:color w:val="000000"/>
                <w:sz w:val="20"/>
                <w:szCs w:val="20"/>
                <w:u w:val="none"/>
              </w:rPr>
            </w:pPr>
          </w:p>
        </w:tc>
        <w:tc>
          <w:tcPr>
            <w:tcW w:w="1011" w:type="dxa"/>
            <w:tcBorders>
              <w:top w:val="nil"/>
              <w:left w:val="nil"/>
              <w:bottom w:val="nil"/>
              <w:right w:val="nil"/>
            </w:tcBorders>
            <w:shd w:val="clear" w:color="auto" w:fill="auto"/>
            <w:noWrap/>
            <w:vAlign w:val="center"/>
          </w:tcPr>
          <w:p w14:paraId="0689C0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604.31 </w:t>
            </w:r>
          </w:p>
        </w:tc>
        <w:tc>
          <w:tcPr>
            <w:tcW w:w="915" w:type="dxa"/>
            <w:tcBorders>
              <w:top w:val="nil"/>
              <w:left w:val="nil"/>
              <w:bottom w:val="nil"/>
              <w:right w:val="nil"/>
            </w:tcBorders>
            <w:shd w:val="clear" w:color="auto" w:fill="auto"/>
            <w:noWrap/>
            <w:vAlign w:val="center"/>
          </w:tcPr>
          <w:p w14:paraId="7BD9039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491.38 </w:t>
            </w:r>
          </w:p>
        </w:tc>
        <w:tc>
          <w:tcPr>
            <w:tcW w:w="965" w:type="dxa"/>
            <w:tcBorders>
              <w:top w:val="nil"/>
              <w:left w:val="nil"/>
              <w:bottom w:val="nil"/>
              <w:right w:val="nil"/>
            </w:tcBorders>
            <w:shd w:val="clear" w:color="auto" w:fill="auto"/>
            <w:noWrap/>
            <w:vAlign w:val="center"/>
          </w:tcPr>
          <w:p w14:paraId="2C7DEAA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725.08 </w:t>
            </w:r>
          </w:p>
        </w:tc>
      </w:tr>
      <w:tr w14:paraId="5475A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786" w:type="dxa"/>
            <w:tcBorders>
              <w:top w:val="nil"/>
              <w:left w:val="nil"/>
              <w:bottom w:val="nil"/>
              <w:right w:val="nil"/>
            </w:tcBorders>
            <w:shd w:val="clear" w:color="auto" w:fill="auto"/>
            <w:noWrap/>
            <w:vAlign w:val="center"/>
          </w:tcPr>
          <w:p w14:paraId="534B041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1997</w:t>
            </w:r>
          </w:p>
        </w:tc>
        <w:tc>
          <w:tcPr>
            <w:tcW w:w="935" w:type="dxa"/>
            <w:tcBorders>
              <w:top w:val="nil"/>
              <w:left w:val="nil"/>
              <w:bottom w:val="nil"/>
              <w:right w:val="nil"/>
            </w:tcBorders>
            <w:shd w:val="clear" w:color="auto" w:fill="auto"/>
            <w:noWrap/>
            <w:vAlign w:val="center"/>
          </w:tcPr>
          <w:p w14:paraId="42F41DA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2381.26 </w:t>
            </w:r>
          </w:p>
        </w:tc>
        <w:tc>
          <w:tcPr>
            <w:tcW w:w="1045" w:type="dxa"/>
            <w:tcBorders>
              <w:top w:val="nil"/>
              <w:left w:val="nil"/>
              <w:bottom w:val="nil"/>
              <w:right w:val="nil"/>
            </w:tcBorders>
            <w:shd w:val="clear" w:color="auto" w:fill="auto"/>
            <w:noWrap/>
            <w:vAlign w:val="center"/>
          </w:tcPr>
          <w:p w14:paraId="57A888C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1950.71 </w:t>
            </w:r>
          </w:p>
        </w:tc>
        <w:tc>
          <w:tcPr>
            <w:tcW w:w="1046" w:type="dxa"/>
            <w:tcBorders>
              <w:top w:val="nil"/>
              <w:left w:val="nil"/>
              <w:bottom w:val="nil"/>
              <w:right w:val="nil"/>
            </w:tcBorders>
            <w:shd w:val="clear" w:color="auto" w:fill="auto"/>
            <w:noWrap/>
            <w:vAlign w:val="center"/>
          </w:tcPr>
          <w:p w14:paraId="20470E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2841.17 </w:t>
            </w:r>
          </w:p>
        </w:tc>
        <w:tc>
          <w:tcPr>
            <w:tcW w:w="236" w:type="dxa"/>
            <w:tcBorders>
              <w:top w:val="nil"/>
              <w:left w:val="nil"/>
              <w:bottom w:val="nil"/>
              <w:right w:val="nil"/>
            </w:tcBorders>
            <w:shd w:val="clear" w:color="auto" w:fill="auto"/>
            <w:noWrap/>
            <w:vAlign w:val="center"/>
          </w:tcPr>
          <w:p w14:paraId="44F36053">
            <w:pPr>
              <w:jc w:val="center"/>
              <w:rPr>
                <w:rFonts w:hint="default" w:ascii="Times New Roman" w:hAnsi="Times New Roman" w:eastAsia="宋体" w:cs="Times New Roman"/>
                <w:i w:val="0"/>
                <w:iCs w:val="0"/>
                <w:color w:val="000000"/>
                <w:sz w:val="20"/>
                <w:szCs w:val="20"/>
                <w:u w:val="none"/>
              </w:rPr>
            </w:pPr>
          </w:p>
        </w:tc>
        <w:tc>
          <w:tcPr>
            <w:tcW w:w="1046" w:type="dxa"/>
            <w:tcBorders>
              <w:top w:val="nil"/>
              <w:left w:val="nil"/>
              <w:bottom w:val="nil"/>
              <w:right w:val="nil"/>
            </w:tcBorders>
            <w:shd w:val="clear" w:color="auto" w:fill="auto"/>
            <w:noWrap/>
            <w:vAlign w:val="center"/>
          </w:tcPr>
          <w:p w14:paraId="68DA26E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5381.13 </w:t>
            </w:r>
          </w:p>
        </w:tc>
        <w:tc>
          <w:tcPr>
            <w:tcW w:w="1046" w:type="dxa"/>
            <w:tcBorders>
              <w:top w:val="nil"/>
              <w:left w:val="nil"/>
              <w:bottom w:val="nil"/>
              <w:right w:val="nil"/>
            </w:tcBorders>
            <w:shd w:val="clear" w:color="auto" w:fill="auto"/>
            <w:noWrap/>
            <w:vAlign w:val="center"/>
          </w:tcPr>
          <w:p w14:paraId="793E768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4328.10 </w:t>
            </w:r>
          </w:p>
        </w:tc>
        <w:tc>
          <w:tcPr>
            <w:tcW w:w="1047" w:type="dxa"/>
            <w:tcBorders>
              <w:top w:val="nil"/>
              <w:left w:val="nil"/>
              <w:bottom w:val="nil"/>
              <w:right w:val="nil"/>
            </w:tcBorders>
            <w:shd w:val="clear" w:color="auto" w:fill="auto"/>
            <w:noWrap/>
            <w:vAlign w:val="center"/>
          </w:tcPr>
          <w:p w14:paraId="4E31038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6505.95 </w:t>
            </w:r>
          </w:p>
        </w:tc>
        <w:tc>
          <w:tcPr>
            <w:tcW w:w="236" w:type="dxa"/>
            <w:tcBorders>
              <w:top w:val="nil"/>
              <w:left w:val="nil"/>
              <w:bottom w:val="nil"/>
              <w:right w:val="nil"/>
            </w:tcBorders>
            <w:shd w:val="clear" w:color="auto" w:fill="auto"/>
            <w:noWrap/>
            <w:vAlign w:val="center"/>
          </w:tcPr>
          <w:p w14:paraId="0F9085ED">
            <w:pPr>
              <w:jc w:val="center"/>
              <w:rPr>
                <w:rFonts w:hint="default" w:ascii="Times New Roman" w:hAnsi="Times New Roman" w:eastAsia="宋体" w:cs="Times New Roman"/>
                <w:i w:val="0"/>
                <w:iCs w:val="0"/>
                <w:color w:val="000000"/>
                <w:sz w:val="20"/>
                <w:szCs w:val="20"/>
                <w:u w:val="none"/>
              </w:rPr>
            </w:pPr>
          </w:p>
        </w:tc>
        <w:tc>
          <w:tcPr>
            <w:tcW w:w="1011" w:type="dxa"/>
            <w:tcBorders>
              <w:top w:val="nil"/>
              <w:left w:val="nil"/>
              <w:bottom w:val="nil"/>
              <w:right w:val="nil"/>
            </w:tcBorders>
            <w:shd w:val="clear" w:color="auto" w:fill="auto"/>
            <w:noWrap/>
            <w:vAlign w:val="center"/>
          </w:tcPr>
          <w:p w14:paraId="4DAE80D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613.22 </w:t>
            </w:r>
          </w:p>
        </w:tc>
        <w:tc>
          <w:tcPr>
            <w:tcW w:w="915" w:type="dxa"/>
            <w:tcBorders>
              <w:top w:val="nil"/>
              <w:left w:val="nil"/>
              <w:bottom w:val="nil"/>
              <w:right w:val="nil"/>
            </w:tcBorders>
            <w:shd w:val="clear" w:color="auto" w:fill="auto"/>
            <w:noWrap/>
            <w:vAlign w:val="center"/>
          </w:tcPr>
          <w:p w14:paraId="0D881D7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499.04 </w:t>
            </w:r>
          </w:p>
        </w:tc>
        <w:tc>
          <w:tcPr>
            <w:tcW w:w="965" w:type="dxa"/>
            <w:tcBorders>
              <w:top w:val="nil"/>
              <w:left w:val="nil"/>
              <w:bottom w:val="nil"/>
              <w:right w:val="nil"/>
            </w:tcBorders>
            <w:shd w:val="clear" w:color="auto" w:fill="auto"/>
            <w:noWrap/>
            <w:vAlign w:val="center"/>
          </w:tcPr>
          <w:p w14:paraId="6707131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735.19 </w:t>
            </w:r>
          </w:p>
        </w:tc>
      </w:tr>
      <w:tr w14:paraId="19C2B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86" w:type="dxa"/>
            <w:tcBorders>
              <w:top w:val="nil"/>
              <w:left w:val="nil"/>
              <w:bottom w:val="nil"/>
              <w:right w:val="nil"/>
            </w:tcBorders>
            <w:shd w:val="clear" w:color="auto" w:fill="auto"/>
            <w:noWrap/>
            <w:vAlign w:val="center"/>
          </w:tcPr>
          <w:p w14:paraId="7BF3A50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1998</w:t>
            </w:r>
          </w:p>
        </w:tc>
        <w:tc>
          <w:tcPr>
            <w:tcW w:w="935" w:type="dxa"/>
            <w:tcBorders>
              <w:top w:val="nil"/>
              <w:left w:val="nil"/>
              <w:bottom w:val="nil"/>
              <w:right w:val="nil"/>
            </w:tcBorders>
            <w:shd w:val="clear" w:color="auto" w:fill="auto"/>
            <w:noWrap/>
            <w:vAlign w:val="center"/>
          </w:tcPr>
          <w:p w14:paraId="56E156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2419.21 </w:t>
            </w:r>
          </w:p>
        </w:tc>
        <w:tc>
          <w:tcPr>
            <w:tcW w:w="1045" w:type="dxa"/>
            <w:tcBorders>
              <w:top w:val="nil"/>
              <w:left w:val="nil"/>
              <w:bottom w:val="nil"/>
              <w:right w:val="nil"/>
            </w:tcBorders>
            <w:shd w:val="clear" w:color="auto" w:fill="auto"/>
            <w:noWrap/>
            <w:vAlign w:val="center"/>
          </w:tcPr>
          <w:p w14:paraId="653B82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1982.22 </w:t>
            </w:r>
          </w:p>
        </w:tc>
        <w:tc>
          <w:tcPr>
            <w:tcW w:w="1046" w:type="dxa"/>
            <w:tcBorders>
              <w:top w:val="nil"/>
              <w:left w:val="nil"/>
              <w:bottom w:val="nil"/>
              <w:right w:val="nil"/>
            </w:tcBorders>
            <w:shd w:val="clear" w:color="auto" w:fill="auto"/>
            <w:noWrap/>
            <w:vAlign w:val="center"/>
          </w:tcPr>
          <w:p w14:paraId="3B92797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2885.26 </w:t>
            </w:r>
          </w:p>
        </w:tc>
        <w:tc>
          <w:tcPr>
            <w:tcW w:w="236" w:type="dxa"/>
            <w:tcBorders>
              <w:top w:val="nil"/>
              <w:left w:val="nil"/>
              <w:bottom w:val="nil"/>
              <w:right w:val="nil"/>
            </w:tcBorders>
            <w:shd w:val="clear" w:color="auto" w:fill="auto"/>
            <w:noWrap/>
            <w:vAlign w:val="center"/>
          </w:tcPr>
          <w:p w14:paraId="49624A9B">
            <w:pPr>
              <w:jc w:val="center"/>
              <w:rPr>
                <w:rFonts w:hint="default" w:ascii="Times New Roman" w:hAnsi="Times New Roman" w:eastAsia="宋体" w:cs="Times New Roman"/>
                <w:i w:val="0"/>
                <w:iCs w:val="0"/>
                <w:color w:val="000000"/>
                <w:sz w:val="20"/>
                <w:szCs w:val="20"/>
                <w:u w:val="none"/>
              </w:rPr>
            </w:pPr>
          </w:p>
        </w:tc>
        <w:tc>
          <w:tcPr>
            <w:tcW w:w="1046" w:type="dxa"/>
            <w:tcBorders>
              <w:top w:val="nil"/>
              <w:left w:val="nil"/>
              <w:bottom w:val="nil"/>
              <w:right w:val="nil"/>
            </w:tcBorders>
            <w:shd w:val="clear" w:color="auto" w:fill="auto"/>
            <w:noWrap/>
            <w:vAlign w:val="center"/>
          </w:tcPr>
          <w:p w14:paraId="1E3710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5467.12 </w:t>
            </w:r>
          </w:p>
        </w:tc>
        <w:tc>
          <w:tcPr>
            <w:tcW w:w="1046" w:type="dxa"/>
            <w:tcBorders>
              <w:top w:val="nil"/>
              <w:left w:val="nil"/>
              <w:bottom w:val="nil"/>
              <w:right w:val="nil"/>
            </w:tcBorders>
            <w:shd w:val="clear" w:color="auto" w:fill="auto"/>
            <w:noWrap/>
            <w:vAlign w:val="center"/>
          </w:tcPr>
          <w:p w14:paraId="31E69DF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4399.88 </w:t>
            </w:r>
          </w:p>
        </w:tc>
        <w:tc>
          <w:tcPr>
            <w:tcW w:w="1047" w:type="dxa"/>
            <w:tcBorders>
              <w:top w:val="nil"/>
              <w:left w:val="nil"/>
              <w:bottom w:val="nil"/>
              <w:right w:val="nil"/>
            </w:tcBorders>
            <w:shd w:val="clear" w:color="auto" w:fill="auto"/>
            <w:noWrap/>
            <w:vAlign w:val="center"/>
          </w:tcPr>
          <w:p w14:paraId="0F7EE89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6605.31 </w:t>
            </w:r>
          </w:p>
        </w:tc>
        <w:tc>
          <w:tcPr>
            <w:tcW w:w="236" w:type="dxa"/>
            <w:tcBorders>
              <w:top w:val="nil"/>
              <w:left w:val="nil"/>
              <w:bottom w:val="nil"/>
              <w:right w:val="nil"/>
            </w:tcBorders>
            <w:shd w:val="clear" w:color="auto" w:fill="auto"/>
            <w:noWrap/>
            <w:vAlign w:val="center"/>
          </w:tcPr>
          <w:p w14:paraId="40078454">
            <w:pPr>
              <w:jc w:val="center"/>
              <w:rPr>
                <w:rFonts w:hint="default" w:ascii="Times New Roman" w:hAnsi="Times New Roman" w:eastAsia="宋体" w:cs="Times New Roman"/>
                <w:i w:val="0"/>
                <w:iCs w:val="0"/>
                <w:color w:val="000000"/>
                <w:sz w:val="20"/>
                <w:szCs w:val="20"/>
                <w:u w:val="none"/>
              </w:rPr>
            </w:pPr>
          </w:p>
        </w:tc>
        <w:tc>
          <w:tcPr>
            <w:tcW w:w="1011" w:type="dxa"/>
            <w:tcBorders>
              <w:top w:val="nil"/>
              <w:left w:val="nil"/>
              <w:bottom w:val="nil"/>
              <w:right w:val="nil"/>
            </w:tcBorders>
            <w:shd w:val="clear" w:color="auto" w:fill="auto"/>
            <w:noWrap/>
            <w:vAlign w:val="center"/>
          </w:tcPr>
          <w:p w14:paraId="2EC401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622.85 </w:t>
            </w:r>
          </w:p>
        </w:tc>
        <w:tc>
          <w:tcPr>
            <w:tcW w:w="915" w:type="dxa"/>
            <w:tcBorders>
              <w:top w:val="nil"/>
              <w:left w:val="nil"/>
              <w:bottom w:val="nil"/>
              <w:right w:val="nil"/>
            </w:tcBorders>
            <w:shd w:val="clear" w:color="auto" w:fill="auto"/>
            <w:noWrap/>
            <w:vAlign w:val="center"/>
          </w:tcPr>
          <w:p w14:paraId="0A7039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507.13 </w:t>
            </w:r>
          </w:p>
        </w:tc>
        <w:tc>
          <w:tcPr>
            <w:tcW w:w="965" w:type="dxa"/>
            <w:tcBorders>
              <w:top w:val="nil"/>
              <w:left w:val="nil"/>
              <w:bottom w:val="nil"/>
              <w:right w:val="nil"/>
            </w:tcBorders>
            <w:shd w:val="clear" w:color="auto" w:fill="auto"/>
            <w:noWrap/>
            <w:vAlign w:val="center"/>
          </w:tcPr>
          <w:p w14:paraId="49C2BF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746.27 </w:t>
            </w:r>
          </w:p>
        </w:tc>
      </w:tr>
      <w:tr w14:paraId="35CD6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786" w:type="dxa"/>
            <w:tcBorders>
              <w:top w:val="nil"/>
              <w:left w:val="nil"/>
              <w:bottom w:val="nil"/>
              <w:right w:val="nil"/>
            </w:tcBorders>
            <w:shd w:val="clear" w:color="auto" w:fill="auto"/>
            <w:noWrap/>
            <w:vAlign w:val="center"/>
          </w:tcPr>
          <w:p w14:paraId="5DF6B4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1999</w:t>
            </w:r>
          </w:p>
        </w:tc>
        <w:tc>
          <w:tcPr>
            <w:tcW w:w="935" w:type="dxa"/>
            <w:tcBorders>
              <w:top w:val="nil"/>
              <w:left w:val="nil"/>
              <w:bottom w:val="nil"/>
              <w:right w:val="nil"/>
            </w:tcBorders>
            <w:shd w:val="clear" w:color="auto" w:fill="auto"/>
            <w:noWrap/>
            <w:vAlign w:val="center"/>
          </w:tcPr>
          <w:p w14:paraId="04251B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2459.69 </w:t>
            </w:r>
          </w:p>
        </w:tc>
        <w:tc>
          <w:tcPr>
            <w:tcW w:w="1045" w:type="dxa"/>
            <w:tcBorders>
              <w:top w:val="nil"/>
              <w:left w:val="nil"/>
              <w:bottom w:val="nil"/>
              <w:right w:val="nil"/>
            </w:tcBorders>
            <w:shd w:val="clear" w:color="auto" w:fill="auto"/>
            <w:noWrap/>
            <w:vAlign w:val="center"/>
          </w:tcPr>
          <w:p w14:paraId="59F377F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2014.20 </w:t>
            </w:r>
          </w:p>
        </w:tc>
        <w:tc>
          <w:tcPr>
            <w:tcW w:w="1046" w:type="dxa"/>
            <w:tcBorders>
              <w:top w:val="nil"/>
              <w:left w:val="nil"/>
              <w:bottom w:val="nil"/>
              <w:right w:val="nil"/>
            </w:tcBorders>
            <w:shd w:val="clear" w:color="auto" w:fill="auto"/>
            <w:noWrap/>
            <w:vAlign w:val="center"/>
          </w:tcPr>
          <w:p w14:paraId="361E186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2933.95 </w:t>
            </w:r>
          </w:p>
        </w:tc>
        <w:tc>
          <w:tcPr>
            <w:tcW w:w="236" w:type="dxa"/>
            <w:tcBorders>
              <w:top w:val="nil"/>
              <w:left w:val="nil"/>
              <w:bottom w:val="nil"/>
              <w:right w:val="nil"/>
            </w:tcBorders>
            <w:shd w:val="clear" w:color="auto" w:fill="auto"/>
            <w:noWrap/>
            <w:vAlign w:val="center"/>
          </w:tcPr>
          <w:p w14:paraId="42C7B620">
            <w:pPr>
              <w:jc w:val="center"/>
              <w:rPr>
                <w:rFonts w:hint="default" w:ascii="Times New Roman" w:hAnsi="Times New Roman" w:eastAsia="宋体" w:cs="Times New Roman"/>
                <w:i w:val="0"/>
                <w:iCs w:val="0"/>
                <w:color w:val="000000"/>
                <w:sz w:val="20"/>
                <w:szCs w:val="20"/>
                <w:u w:val="none"/>
              </w:rPr>
            </w:pPr>
          </w:p>
        </w:tc>
        <w:tc>
          <w:tcPr>
            <w:tcW w:w="1046" w:type="dxa"/>
            <w:tcBorders>
              <w:top w:val="nil"/>
              <w:left w:val="nil"/>
              <w:bottom w:val="nil"/>
              <w:right w:val="nil"/>
            </w:tcBorders>
            <w:shd w:val="clear" w:color="auto" w:fill="auto"/>
            <w:noWrap/>
            <w:vAlign w:val="center"/>
          </w:tcPr>
          <w:p w14:paraId="5875AA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5560.88 </w:t>
            </w:r>
          </w:p>
        </w:tc>
        <w:tc>
          <w:tcPr>
            <w:tcW w:w="1046" w:type="dxa"/>
            <w:tcBorders>
              <w:top w:val="nil"/>
              <w:left w:val="nil"/>
              <w:bottom w:val="nil"/>
              <w:right w:val="nil"/>
            </w:tcBorders>
            <w:shd w:val="clear" w:color="auto" w:fill="auto"/>
            <w:noWrap/>
            <w:vAlign w:val="center"/>
          </w:tcPr>
          <w:p w14:paraId="163263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4474.18 </w:t>
            </w:r>
          </w:p>
        </w:tc>
        <w:tc>
          <w:tcPr>
            <w:tcW w:w="1047" w:type="dxa"/>
            <w:tcBorders>
              <w:top w:val="nil"/>
              <w:left w:val="nil"/>
              <w:bottom w:val="nil"/>
              <w:right w:val="nil"/>
            </w:tcBorders>
            <w:shd w:val="clear" w:color="auto" w:fill="auto"/>
            <w:noWrap/>
            <w:vAlign w:val="center"/>
          </w:tcPr>
          <w:p w14:paraId="1890419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6717.79 </w:t>
            </w:r>
          </w:p>
        </w:tc>
        <w:tc>
          <w:tcPr>
            <w:tcW w:w="236" w:type="dxa"/>
            <w:tcBorders>
              <w:top w:val="nil"/>
              <w:left w:val="nil"/>
              <w:bottom w:val="nil"/>
              <w:right w:val="nil"/>
            </w:tcBorders>
            <w:shd w:val="clear" w:color="auto" w:fill="auto"/>
            <w:noWrap/>
            <w:vAlign w:val="center"/>
          </w:tcPr>
          <w:p w14:paraId="137B96A7">
            <w:pPr>
              <w:jc w:val="center"/>
              <w:rPr>
                <w:rFonts w:hint="default" w:ascii="Times New Roman" w:hAnsi="Times New Roman" w:eastAsia="宋体" w:cs="Times New Roman"/>
                <w:i w:val="0"/>
                <w:iCs w:val="0"/>
                <w:color w:val="000000"/>
                <w:sz w:val="20"/>
                <w:szCs w:val="20"/>
                <w:u w:val="none"/>
              </w:rPr>
            </w:pPr>
          </w:p>
        </w:tc>
        <w:tc>
          <w:tcPr>
            <w:tcW w:w="1011" w:type="dxa"/>
            <w:tcBorders>
              <w:top w:val="nil"/>
              <w:left w:val="nil"/>
              <w:bottom w:val="nil"/>
              <w:right w:val="nil"/>
            </w:tcBorders>
            <w:shd w:val="clear" w:color="auto" w:fill="auto"/>
            <w:noWrap/>
            <w:vAlign w:val="center"/>
          </w:tcPr>
          <w:p w14:paraId="7A63DB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633.43 </w:t>
            </w:r>
          </w:p>
        </w:tc>
        <w:tc>
          <w:tcPr>
            <w:tcW w:w="915" w:type="dxa"/>
            <w:tcBorders>
              <w:top w:val="nil"/>
              <w:left w:val="nil"/>
              <w:bottom w:val="nil"/>
              <w:right w:val="nil"/>
            </w:tcBorders>
            <w:shd w:val="clear" w:color="auto" w:fill="auto"/>
            <w:noWrap/>
            <w:vAlign w:val="center"/>
          </w:tcPr>
          <w:p w14:paraId="1B3E7DA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515.70 </w:t>
            </w:r>
          </w:p>
        </w:tc>
        <w:tc>
          <w:tcPr>
            <w:tcW w:w="965" w:type="dxa"/>
            <w:tcBorders>
              <w:top w:val="nil"/>
              <w:left w:val="nil"/>
              <w:bottom w:val="nil"/>
              <w:right w:val="nil"/>
            </w:tcBorders>
            <w:shd w:val="clear" w:color="auto" w:fill="auto"/>
            <w:noWrap/>
            <w:vAlign w:val="center"/>
          </w:tcPr>
          <w:p w14:paraId="14145D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758.76 </w:t>
            </w:r>
          </w:p>
        </w:tc>
      </w:tr>
      <w:tr w14:paraId="50CA9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786" w:type="dxa"/>
            <w:tcBorders>
              <w:top w:val="nil"/>
              <w:left w:val="nil"/>
              <w:bottom w:val="nil"/>
              <w:right w:val="nil"/>
            </w:tcBorders>
            <w:shd w:val="clear" w:color="auto" w:fill="auto"/>
            <w:noWrap/>
            <w:vAlign w:val="center"/>
          </w:tcPr>
          <w:p w14:paraId="0131FFA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2000</w:t>
            </w:r>
          </w:p>
        </w:tc>
        <w:tc>
          <w:tcPr>
            <w:tcW w:w="935" w:type="dxa"/>
            <w:tcBorders>
              <w:top w:val="nil"/>
              <w:left w:val="nil"/>
              <w:bottom w:val="nil"/>
              <w:right w:val="nil"/>
            </w:tcBorders>
            <w:shd w:val="clear" w:color="auto" w:fill="auto"/>
            <w:noWrap/>
            <w:vAlign w:val="center"/>
          </w:tcPr>
          <w:p w14:paraId="1C5C46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2498.31 </w:t>
            </w:r>
          </w:p>
        </w:tc>
        <w:tc>
          <w:tcPr>
            <w:tcW w:w="1045" w:type="dxa"/>
            <w:tcBorders>
              <w:top w:val="nil"/>
              <w:left w:val="nil"/>
              <w:bottom w:val="nil"/>
              <w:right w:val="nil"/>
            </w:tcBorders>
            <w:shd w:val="clear" w:color="auto" w:fill="auto"/>
            <w:noWrap/>
            <w:vAlign w:val="center"/>
          </w:tcPr>
          <w:p w14:paraId="7021A8D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2044.94 </w:t>
            </w:r>
          </w:p>
        </w:tc>
        <w:tc>
          <w:tcPr>
            <w:tcW w:w="1046" w:type="dxa"/>
            <w:tcBorders>
              <w:top w:val="nil"/>
              <w:left w:val="nil"/>
              <w:bottom w:val="nil"/>
              <w:right w:val="nil"/>
            </w:tcBorders>
            <w:shd w:val="clear" w:color="auto" w:fill="auto"/>
            <w:noWrap/>
            <w:vAlign w:val="center"/>
          </w:tcPr>
          <w:p w14:paraId="1C6993E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2980.07 </w:t>
            </w:r>
          </w:p>
        </w:tc>
        <w:tc>
          <w:tcPr>
            <w:tcW w:w="236" w:type="dxa"/>
            <w:tcBorders>
              <w:top w:val="nil"/>
              <w:left w:val="nil"/>
              <w:bottom w:val="nil"/>
              <w:right w:val="nil"/>
            </w:tcBorders>
            <w:shd w:val="clear" w:color="auto" w:fill="auto"/>
            <w:noWrap/>
            <w:vAlign w:val="center"/>
          </w:tcPr>
          <w:p w14:paraId="421BA2A0">
            <w:pPr>
              <w:jc w:val="center"/>
              <w:rPr>
                <w:rFonts w:hint="default" w:ascii="Times New Roman" w:hAnsi="Times New Roman" w:eastAsia="宋体" w:cs="Times New Roman"/>
                <w:i w:val="0"/>
                <w:iCs w:val="0"/>
                <w:color w:val="000000"/>
                <w:sz w:val="20"/>
                <w:szCs w:val="20"/>
                <w:u w:val="none"/>
              </w:rPr>
            </w:pPr>
          </w:p>
        </w:tc>
        <w:tc>
          <w:tcPr>
            <w:tcW w:w="1046" w:type="dxa"/>
            <w:tcBorders>
              <w:top w:val="nil"/>
              <w:left w:val="nil"/>
              <w:bottom w:val="nil"/>
              <w:right w:val="nil"/>
            </w:tcBorders>
            <w:shd w:val="clear" w:color="auto" w:fill="auto"/>
            <w:noWrap/>
            <w:vAlign w:val="center"/>
          </w:tcPr>
          <w:p w14:paraId="5B245A9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5650.99 </w:t>
            </w:r>
          </w:p>
        </w:tc>
        <w:tc>
          <w:tcPr>
            <w:tcW w:w="1046" w:type="dxa"/>
            <w:tcBorders>
              <w:top w:val="nil"/>
              <w:left w:val="nil"/>
              <w:bottom w:val="nil"/>
              <w:right w:val="nil"/>
            </w:tcBorders>
            <w:shd w:val="clear" w:color="auto" w:fill="auto"/>
            <w:noWrap/>
            <w:vAlign w:val="center"/>
          </w:tcPr>
          <w:p w14:paraId="7A2838E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4546.77 </w:t>
            </w:r>
          </w:p>
        </w:tc>
        <w:tc>
          <w:tcPr>
            <w:tcW w:w="1047" w:type="dxa"/>
            <w:tcBorders>
              <w:top w:val="nil"/>
              <w:left w:val="nil"/>
              <w:bottom w:val="nil"/>
              <w:right w:val="nil"/>
            </w:tcBorders>
            <w:shd w:val="clear" w:color="auto" w:fill="auto"/>
            <w:noWrap/>
            <w:vAlign w:val="center"/>
          </w:tcPr>
          <w:p w14:paraId="7ABBBF7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6824.35 </w:t>
            </w:r>
          </w:p>
        </w:tc>
        <w:tc>
          <w:tcPr>
            <w:tcW w:w="236" w:type="dxa"/>
            <w:tcBorders>
              <w:top w:val="nil"/>
              <w:left w:val="nil"/>
              <w:bottom w:val="nil"/>
              <w:right w:val="nil"/>
            </w:tcBorders>
            <w:shd w:val="clear" w:color="auto" w:fill="auto"/>
            <w:noWrap/>
            <w:vAlign w:val="center"/>
          </w:tcPr>
          <w:p w14:paraId="5788CB5B">
            <w:pPr>
              <w:jc w:val="center"/>
              <w:rPr>
                <w:rFonts w:hint="default" w:ascii="Times New Roman" w:hAnsi="Times New Roman" w:eastAsia="宋体" w:cs="Times New Roman"/>
                <w:i w:val="0"/>
                <w:iCs w:val="0"/>
                <w:color w:val="000000"/>
                <w:sz w:val="20"/>
                <w:szCs w:val="20"/>
                <w:u w:val="none"/>
              </w:rPr>
            </w:pPr>
          </w:p>
        </w:tc>
        <w:tc>
          <w:tcPr>
            <w:tcW w:w="1011" w:type="dxa"/>
            <w:tcBorders>
              <w:top w:val="nil"/>
              <w:left w:val="nil"/>
              <w:bottom w:val="nil"/>
              <w:right w:val="nil"/>
            </w:tcBorders>
            <w:shd w:val="clear" w:color="auto" w:fill="auto"/>
            <w:noWrap/>
            <w:vAlign w:val="center"/>
          </w:tcPr>
          <w:p w14:paraId="10B887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643.79 </w:t>
            </w:r>
          </w:p>
        </w:tc>
        <w:tc>
          <w:tcPr>
            <w:tcW w:w="915" w:type="dxa"/>
            <w:tcBorders>
              <w:top w:val="nil"/>
              <w:left w:val="nil"/>
              <w:bottom w:val="nil"/>
              <w:right w:val="nil"/>
            </w:tcBorders>
            <w:shd w:val="clear" w:color="auto" w:fill="auto"/>
            <w:noWrap/>
            <w:vAlign w:val="center"/>
          </w:tcPr>
          <w:p w14:paraId="5C6A5B1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524.11 </w:t>
            </w:r>
          </w:p>
        </w:tc>
        <w:tc>
          <w:tcPr>
            <w:tcW w:w="965" w:type="dxa"/>
            <w:tcBorders>
              <w:top w:val="nil"/>
              <w:left w:val="nil"/>
              <w:bottom w:val="nil"/>
              <w:right w:val="nil"/>
            </w:tcBorders>
            <w:shd w:val="clear" w:color="auto" w:fill="auto"/>
            <w:noWrap/>
            <w:vAlign w:val="center"/>
          </w:tcPr>
          <w:p w14:paraId="148DBA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770.96 </w:t>
            </w:r>
          </w:p>
        </w:tc>
      </w:tr>
      <w:tr w14:paraId="7608AA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86" w:type="dxa"/>
            <w:tcBorders>
              <w:top w:val="nil"/>
              <w:left w:val="nil"/>
              <w:bottom w:val="nil"/>
              <w:right w:val="nil"/>
            </w:tcBorders>
            <w:shd w:val="clear" w:color="auto" w:fill="auto"/>
            <w:noWrap/>
            <w:vAlign w:val="center"/>
          </w:tcPr>
          <w:p w14:paraId="65C9964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2001</w:t>
            </w:r>
          </w:p>
        </w:tc>
        <w:tc>
          <w:tcPr>
            <w:tcW w:w="935" w:type="dxa"/>
            <w:tcBorders>
              <w:top w:val="nil"/>
              <w:left w:val="nil"/>
              <w:bottom w:val="nil"/>
              <w:right w:val="nil"/>
            </w:tcBorders>
            <w:shd w:val="clear" w:color="auto" w:fill="auto"/>
            <w:noWrap/>
            <w:vAlign w:val="center"/>
          </w:tcPr>
          <w:p w14:paraId="2E0C2B9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2533.17 </w:t>
            </w:r>
          </w:p>
        </w:tc>
        <w:tc>
          <w:tcPr>
            <w:tcW w:w="1045" w:type="dxa"/>
            <w:tcBorders>
              <w:top w:val="nil"/>
              <w:left w:val="nil"/>
              <w:bottom w:val="nil"/>
              <w:right w:val="nil"/>
            </w:tcBorders>
            <w:shd w:val="clear" w:color="auto" w:fill="auto"/>
            <w:noWrap/>
            <w:vAlign w:val="center"/>
          </w:tcPr>
          <w:p w14:paraId="433DCD4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2071.39 </w:t>
            </w:r>
          </w:p>
        </w:tc>
        <w:tc>
          <w:tcPr>
            <w:tcW w:w="1046" w:type="dxa"/>
            <w:tcBorders>
              <w:top w:val="nil"/>
              <w:left w:val="nil"/>
              <w:bottom w:val="nil"/>
              <w:right w:val="nil"/>
            </w:tcBorders>
            <w:shd w:val="clear" w:color="auto" w:fill="auto"/>
            <w:noWrap/>
            <w:vAlign w:val="center"/>
          </w:tcPr>
          <w:p w14:paraId="689736E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3022.97 </w:t>
            </w:r>
          </w:p>
        </w:tc>
        <w:tc>
          <w:tcPr>
            <w:tcW w:w="236" w:type="dxa"/>
            <w:tcBorders>
              <w:top w:val="nil"/>
              <w:left w:val="nil"/>
              <w:bottom w:val="nil"/>
              <w:right w:val="nil"/>
            </w:tcBorders>
            <w:shd w:val="clear" w:color="auto" w:fill="auto"/>
            <w:noWrap/>
            <w:vAlign w:val="center"/>
          </w:tcPr>
          <w:p w14:paraId="3FAC0769">
            <w:pPr>
              <w:jc w:val="center"/>
              <w:rPr>
                <w:rFonts w:hint="default" w:ascii="Times New Roman" w:hAnsi="Times New Roman" w:eastAsia="宋体" w:cs="Times New Roman"/>
                <w:i w:val="0"/>
                <w:iCs w:val="0"/>
                <w:color w:val="000000"/>
                <w:sz w:val="20"/>
                <w:szCs w:val="20"/>
                <w:u w:val="none"/>
              </w:rPr>
            </w:pPr>
          </w:p>
        </w:tc>
        <w:tc>
          <w:tcPr>
            <w:tcW w:w="1046" w:type="dxa"/>
            <w:tcBorders>
              <w:top w:val="nil"/>
              <w:left w:val="nil"/>
              <w:bottom w:val="nil"/>
              <w:right w:val="nil"/>
            </w:tcBorders>
            <w:shd w:val="clear" w:color="auto" w:fill="auto"/>
            <w:noWrap/>
            <w:vAlign w:val="center"/>
          </w:tcPr>
          <w:p w14:paraId="76636D5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5734.21 </w:t>
            </w:r>
          </w:p>
        </w:tc>
        <w:tc>
          <w:tcPr>
            <w:tcW w:w="1046" w:type="dxa"/>
            <w:tcBorders>
              <w:top w:val="nil"/>
              <w:left w:val="nil"/>
              <w:bottom w:val="nil"/>
              <w:right w:val="nil"/>
            </w:tcBorders>
            <w:shd w:val="clear" w:color="auto" w:fill="auto"/>
            <w:noWrap/>
            <w:vAlign w:val="center"/>
          </w:tcPr>
          <w:p w14:paraId="7B25525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4611.04 </w:t>
            </w:r>
          </w:p>
        </w:tc>
        <w:tc>
          <w:tcPr>
            <w:tcW w:w="1047" w:type="dxa"/>
            <w:tcBorders>
              <w:top w:val="nil"/>
              <w:left w:val="nil"/>
              <w:bottom w:val="nil"/>
              <w:right w:val="nil"/>
            </w:tcBorders>
            <w:shd w:val="clear" w:color="auto" w:fill="auto"/>
            <w:noWrap/>
            <w:vAlign w:val="center"/>
          </w:tcPr>
          <w:p w14:paraId="76642D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6925.54 </w:t>
            </w:r>
          </w:p>
        </w:tc>
        <w:tc>
          <w:tcPr>
            <w:tcW w:w="236" w:type="dxa"/>
            <w:tcBorders>
              <w:top w:val="nil"/>
              <w:left w:val="nil"/>
              <w:bottom w:val="nil"/>
              <w:right w:val="nil"/>
            </w:tcBorders>
            <w:shd w:val="clear" w:color="auto" w:fill="auto"/>
            <w:noWrap/>
            <w:vAlign w:val="center"/>
          </w:tcPr>
          <w:p w14:paraId="519EF282">
            <w:pPr>
              <w:jc w:val="center"/>
              <w:rPr>
                <w:rFonts w:hint="default" w:ascii="Times New Roman" w:hAnsi="Times New Roman" w:eastAsia="宋体" w:cs="Times New Roman"/>
                <w:i w:val="0"/>
                <w:iCs w:val="0"/>
                <w:color w:val="000000"/>
                <w:sz w:val="20"/>
                <w:szCs w:val="20"/>
                <w:u w:val="none"/>
              </w:rPr>
            </w:pPr>
          </w:p>
        </w:tc>
        <w:tc>
          <w:tcPr>
            <w:tcW w:w="1011" w:type="dxa"/>
            <w:tcBorders>
              <w:top w:val="nil"/>
              <w:left w:val="nil"/>
              <w:bottom w:val="nil"/>
              <w:right w:val="nil"/>
            </w:tcBorders>
            <w:shd w:val="clear" w:color="auto" w:fill="auto"/>
            <w:noWrap/>
            <w:vAlign w:val="center"/>
          </w:tcPr>
          <w:p w14:paraId="741D80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653.12 </w:t>
            </w:r>
          </w:p>
        </w:tc>
        <w:tc>
          <w:tcPr>
            <w:tcW w:w="915" w:type="dxa"/>
            <w:tcBorders>
              <w:top w:val="nil"/>
              <w:left w:val="nil"/>
              <w:bottom w:val="nil"/>
              <w:right w:val="nil"/>
            </w:tcBorders>
            <w:shd w:val="clear" w:color="auto" w:fill="auto"/>
            <w:noWrap/>
            <w:vAlign w:val="center"/>
          </w:tcPr>
          <w:p w14:paraId="4B02A9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531.43 </w:t>
            </w:r>
          </w:p>
        </w:tc>
        <w:tc>
          <w:tcPr>
            <w:tcW w:w="965" w:type="dxa"/>
            <w:tcBorders>
              <w:top w:val="nil"/>
              <w:left w:val="nil"/>
              <w:bottom w:val="nil"/>
              <w:right w:val="nil"/>
            </w:tcBorders>
            <w:shd w:val="clear" w:color="auto" w:fill="auto"/>
            <w:noWrap/>
            <w:vAlign w:val="center"/>
          </w:tcPr>
          <w:p w14:paraId="43797C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782.19 </w:t>
            </w:r>
          </w:p>
        </w:tc>
      </w:tr>
      <w:tr w14:paraId="211E0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86" w:type="dxa"/>
            <w:tcBorders>
              <w:top w:val="nil"/>
              <w:left w:val="nil"/>
              <w:bottom w:val="nil"/>
              <w:right w:val="nil"/>
            </w:tcBorders>
            <w:shd w:val="clear" w:color="auto" w:fill="auto"/>
            <w:noWrap/>
            <w:vAlign w:val="center"/>
          </w:tcPr>
          <w:p w14:paraId="5FF964A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2002</w:t>
            </w:r>
          </w:p>
        </w:tc>
        <w:tc>
          <w:tcPr>
            <w:tcW w:w="935" w:type="dxa"/>
            <w:tcBorders>
              <w:top w:val="nil"/>
              <w:left w:val="nil"/>
              <w:bottom w:val="nil"/>
              <w:right w:val="nil"/>
            </w:tcBorders>
            <w:shd w:val="clear" w:color="auto" w:fill="auto"/>
            <w:noWrap/>
            <w:vAlign w:val="center"/>
          </w:tcPr>
          <w:p w14:paraId="53553B6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2562.61 </w:t>
            </w:r>
          </w:p>
        </w:tc>
        <w:tc>
          <w:tcPr>
            <w:tcW w:w="1045" w:type="dxa"/>
            <w:tcBorders>
              <w:top w:val="nil"/>
              <w:left w:val="nil"/>
              <w:bottom w:val="nil"/>
              <w:right w:val="nil"/>
            </w:tcBorders>
            <w:shd w:val="clear" w:color="auto" w:fill="auto"/>
            <w:noWrap/>
            <w:vAlign w:val="center"/>
          </w:tcPr>
          <w:p w14:paraId="26F9DD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2093.30 </w:t>
            </w:r>
          </w:p>
        </w:tc>
        <w:tc>
          <w:tcPr>
            <w:tcW w:w="1046" w:type="dxa"/>
            <w:tcBorders>
              <w:top w:val="nil"/>
              <w:left w:val="nil"/>
              <w:bottom w:val="nil"/>
              <w:right w:val="nil"/>
            </w:tcBorders>
            <w:shd w:val="clear" w:color="auto" w:fill="auto"/>
            <w:noWrap/>
            <w:vAlign w:val="center"/>
          </w:tcPr>
          <w:p w14:paraId="6647442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3059.50 </w:t>
            </w:r>
          </w:p>
        </w:tc>
        <w:tc>
          <w:tcPr>
            <w:tcW w:w="236" w:type="dxa"/>
            <w:tcBorders>
              <w:top w:val="nil"/>
              <w:left w:val="nil"/>
              <w:bottom w:val="nil"/>
              <w:right w:val="nil"/>
            </w:tcBorders>
            <w:shd w:val="clear" w:color="auto" w:fill="auto"/>
            <w:noWrap/>
            <w:vAlign w:val="center"/>
          </w:tcPr>
          <w:p w14:paraId="0056F573">
            <w:pPr>
              <w:jc w:val="center"/>
              <w:rPr>
                <w:rFonts w:hint="default" w:ascii="Times New Roman" w:hAnsi="Times New Roman" w:eastAsia="宋体" w:cs="Times New Roman"/>
                <w:i w:val="0"/>
                <w:iCs w:val="0"/>
                <w:color w:val="000000"/>
                <w:sz w:val="20"/>
                <w:szCs w:val="20"/>
                <w:u w:val="none"/>
              </w:rPr>
            </w:pPr>
          </w:p>
        </w:tc>
        <w:tc>
          <w:tcPr>
            <w:tcW w:w="1046" w:type="dxa"/>
            <w:tcBorders>
              <w:top w:val="nil"/>
              <w:left w:val="nil"/>
              <w:bottom w:val="nil"/>
              <w:right w:val="nil"/>
            </w:tcBorders>
            <w:shd w:val="clear" w:color="auto" w:fill="auto"/>
            <w:noWrap/>
            <w:vAlign w:val="center"/>
          </w:tcPr>
          <w:p w14:paraId="07BC297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5805.77 </w:t>
            </w:r>
          </w:p>
        </w:tc>
        <w:tc>
          <w:tcPr>
            <w:tcW w:w="1046" w:type="dxa"/>
            <w:tcBorders>
              <w:top w:val="nil"/>
              <w:left w:val="nil"/>
              <w:bottom w:val="nil"/>
              <w:right w:val="nil"/>
            </w:tcBorders>
            <w:shd w:val="clear" w:color="auto" w:fill="auto"/>
            <w:noWrap/>
            <w:vAlign w:val="center"/>
          </w:tcPr>
          <w:p w14:paraId="12CCC4B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4666.11 </w:t>
            </w:r>
          </w:p>
        </w:tc>
        <w:tc>
          <w:tcPr>
            <w:tcW w:w="1047" w:type="dxa"/>
            <w:tcBorders>
              <w:top w:val="nil"/>
              <w:left w:val="nil"/>
              <w:bottom w:val="nil"/>
              <w:right w:val="nil"/>
            </w:tcBorders>
            <w:shd w:val="clear" w:color="auto" w:fill="auto"/>
            <w:noWrap/>
            <w:vAlign w:val="center"/>
          </w:tcPr>
          <w:p w14:paraId="0C560B4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7012.41 </w:t>
            </w:r>
          </w:p>
        </w:tc>
        <w:tc>
          <w:tcPr>
            <w:tcW w:w="236" w:type="dxa"/>
            <w:tcBorders>
              <w:top w:val="nil"/>
              <w:left w:val="nil"/>
              <w:bottom w:val="nil"/>
              <w:right w:val="nil"/>
            </w:tcBorders>
            <w:shd w:val="clear" w:color="auto" w:fill="auto"/>
            <w:noWrap/>
            <w:vAlign w:val="center"/>
          </w:tcPr>
          <w:p w14:paraId="3F954CB8">
            <w:pPr>
              <w:jc w:val="center"/>
              <w:rPr>
                <w:rFonts w:hint="default" w:ascii="Times New Roman" w:hAnsi="Times New Roman" w:eastAsia="宋体" w:cs="Times New Roman"/>
                <w:i w:val="0"/>
                <w:iCs w:val="0"/>
                <w:color w:val="000000"/>
                <w:sz w:val="20"/>
                <w:szCs w:val="20"/>
                <w:u w:val="none"/>
              </w:rPr>
            </w:pPr>
          </w:p>
        </w:tc>
        <w:tc>
          <w:tcPr>
            <w:tcW w:w="1011" w:type="dxa"/>
            <w:tcBorders>
              <w:top w:val="nil"/>
              <w:left w:val="nil"/>
              <w:bottom w:val="nil"/>
              <w:right w:val="nil"/>
            </w:tcBorders>
            <w:shd w:val="clear" w:color="auto" w:fill="auto"/>
            <w:noWrap/>
            <w:vAlign w:val="center"/>
          </w:tcPr>
          <w:p w14:paraId="0F58889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661.36 </w:t>
            </w:r>
          </w:p>
        </w:tc>
        <w:tc>
          <w:tcPr>
            <w:tcW w:w="915" w:type="dxa"/>
            <w:tcBorders>
              <w:top w:val="nil"/>
              <w:left w:val="nil"/>
              <w:bottom w:val="nil"/>
              <w:right w:val="nil"/>
            </w:tcBorders>
            <w:shd w:val="clear" w:color="auto" w:fill="auto"/>
            <w:noWrap/>
            <w:vAlign w:val="center"/>
          </w:tcPr>
          <w:p w14:paraId="7B10172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537.83 </w:t>
            </w:r>
          </w:p>
        </w:tc>
        <w:tc>
          <w:tcPr>
            <w:tcW w:w="965" w:type="dxa"/>
            <w:tcBorders>
              <w:top w:val="nil"/>
              <w:left w:val="nil"/>
              <w:bottom w:val="nil"/>
              <w:right w:val="nil"/>
            </w:tcBorders>
            <w:shd w:val="clear" w:color="auto" w:fill="auto"/>
            <w:noWrap/>
            <w:vAlign w:val="center"/>
          </w:tcPr>
          <w:p w14:paraId="22A0AE6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792.14 </w:t>
            </w:r>
          </w:p>
        </w:tc>
      </w:tr>
      <w:tr w14:paraId="117A8E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86" w:type="dxa"/>
            <w:tcBorders>
              <w:top w:val="nil"/>
              <w:left w:val="nil"/>
              <w:bottom w:val="nil"/>
              <w:right w:val="nil"/>
            </w:tcBorders>
            <w:shd w:val="clear" w:color="auto" w:fill="auto"/>
            <w:noWrap/>
            <w:vAlign w:val="center"/>
          </w:tcPr>
          <w:p w14:paraId="76AC7A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2003</w:t>
            </w:r>
          </w:p>
        </w:tc>
        <w:tc>
          <w:tcPr>
            <w:tcW w:w="935" w:type="dxa"/>
            <w:tcBorders>
              <w:top w:val="nil"/>
              <w:left w:val="nil"/>
              <w:bottom w:val="nil"/>
              <w:right w:val="nil"/>
            </w:tcBorders>
            <w:shd w:val="clear" w:color="auto" w:fill="auto"/>
            <w:noWrap/>
            <w:vAlign w:val="center"/>
          </w:tcPr>
          <w:p w14:paraId="1AC6FB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2588.75 </w:t>
            </w:r>
          </w:p>
        </w:tc>
        <w:tc>
          <w:tcPr>
            <w:tcW w:w="1045" w:type="dxa"/>
            <w:tcBorders>
              <w:top w:val="nil"/>
              <w:left w:val="nil"/>
              <w:bottom w:val="nil"/>
              <w:right w:val="nil"/>
            </w:tcBorders>
            <w:shd w:val="clear" w:color="auto" w:fill="auto"/>
            <w:noWrap/>
            <w:vAlign w:val="center"/>
          </w:tcPr>
          <w:p w14:paraId="15FDB4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2112.44 </w:t>
            </w:r>
          </w:p>
        </w:tc>
        <w:tc>
          <w:tcPr>
            <w:tcW w:w="1046" w:type="dxa"/>
            <w:tcBorders>
              <w:top w:val="nil"/>
              <w:left w:val="nil"/>
              <w:bottom w:val="nil"/>
              <w:right w:val="nil"/>
            </w:tcBorders>
            <w:shd w:val="clear" w:color="auto" w:fill="auto"/>
            <w:noWrap/>
            <w:vAlign w:val="center"/>
          </w:tcPr>
          <w:p w14:paraId="20E4388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3092.13 </w:t>
            </w:r>
          </w:p>
        </w:tc>
        <w:tc>
          <w:tcPr>
            <w:tcW w:w="236" w:type="dxa"/>
            <w:tcBorders>
              <w:top w:val="nil"/>
              <w:left w:val="nil"/>
              <w:bottom w:val="nil"/>
              <w:right w:val="nil"/>
            </w:tcBorders>
            <w:shd w:val="clear" w:color="auto" w:fill="auto"/>
            <w:noWrap/>
            <w:vAlign w:val="center"/>
          </w:tcPr>
          <w:p w14:paraId="2A6414EC">
            <w:pPr>
              <w:jc w:val="center"/>
              <w:rPr>
                <w:rFonts w:hint="default" w:ascii="Times New Roman" w:hAnsi="Times New Roman" w:eastAsia="宋体" w:cs="Times New Roman"/>
                <w:i w:val="0"/>
                <w:iCs w:val="0"/>
                <w:color w:val="000000"/>
                <w:sz w:val="20"/>
                <w:szCs w:val="20"/>
                <w:u w:val="none"/>
              </w:rPr>
            </w:pPr>
          </w:p>
        </w:tc>
        <w:tc>
          <w:tcPr>
            <w:tcW w:w="1046" w:type="dxa"/>
            <w:tcBorders>
              <w:top w:val="nil"/>
              <w:left w:val="nil"/>
              <w:bottom w:val="nil"/>
              <w:right w:val="nil"/>
            </w:tcBorders>
            <w:shd w:val="clear" w:color="auto" w:fill="auto"/>
            <w:noWrap/>
            <w:vAlign w:val="center"/>
          </w:tcPr>
          <w:p w14:paraId="636973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5870.84 </w:t>
            </w:r>
          </w:p>
        </w:tc>
        <w:tc>
          <w:tcPr>
            <w:tcW w:w="1046" w:type="dxa"/>
            <w:tcBorders>
              <w:top w:val="nil"/>
              <w:left w:val="nil"/>
              <w:bottom w:val="nil"/>
              <w:right w:val="nil"/>
            </w:tcBorders>
            <w:shd w:val="clear" w:color="auto" w:fill="auto"/>
            <w:noWrap/>
            <w:vAlign w:val="center"/>
          </w:tcPr>
          <w:p w14:paraId="78C8B9E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4716.02 </w:t>
            </w:r>
          </w:p>
        </w:tc>
        <w:tc>
          <w:tcPr>
            <w:tcW w:w="1047" w:type="dxa"/>
            <w:tcBorders>
              <w:top w:val="nil"/>
              <w:left w:val="nil"/>
              <w:bottom w:val="nil"/>
              <w:right w:val="nil"/>
            </w:tcBorders>
            <w:shd w:val="clear" w:color="auto" w:fill="auto"/>
            <w:noWrap/>
            <w:vAlign w:val="center"/>
          </w:tcPr>
          <w:p w14:paraId="74F34F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7091.28 </w:t>
            </w:r>
          </w:p>
        </w:tc>
        <w:tc>
          <w:tcPr>
            <w:tcW w:w="236" w:type="dxa"/>
            <w:tcBorders>
              <w:top w:val="nil"/>
              <w:left w:val="nil"/>
              <w:bottom w:val="nil"/>
              <w:right w:val="nil"/>
            </w:tcBorders>
            <w:shd w:val="clear" w:color="auto" w:fill="auto"/>
            <w:noWrap/>
            <w:vAlign w:val="center"/>
          </w:tcPr>
          <w:p w14:paraId="6F78C17F">
            <w:pPr>
              <w:jc w:val="center"/>
              <w:rPr>
                <w:rFonts w:hint="default" w:ascii="Times New Roman" w:hAnsi="Times New Roman" w:eastAsia="宋体" w:cs="Times New Roman"/>
                <w:i w:val="0"/>
                <w:iCs w:val="0"/>
                <w:color w:val="000000"/>
                <w:sz w:val="20"/>
                <w:szCs w:val="20"/>
                <w:u w:val="none"/>
              </w:rPr>
            </w:pPr>
          </w:p>
        </w:tc>
        <w:tc>
          <w:tcPr>
            <w:tcW w:w="1011" w:type="dxa"/>
            <w:tcBorders>
              <w:top w:val="nil"/>
              <w:left w:val="nil"/>
              <w:bottom w:val="nil"/>
              <w:right w:val="nil"/>
            </w:tcBorders>
            <w:shd w:val="clear" w:color="auto" w:fill="auto"/>
            <w:noWrap/>
            <w:vAlign w:val="center"/>
          </w:tcPr>
          <w:p w14:paraId="3E845C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668.79 </w:t>
            </w:r>
          </w:p>
        </w:tc>
        <w:tc>
          <w:tcPr>
            <w:tcW w:w="915" w:type="dxa"/>
            <w:tcBorders>
              <w:top w:val="nil"/>
              <w:left w:val="nil"/>
              <w:bottom w:val="nil"/>
              <w:right w:val="nil"/>
            </w:tcBorders>
            <w:shd w:val="clear" w:color="auto" w:fill="auto"/>
            <w:noWrap/>
            <w:vAlign w:val="center"/>
          </w:tcPr>
          <w:p w14:paraId="229D74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543.64 </w:t>
            </w:r>
          </w:p>
        </w:tc>
        <w:tc>
          <w:tcPr>
            <w:tcW w:w="965" w:type="dxa"/>
            <w:tcBorders>
              <w:top w:val="nil"/>
              <w:left w:val="nil"/>
              <w:bottom w:val="nil"/>
              <w:right w:val="nil"/>
            </w:tcBorders>
            <w:shd w:val="clear" w:color="auto" w:fill="auto"/>
            <w:noWrap/>
            <w:vAlign w:val="center"/>
          </w:tcPr>
          <w:p w14:paraId="708671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801.06 </w:t>
            </w:r>
          </w:p>
        </w:tc>
      </w:tr>
      <w:tr w14:paraId="27C98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86" w:type="dxa"/>
            <w:tcBorders>
              <w:top w:val="nil"/>
              <w:left w:val="nil"/>
              <w:bottom w:val="nil"/>
              <w:right w:val="nil"/>
            </w:tcBorders>
            <w:shd w:val="clear" w:color="auto" w:fill="auto"/>
            <w:noWrap/>
            <w:vAlign w:val="center"/>
          </w:tcPr>
          <w:p w14:paraId="0BAFE8B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2004</w:t>
            </w:r>
          </w:p>
        </w:tc>
        <w:tc>
          <w:tcPr>
            <w:tcW w:w="935" w:type="dxa"/>
            <w:tcBorders>
              <w:top w:val="nil"/>
              <w:left w:val="nil"/>
              <w:bottom w:val="nil"/>
              <w:right w:val="nil"/>
            </w:tcBorders>
            <w:shd w:val="clear" w:color="auto" w:fill="auto"/>
            <w:noWrap/>
            <w:vAlign w:val="center"/>
          </w:tcPr>
          <w:p w14:paraId="66AA8FA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2614.54 </w:t>
            </w:r>
          </w:p>
        </w:tc>
        <w:tc>
          <w:tcPr>
            <w:tcW w:w="1045" w:type="dxa"/>
            <w:tcBorders>
              <w:top w:val="nil"/>
              <w:left w:val="nil"/>
              <w:bottom w:val="nil"/>
              <w:right w:val="nil"/>
            </w:tcBorders>
            <w:shd w:val="clear" w:color="auto" w:fill="auto"/>
            <w:noWrap/>
            <w:vAlign w:val="center"/>
          </w:tcPr>
          <w:p w14:paraId="1F95A39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2130.67 </w:t>
            </w:r>
          </w:p>
        </w:tc>
        <w:tc>
          <w:tcPr>
            <w:tcW w:w="1046" w:type="dxa"/>
            <w:tcBorders>
              <w:top w:val="nil"/>
              <w:left w:val="nil"/>
              <w:bottom w:val="nil"/>
              <w:right w:val="nil"/>
            </w:tcBorders>
            <w:shd w:val="clear" w:color="auto" w:fill="auto"/>
            <w:noWrap/>
            <w:vAlign w:val="center"/>
          </w:tcPr>
          <w:p w14:paraId="3B7BF27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3124.95 </w:t>
            </w:r>
          </w:p>
        </w:tc>
        <w:tc>
          <w:tcPr>
            <w:tcW w:w="236" w:type="dxa"/>
            <w:tcBorders>
              <w:top w:val="nil"/>
              <w:left w:val="nil"/>
              <w:bottom w:val="nil"/>
              <w:right w:val="nil"/>
            </w:tcBorders>
            <w:shd w:val="clear" w:color="auto" w:fill="auto"/>
            <w:noWrap/>
            <w:vAlign w:val="center"/>
          </w:tcPr>
          <w:p w14:paraId="5E4F3460">
            <w:pPr>
              <w:jc w:val="center"/>
              <w:rPr>
                <w:rFonts w:hint="default" w:ascii="Times New Roman" w:hAnsi="Times New Roman" w:eastAsia="宋体" w:cs="Times New Roman"/>
                <w:i w:val="0"/>
                <w:iCs w:val="0"/>
                <w:color w:val="000000"/>
                <w:sz w:val="20"/>
                <w:szCs w:val="20"/>
                <w:u w:val="none"/>
              </w:rPr>
            </w:pPr>
          </w:p>
        </w:tc>
        <w:tc>
          <w:tcPr>
            <w:tcW w:w="1046" w:type="dxa"/>
            <w:tcBorders>
              <w:top w:val="nil"/>
              <w:left w:val="nil"/>
              <w:bottom w:val="nil"/>
              <w:right w:val="nil"/>
            </w:tcBorders>
            <w:shd w:val="clear" w:color="auto" w:fill="auto"/>
            <w:noWrap/>
            <w:vAlign w:val="center"/>
          </w:tcPr>
          <w:p w14:paraId="6C0CA57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5935.95 </w:t>
            </w:r>
          </w:p>
        </w:tc>
        <w:tc>
          <w:tcPr>
            <w:tcW w:w="1046" w:type="dxa"/>
            <w:tcBorders>
              <w:top w:val="nil"/>
              <w:left w:val="nil"/>
              <w:bottom w:val="nil"/>
              <w:right w:val="nil"/>
            </w:tcBorders>
            <w:shd w:val="clear" w:color="auto" w:fill="auto"/>
            <w:noWrap/>
            <w:vAlign w:val="center"/>
          </w:tcPr>
          <w:p w14:paraId="7E8BDAE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4763.49 </w:t>
            </w:r>
          </w:p>
        </w:tc>
        <w:tc>
          <w:tcPr>
            <w:tcW w:w="1047" w:type="dxa"/>
            <w:tcBorders>
              <w:top w:val="nil"/>
              <w:left w:val="nil"/>
              <w:bottom w:val="nil"/>
              <w:right w:val="nil"/>
            </w:tcBorders>
            <w:shd w:val="clear" w:color="auto" w:fill="auto"/>
            <w:noWrap/>
            <w:vAlign w:val="center"/>
          </w:tcPr>
          <w:p w14:paraId="14FD9F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7172.71 </w:t>
            </w:r>
          </w:p>
        </w:tc>
        <w:tc>
          <w:tcPr>
            <w:tcW w:w="236" w:type="dxa"/>
            <w:tcBorders>
              <w:top w:val="nil"/>
              <w:left w:val="nil"/>
              <w:bottom w:val="nil"/>
              <w:right w:val="nil"/>
            </w:tcBorders>
            <w:shd w:val="clear" w:color="auto" w:fill="auto"/>
            <w:noWrap/>
            <w:vAlign w:val="center"/>
          </w:tcPr>
          <w:p w14:paraId="07928B4A">
            <w:pPr>
              <w:jc w:val="center"/>
              <w:rPr>
                <w:rFonts w:hint="default" w:ascii="Times New Roman" w:hAnsi="Times New Roman" w:eastAsia="宋体" w:cs="Times New Roman"/>
                <w:i w:val="0"/>
                <w:iCs w:val="0"/>
                <w:color w:val="000000"/>
                <w:sz w:val="20"/>
                <w:szCs w:val="20"/>
                <w:u w:val="none"/>
              </w:rPr>
            </w:pPr>
          </w:p>
        </w:tc>
        <w:tc>
          <w:tcPr>
            <w:tcW w:w="1011" w:type="dxa"/>
            <w:tcBorders>
              <w:top w:val="nil"/>
              <w:left w:val="nil"/>
              <w:bottom w:val="nil"/>
              <w:right w:val="nil"/>
            </w:tcBorders>
            <w:shd w:val="clear" w:color="auto" w:fill="auto"/>
            <w:noWrap/>
            <w:vAlign w:val="center"/>
          </w:tcPr>
          <w:p w14:paraId="3C3169C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676.13 </w:t>
            </w:r>
          </w:p>
        </w:tc>
        <w:tc>
          <w:tcPr>
            <w:tcW w:w="915" w:type="dxa"/>
            <w:tcBorders>
              <w:top w:val="nil"/>
              <w:left w:val="nil"/>
              <w:bottom w:val="nil"/>
              <w:right w:val="nil"/>
            </w:tcBorders>
            <w:shd w:val="clear" w:color="auto" w:fill="auto"/>
            <w:noWrap/>
            <w:vAlign w:val="center"/>
          </w:tcPr>
          <w:p w14:paraId="03CCC80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548.99 </w:t>
            </w:r>
          </w:p>
        </w:tc>
        <w:tc>
          <w:tcPr>
            <w:tcW w:w="965" w:type="dxa"/>
            <w:tcBorders>
              <w:top w:val="nil"/>
              <w:left w:val="nil"/>
              <w:bottom w:val="nil"/>
              <w:right w:val="nil"/>
            </w:tcBorders>
            <w:shd w:val="clear" w:color="auto" w:fill="auto"/>
            <w:noWrap/>
            <w:vAlign w:val="center"/>
          </w:tcPr>
          <w:p w14:paraId="1B74162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810.26 </w:t>
            </w:r>
          </w:p>
        </w:tc>
      </w:tr>
      <w:tr w14:paraId="76DCC8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86" w:type="dxa"/>
            <w:tcBorders>
              <w:top w:val="nil"/>
              <w:left w:val="nil"/>
              <w:bottom w:val="nil"/>
              <w:right w:val="nil"/>
            </w:tcBorders>
            <w:shd w:val="clear" w:color="auto" w:fill="auto"/>
            <w:noWrap/>
            <w:vAlign w:val="center"/>
          </w:tcPr>
          <w:p w14:paraId="025CD2B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2005</w:t>
            </w:r>
          </w:p>
        </w:tc>
        <w:tc>
          <w:tcPr>
            <w:tcW w:w="935" w:type="dxa"/>
            <w:tcBorders>
              <w:top w:val="nil"/>
              <w:left w:val="nil"/>
              <w:bottom w:val="nil"/>
              <w:right w:val="nil"/>
            </w:tcBorders>
            <w:shd w:val="clear" w:color="auto" w:fill="auto"/>
            <w:noWrap/>
            <w:vAlign w:val="center"/>
          </w:tcPr>
          <w:p w14:paraId="735B03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2639.63 </w:t>
            </w:r>
          </w:p>
        </w:tc>
        <w:tc>
          <w:tcPr>
            <w:tcW w:w="1045" w:type="dxa"/>
            <w:tcBorders>
              <w:top w:val="nil"/>
              <w:left w:val="nil"/>
              <w:bottom w:val="nil"/>
              <w:right w:val="nil"/>
            </w:tcBorders>
            <w:shd w:val="clear" w:color="auto" w:fill="auto"/>
            <w:noWrap/>
            <w:vAlign w:val="center"/>
          </w:tcPr>
          <w:p w14:paraId="6F97C3F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2147.91 </w:t>
            </w:r>
          </w:p>
        </w:tc>
        <w:tc>
          <w:tcPr>
            <w:tcW w:w="1046" w:type="dxa"/>
            <w:tcBorders>
              <w:top w:val="nil"/>
              <w:left w:val="nil"/>
              <w:bottom w:val="nil"/>
              <w:right w:val="nil"/>
            </w:tcBorders>
            <w:shd w:val="clear" w:color="auto" w:fill="auto"/>
            <w:noWrap/>
            <w:vAlign w:val="center"/>
          </w:tcPr>
          <w:p w14:paraId="4DDE5C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3157.35 </w:t>
            </w:r>
          </w:p>
        </w:tc>
        <w:tc>
          <w:tcPr>
            <w:tcW w:w="236" w:type="dxa"/>
            <w:tcBorders>
              <w:top w:val="nil"/>
              <w:left w:val="nil"/>
              <w:bottom w:val="nil"/>
              <w:right w:val="nil"/>
            </w:tcBorders>
            <w:shd w:val="clear" w:color="auto" w:fill="auto"/>
            <w:noWrap/>
            <w:vAlign w:val="center"/>
          </w:tcPr>
          <w:p w14:paraId="084D3FD3">
            <w:pPr>
              <w:jc w:val="center"/>
              <w:rPr>
                <w:rFonts w:hint="default" w:ascii="Times New Roman" w:hAnsi="Times New Roman" w:eastAsia="宋体" w:cs="Times New Roman"/>
                <w:i w:val="0"/>
                <w:iCs w:val="0"/>
                <w:color w:val="000000"/>
                <w:sz w:val="20"/>
                <w:szCs w:val="20"/>
                <w:u w:val="none"/>
              </w:rPr>
            </w:pPr>
          </w:p>
        </w:tc>
        <w:tc>
          <w:tcPr>
            <w:tcW w:w="1046" w:type="dxa"/>
            <w:tcBorders>
              <w:top w:val="nil"/>
              <w:left w:val="nil"/>
              <w:bottom w:val="nil"/>
              <w:right w:val="nil"/>
            </w:tcBorders>
            <w:shd w:val="clear" w:color="auto" w:fill="auto"/>
            <w:noWrap/>
            <w:vAlign w:val="center"/>
          </w:tcPr>
          <w:p w14:paraId="5019E79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6000.59 </w:t>
            </w:r>
          </w:p>
        </w:tc>
        <w:tc>
          <w:tcPr>
            <w:tcW w:w="1046" w:type="dxa"/>
            <w:tcBorders>
              <w:top w:val="nil"/>
              <w:left w:val="nil"/>
              <w:bottom w:val="nil"/>
              <w:right w:val="nil"/>
            </w:tcBorders>
            <w:shd w:val="clear" w:color="auto" w:fill="auto"/>
            <w:noWrap/>
            <w:vAlign w:val="center"/>
          </w:tcPr>
          <w:p w14:paraId="6B6FAA5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4810.09 </w:t>
            </w:r>
          </w:p>
        </w:tc>
        <w:tc>
          <w:tcPr>
            <w:tcW w:w="1047" w:type="dxa"/>
            <w:tcBorders>
              <w:top w:val="nil"/>
              <w:left w:val="nil"/>
              <w:bottom w:val="nil"/>
              <w:right w:val="nil"/>
            </w:tcBorders>
            <w:shd w:val="clear" w:color="auto" w:fill="auto"/>
            <w:noWrap/>
            <w:vAlign w:val="center"/>
          </w:tcPr>
          <w:p w14:paraId="27309B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7254.08 </w:t>
            </w:r>
          </w:p>
        </w:tc>
        <w:tc>
          <w:tcPr>
            <w:tcW w:w="236" w:type="dxa"/>
            <w:tcBorders>
              <w:top w:val="nil"/>
              <w:left w:val="nil"/>
              <w:bottom w:val="nil"/>
              <w:right w:val="nil"/>
            </w:tcBorders>
            <w:shd w:val="clear" w:color="auto" w:fill="auto"/>
            <w:noWrap/>
            <w:vAlign w:val="center"/>
          </w:tcPr>
          <w:p w14:paraId="55CA8085">
            <w:pPr>
              <w:jc w:val="center"/>
              <w:rPr>
                <w:rFonts w:hint="default" w:ascii="Times New Roman" w:hAnsi="Times New Roman" w:eastAsia="宋体" w:cs="Times New Roman"/>
                <w:i w:val="0"/>
                <w:iCs w:val="0"/>
                <w:color w:val="000000"/>
                <w:sz w:val="20"/>
                <w:szCs w:val="20"/>
                <w:u w:val="none"/>
              </w:rPr>
            </w:pPr>
          </w:p>
        </w:tc>
        <w:tc>
          <w:tcPr>
            <w:tcW w:w="1011" w:type="dxa"/>
            <w:tcBorders>
              <w:top w:val="nil"/>
              <w:left w:val="nil"/>
              <w:bottom w:val="nil"/>
              <w:right w:val="nil"/>
            </w:tcBorders>
            <w:shd w:val="clear" w:color="auto" w:fill="auto"/>
            <w:noWrap/>
            <w:vAlign w:val="center"/>
          </w:tcPr>
          <w:p w14:paraId="386DC5A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683.55 </w:t>
            </w:r>
          </w:p>
        </w:tc>
        <w:tc>
          <w:tcPr>
            <w:tcW w:w="915" w:type="dxa"/>
            <w:tcBorders>
              <w:top w:val="nil"/>
              <w:left w:val="nil"/>
              <w:bottom w:val="nil"/>
              <w:right w:val="nil"/>
            </w:tcBorders>
            <w:shd w:val="clear" w:color="auto" w:fill="auto"/>
            <w:noWrap/>
            <w:vAlign w:val="center"/>
          </w:tcPr>
          <w:p w14:paraId="274E9A6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554.41 </w:t>
            </w:r>
          </w:p>
        </w:tc>
        <w:tc>
          <w:tcPr>
            <w:tcW w:w="965" w:type="dxa"/>
            <w:tcBorders>
              <w:top w:val="nil"/>
              <w:left w:val="nil"/>
              <w:bottom w:val="nil"/>
              <w:right w:val="nil"/>
            </w:tcBorders>
            <w:shd w:val="clear" w:color="auto" w:fill="auto"/>
            <w:noWrap/>
            <w:vAlign w:val="center"/>
          </w:tcPr>
          <w:p w14:paraId="0E535CF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819.51 </w:t>
            </w:r>
          </w:p>
        </w:tc>
      </w:tr>
      <w:tr w14:paraId="4E344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86" w:type="dxa"/>
            <w:tcBorders>
              <w:top w:val="nil"/>
              <w:left w:val="nil"/>
              <w:bottom w:val="nil"/>
              <w:right w:val="nil"/>
            </w:tcBorders>
            <w:shd w:val="clear" w:color="auto" w:fill="auto"/>
            <w:noWrap/>
            <w:vAlign w:val="center"/>
          </w:tcPr>
          <w:p w14:paraId="15240AF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2006</w:t>
            </w:r>
          </w:p>
        </w:tc>
        <w:tc>
          <w:tcPr>
            <w:tcW w:w="935" w:type="dxa"/>
            <w:tcBorders>
              <w:top w:val="nil"/>
              <w:left w:val="nil"/>
              <w:bottom w:val="nil"/>
              <w:right w:val="nil"/>
            </w:tcBorders>
            <w:shd w:val="clear" w:color="auto" w:fill="auto"/>
            <w:noWrap/>
            <w:vAlign w:val="center"/>
          </w:tcPr>
          <w:p w14:paraId="77AAA05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2663.36 </w:t>
            </w:r>
          </w:p>
        </w:tc>
        <w:tc>
          <w:tcPr>
            <w:tcW w:w="1045" w:type="dxa"/>
            <w:tcBorders>
              <w:top w:val="nil"/>
              <w:left w:val="nil"/>
              <w:bottom w:val="nil"/>
              <w:right w:val="nil"/>
            </w:tcBorders>
            <w:shd w:val="clear" w:color="auto" w:fill="auto"/>
            <w:noWrap/>
            <w:vAlign w:val="center"/>
          </w:tcPr>
          <w:p w14:paraId="49CE795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2163.25 </w:t>
            </w:r>
          </w:p>
        </w:tc>
        <w:tc>
          <w:tcPr>
            <w:tcW w:w="1046" w:type="dxa"/>
            <w:tcBorders>
              <w:top w:val="nil"/>
              <w:left w:val="nil"/>
              <w:bottom w:val="nil"/>
              <w:right w:val="nil"/>
            </w:tcBorders>
            <w:shd w:val="clear" w:color="auto" w:fill="auto"/>
            <w:noWrap/>
            <w:vAlign w:val="center"/>
          </w:tcPr>
          <w:p w14:paraId="1A7537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3189.03 </w:t>
            </w:r>
          </w:p>
        </w:tc>
        <w:tc>
          <w:tcPr>
            <w:tcW w:w="236" w:type="dxa"/>
            <w:tcBorders>
              <w:top w:val="nil"/>
              <w:left w:val="nil"/>
              <w:bottom w:val="nil"/>
              <w:right w:val="nil"/>
            </w:tcBorders>
            <w:shd w:val="clear" w:color="auto" w:fill="auto"/>
            <w:noWrap/>
            <w:vAlign w:val="center"/>
          </w:tcPr>
          <w:p w14:paraId="49A15FA5">
            <w:pPr>
              <w:jc w:val="center"/>
              <w:rPr>
                <w:rFonts w:hint="default" w:ascii="Times New Roman" w:hAnsi="Times New Roman" w:eastAsia="宋体" w:cs="Times New Roman"/>
                <w:i w:val="0"/>
                <w:iCs w:val="0"/>
                <w:color w:val="000000"/>
                <w:sz w:val="20"/>
                <w:szCs w:val="20"/>
                <w:u w:val="none"/>
              </w:rPr>
            </w:pPr>
          </w:p>
        </w:tc>
        <w:tc>
          <w:tcPr>
            <w:tcW w:w="1046" w:type="dxa"/>
            <w:tcBorders>
              <w:top w:val="nil"/>
              <w:left w:val="nil"/>
              <w:bottom w:val="nil"/>
              <w:right w:val="nil"/>
            </w:tcBorders>
            <w:shd w:val="clear" w:color="auto" w:fill="auto"/>
            <w:noWrap/>
            <w:vAlign w:val="center"/>
          </w:tcPr>
          <w:p w14:paraId="77FD3D4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6062.13 </w:t>
            </w:r>
          </w:p>
        </w:tc>
        <w:tc>
          <w:tcPr>
            <w:tcW w:w="1046" w:type="dxa"/>
            <w:tcBorders>
              <w:top w:val="nil"/>
              <w:left w:val="nil"/>
              <w:bottom w:val="nil"/>
              <w:right w:val="nil"/>
            </w:tcBorders>
            <w:shd w:val="clear" w:color="auto" w:fill="auto"/>
            <w:noWrap/>
            <w:vAlign w:val="center"/>
          </w:tcPr>
          <w:p w14:paraId="0C5D63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4851.50 </w:t>
            </w:r>
          </w:p>
        </w:tc>
        <w:tc>
          <w:tcPr>
            <w:tcW w:w="1047" w:type="dxa"/>
            <w:tcBorders>
              <w:top w:val="nil"/>
              <w:left w:val="nil"/>
              <w:bottom w:val="nil"/>
              <w:right w:val="nil"/>
            </w:tcBorders>
            <w:shd w:val="clear" w:color="auto" w:fill="auto"/>
            <w:noWrap/>
            <w:vAlign w:val="center"/>
          </w:tcPr>
          <w:p w14:paraId="5C104C7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7334.64 </w:t>
            </w:r>
          </w:p>
        </w:tc>
        <w:tc>
          <w:tcPr>
            <w:tcW w:w="236" w:type="dxa"/>
            <w:tcBorders>
              <w:top w:val="nil"/>
              <w:left w:val="nil"/>
              <w:bottom w:val="nil"/>
              <w:right w:val="nil"/>
            </w:tcBorders>
            <w:shd w:val="clear" w:color="auto" w:fill="auto"/>
            <w:noWrap/>
            <w:vAlign w:val="center"/>
          </w:tcPr>
          <w:p w14:paraId="5DCBF42A">
            <w:pPr>
              <w:jc w:val="center"/>
              <w:rPr>
                <w:rFonts w:hint="default" w:ascii="Times New Roman" w:hAnsi="Times New Roman" w:eastAsia="宋体" w:cs="Times New Roman"/>
                <w:i w:val="0"/>
                <w:iCs w:val="0"/>
                <w:color w:val="000000"/>
                <w:sz w:val="20"/>
                <w:szCs w:val="20"/>
                <w:u w:val="none"/>
              </w:rPr>
            </w:pPr>
          </w:p>
        </w:tc>
        <w:tc>
          <w:tcPr>
            <w:tcW w:w="1011" w:type="dxa"/>
            <w:tcBorders>
              <w:top w:val="nil"/>
              <w:left w:val="nil"/>
              <w:bottom w:val="nil"/>
              <w:right w:val="nil"/>
            </w:tcBorders>
            <w:shd w:val="clear" w:color="auto" w:fill="auto"/>
            <w:noWrap/>
            <w:vAlign w:val="center"/>
          </w:tcPr>
          <w:p w14:paraId="04AAFB8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690.59 </w:t>
            </w:r>
          </w:p>
        </w:tc>
        <w:tc>
          <w:tcPr>
            <w:tcW w:w="915" w:type="dxa"/>
            <w:tcBorders>
              <w:top w:val="nil"/>
              <w:left w:val="nil"/>
              <w:bottom w:val="nil"/>
              <w:right w:val="nil"/>
            </w:tcBorders>
            <w:shd w:val="clear" w:color="auto" w:fill="auto"/>
            <w:noWrap/>
            <w:vAlign w:val="center"/>
          </w:tcPr>
          <w:p w14:paraId="02856D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559.28 </w:t>
            </w:r>
          </w:p>
        </w:tc>
        <w:tc>
          <w:tcPr>
            <w:tcW w:w="965" w:type="dxa"/>
            <w:tcBorders>
              <w:top w:val="nil"/>
              <w:left w:val="nil"/>
              <w:bottom w:val="nil"/>
              <w:right w:val="nil"/>
            </w:tcBorders>
            <w:shd w:val="clear" w:color="auto" w:fill="auto"/>
            <w:noWrap/>
            <w:vAlign w:val="center"/>
          </w:tcPr>
          <w:p w14:paraId="3E19AA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828.62 </w:t>
            </w:r>
          </w:p>
        </w:tc>
      </w:tr>
      <w:tr w14:paraId="010C4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86" w:type="dxa"/>
            <w:tcBorders>
              <w:top w:val="nil"/>
              <w:left w:val="nil"/>
              <w:bottom w:val="nil"/>
              <w:right w:val="nil"/>
            </w:tcBorders>
            <w:shd w:val="clear" w:color="auto" w:fill="auto"/>
            <w:noWrap/>
            <w:vAlign w:val="center"/>
          </w:tcPr>
          <w:p w14:paraId="3C3A28F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2007</w:t>
            </w:r>
          </w:p>
        </w:tc>
        <w:tc>
          <w:tcPr>
            <w:tcW w:w="935" w:type="dxa"/>
            <w:tcBorders>
              <w:top w:val="nil"/>
              <w:left w:val="nil"/>
              <w:bottom w:val="nil"/>
              <w:right w:val="nil"/>
            </w:tcBorders>
            <w:shd w:val="clear" w:color="auto" w:fill="auto"/>
            <w:noWrap/>
            <w:vAlign w:val="center"/>
          </w:tcPr>
          <w:p w14:paraId="5E2A414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2682.36 </w:t>
            </w:r>
          </w:p>
        </w:tc>
        <w:tc>
          <w:tcPr>
            <w:tcW w:w="1045" w:type="dxa"/>
            <w:tcBorders>
              <w:top w:val="nil"/>
              <w:left w:val="nil"/>
              <w:bottom w:val="nil"/>
              <w:right w:val="nil"/>
            </w:tcBorders>
            <w:shd w:val="clear" w:color="auto" w:fill="auto"/>
            <w:noWrap/>
            <w:vAlign w:val="center"/>
          </w:tcPr>
          <w:p w14:paraId="08EE451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2173.95 </w:t>
            </w:r>
          </w:p>
        </w:tc>
        <w:tc>
          <w:tcPr>
            <w:tcW w:w="1046" w:type="dxa"/>
            <w:tcBorders>
              <w:top w:val="nil"/>
              <w:left w:val="nil"/>
              <w:bottom w:val="nil"/>
              <w:right w:val="nil"/>
            </w:tcBorders>
            <w:shd w:val="clear" w:color="auto" w:fill="auto"/>
            <w:noWrap/>
            <w:vAlign w:val="center"/>
          </w:tcPr>
          <w:p w14:paraId="3E50497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3215.94 </w:t>
            </w:r>
          </w:p>
        </w:tc>
        <w:tc>
          <w:tcPr>
            <w:tcW w:w="236" w:type="dxa"/>
            <w:tcBorders>
              <w:top w:val="nil"/>
              <w:left w:val="nil"/>
              <w:bottom w:val="nil"/>
              <w:right w:val="nil"/>
            </w:tcBorders>
            <w:shd w:val="clear" w:color="auto" w:fill="auto"/>
            <w:noWrap/>
            <w:vAlign w:val="center"/>
          </w:tcPr>
          <w:p w14:paraId="21ECA8AC">
            <w:pPr>
              <w:jc w:val="center"/>
              <w:rPr>
                <w:rFonts w:hint="default" w:ascii="Times New Roman" w:hAnsi="Times New Roman" w:eastAsia="宋体" w:cs="Times New Roman"/>
                <w:i w:val="0"/>
                <w:iCs w:val="0"/>
                <w:color w:val="000000"/>
                <w:sz w:val="20"/>
                <w:szCs w:val="20"/>
                <w:u w:val="none"/>
              </w:rPr>
            </w:pPr>
          </w:p>
        </w:tc>
        <w:tc>
          <w:tcPr>
            <w:tcW w:w="1046" w:type="dxa"/>
            <w:tcBorders>
              <w:top w:val="nil"/>
              <w:left w:val="nil"/>
              <w:bottom w:val="nil"/>
              <w:right w:val="nil"/>
            </w:tcBorders>
            <w:shd w:val="clear" w:color="auto" w:fill="auto"/>
            <w:noWrap/>
            <w:vAlign w:val="center"/>
          </w:tcPr>
          <w:p w14:paraId="02F9D62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6112.31 </w:t>
            </w:r>
          </w:p>
        </w:tc>
        <w:tc>
          <w:tcPr>
            <w:tcW w:w="1046" w:type="dxa"/>
            <w:tcBorders>
              <w:top w:val="nil"/>
              <w:left w:val="nil"/>
              <w:bottom w:val="nil"/>
              <w:right w:val="nil"/>
            </w:tcBorders>
            <w:shd w:val="clear" w:color="auto" w:fill="auto"/>
            <w:noWrap/>
            <w:vAlign w:val="center"/>
          </w:tcPr>
          <w:p w14:paraId="7DAC1EF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4882.57 </w:t>
            </w:r>
          </w:p>
        </w:tc>
        <w:tc>
          <w:tcPr>
            <w:tcW w:w="1047" w:type="dxa"/>
            <w:tcBorders>
              <w:top w:val="nil"/>
              <w:left w:val="nil"/>
              <w:bottom w:val="nil"/>
              <w:right w:val="nil"/>
            </w:tcBorders>
            <w:shd w:val="clear" w:color="auto" w:fill="auto"/>
            <w:noWrap/>
            <w:vAlign w:val="center"/>
          </w:tcPr>
          <w:p w14:paraId="18D474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7402.94 </w:t>
            </w:r>
          </w:p>
        </w:tc>
        <w:tc>
          <w:tcPr>
            <w:tcW w:w="236" w:type="dxa"/>
            <w:tcBorders>
              <w:top w:val="nil"/>
              <w:left w:val="nil"/>
              <w:bottom w:val="nil"/>
              <w:right w:val="nil"/>
            </w:tcBorders>
            <w:shd w:val="clear" w:color="auto" w:fill="auto"/>
            <w:noWrap/>
            <w:vAlign w:val="center"/>
          </w:tcPr>
          <w:p w14:paraId="53332242">
            <w:pPr>
              <w:jc w:val="center"/>
              <w:rPr>
                <w:rFonts w:hint="default" w:ascii="Times New Roman" w:hAnsi="Times New Roman" w:eastAsia="宋体" w:cs="Times New Roman"/>
                <w:i w:val="0"/>
                <w:iCs w:val="0"/>
                <w:color w:val="000000"/>
                <w:sz w:val="20"/>
                <w:szCs w:val="20"/>
                <w:u w:val="none"/>
              </w:rPr>
            </w:pPr>
          </w:p>
        </w:tc>
        <w:tc>
          <w:tcPr>
            <w:tcW w:w="1011" w:type="dxa"/>
            <w:tcBorders>
              <w:top w:val="nil"/>
              <w:left w:val="nil"/>
              <w:bottom w:val="nil"/>
              <w:right w:val="nil"/>
            </w:tcBorders>
            <w:shd w:val="clear" w:color="auto" w:fill="auto"/>
            <w:noWrap/>
            <w:vAlign w:val="center"/>
          </w:tcPr>
          <w:p w14:paraId="49F2D1E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696.27 </w:t>
            </w:r>
          </w:p>
        </w:tc>
        <w:tc>
          <w:tcPr>
            <w:tcW w:w="915" w:type="dxa"/>
            <w:tcBorders>
              <w:top w:val="nil"/>
              <w:left w:val="nil"/>
              <w:bottom w:val="nil"/>
              <w:right w:val="nil"/>
            </w:tcBorders>
            <w:shd w:val="clear" w:color="auto" w:fill="auto"/>
            <w:noWrap/>
            <w:vAlign w:val="center"/>
          </w:tcPr>
          <w:p w14:paraId="236FAC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562.70 </w:t>
            </w:r>
          </w:p>
        </w:tc>
        <w:tc>
          <w:tcPr>
            <w:tcW w:w="965" w:type="dxa"/>
            <w:tcBorders>
              <w:top w:val="nil"/>
              <w:left w:val="nil"/>
              <w:bottom w:val="nil"/>
              <w:right w:val="nil"/>
            </w:tcBorders>
            <w:shd w:val="clear" w:color="auto" w:fill="auto"/>
            <w:noWrap/>
            <w:vAlign w:val="center"/>
          </w:tcPr>
          <w:p w14:paraId="2C26D6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836.45 </w:t>
            </w:r>
          </w:p>
        </w:tc>
      </w:tr>
      <w:tr w14:paraId="66FF0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786" w:type="dxa"/>
            <w:tcBorders>
              <w:top w:val="nil"/>
              <w:left w:val="nil"/>
              <w:bottom w:val="nil"/>
              <w:right w:val="nil"/>
            </w:tcBorders>
            <w:shd w:val="clear" w:color="auto" w:fill="auto"/>
            <w:noWrap/>
            <w:vAlign w:val="center"/>
          </w:tcPr>
          <w:p w14:paraId="10DDF9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2008</w:t>
            </w:r>
          </w:p>
        </w:tc>
        <w:tc>
          <w:tcPr>
            <w:tcW w:w="935" w:type="dxa"/>
            <w:tcBorders>
              <w:top w:val="nil"/>
              <w:left w:val="nil"/>
              <w:bottom w:val="nil"/>
              <w:right w:val="nil"/>
            </w:tcBorders>
            <w:shd w:val="clear" w:color="auto" w:fill="auto"/>
            <w:noWrap/>
            <w:vAlign w:val="center"/>
          </w:tcPr>
          <w:p w14:paraId="7515378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2699.14 </w:t>
            </w:r>
          </w:p>
        </w:tc>
        <w:tc>
          <w:tcPr>
            <w:tcW w:w="1045" w:type="dxa"/>
            <w:tcBorders>
              <w:top w:val="nil"/>
              <w:left w:val="nil"/>
              <w:bottom w:val="nil"/>
              <w:right w:val="nil"/>
            </w:tcBorders>
            <w:shd w:val="clear" w:color="auto" w:fill="auto"/>
            <w:noWrap/>
            <w:vAlign w:val="center"/>
          </w:tcPr>
          <w:p w14:paraId="20FD5D2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2182.21 </w:t>
            </w:r>
          </w:p>
        </w:tc>
        <w:tc>
          <w:tcPr>
            <w:tcW w:w="1046" w:type="dxa"/>
            <w:tcBorders>
              <w:top w:val="nil"/>
              <w:left w:val="nil"/>
              <w:bottom w:val="nil"/>
              <w:right w:val="nil"/>
            </w:tcBorders>
            <w:shd w:val="clear" w:color="auto" w:fill="auto"/>
            <w:noWrap/>
            <w:vAlign w:val="center"/>
          </w:tcPr>
          <w:p w14:paraId="075A9E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3240.90 </w:t>
            </w:r>
          </w:p>
        </w:tc>
        <w:tc>
          <w:tcPr>
            <w:tcW w:w="236" w:type="dxa"/>
            <w:tcBorders>
              <w:top w:val="nil"/>
              <w:left w:val="nil"/>
              <w:bottom w:val="nil"/>
              <w:right w:val="nil"/>
            </w:tcBorders>
            <w:shd w:val="clear" w:color="auto" w:fill="auto"/>
            <w:noWrap/>
            <w:vAlign w:val="center"/>
          </w:tcPr>
          <w:p w14:paraId="0C8F324F">
            <w:pPr>
              <w:jc w:val="center"/>
              <w:rPr>
                <w:rFonts w:hint="default" w:ascii="Times New Roman" w:hAnsi="Times New Roman" w:eastAsia="宋体" w:cs="Times New Roman"/>
                <w:i w:val="0"/>
                <w:iCs w:val="0"/>
                <w:color w:val="000000"/>
                <w:sz w:val="20"/>
                <w:szCs w:val="20"/>
                <w:u w:val="none"/>
              </w:rPr>
            </w:pPr>
          </w:p>
        </w:tc>
        <w:tc>
          <w:tcPr>
            <w:tcW w:w="1046" w:type="dxa"/>
            <w:tcBorders>
              <w:top w:val="nil"/>
              <w:left w:val="nil"/>
              <w:bottom w:val="nil"/>
              <w:right w:val="nil"/>
            </w:tcBorders>
            <w:shd w:val="clear" w:color="auto" w:fill="auto"/>
            <w:noWrap/>
            <w:vAlign w:val="center"/>
          </w:tcPr>
          <w:p w14:paraId="30A3CA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6156.59 </w:t>
            </w:r>
          </w:p>
        </w:tc>
        <w:tc>
          <w:tcPr>
            <w:tcW w:w="1046" w:type="dxa"/>
            <w:tcBorders>
              <w:top w:val="nil"/>
              <w:left w:val="nil"/>
              <w:bottom w:val="nil"/>
              <w:right w:val="nil"/>
            </w:tcBorders>
            <w:shd w:val="clear" w:color="auto" w:fill="auto"/>
            <w:noWrap/>
            <w:vAlign w:val="center"/>
          </w:tcPr>
          <w:p w14:paraId="4ACC539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4908.34 </w:t>
            </w:r>
          </w:p>
        </w:tc>
        <w:tc>
          <w:tcPr>
            <w:tcW w:w="1047" w:type="dxa"/>
            <w:tcBorders>
              <w:top w:val="nil"/>
              <w:left w:val="nil"/>
              <w:bottom w:val="nil"/>
              <w:right w:val="nil"/>
            </w:tcBorders>
            <w:shd w:val="clear" w:color="auto" w:fill="auto"/>
            <w:noWrap/>
            <w:vAlign w:val="center"/>
          </w:tcPr>
          <w:p w14:paraId="283235B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7464.83 </w:t>
            </w:r>
          </w:p>
        </w:tc>
        <w:tc>
          <w:tcPr>
            <w:tcW w:w="236" w:type="dxa"/>
            <w:tcBorders>
              <w:top w:val="nil"/>
              <w:left w:val="nil"/>
              <w:bottom w:val="nil"/>
              <w:right w:val="nil"/>
            </w:tcBorders>
            <w:shd w:val="clear" w:color="auto" w:fill="auto"/>
            <w:noWrap/>
            <w:vAlign w:val="center"/>
          </w:tcPr>
          <w:p w14:paraId="34857B3B">
            <w:pPr>
              <w:jc w:val="center"/>
              <w:rPr>
                <w:rFonts w:hint="default" w:ascii="Times New Roman" w:hAnsi="Times New Roman" w:eastAsia="宋体" w:cs="Times New Roman"/>
                <w:i w:val="0"/>
                <w:iCs w:val="0"/>
                <w:color w:val="000000"/>
                <w:sz w:val="20"/>
                <w:szCs w:val="20"/>
                <w:u w:val="none"/>
              </w:rPr>
            </w:pPr>
          </w:p>
        </w:tc>
        <w:tc>
          <w:tcPr>
            <w:tcW w:w="1011" w:type="dxa"/>
            <w:tcBorders>
              <w:top w:val="nil"/>
              <w:left w:val="nil"/>
              <w:bottom w:val="nil"/>
              <w:right w:val="nil"/>
            </w:tcBorders>
            <w:shd w:val="clear" w:color="auto" w:fill="auto"/>
            <w:noWrap/>
            <w:vAlign w:val="center"/>
          </w:tcPr>
          <w:p w14:paraId="0CC1D2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701.26 </w:t>
            </w:r>
          </w:p>
        </w:tc>
        <w:tc>
          <w:tcPr>
            <w:tcW w:w="915" w:type="dxa"/>
            <w:tcBorders>
              <w:top w:val="nil"/>
              <w:left w:val="nil"/>
              <w:bottom w:val="nil"/>
              <w:right w:val="nil"/>
            </w:tcBorders>
            <w:shd w:val="clear" w:color="auto" w:fill="auto"/>
            <w:noWrap/>
            <w:vAlign w:val="center"/>
          </w:tcPr>
          <w:p w14:paraId="730907C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565.55 </w:t>
            </w:r>
          </w:p>
        </w:tc>
        <w:tc>
          <w:tcPr>
            <w:tcW w:w="965" w:type="dxa"/>
            <w:tcBorders>
              <w:top w:val="nil"/>
              <w:left w:val="nil"/>
              <w:bottom w:val="nil"/>
              <w:right w:val="nil"/>
            </w:tcBorders>
            <w:shd w:val="clear" w:color="auto" w:fill="auto"/>
            <w:noWrap/>
            <w:vAlign w:val="center"/>
          </w:tcPr>
          <w:p w14:paraId="31DDC28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843.50 </w:t>
            </w:r>
          </w:p>
        </w:tc>
      </w:tr>
      <w:tr w14:paraId="54B1F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786" w:type="dxa"/>
            <w:tcBorders>
              <w:top w:val="nil"/>
              <w:left w:val="nil"/>
              <w:bottom w:val="nil"/>
              <w:right w:val="nil"/>
            </w:tcBorders>
            <w:shd w:val="clear" w:color="auto" w:fill="auto"/>
            <w:noWrap/>
            <w:vAlign w:val="center"/>
          </w:tcPr>
          <w:p w14:paraId="5431615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2009</w:t>
            </w:r>
          </w:p>
        </w:tc>
        <w:tc>
          <w:tcPr>
            <w:tcW w:w="935" w:type="dxa"/>
            <w:tcBorders>
              <w:top w:val="nil"/>
              <w:left w:val="nil"/>
              <w:bottom w:val="nil"/>
              <w:right w:val="nil"/>
            </w:tcBorders>
            <w:shd w:val="clear" w:color="auto" w:fill="auto"/>
            <w:noWrap/>
            <w:vAlign w:val="center"/>
          </w:tcPr>
          <w:p w14:paraId="5DBB6FF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2718.49 </w:t>
            </w:r>
          </w:p>
        </w:tc>
        <w:tc>
          <w:tcPr>
            <w:tcW w:w="1045" w:type="dxa"/>
            <w:tcBorders>
              <w:top w:val="nil"/>
              <w:left w:val="nil"/>
              <w:bottom w:val="nil"/>
              <w:right w:val="nil"/>
            </w:tcBorders>
            <w:shd w:val="clear" w:color="auto" w:fill="auto"/>
            <w:noWrap/>
            <w:vAlign w:val="center"/>
          </w:tcPr>
          <w:p w14:paraId="3BBF89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2192.17 </w:t>
            </w:r>
          </w:p>
        </w:tc>
        <w:tc>
          <w:tcPr>
            <w:tcW w:w="1046" w:type="dxa"/>
            <w:tcBorders>
              <w:top w:val="nil"/>
              <w:left w:val="nil"/>
              <w:bottom w:val="nil"/>
              <w:right w:val="nil"/>
            </w:tcBorders>
            <w:shd w:val="clear" w:color="auto" w:fill="auto"/>
            <w:noWrap/>
            <w:vAlign w:val="center"/>
          </w:tcPr>
          <w:p w14:paraId="4328B02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3269.40 </w:t>
            </w:r>
          </w:p>
        </w:tc>
        <w:tc>
          <w:tcPr>
            <w:tcW w:w="236" w:type="dxa"/>
            <w:tcBorders>
              <w:top w:val="nil"/>
              <w:left w:val="nil"/>
              <w:bottom w:val="nil"/>
              <w:right w:val="nil"/>
            </w:tcBorders>
            <w:shd w:val="clear" w:color="auto" w:fill="auto"/>
            <w:noWrap/>
            <w:vAlign w:val="center"/>
          </w:tcPr>
          <w:p w14:paraId="4420EDD5">
            <w:pPr>
              <w:jc w:val="center"/>
              <w:rPr>
                <w:rFonts w:hint="default" w:ascii="Times New Roman" w:hAnsi="Times New Roman" w:eastAsia="宋体" w:cs="Times New Roman"/>
                <w:i w:val="0"/>
                <w:iCs w:val="0"/>
                <w:color w:val="000000"/>
                <w:sz w:val="20"/>
                <w:szCs w:val="20"/>
                <w:u w:val="none"/>
              </w:rPr>
            </w:pPr>
          </w:p>
        </w:tc>
        <w:tc>
          <w:tcPr>
            <w:tcW w:w="1046" w:type="dxa"/>
            <w:tcBorders>
              <w:top w:val="nil"/>
              <w:left w:val="nil"/>
              <w:bottom w:val="nil"/>
              <w:right w:val="nil"/>
            </w:tcBorders>
            <w:shd w:val="clear" w:color="auto" w:fill="auto"/>
            <w:noWrap/>
            <w:vAlign w:val="center"/>
          </w:tcPr>
          <w:p w14:paraId="7076698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6205.94 </w:t>
            </w:r>
          </w:p>
        </w:tc>
        <w:tc>
          <w:tcPr>
            <w:tcW w:w="1046" w:type="dxa"/>
            <w:tcBorders>
              <w:top w:val="nil"/>
              <w:left w:val="nil"/>
              <w:bottom w:val="nil"/>
              <w:right w:val="nil"/>
            </w:tcBorders>
            <w:shd w:val="clear" w:color="auto" w:fill="auto"/>
            <w:noWrap/>
            <w:vAlign w:val="center"/>
          </w:tcPr>
          <w:p w14:paraId="370A4D6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4937.53 </w:t>
            </w:r>
          </w:p>
        </w:tc>
        <w:tc>
          <w:tcPr>
            <w:tcW w:w="1047" w:type="dxa"/>
            <w:tcBorders>
              <w:top w:val="nil"/>
              <w:left w:val="nil"/>
              <w:bottom w:val="nil"/>
              <w:right w:val="nil"/>
            </w:tcBorders>
            <w:shd w:val="clear" w:color="auto" w:fill="auto"/>
            <w:noWrap/>
            <w:vAlign w:val="center"/>
          </w:tcPr>
          <w:p w14:paraId="6FA905A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7533.61 </w:t>
            </w:r>
          </w:p>
        </w:tc>
        <w:tc>
          <w:tcPr>
            <w:tcW w:w="236" w:type="dxa"/>
            <w:tcBorders>
              <w:top w:val="nil"/>
              <w:left w:val="nil"/>
              <w:bottom w:val="nil"/>
              <w:right w:val="nil"/>
            </w:tcBorders>
            <w:shd w:val="clear" w:color="auto" w:fill="auto"/>
            <w:noWrap/>
            <w:vAlign w:val="center"/>
          </w:tcPr>
          <w:p w14:paraId="1C92659F">
            <w:pPr>
              <w:jc w:val="center"/>
              <w:rPr>
                <w:rFonts w:hint="default" w:ascii="Times New Roman" w:hAnsi="Times New Roman" w:eastAsia="宋体" w:cs="Times New Roman"/>
                <w:i w:val="0"/>
                <w:iCs w:val="0"/>
                <w:color w:val="000000"/>
                <w:sz w:val="20"/>
                <w:szCs w:val="20"/>
                <w:u w:val="none"/>
              </w:rPr>
            </w:pPr>
          </w:p>
        </w:tc>
        <w:tc>
          <w:tcPr>
            <w:tcW w:w="1011" w:type="dxa"/>
            <w:tcBorders>
              <w:top w:val="nil"/>
              <w:left w:val="nil"/>
              <w:bottom w:val="nil"/>
              <w:right w:val="nil"/>
            </w:tcBorders>
            <w:shd w:val="clear" w:color="auto" w:fill="auto"/>
            <w:noWrap/>
            <w:vAlign w:val="center"/>
          </w:tcPr>
          <w:p w14:paraId="3F46A4E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706.92 </w:t>
            </w:r>
          </w:p>
        </w:tc>
        <w:tc>
          <w:tcPr>
            <w:tcW w:w="915" w:type="dxa"/>
            <w:tcBorders>
              <w:top w:val="nil"/>
              <w:left w:val="nil"/>
              <w:bottom w:val="nil"/>
              <w:right w:val="nil"/>
            </w:tcBorders>
            <w:shd w:val="clear" w:color="auto" w:fill="auto"/>
            <w:noWrap/>
            <w:vAlign w:val="center"/>
          </w:tcPr>
          <w:p w14:paraId="137C2DC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568.85 </w:t>
            </w:r>
          </w:p>
        </w:tc>
        <w:tc>
          <w:tcPr>
            <w:tcW w:w="965" w:type="dxa"/>
            <w:tcBorders>
              <w:top w:val="nil"/>
              <w:left w:val="nil"/>
              <w:bottom w:val="nil"/>
              <w:right w:val="nil"/>
            </w:tcBorders>
            <w:shd w:val="clear" w:color="auto" w:fill="auto"/>
            <w:noWrap/>
            <w:vAlign w:val="center"/>
          </w:tcPr>
          <w:p w14:paraId="35EF894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851.45 </w:t>
            </w:r>
          </w:p>
        </w:tc>
      </w:tr>
      <w:tr w14:paraId="740B9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786" w:type="dxa"/>
            <w:tcBorders>
              <w:top w:val="nil"/>
              <w:left w:val="nil"/>
              <w:bottom w:val="nil"/>
              <w:right w:val="nil"/>
            </w:tcBorders>
            <w:shd w:val="clear" w:color="auto" w:fill="auto"/>
            <w:noWrap/>
            <w:vAlign w:val="center"/>
          </w:tcPr>
          <w:p w14:paraId="02EB4B2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2010</w:t>
            </w:r>
          </w:p>
        </w:tc>
        <w:tc>
          <w:tcPr>
            <w:tcW w:w="935" w:type="dxa"/>
            <w:tcBorders>
              <w:top w:val="nil"/>
              <w:left w:val="nil"/>
              <w:bottom w:val="nil"/>
              <w:right w:val="nil"/>
            </w:tcBorders>
            <w:shd w:val="clear" w:color="auto" w:fill="auto"/>
            <w:noWrap/>
            <w:vAlign w:val="center"/>
          </w:tcPr>
          <w:p w14:paraId="1DB7CB6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2742.06 </w:t>
            </w:r>
          </w:p>
        </w:tc>
        <w:tc>
          <w:tcPr>
            <w:tcW w:w="1045" w:type="dxa"/>
            <w:tcBorders>
              <w:top w:val="nil"/>
              <w:left w:val="nil"/>
              <w:bottom w:val="nil"/>
              <w:right w:val="nil"/>
            </w:tcBorders>
            <w:shd w:val="clear" w:color="auto" w:fill="auto"/>
            <w:noWrap/>
            <w:vAlign w:val="center"/>
          </w:tcPr>
          <w:p w14:paraId="11F7EF7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2205.27 </w:t>
            </w:r>
          </w:p>
        </w:tc>
        <w:tc>
          <w:tcPr>
            <w:tcW w:w="1046" w:type="dxa"/>
            <w:tcBorders>
              <w:top w:val="nil"/>
              <w:left w:val="nil"/>
              <w:bottom w:val="nil"/>
              <w:right w:val="nil"/>
            </w:tcBorders>
            <w:shd w:val="clear" w:color="auto" w:fill="auto"/>
            <w:noWrap/>
            <w:vAlign w:val="center"/>
          </w:tcPr>
          <w:p w14:paraId="18134D1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3303.24 </w:t>
            </w:r>
          </w:p>
        </w:tc>
        <w:tc>
          <w:tcPr>
            <w:tcW w:w="236" w:type="dxa"/>
            <w:tcBorders>
              <w:top w:val="nil"/>
              <w:left w:val="nil"/>
              <w:bottom w:val="nil"/>
              <w:right w:val="nil"/>
            </w:tcBorders>
            <w:shd w:val="clear" w:color="auto" w:fill="auto"/>
            <w:noWrap/>
            <w:vAlign w:val="center"/>
          </w:tcPr>
          <w:p w14:paraId="166F4DC5">
            <w:pPr>
              <w:jc w:val="center"/>
              <w:rPr>
                <w:rFonts w:hint="default" w:ascii="Times New Roman" w:hAnsi="Times New Roman" w:eastAsia="宋体" w:cs="Times New Roman"/>
                <w:i w:val="0"/>
                <w:iCs w:val="0"/>
                <w:color w:val="000000"/>
                <w:sz w:val="20"/>
                <w:szCs w:val="20"/>
                <w:u w:val="none"/>
              </w:rPr>
            </w:pPr>
          </w:p>
        </w:tc>
        <w:tc>
          <w:tcPr>
            <w:tcW w:w="1046" w:type="dxa"/>
            <w:tcBorders>
              <w:top w:val="nil"/>
              <w:left w:val="nil"/>
              <w:bottom w:val="nil"/>
              <w:right w:val="nil"/>
            </w:tcBorders>
            <w:shd w:val="clear" w:color="auto" w:fill="auto"/>
            <w:noWrap/>
            <w:vAlign w:val="center"/>
          </w:tcPr>
          <w:p w14:paraId="2C3FCF7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6264.77 </w:t>
            </w:r>
          </w:p>
        </w:tc>
        <w:tc>
          <w:tcPr>
            <w:tcW w:w="1046" w:type="dxa"/>
            <w:tcBorders>
              <w:top w:val="nil"/>
              <w:left w:val="nil"/>
              <w:bottom w:val="nil"/>
              <w:right w:val="nil"/>
            </w:tcBorders>
            <w:shd w:val="clear" w:color="auto" w:fill="auto"/>
            <w:noWrap/>
            <w:vAlign w:val="center"/>
          </w:tcPr>
          <w:p w14:paraId="4CE2DDF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4973.73 </w:t>
            </w:r>
          </w:p>
        </w:tc>
        <w:tc>
          <w:tcPr>
            <w:tcW w:w="1047" w:type="dxa"/>
            <w:tcBorders>
              <w:top w:val="nil"/>
              <w:left w:val="nil"/>
              <w:bottom w:val="nil"/>
              <w:right w:val="nil"/>
            </w:tcBorders>
            <w:shd w:val="clear" w:color="auto" w:fill="auto"/>
            <w:noWrap/>
            <w:vAlign w:val="center"/>
          </w:tcPr>
          <w:p w14:paraId="3C547AE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7614.46 </w:t>
            </w:r>
          </w:p>
        </w:tc>
        <w:tc>
          <w:tcPr>
            <w:tcW w:w="236" w:type="dxa"/>
            <w:tcBorders>
              <w:top w:val="nil"/>
              <w:left w:val="nil"/>
              <w:bottom w:val="nil"/>
              <w:right w:val="nil"/>
            </w:tcBorders>
            <w:shd w:val="clear" w:color="auto" w:fill="auto"/>
            <w:noWrap/>
            <w:vAlign w:val="center"/>
          </w:tcPr>
          <w:p w14:paraId="7203E3B6">
            <w:pPr>
              <w:jc w:val="center"/>
              <w:rPr>
                <w:rFonts w:hint="default" w:ascii="Times New Roman" w:hAnsi="Times New Roman" w:eastAsia="宋体" w:cs="Times New Roman"/>
                <w:i w:val="0"/>
                <w:iCs w:val="0"/>
                <w:color w:val="000000"/>
                <w:sz w:val="20"/>
                <w:szCs w:val="20"/>
                <w:u w:val="none"/>
              </w:rPr>
            </w:pPr>
          </w:p>
        </w:tc>
        <w:tc>
          <w:tcPr>
            <w:tcW w:w="1011" w:type="dxa"/>
            <w:tcBorders>
              <w:top w:val="nil"/>
              <w:left w:val="nil"/>
              <w:bottom w:val="nil"/>
              <w:right w:val="nil"/>
            </w:tcBorders>
            <w:shd w:val="clear" w:color="auto" w:fill="auto"/>
            <w:noWrap/>
            <w:vAlign w:val="center"/>
          </w:tcPr>
          <w:p w14:paraId="2E79476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713.44 </w:t>
            </w:r>
          </w:p>
        </w:tc>
        <w:tc>
          <w:tcPr>
            <w:tcW w:w="915" w:type="dxa"/>
            <w:tcBorders>
              <w:top w:val="nil"/>
              <w:left w:val="nil"/>
              <w:bottom w:val="nil"/>
              <w:right w:val="nil"/>
            </w:tcBorders>
            <w:shd w:val="clear" w:color="auto" w:fill="auto"/>
            <w:noWrap/>
            <w:vAlign w:val="center"/>
          </w:tcPr>
          <w:p w14:paraId="5ACAFA2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572.89 </w:t>
            </w:r>
          </w:p>
        </w:tc>
        <w:tc>
          <w:tcPr>
            <w:tcW w:w="965" w:type="dxa"/>
            <w:tcBorders>
              <w:top w:val="nil"/>
              <w:left w:val="nil"/>
              <w:bottom w:val="nil"/>
              <w:right w:val="nil"/>
            </w:tcBorders>
            <w:shd w:val="clear" w:color="auto" w:fill="auto"/>
            <w:noWrap/>
            <w:vAlign w:val="center"/>
          </w:tcPr>
          <w:p w14:paraId="4BBF999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860.38 </w:t>
            </w:r>
          </w:p>
        </w:tc>
      </w:tr>
      <w:tr w14:paraId="15762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86" w:type="dxa"/>
            <w:tcBorders>
              <w:top w:val="nil"/>
              <w:left w:val="nil"/>
              <w:bottom w:val="nil"/>
              <w:right w:val="nil"/>
            </w:tcBorders>
            <w:shd w:val="clear" w:color="auto" w:fill="auto"/>
            <w:noWrap/>
            <w:vAlign w:val="center"/>
          </w:tcPr>
          <w:p w14:paraId="21EED18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2011</w:t>
            </w:r>
          </w:p>
        </w:tc>
        <w:tc>
          <w:tcPr>
            <w:tcW w:w="935" w:type="dxa"/>
            <w:tcBorders>
              <w:top w:val="nil"/>
              <w:left w:val="nil"/>
              <w:bottom w:val="nil"/>
              <w:right w:val="nil"/>
            </w:tcBorders>
            <w:shd w:val="clear" w:color="auto" w:fill="auto"/>
            <w:noWrap/>
            <w:vAlign w:val="center"/>
          </w:tcPr>
          <w:p w14:paraId="6B0DBBB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2769.58 </w:t>
            </w:r>
          </w:p>
        </w:tc>
        <w:tc>
          <w:tcPr>
            <w:tcW w:w="1045" w:type="dxa"/>
            <w:tcBorders>
              <w:top w:val="nil"/>
              <w:left w:val="nil"/>
              <w:bottom w:val="nil"/>
              <w:right w:val="nil"/>
            </w:tcBorders>
            <w:shd w:val="clear" w:color="auto" w:fill="auto"/>
            <w:noWrap/>
            <w:vAlign w:val="center"/>
          </w:tcPr>
          <w:p w14:paraId="6CFF258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2221.49 </w:t>
            </w:r>
          </w:p>
        </w:tc>
        <w:tc>
          <w:tcPr>
            <w:tcW w:w="1046" w:type="dxa"/>
            <w:tcBorders>
              <w:top w:val="nil"/>
              <w:left w:val="nil"/>
              <w:bottom w:val="nil"/>
              <w:right w:val="nil"/>
            </w:tcBorders>
            <w:shd w:val="clear" w:color="auto" w:fill="auto"/>
            <w:noWrap/>
            <w:vAlign w:val="center"/>
          </w:tcPr>
          <w:p w14:paraId="5B4F91C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3341.93 </w:t>
            </w:r>
          </w:p>
        </w:tc>
        <w:tc>
          <w:tcPr>
            <w:tcW w:w="236" w:type="dxa"/>
            <w:tcBorders>
              <w:top w:val="nil"/>
              <w:left w:val="nil"/>
              <w:bottom w:val="nil"/>
              <w:right w:val="nil"/>
            </w:tcBorders>
            <w:shd w:val="clear" w:color="auto" w:fill="auto"/>
            <w:noWrap/>
            <w:vAlign w:val="center"/>
          </w:tcPr>
          <w:p w14:paraId="0A41F7D0">
            <w:pPr>
              <w:jc w:val="center"/>
              <w:rPr>
                <w:rFonts w:hint="default" w:ascii="Times New Roman" w:hAnsi="Times New Roman" w:eastAsia="宋体" w:cs="Times New Roman"/>
                <w:i w:val="0"/>
                <w:iCs w:val="0"/>
                <w:color w:val="000000"/>
                <w:sz w:val="20"/>
                <w:szCs w:val="20"/>
                <w:u w:val="none"/>
              </w:rPr>
            </w:pPr>
          </w:p>
        </w:tc>
        <w:tc>
          <w:tcPr>
            <w:tcW w:w="1046" w:type="dxa"/>
            <w:tcBorders>
              <w:top w:val="nil"/>
              <w:left w:val="nil"/>
              <w:bottom w:val="nil"/>
              <w:right w:val="nil"/>
            </w:tcBorders>
            <w:shd w:val="clear" w:color="auto" w:fill="auto"/>
            <w:noWrap/>
            <w:vAlign w:val="center"/>
          </w:tcPr>
          <w:p w14:paraId="12A3D6C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6332.69 </w:t>
            </w:r>
          </w:p>
        </w:tc>
        <w:tc>
          <w:tcPr>
            <w:tcW w:w="1046" w:type="dxa"/>
            <w:tcBorders>
              <w:top w:val="nil"/>
              <w:left w:val="nil"/>
              <w:bottom w:val="nil"/>
              <w:right w:val="nil"/>
            </w:tcBorders>
            <w:shd w:val="clear" w:color="auto" w:fill="auto"/>
            <w:noWrap/>
            <w:vAlign w:val="center"/>
          </w:tcPr>
          <w:p w14:paraId="65355F3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5016.95 </w:t>
            </w:r>
          </w:p>
        </w:tc>
        <w:tc>
          <w:tcPr>
            <w:tcW w:w="1047" w:type="dxa"/>
            <w:tcBorders>
              <w:top w:val="nil"/>
              <w:left w:val="nil"/>
              <w:bottom w:val="nil"/>
              <w:right w:val="nil"/>
            </w:tcBorders>
            <w:shd w:val="clear" w:color="auto" w:fill="auto"/>
            <w:noWrap/>
            <w:vAlign w:val="center"/>
          </w:tcPr>
          <w:p w14:paraId="742F991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7706.67 </w:t>
            </w:r>
          </w:p>
        </w:tc>
        <w:tc>
          <w:tcPr>
            <w:tcW w:w="236" w:type="dxa"/>
            <w:tcBorders>
              <w:top w:val="nil"/>
              <w:left w:val="nil"/>
              <w:bottom w:val="nil"/>
              <w:right w:val="nil"/>
            </w:tcBorders>
            <w:shd w:val="clear" w:color="auto" w:fill="auto"/>
            <w:noWrap/>
            <w:vAlign w:val="center"/>
          </w:tcPr>
          <w:p w14:paraId="0E7BE7D7">
            <w:pPr>
              <w:jc w:val="center"/>
              <w:rPr>
                <w:rFonts w:hint="default" w:ascii="Times New Roman" w:hAnsi="Times New Roman" w:eastAsia="宋体" w:cs="Times New Roman"/>
                <w:i w:val="0"/>
                <w:iCs w:val="0"/>
                <w:color w:val="000000"/>
                <w:sz w:val="20"/>
                <w:szCs w:val="20"/>
                <w:u w:val="none"/>
              </w:rPr>
            </w:pPr>
          </w:p>
        </w:tc>
        <w:tc>
          <w:tcPr>
            <w:tcW w:w="1011" w:type="dxa"/>
            <w:tcBorders>
              <w:top w:val="nil"/>
              <w:left w:val="nil"/>
              <w:bottom w:val="nil"/>
              <w:right w:val="nil"/>
            </w:tcBorders>
            <w:shd w:val="clear" w:color="auto" w:fill="auto"/>
            <w:noWrap/>
            <w:vAlign w:val="center"/>
          </w:tcPr>
          <w:p w14:paraId="46D010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721.00 </w:t>
            </w:r>
          </w:p>
        </w:tc>
        <w:tc>
          <w:tcPr>
            <w:tcW w:w="915" w:type="dxa"/>
            <w:tcBorders>
              <w:top w:val="nil"/>
              <w:left w:val="nil"/>
              <w:bottom w:val="nil"/>
              <w:right w:val="nil"/>
            </w:tcBorders>
            <w:shd w:val="clear" w:color="auto" w:fill="auto"/>
            <w:noWrap/>
            <w:vAlign w:val="center"/>
          </w:tcPr>
          <w:p w14:paraId="1AA7774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577.71 </w:t>
            </w:r>
          </w:p>
        </w:tc>
        <w:tc>
          <w:tcPr>
            <w:tcW w:w="965" w:type="dxa"/>
            <w:tcBorders>
              <w:top w:val="nil"/>
              <w:left w:val="nil"/>
              <w:bottom w:val="nil"/>
              <w:right w:val="nil"/>
            </w:tcBorders>
            <w:shd w:val="clear" w:color="auto" w:fill="auto"/>
            <w:noWrap/>
            <w:vAlign w:val="center"/>
          </w:tcPr>
          <w:p w14:paraId="6E9B7D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870.62 </w:t>
            </w:r>
          </w:p>
        </w:tc>
      </w:tr>
      <w:tr w14:paraId="1B0C1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86" w:type="dxa"/>
            <w:tcBorders>
              <w:top w:val="nil"/>
              <w:left w:val="nil"/>
              <w:bottom w:val="nil"/>
              <w:right w:val="nil"/>
            </w:tcBorders>
            <w:shd w:val="clear" w:color="auto" w:fill="auto"/>
            <w:noWrap/>
            <w:vAlign w:val="center"/>
          </w:tcPr>
          <w:p w14:paraId="538E705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2012</w:t>
            </w:r>
          </w:p>
        </w:tc>
        <w:tc>
          <w:tcPr>
            <w:tcW w:w="935" w:type="dxa"/>
            <w:tcBorders>
              <w:top w:val="nil"/>
              <w:left w:val="nil"/>
              <w:bottom w:val="nil"/>
              <w:right w:val="nil"/>
            </w:tcBorders>
            <w:shd w:val="clear" w:color="auto" w:fill="auto"/>
            <w:noWrap/>
            <w:vAlign w:val="center"/>
          </w:tcPr>
          <w:p w14:paraId="3DCC7FB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2794.18 </w:t>
            </w:r>
          </w:p>
        </w:tc>
        <w:tc>
          <w:tcPr>
            <w:tcW w:w="1045" w:type="dxa"/>
            <w:tcBorders>
              <w:top w:val="nil"/>
              <w:left w:val="nil"/>
              <w:bottom w:val="nil"/>
              <w:right w:val="nil"/>
            </w:tcBorders>
            <w:shd w:val="clear" w:color="auto" w:fill="auto"/>
            <w:noWrap/>
            <w:vAlign w:val="center"/>
          </w:tcPr>
          <w:p w14:paraId="2F2AE9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2234.92 </w:t>
            </w:r>
          </w:p>
        </w:tc>
        <w:tc>
          <w:tcPr>
            <w:tcW w:w="1046" w:type="dxa"/>
            <w:tcBorders>
              <w:top w:val="nil"/>
              <w:left w:val="nil"/>
              <w:bottom w:val="nil"/>
              <w:right w:val="nil"/>
            </w:tcBorders>
            <w:shd w:val="clear" w:color="auto" w:fill="auto"/>
            <w:noWrap/>
            <w:vAlign w:val="center"/>
          </w:tcPr>
          <w:p w14:paraId="781F2F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3377.72 </w:t>
            </w:r>
          </w:p>
        </w:tc>
        <w:tc>
          <w:tcPr>
            <w:tcW w:w="236" w:type="dxa"/>
            <w:tcBorders>
              <w:top w:val="nil"/>
              <w:left w:val="nil"/>
              <w:bottom w:val="nil"/>
              <w:right w:val="nil"/>
            </w:tcBorders>
            <w:shd w:val="clear" w:color="auto" w:fill="auto"/>
            <w:noWrap/>
            <w:vAlign w:val="center"/>
          </w:tcPr>
          <w:p w14:paraId="3BDDF32F">
            <w:pPr>
              <w:jc w:val="center"/>
              <w:rPr>
                <w:rFonts w:hint="default" w:ascii="Times New Roman" w:hAnsi="Times New Roman" w:eastAsia="宋体" w:cs="Times New Roman"/>
                <w:i w:val="0"/>
                <w:iCs w:val="0"/>
                <w:color w:val="000000"/>
                <w:sz w:val="20"/>
                <w:szCs w:val="20"/>
                <w:u w:val="none"/>
              </w:rPr>
            </w:pPr>
          </w:p>
        </w:tc>
        <w:tc>
          <w:tcPr>
            <w:tcW w:w="1046" w:type="dxa"/>
            <w:tcBorders>
              <w:top w:val="nil"/>
              <w:left w:val="nil"/>
              <w:bottom w:val="nil"/>
              <w:right w:val="nil"/>
            </w:tcBorders>
            <w:shd w:val="clear" w:color="auto" w:fill="auto"/>
            <w:noWrap/>
            <w:vAlign w:val="center"/>
          </w:tcPr>
          <w:p w14:paraId="4AB496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6393.98 </w:t>
            </w:r>
          </w:p>
        </w:tc>
        <w:tc>
          <w:tcPr>
            <w:tcW w:w="1046" w:type="dxa"/>
            <w:tcBorders>
              <w:top w:val="nil"/>
              <w:left w:val="nil"/>
              <w:bottom w:val="nil"/>
              <w:right w:val="nil"/>
            </w:tcBorders>
            <w:shd w:val="clear" w:color="auto" w:fill="auto"/>
            <w:noWrap/>
            <w:vAlign w:val="center"/>
          </w:tcPr>
          <w:p w14:paraId="0DAA1E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5053.77 </w:t>
            </w:r>
          </w:p>
        </w:tc>
        <w:tc>
          <w:tcPr>
            <w:tcW w:w="1047" w:type="dxa"/>
            <w:tcBorders>
              <w:top w:val="nil"/>
              <w:left w:val="nil"/>
              <w:bottom w:val="nil"/>
              <w:right w:val="nil"/>
            </w:tcBorders>
            <w:shd w:val="clear" w:color="auto" w:fill="auto"/>
            <w:noWrap/>
            <w:vAlign w:val="center"/>
          </w:tcPr>
          <w:p w14:paraId="1383CA0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7792.40 </w:t>
            </w:r>
          </w:p>
        </w:tc>
        <w:tc>
          <w:tcPr>
            <w:tcW w:w="236" w:type="dxa"/>
            <w:tcBorders>
              <w:top w:val="nil"/>
              <w:left w:val="nil"/>
              <w:bottom w:val="nil"/>
              <w:right w:val="nil"/>
            </w:tcBorders>
            <w:shd w:val="clear" w:color="auto" w:fill="auto"/>
            <w:noWrap/>
            <w:vAlign w:val="center"/>
          </w:tcPr>
          <w:p w14:paraId="7826D4E8">
            <w:pPr>
              <w:jc w:val="center"/>
              <w:rPr>
                <w:rFonts w:hint="default" w:ascii="Times New Roman" w:hAnsi="Times New Roman" w:eastAsia="宋体" w:cs="Times New Roman"/>
                <w:i w:val="0"/>
                <w:iCs w:val="0"/>
                <w:color w:val="000000"/>
                <w:sz w:val="20"/>
                <w:szCs w:val="20"/>
                <w:u w:val="none"/>
              </w:rPr>
            </w:pPr>
          </w:p>
        </w:tc>
        <w:tc>
          <w:tcPr>
            <w:tcW w:w="1011" w:type="dxa"/>
            <w:tcBorders>
              <w:top w:val="nil"/>
              <w:left w:val="nil"/>
              <w:bottom w:val="nil"/>
              <w:right w:val="nil"/>
            </w:tcBorders>
            <w:shd w:val="clear" w:color="auto" w:fill="auto"/>
            <w:noWrap/>
            <w:vAlign w:val="center"/>
          </w:tcPr>
          <w:p w14:paraId="328904C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727.55 </w:t>
            </w:r>
          </w:p>
        </w:tc>
        <w:tc>
          <w:tcPr>
            <w:tcW w:w="915" w:type="dxa"/>
            <w:tcBorders>
              <w:top w:val="nil"/>
              <w:left w:val="nil"/>
              <w:bottom w:val="nil"/>
              <w:right w:val="nil"/>
            </w:tcBorders>
            <w:shd w:val="clear" w:color="auto" w:fill="auto"/>
            <w:noWrap/>
            <w:vAlign w:val="center"/>
          </w:tcPr>
          <w:p w14:paraId="54F8226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581.56 </w:t>
            </w:r>
          </w:p>
        </w:tc>
        <w:tc>
          <w:tcPr>
            <w:tcW w:w="965" w:type="dxa"/>
            <w:tcBorders>
              <w:top w:val="nil"/>
              <w:left w:val="nil"/>
              <w:bottom w:val="nil"/>
              <w:right w:val="nil"/>
            </w:tcBorders>
            <w:shd w:val="clear" w:color="auto" w:fill="auto"/>
            <w:noWrap/>
            <w:vAlign w:val="center"/>
          </w:tcPr>
          <w:p w14:paraId="4F36835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879.88 </w:t>
            </w:r>
          </w:p>
        </w:tc>
      </w:tr>
      <w:tr w14:paraId="7887D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86" w:type="dxa"/>
            <w:tcBorders>
              <w:top w:val="nil"/>
              <w:left w:val="nil"/>
              <w:bottom w:val="nil"/>
              <w:right w:val="nil"/>
            </w:tcBorders>
            <w:shd w:val="clear" w:color="auto" w:fill="auto"/>
            <w:noWrap/>
            <w:vAlign w:val="center"/>
          </w:tcPr>
          <w:p w14:paraId="5C89B6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2013</w:t>
            </w:r>
          </w:p>
        </w:tc>
        <w:tc>
          <w:tcPr>
            <w:tcW w:w="935" w:type="dxa"/>
            <w:tcBorders>
              <w:top w:val="nil"/>
              <w:left w:val="nil"/>
              <w:bottom w:val="nil"/>
              <w:right w:val="nil"/>
            </w:tcBorders>
            <w:shd w:val="clear" w:color="auto" w:fill="auto"/>
            <w:noWrap/>
            <w:vAlign w:val="center"/>
          </w:tcPr>
          <w:p w14:paraId="6FBD512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2816.78 </w:t>
            </w:r>
          </w:p>
        </w:tc>
        <w:tc>
          <w:tcPr>
            <w:tcW w:w="1045" w:type="dxa"/>
            <w:tcBorders>
              <w:top w:val="nil"/>
              <w:left w:val="nil"/>
              <w:bottom w:val="nil"/>
              <w:right w:val="nil"/>
            </w:tcBorders>
            <w:shd w:val="clear" w:color="auto" w:fill="auto"/>
            <w:noWrap/>
            <w:vAlign w:val="center"/>
          </w:tcPr>
          <w:p w14:paraId="546E6B0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2245.93 </w:t>
            </w:r>
          </w:p>
        </w:tc>
        <w:tc>
          <w:tcPr>
            <w:tcW w:w="1046" w:type="dxa"/>
            <w:tcBorders>
              <w:top w:val="nil"/>
              <w:left w:val="nil"/>
              <w:bottom w:val="nil"/>
              <w:right w:val="nil"/>
            </w:tcBorders>
            <w:shd w:val="clear" w:color="auto" w:fill="auto"/>
            <w:noWrap/>
            <w:vAlign w:val="center"/>
          </w:tcPr>
          <w:p w14:paraId="523A46E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3412.19 </w:t>
            </w:r>
          </w:p>
        </w:tc>
        <w:tc>
          <w:tcPr>
            <w:tcW w:w="236" w:type="dxa"/>
            <w:tcBorders>
              <w:top w:val="nil"/>
              <w:left w:val="nil"/>
              <w:bottom w:val="nil"/>
              <w:right w:val="nil"/>
            </w:tcBorders>
            <w:shd w:val="clear" w:color="auto" w:fill="auto"/>
            <w:noWrap/>
            <w:vAlign w:val="center"/>
          </w:tcPr>
          <w:p w14:paraId="1CEE4E5E">
            <w:pPr>
              <w:jc w:val="center"/>
              <w:rPr>
                <w:rFonts w:hint="default" w:ascii="Times New Roman" w:hAnsi="Times New Roman" w:eastAsia="宋体" w:cs="Times New Roman"/>
                <w:i w:val="0"/>
                <w:iCs w:val="0"/>
                <w:color w:val="000000"/>
                <w:sz w:val="20"/>
                <w:szCs w:val="20"/>
                <w:u w:val="none"/>
              </w:rPr>
            </w:pPr>
          </w:p>
        </w:tc>
        <w:tc>
          <w:tcPr>
            <w:tcW w:w="1046" w:type="dxa"/>
            <w:tcBorders>
              <w:top w:val="nil"/>
              <w:left w:val="nil"/>
              <w:bottom w:val="nil"/>
              <w:right w:val="nil"/>
            </w:tcBorders>
            <w:shd w:val="clear" w:color="auto" w:fill="auto"/>
            <w:noWrap/>
            <w:vAlign w:val="center"/>
          </w:tcPr>
          <w:p w14:paraId="2A817D9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6450.68 </w:t>
            </w:r>
          </w:p>
        </w:tc>
        <w:tc>
          <w:tcPr>
            <w:tcW w:w="1046" w:type="dxa"/>
            <w:tcBorders>
              <w:top w:val="nil"/>
              <w:left w:val="nil"/>
              <w:bottom w:val="nil"/>
              <w:right w:val="nil"/>
            </w:tcBorders>
            <w:shd w:val="clear" w:color="auto" w:fill="auto"/>
            <w:noWrap/>
            <w:vAlign w:val="center"/>
          </w:tcPr>
          <w:p w14:paraId="193E6EF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5084.69 </w:t>
            </w:r>
          </w:p>
        </w:tc>
        <w:tc>
          <w:tcPr>
            <w:tcW w:w="1047" w:type="dxa"/>
            <w:tcBorders>
              <w:top w:val="nil"/>
              <w:left w:val="nil"/>
              <w:bottom w:val="nil"/>
              <w:right w:val="nil"/>
            </w:tcBorders>
            <w:shd w:val="clear" w:color="auto" w:fill="auto"/>
            <w:noWrap/>
            <w:vAlign w:val="center"/>
          </w:tcPr>
          <w:p w14:paraId="0C08EFE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7875.42 </w:t>
            </w:r>
          </w:p>
        </w:tc>
        <w:tc>
          <w:tcPr>
            <w:tcW w:w="236" w:type="dxa"/>
            <w:tcBorders>
              <w:top w:val="nil"/>
              <w:left w:val="nil"/>
              <w:bottom w:val="nil"/>
              <w:right w:val="nil"/>
            </w:tcBorders>
            <w:shd w:val="clear" w:color="auto" w:fill="auto"/>
            <w:noWrap/>
            <w:vAlign w:val="center"/>
          </w:tcPr>
          <w:p w14:paraId="3955AAC2">
            <w:pPr>
              <w:jc w:val="center"/>
              <w:rPr>
                <w:rFonts w:hint="default" w:ascii="Times New Roman" w:hAnsi="Times New Roman" w:eastAsia="宋体" w:cs="Times New Roman"/>
                <w:i w:val="0"/>
                <w:iCs w:val="0"/>
                <w:color w:val="000000"/>
                <w:sz w:val="20"/>
                <w:szCs w:val="20"/>
                <w:u w:val="none"/>
              </w:rPr>
            </w:pPr>
          </w:p>
        </w:tc>
        <w:tc>
          <w:tcPr>
            <w:tcW w:w="1011" w:type="dxa"/>
            <w:tcBorders>
              <w:top w:val="nil"/>
              <w:left w:val="nil"/>
              <w:bottom w:val="nil"/>
              <w:right w:val="nil"/>
            </w:tcBorders>
            <w:shd w:val="clear" w:color="auto" w:fill="auto"/>
            <w:noWrap/>
            <w:vAlign w:val="center"/>
          </w:tcPr>
          <w:p w14:paraId="493A88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733.55 </w:t>
            </w:r>
          </w:p>
        </w:tc>
        <w:tc>
          <w:tcPr>
            <w:tcW w:w="915" w:type="dxa"/>
            <w:tcBorders>
              <w:top w:val="nil"/>
              <w:left w:val="nil"/>
              <w:bottom w:val="nil"/>
              <w:right w:val="nil"/>
            </w:tcBorders>
            <w:shd w:val="clear" w:color="auto" w:fill="auto"/>
            <w:noWrap/>
            <w:vAlign w:val="center"/>
          </w:tcPr>
          <w:p w14:paraId="4320CE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584.70 </w:t>
            </w:r>
          </w:p>
        </w:tc>
        <w:tc>
          <w:tcPr>
            <w:tcW w:w="965" w:type="dxa"/>
            <w:tcBorders>
              <w:top w:val="nil"/>
              <w:left w:val="nil"/>
              <w:bottom w:val="nil"/>
              <w:right w:val="nil"/>
            </w:tcBorders>
            <w:shd w:val="clear" w:color="auto" w:fill="auto"/>
            <w:noWrap/>
            <w:vAlign w:val="center"/>
          </w:tcPr>
          <w:p w14:paraId="6BA10C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888.80 </w:t>
            </w:r>
          </w:p>
        </w:tc>
      </w:tr>
      <w:tr w14:paraId="07F06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86" w:type="dxa"/>
            <w:tcBorders>
              <w:top w:val="nil"/>
              <w:left w:val="nil"/>
              <w:bottom w:val="nil"/>
              <w:right w:val="nil"/>
            </w:tcBorders>
            <w:shd w:val="clear" w:color="auto" w:fill="auto"/>
            <w:noWrap/>
            <w:vAlign w:val="center"/>
          </w:tcPr>
          <w:p w14:paraId="41C53A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2014</w:t>
            </w:r>
          </w:p>
        </w:tc>
        <w:tc>
          <w:tcPr>
            <w:tcW w:w="935" w:type="dxa"/>
            <w:tcBorders>
              <w:top w:val="nil"/>
              <w:left w:val="nil"/>
              <w:bottom w:val="nil"/>
              <w:right w:val="nil"/>
            </w:tcBorders>
            <w:shd w:val="clear" w:color="auto" w:fill="auto"/>
            <w:noWrap/>
            <w:vAlign w:val="center"/>
          </w:tcPr>
          <w:p w14:paraId="3C068C2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2840.10 </w:t>
            </w:r>
          </w:p>
        </w:tc>
        <w:tc>
          <w:tcPr>
            <w:tcW w:w="1045" w:type="dxa"/>
            <w:tcBorders>
              <w:top w:val="nil"/>
              <w:left w:val="nil"/>
              <w:bottom w:val="nil"/>
              <w:right w:val="nil"/>
            </w:tcBorders>
            <w:shd w:val="clear" w:color="auto" w:fill="auto"/>
            <w:noWrap/>
            <w:vAlign w:val="center"/>
          </w:tcPr>
          <w:p w14:paraId="15AF1FB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2256.60 </w:t>
            </w:r>
          </w:p>
        </w:tc>
        <w:tc>
          <w:tcPr>
            <w:tcW w:w="1046" w:type="dxa"/>
            <w:tcBorders>
              <w:top w:val="nil"/>
              <w:left w:val="nil"/>
              <w:bottom w:val="nil"/>
              <w:right w:val="nil"/>
            </w:tcBorders>
            <w:shd w:val="clear" w:color="auto" w:fill="auto"/>
            <w:noWrap/>
            <w:vAlign w:val="center"/>
          </w:tcPr>
          <w:p w14:paraId="0632EE8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3448.69 </w:t>
            </w:r>
          </w:p>
        </w:tc>
        <w:tc>
          <w:tcPr>
            <w:tcW w:w="236" w:type="dxa"/>
            <w:tcBorders>
              <w:top w:val="nil"/>
              <w:left w:val="nil"/>
              <w:bottom w:val="nil"/>
              <w:right w:val="nil"/>
            </w:tcBorders>
            <w:shd w:val="clear" w:color="auto" w:fill="auto"/>
            <w:noWrap/>
            <w:vAlign w:val="center"/>
          </w:tcPr>
          <w:p w14:paraId="4CE03A0E">
            <w:pPr>
              <w:jc w:val="center"/>
              <w:rPr>
                <w:rFonts w:hint="default" w:ascii="Times New Roman" w:hAnsi="Times New Roman" w:eastAsia="宋体" w:cs="Times New Roman"/>
                <w:i w:val="0"/>
                <w:iCs w:val="0"/>
                <w:color w:val="000000"/>
                <w:sz w:val="20"/>
                <w:szCs w:val="20"/>
                <w:u w:val="none"/>
              </w:rPr>
            </w:pPr>
          </w:p>
        </w:tc>
        <w:tc>
          <w:tcPr>
            <w:tcW w:w="1046" w:type="dxa"/>
            <w:tcBorders>
              <w:top w:val="nil"/>
              <w:left w:val="nil"/>
              <w:bottom w:val="nil"/>
              <w:right w:val="nil"/>
            </w:tcBorders>
            <w:shd w:val="clear" w:color="auto" w:fill="auto"/>
            <w:noWrap/>
            <w:vAlign w:val="center"/>
          </w:tcPr>
          <w:p w14:paraId="7ABFC09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6510.00 </w:t>
            </w:r>
          </w:p>
        </w:tc>
        <w:tc>
          <w:tcPr>
            <w:tcW w:w="1046" w:type="dxa"/>
            <w:tcBorders>
              <w:top w:val="nil"/>
              <w:left w:val="nil"/>
              <w:bottom w:val="nil"/>
              <w:right w:val="nil"/>
            </w:tcBorders>
            <w:shd w:val="clear" w:color="auto" w:fill="auto"/>
            <w:noWrap/>
            <w:vAlign w:val="center"/>
          </w:tcPr>
          <w:p w14:paraId="18AF3BE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5115.11 </w:t>
            </w:r>
          </w:p>
        </w:tc>
        <w:tc>
          <w:tcPr>
            <w:tcW w:w="1047" w:type="dxa"/>
            <w:tcBorders>
              <w:top w:val="nil"/>
              <w:left w:val="nil"/>
              <w:bottom w:val="nil"/>
              <w:right w:val="nil"/>
            </w:tcBorders>
            <w:shd w:val="clear" w:color="auto" w:fill="auto"/>
            <w:noWrap/>
            <w:vAlign w:val="center"/>
          </w:tcPr>
          <w:p w14:paraId="51B9515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7964.87 </w:t>
            </w:r>
          </w:p>
        </w:tc>
        <w:tc>
          <w:tcPr>
            <w:tcW w:w="236" w:type="dxa"/>
            <w:tcBorders>
              <w:top w:val="nil"/>
              <w:left w:val="nil"/>
              <w:bottom w:val="nil"/>
              <w:right w:val="nil"/>
            </w:tcBorders>
            <w:shd w:val="clear" w:color="auto" w:fill="auto"/>
            <w:noWrap/>
            <w:vAlign w:val="center"/>
          </w:tcPr>
          <w:p w14:paraId="6D964820">
            <w:pPr>
              <w:jc w:val="center"/>
              <w:rPr>
                <w:rFonts w:hint="default" w:ascii="Times New Roman" w:hAnsi="Times New Roman" w:eastAsia="宋体" w:cs="Times New Roman"/>
                <w:i w:val="0"/>
                <w:iCs w:val="0"/>
                <w:color w:val="000000"/>
                <w:sz w:val="20"/>
                <w:szCs w:val="20"/>
                <w:u w:val="none"/>
              </w:rPr>
            </w:pPr>
          </w:p>
        </w:tc>
        <w:tc>
          <w:tcPr>
            <w:tcW w:w="1011" w:type="dxa"/>
            <w:tcBorders>
              <w:top w:val="nil"/>
              <w:left w:val="nil"/>
              <w:bottom w:val="nil"/>
              <w:right w:val="nil"/>
            </w:tcBorders>
            <w:shd w:val="clear" w:color="auto" w:fill="auto"/>
            <w:noWrap/>
            <w:vAlign w:val="center"/>
          </w:tcPr>
          <w:p w14:paraId="5F646D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739.90 </w:t>
            </w:r>
          </w:p>
        </w:tc>
        <w:tc>
          <w:tcPr>
            <w:tcW w:w="915" w:type="dxa"/>
            <w:tcBorders>
              <w:top w:val="nil"/>
              <w:left w:val="nil"/>
              <w:bottom w:val="nil"/>
              <w:right w:val="nil"/>
            </w:tcBorders>
            <w:shd w:val="clear" w:color="auto" w:fill="auto"/>
            <w:noWrap/>
            <w:vAlign w:val="center"/>
          </w:tcPr>
          <w:p w14:paraId="39EB38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587.95 </w:t>
            </w:r>
          </w:p>
        </w:tc>
        <w:tc>
          <w:tcPr>
            <w:tcW w:w="965" w:type="dxa"/>
            <w:tcBorders>
              <w:top w:val="nil"/>
              <w:left w:val="nil"/>
              <w:bottom w:val="nil"/>
              <w:right w:val="nil"/>
            </w:tcBorders>
            <w:shd w:val="clear" w:color="auto" w:fill="auto"/>
            <w:noWrap/>
            <w:vAlign w:val="center"/>
          </w:tcPr>
          <w:p w14:paraId="469C3B7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898.38 </w:t>
            </w:r>
          </w:p>
        </w:tc>
      </w:tr>
      <w:tr w14:paraId="7E6EA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786" w:type="dxa"/>
            <w:tcBorders>
              <w:top w:val="nil"/>
              <w:left w:val="nil"/>
              <w:bottom w:val="nil"/>
              <w:right w:val="nil"/>
            </w:tcBorders>
            <w:shd w:val="clear" w:color="auto" w:fill="auto"/>
            <w:noWrap/>
            <w:vAlign w:val="center"/>
          </w:tcPr>
          <w:p w14:paraId="33F100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2015</w:t>
            </w:r>
          </w:p>
        </w:tc>
        <w:tc>
          <w:tcPr>
            <w:tcW w:w="935" w:type="dxa"/>
            <w:tcBorders>
              <w:top w:val="nil"/>
              <w:left w:val="nil"/>
              <w:bottom w:val="nil"/>
              <w:right w:val="nil"/>
            </w:tcBorders>
            <w:shd w:val="clear" w:color="auto" w:fill="auto"/>
            <w:noWrap/>
            <w:vAlign w:val="center"/>
          </w:tcPr>
          <w:p w14:paraId="265A4E2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2863.21 </w:t>
            </w:r>
          </w:p>
        </w:tc>
        <w:tc>
          <w:tcPr>
            <w:tcW w:w="1045" w:type="dxa"/>
            <w:tcBorders>
              <w:top w:val="nil"/>
              <w:left w:val="nil"/>
              <w:bottom w:val="nil"/>
              <w:right w:val="nil"/>
            </w:tcBorders>
            <w:shd w:val="clear" w:color="auto" w:fill="auto"/>
            <w:noWrap/>
            <w:vAlign w:val="center"/>
          </w:tcPr>
          <w:p w14:paraId="1EDB773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2265.86 </w:t>
            </w:r>
          </w:p>
        </w:tc>
        <w:tc>
          <w:tcPr>
            <w:tcW w:w="1046" w:type="dxa"/>
            <w:tcBorders>
              <w:top w:val="nil"/>
              <w:left w:val="nil"/>
              <w:bottom w:val="nil"/>
              <w:right w:val="nil"/>
            </w:tcBorders>
            <w:shd w:val="clear" w:color="auto" w:fill="auto"/>
            <w:noWrap/>
            <w:vAlign w:val="center"/>
          </w:tcPr>
          <w:p w14:paraId="40655E1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3486.52 </w:t>
            </w:r>
          </w:p>
        </w:tc>
        <w:tc>
          <w:tcPr>
            <w:tcW w:w="236" w:type="dxa"/>
            <w:tcBorders>
              <w:top w:val="nil"/>
              <w:left w:val="nil"/>
              <w:bottom w:val="nil"/>
              <w:right w:val="nil"/>
            </w:tcBorders>
            <w:shd w:val="clear" w:color="auto" w:fill="auto"/>
            <w:noWrap/>
            <w:vAlign w:val="center"/>
          </w:tcPr>
          <w:p w14:paraId="69BF3C9C">
            <w:pPr>
              <w:jc w:val="center"/>
              <w:rPr>
                <w:rFonts w:hint="default" w:ascii="Times New Roman" w:hAnsi="Times New Roman" w:eastAsia="宋体" w:cs="Times New Roman"/>
                <w:i w:val="0"/>
                <w:iCs w:val="0"/>
                <w:color w:val="000000"/>
                <w:sz w:val="20"/>
                <w:szCs w:val="20"/>
                <w:u w:val="none"/>
              </w:rPr>
            </w:pPr>
          </w:p>
        </w:tc>
        <w:tc>
          <w:tcPr>
            <w:tcW w:w="1046" w:type="dxa"/>
            <w:tcBorders>
              <w:top w:val="nil"/>
              <w:left w:val="nil"/>
              <w:bottom w:val="nil"/>
              <w:right w:val="nil"/>
            </w:tcBorders>
            <w:shd w:val="clear" w:color="auto" w:fill="auto"/>
            <w:noWrap/>
            <w:vAlign w:val="center"/>
          </w:tcPr>
          <w:p w14:paraId="23267F0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6568.19 </w:t>
            </w:r>
          </w:p>
        </w:tc>
        <w:tc>
          <w:tcPr>
            <w:tcW w:w="1046" w:type="dxa"/>
            <w:tcBorders>
              <w:top w:val="nil"/>
              <w:left w:val="nil"/>
              <w:bottom w:val="nil"/>
              <w:right w:val="nil"/>
            </w:tcBorders>
            <w:shd w:val="clear" w:color="auto" w:fill="auto"/>
            <w:noWrap/>
            <w:vAlign w:val="center"/>
          </w:tcPr>
          <w:p w14:paraId="370A56D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5141.21 </w:t>
            </w:r>
          </w:p>
        </w:tc>
        <w:tc>
          <w:tcPr>
            <w:tcW w:w="1047" w:type="dxa"/>
            <w:tcBorders>
              <w:top w:val="nil"/>
              <w:left w:val="nil"/>
              <w:bottom w:val="nil"/>
              <w:right w:val="nil"/>
            </w:tcBorders>
            <w:shd w:val="clear" w:color="auto" w:fill="auto"/>
            <w:noWrap/>
            <w:vAlign w:val="center"/>
          </w:tcPr>
          <w:p w14:paraId="3BA1B1E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8057.16 </w:t>
            </w:r>
          </w:p>
        </w:tc>
        <w:tc>
          <w:tcPr>
            <w:tcW w:w="236" w:type="dxa"/>
            <w:tcBorders>
              <w:top w:val="nil"/>
              <w:left w:val="nil"/>
              <w:bottom w:val="nil"/>
              <w:right w:val="nil"/>
            </w:tcBorders>
            <w:shd w:val="clear" w:color="auto" w:fill="auto"/>
            <w:noWrap/>
            <w:vAlign w:val="center"/>
          </w:tcPr>
          <w:p w14:paraId="497CD3FC">
            <w:pPr>
              <w:jc w:val="center"/>
              <w:rPr>
                <w:rFonts w:hint="default" w:ascii="Times New Roman" w:hAnsi="Times New Roman" w:eastAsia="宋体" w:cs="Times New Roman"/>
                <w:i w:val="0"/>
                <w:iCs w:val="0"/>
                <w:color w:val="000000"/>
                <w:sz w:val="20"/>
                <w:szCs w:val="20"/>
                <w:u w:val="none"/>
              </w:rPr>
            </w:pPr>
          </w:p>
        </w:tc>
        <w:tc>
          <w:tcPr>
            <w:tcW w:w="1011" w:type="dxa"/>
            <w:tcBorders>
              <w:top w:val="nil"/>
              <w:left w:val="nil"/>
              <w:bottom w:val="nil"/>
              <w:right w:val="nil"/>
            </w:tcBorders>
            <w:shd w:val="clear" w:color="auto" w:fill="auto"/>
            <w:noWrap/>
            <w:vAlign w:val="center"/>
          </w:tcPr>
          <w:p w14:paraId="1D94B6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746.07 </w:t>
            </w:r>
          </w:p>
        </w:tc>
        <w:tc>
          <w:tcPr>
            <w:tcW w:w="915" w:type="dxa"/>
            <w:tcBorders>
              <w:top w:val="nil"/>
              <w:left w:val="nil"/>
              <w:bottom w:val="nil"/>
              <w:right w:val="nil"/>
            </w:tcBorders>
            <w:shd w:val="clear" w:color="auto" w:fill="auto"/>
            <w:noWrap/>
            <w:vAlign w:val="center"/>
          </w:tcPr>
          <w:p w14:paraId="75D43A1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590.65 </w:t>
            </w:r>
          </w:p>
        </w:tc>
        <w:tc>
          <w:tcPr>
            <w:tcW w:w="965" w:type="dxa"/>
            <w:tcBorders>
              <w:top w:val="nil"/>
              <w:left w:val="nil"/>
              <w:bottom w:val="nil"/>
              <w:right w:val="nil"/>
            </w:tcBorders>
            <w:shd w:val="clear" w:color="auto" w:fill="auto"/>
            <w:noWrap/>
            <w:vAlign w:val="center"/>
          </w:tcPr>
          <w:p w14:paraId="2BE9F4A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908.23 </w:t>
            </w:r>
          </w:p>
        </w:tc>
      </w:tr>
      <w:tr w14:paraId="0C37D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86" w:type="dxa"/>
            <w:tcBorders>
              <w:top w:val="nil"/>
              <w:left w:val="nil"/>
              <w:bottom w:val="nil"/>
              <w:right w:val="nil"/>
            </w:tcBorders>
            <w:shd w:val="clear" w:color="auto" w:fill="auto"/>
            <w:noWrap/>
            <w:vAlign w:val="center"/>
          </w:tcPr>
          <w:p w14:paraId="0A8B729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2016</w:t>
            </w:r>
          </w:p>
        </w:tc>
        <w:tc>
          <w:tcPr>
            <w:tcW w:w="935" w:type="dxa"/>
            <w:tcBorders>
              <w:top w:val="nil"/>
              <w:left w:val="nil"/>
              <w:bottom w:val="nil"/>
              <w:right w:val="nil"/>
            </w:tcBorders>
            <w:shd w:val="clear" w:color="auto" w:fill="auto"/>
            <w:noWrap/>
            <w:vAlign w:val="center"/>
          </w:tcPr>
          <w:p w14:paraId="1A412DD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2891.65 </w:t>
            </w:r>
          </w:p>
        </w:tc>
        <w:tc>
          <w:tcPr>
            <w:tcW w:w="1045" w:type="dxa"/>
            <w:tcBorders>
              <w:top w:val="nil"/>
              <w:left w:val="nil"/>
              <w:bottom w:val="nil"/>
              <w:right w:val="nil"/>
            </w:tcBorders>
            <w:shd w:val="clear" w:color="auto" w:fill="auto"/>
            <w:noWrap/>
            <w:vAlign w:val="center"/>
          </w:tcPr>
          <w:p w14:paraId="0B6AC1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2279.11 </w:t>
            </w:r>
          </w:p>
        </w:tc>
        <w:tc>
          <w:tcPr>
            <w:tcW w:w="1046" w:type="dxa"/>
            <w:tcBorders>
              <w:top w:val="nil"/>
              <w:left w:val="nil"/>
              <w:bottom w:val="nil"/>
              <w:right w:val="nil"/>
            </w:tcBorders>
            <w:shd w:val="clear" w:color="auto" w:fill="auto"/>
            <w:noWrap/>
            <w:vAlign w:val="center"/>
          </w:tcPr>
          <w:p w14:paraId="7719F6E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3531.29 </w:t>
            </w:r>
          </w:p>
        </w:tc>
        <w:tc>
          <w:tcPr>
            <w:tcW w:w="236" w:type="dxa"/>
            <w:tcBorders>
              <w:top w:val="nil"/>
              <w:left w:val="nil"/>
              <w:bottom w:val="nil"/>
              <w:right w:val="nil"/>
            </w:tcBorders>
            <w:shd w:val="clear" w:color="auto" w:fill="auto"/>
            <w:noWrap/>
            <w:vAlign w:val="center"/>
          </w:tcPr>
          <w:p w14:paraId="378F9836">
            <w:pPr>
              <w:jc w:val="center"/>
              <w:rPr>
                <w:rFonts w:hint="default" w:ascii="Times New Roman" w:hAnsi="Times New Roman" w:eastAsia="宋体" w:cs="Times New Roman"/>
                <w:i w:val="0"/>
                <w:iCs w:val="0"/>
                <w:color w:val="000000"/>
                <w:sz w:val="20"/>
                <w:szCs w:val="20"/>
                <w:u w:val="none"/>
              </w:rPr>
            </w:pPr>
          </w:p>
        </w:tc>
        <w:tc>
          <w:tcPr>
            <w:tcW w:w="1046" w:type="dxa"/>
            <w:tcBorders>
              <w:top w:val="nil"/>
              <w:left w:val="nil"/>
              <w:bottom w:val="nil"/>
              <w:right w:val="nil"/>
            </w:tcBorders>
            <w:shd w:val="clear" w:color="auto" w:fill="auto"/>
            <w:noWrap/>
            <w:vAlign w:val="center"/>
          </w:tcPr>
          <w:p w14:paraId="2BE6976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6642.88 </w:t>
            </w:r>
          </w:p>
        </w:tc>
        <w:tc>
          <w:tcPr>
            <w:tcW w:w="1046" w:type="dxa"/>
            <w:tcBorders>
              <w:top w:val="nil"/>
              <w:left w:val="nil"/>
              <w:bottom w:val="nil"/>
              <w:right w:val="nil"/>
            </w:tcBorders>
            <w:shd w:val="clear" w:color="auto" w:fill="auto"/>
            <w:noWrap/>
            <w:vAlign w:val="center"/>
          </w:tcPr>
          <w:p w14:paraId="5ED7F3C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5180.27 </w:t>
            </w:r>
          </w:p>
        </w:tc>
        <w:tc>
          <w:tcPr>
            <w:tcW w:w="1047" w:type="dxa"/>
            <w:tcBorders>
              <w:top w:val="nil"/>
              <w:left w:val="nil"/>
              <w:bottom w:val="nil"/>
              <w:right w:val="nil"/>
            </w:tcBorders>
            <w:shd w:val="clear" w:color="auto" w:fill="auto"/>
            <w:noWrap/>
            <w:vAlign w:val="center"/>
          </w:tcPr>
          <w:p w14:paraId="61EF5F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8170.19 </w:t>
            </w:r>
          </w:p>
        </w:tc>
        <w:tc>
          <w:tcPr>
            <w:tcW w:w="236" w:type="dxa"/>
            <w:tcBorders>
              <w:top w:val="nil"/>
              <w:left w:val="nil"/>
              <w:bottom w:val="nil"/>
              <w:right w:val="nil"/>
            </w:tcBorders>
            <w:shd w:val="clear" w:color="auto" w:fill="auto"/>
            <w:noWrap/>
            <w:vAlign w:val="center"/>
          </w:tcPr>
          <w:p w14:paraId="48BA9388">
            <w:pPr>
              <w:jc w:val="center"/>
              <w:rPr>
                <w:rFonts w:hint="default" w:ascii="Times New Roman" w:hAnsi="Times New Roman" w:eastAsia="宋体" w:cs="Times New Roman"/>
                <w:i w:val="0"/>
                <w:iCs w:val="0"/>
                <w:color w:val="000000"/>
                <w:sz w:val="20"/>
                <w:szCs w:val="20"/>
                <w:u w:val="none"/>
              </w:rPr>
            </w:pPr>
          </w:p>
        </w:tc>
        <w:tc>
          <w:tcPr>
            <w:tcW w:w="1011" w:type="dxa"/>
            <w:tcBorders>
              <w:top w:val="nil"/>
              <w:left w:val="nil"/>
              <w:bottom w:val="nil"/>
              <w:right w:val="nil"/>
            </w:tcBorders>
            <w:shd w:val="clear" w:color="auto" w:fill="auto"/>
            <w:noWrap/>
            <w:vAlign w:val="center"/>
          </w:tcPr>
          <w:p w14:paraId="071B93E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753.91 </w:t>
            </w:r>
          </w:p>
        </w:tc>
        <w:tc>
          <w:tcPr>
            <w:tcW w:w="915" w:type="dxa"/>
            <w:tcBorders>
              <w:top w:val="nil"/>
              <w:left w:val="nil"/>
              <w:bottom w:val="nil"/>
              <w:right w:val="nil"/>
            </w:tcBorders>
            <w:shd w:val="clear" w:color="auto" w:fill="auto"/>
            <w:noWrap/>
            <w:vAlign w:val="center"/>
          </w:tcPr>
          <w:p w14:paraId="295A2D8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594.74 </w:t>
            </w:r>
          </w:p>
        </w:tc>
        <w:tc>
          <w:tcPr>
            <w:tcW w:w="965" w:type="dxa"/>
            <w:tcBorders>
              <w:top w:val="nil"/>
              <w:left w:val="nil"/>
              <w:bottom w:val="nil"/>
              <w:right w:val="nil"/>
            </w:tcBorders>
            <w:shd w:val="clear" w:color="auto" w:fill="auto"/>
            <w:noWrap/>
            <w:vAlign w:val="center"/>
          </w:tcPr>
          <w:p w14:paraId="1F4F04D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920.12 </w:t>
            </w:r>
          </w:p>
        </w:tc>
      </w:tr>
      <w:tr w14:paraId="0E4B4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786" w:type="dxa"/>
            <w:tcBorders>
              <w:top w:val="nil"/>
              <w:left w:val="nil"/>
              <w:bottom w:val="nil"/>
              <w:right w:val="nil"/>
            </w:tcBorders>
            <w:shd w:val="clear" w:color="auto" w:fill="auto"/>
            <w:noWrap/>
            <w:vAlign w:val="center"/>
          </w:tcPr>
          <w:p w14:paraId="5F6A19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2017</w:t>
            </w:r>
          </w:p>
        </w:tc>
        <w:tc>
          <w:tcPr>
            <w:tcW w:w="935" w:type="dxa"/>
            <w:tcBorders>
              <w:top w:val="nil"/>
              <w:left w:val="nil"/>
              <w:bottom w:val="nil"/>
              <w:right w:val="nil"/>
            </w:tcBorders>
            <w:shd w:val="clear" w:color="auto" w:fill="auto"/>
            <w:noWrap/>
            <w:vAlign w:val="center"/>
          </w:tcPr>
          <w:p w14:paraId="1EF7613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2925.71 </w:t>
            </w:r>
          </w:p>
        </w:tc>
        <w:tc>
          <w:tcPr>
            <w:tcW w:w="1045" w:type="dxa"/>
            <w:tcBorders>
              <w:top w:val="nil"/>
              <w:left w:val="nil"/>
              <w:bottom w:val="nil"/>
              <w:right w:val="nil"/>
            </w:tcBorders>
            <w:shd w:val="clear" w:color="auto" w:fill="auto"/>
            <w:noWrap/>
            <w:vAlign w:val="center"/>
          </w:tcPr>
          <w:p w14:paraId="2F5F20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2297.31 </w:t>
            </w:r>
          </w:p>
        </w:tc>
        <w:tc>
          <w:tcPr>
            <w:tcW w:w="1046" w:type="dxa"/>
            <w:tcBorders>
              <w:top w:val="nil"/>
              <w:left w:val="nil"/>
              <w:bottom w:val="nil"/>
              <w:right w:val="nil"/>
            </w:tcBorders>
            <w:shd w:val="clear" w:color="auto" w:fill="auto"/>
            <w:noWrap/>
            <w:vAlign w:val="center"/>
          </w:tcPr>
          <w:p w14:paraId="2FEA28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3582.52 </w:t>
            </w:r>
          </w:p>
        </w:tc>
        <w:tc>
          <w:tcPr>
            <w:tcW w:w="236" w:type="dxa"/>
            <w:tcBorders>
              <w:top w:val="nil"/>
              <w:left w:val="nil"/>
              <w:bottom w:val="nil"/>
              <w:right w:val="nil"/>
            </w:tcBorders>
            <w:shd w:val="clear" w:color="auto" w:fill="auto"/>
            <w:noWrap/>
            <w:vAlign w:val="center"/>
          </w:tcPr>
          <w:p w14:paraId="57F58569">
            <w:pPr>
              <w:jc w:val="center"/>
              <w:rPr>
                <w:rFonts w:hint="default" w:ascii="Times New Roman" w:hAnsi="Times New Roman" w:eastAsia="宋体" w:cs="Times New Roman"/>
                <w:i w:val="0"/>
                <w:iCs w:val="0"/>
                <w:color w:val="000000"/>
                <w:sz w:val="20"/>
                <w:szCs w:val="20"/>
                <w:u w:val="none"/>
              </w:rPr>
            </w:pPr>
          </w:p>
        </w:tc>
        <w:tc>
          <w:tcPr>
            <w:tcW w:w="1046" w:type="dxa"/>
            <w:tcBorders>
              <w:top w:val="nil"/>
              <w:left w:val="nil"/>
              <w:bottom w:val="nil"/>
              <w:right w:val="nil"/>
            </w:tcBorders>
            <w:shd w:val="clear" w:color="auto" w:fill="auto"/>
            <w:noWrap/>
            <w:vAlign w:val="center"/>
          </w:tcPr>
          <w:p w14:paraId="7CCFDDB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6734.07 </w:t>
            </w:r>
          </w:p>
        </w:tc>
        <w:tc>
          <w:tcPr>
            <w:tcW w:w="1046" w:type="dxa"/>
            <w:tcBorders>
              <w:top w:val="nil"/>
              <w:left w:val="nil"/>
              <w:bottom w:val="nil"/>
              <w:right w:val="nil"/>
            </w:tcBorders>
            <w:shd w:val="clear" w:color="auto" w:fill="auto"/>
            <w:noWrap/>
            <w:vAlign w:val="center"/>
          </w:tcPr>
          <w:p w14:paraId="64D002E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5233.75 </w:t>
            </w:r>
          </w:p>
        </w:tc>
        <w:tc>
          <w:tcPr>
            <w:tcW w:w="1047" w:type="dxa"/>
            <w:tcBorders>
              <w:top w:val="nil"/>
              <w:left w:val="nil"/>
              <w:bottom w:val="nil"/>
              <w:right w:val="nil"/>
            </w:tcBorders>
            <w:shd w:val="clear" w:color="auto" w:fill="auto"/>
            <w:noWrap/>
            <w:vAlign w:val="center"/>
          </w:tcPr>
          <w:p w14:paraId="074CD56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8302.24 </w:t>
            </w:r>
          </w:p>
        </w:tc>
        <w:tc>
          <w:tcPr>
            <w:tcW w:w="236" w:type="dxa"/>
            <w:tcBorders>
              <w:top w:val="nil"/>
              <w:left w:val="nil"/>
              <w:bottom w:val="nil"/>
              <w:right w:val="nil"/>
            </w:tcBorders>
            <w:shd w:val="clear" w:color="auto" w:fill="auto"/>
            <w:noWrap/>
            <w:vAlign w:val="center"/>
          </w:tcPr>
          <w:p w14:paraId="2DB6E817">
            <w:pPr>
              <w:jc w:val="center"/>
              <w:rPr>
                <w:rFonts w:hint="default" w:ascii="Times New Roman" w:hAnsi="Times New Roman" w:eastAsia="宋体" w:cs="Times New Roman"/>
                <w:i w:val="0"/>
                <w:iCs w:val="0"/>
                <w:color w:val="000000"/>
                <w:sz w:val="20"/>
                <w:szCs w:val="20"/>
                <w:u w:val="none"/>
              </w:rPr>
            </w:pPr>
          </w:p>
        </w:tc>
        <w:tc>
          <w:tcPr>
            <w:tcW w:w="1011" w:type="dxa"/>
            <w:tcBorders>
              <w:top w:val="nil"/>
              <w:left w:val="nil"/>
              <w:bottom w:val="nil"/>
              <w:right w:val="nil"/>
            </w:tcBorders>
            <w:shd w:val="clear" w:color="auto" w:fill="auto"/>
            <w:noWrap/>
            <w:vAlign w:val="center"/>
          </w:tcPr>
          <w:p w14:paraId="4FD9AAD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763.52 </w:t>
            </w:r>
          </w:p>
        </w:tc>
        <w:tc>
          <w:tcPr>
            <w:tcW w:w="915" w:type="dxa"/>
            <w:tcBorders>
              <w:top w:val="nil"/>
              <w:left w:val="nil"/>
              <w:bottom w:val="nil"/>
              <w:right w:val="nil"/>
            </w:tcBorders>
            <w:shd w:val="clear" w:color="auto" w:fill="auto"/>
            <w:noWrap/>
            <w:vAlign w:val="center"/>
          </w:tcPr>
          <w:p w14:paraId="569665B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600.36 </w:t>
            </w:r>
          </w:p>
        </w:tc>
        <w:tc>
          <w:tcPr>
            <w:tcW w:w="965" w:type="dxa"/>
            <w:tcBorders>
              <w:top w:val="nil"/>
              <w:left w:val="nil"/>
              <w:bottom w:val="nil"/>
              <w:right w:val="nil"/>
            </w:tcBorders>
            <w:shd w:val="clear" w:color="auto" w:fill="auto"/>
            <w:noWrap/>
            <w:vAlign w:val="center"/>
          </w:tcPr>
          <w:p w14:paraId="3F829E4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934.06 </w:t>
            </w:r>
          </w:p>
        </w:tc>
      </w:tr>
      <w:tr w14:paraId="196F7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86" w:type="dxa"/>
            <w:tcBorders>
              <w:top w:val="nil"/>
              <w:left w:val="nil"/>
              <w:bottom w:val="nil"/>
              <w:right w:val="nil"/>
            </w:tcBorders>
            <w:shd w:val="clear" w:color="auto" w:fill="auto"/>
            <w:noWrap/>
            <w:vAlign w:val="center"/>
          </w:tcPr>
          <w:p w14:paraId="3B1B1C2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2018</w:t>
            </w:r>
          </w:p>
        </w:tc>
        <w:tc>
          <w:tcPr>
            <w:tcW w:w="935" w:type="dxa"/>
            <w:tcBorders>
              <w:top w:val="nil"/>
              <w:left w:val="nil"/>
              <w:bottom w:val="nil"/>
              <w:right w:val="nil"/>
            </w:tcBorders>
            <w:shd w:val="clear" w:color="auto" w:fill="auto"/>
            <w:noWrap/>
            <w:vAlign w:val="center"/>
          </w:tcPr>
          <w:p w14:paraId="4C2A29F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2960.67 </w:t>
            </w:r>
          </w:p>
        </w:tc>
        <w:tc>
          <w:tcPr>
            <w:tcW w:w="1045" w:type="dxa"/>
            <w:tcBorders>
              <w:top w:val="nil"/>
              <w:left w:val="nil"/>
              <w:bottom w:val="nil"/>
              <w:right w:val="nil"/>
            </w:tcBorders>
            <w:shd w:val="clear" w:color="auto" w:fill="auto"/>
            <w:noWrap/>
            <w:vAlign w:val="center"/>
          </w:tcPr>
          <w:p w14:paraId="2BC85A5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2315.75 </w:t>
            </w:r>
          </w:p>
        </w:tc>
        <w:tc>
          <w:tcPr>
            <w:tcW w:w="1046" w:type="dxa"/>
            <w:tcBorders>
              <w:top w:val="nil"/>
              <w:left w:val="nil"/>
              <w:bottom w:val="nil"/>
              <w:right w:val="nil"/>
            </w:tcBorders>
            <w:shd w:val="clear" w:color="auto" w:fill="auto"/>
            <w:noWrap/>
            <w:vAlign w:val="center"/>
          </w:tcPr>
          <w:p w14:paraId="21C10B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3635.42 </w:t>
            </w:r>
          </w:p>
        </w:tc>
        <w:tc>
          <w:tcPr>
            <w:tcW w:w="236" w:type="dxa"/>
            <w:tcBorders>
              <w:top w:val="nil"/>
              <w:left w:val="nil"/>
              <w:bottom w:val="nil"/>
              <w:right w:val="nil"/>
            </w:tcBorders>
            <w:shd w:val="clear" w:color="auto" w:fill="auto"/>
            <w:noWrap/>
            <w:vAlign w:val="center"/>
          </w:tcPr>
          <w:p w14:paraId="22A39979">
            <w:pPr>
              <w:jc w:val="center"/>
              <w:rPr>
                <w:rFonts w:hint="default" w:ascii="Times New Roman" w:hAnsi="Times New Roman" w:eastAsia="宋体" w:cs="Times New Roman"/>
                <w:i w:val="0"/>
                <w:iCs w:val="0"/>
                <w:color w:val="000000"/>
                <w:sz w:val="20"/>
                <w:szCs w:val="20"/>
                <w:u w:val="none"/>
              </w:rPr>
            </w:pPr>
          </w:p>
        </w:tc>
        <w:tc>
          <w:tcPr>
            <w:tcW w:w="1046" w:type="dxa"/>
            <w:tcBorders>
              <w:top w:val="nil"/>
              <w:left w:val="nil"/>
              <w:bottom w:val="nil"/>
              <w:right w:val="nil"/>
            </w:tcBorders>
            <w:shd w:val="clear" w:color="auto" w:fill="auto"/>
            <w:noWrap/>
            <w:vAlign w:val="center"/>
          </w:tcPr>
          <w:p w14:paraId="267524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6826.63 </w:t>
            </w:r>
          </w:p>
        </w:tc>
        <w:tc>
          <w:tcPr>
            <w:tcW w:w="1046" w:type="dxa"/>
            <w:tcBorders>
              <w:top w:val="nil"/>
              <w:left w:val="nil"/>
              <w:bottom w:val="nil"/>
              <w:right w:val="nil"/>
            </w:tcBorders>
            <w:shd w:val="clear" w:color="auto" w:fill="auto"/>
            <w:noWrap/>
            <w:vAlign w:val="center"/>
          </w:tcPr>
          <w:p w14:paraId="15742C1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5285.81 </w:t>
            </w:r>
          </w:p>
        </w:tc>
        <w:tc>
          <w:tcPr>
            <w:tcW w:w="1047" w:type="dxa"/>
            <w:tcBorders>
              <w:top w:val="nil"/>
              <w:left w:val="nil"/>
              <w:bottom w:val="nil"/>
              <w:right w:val="nil"/>
            </w:tcBorders>
            <w:shd w:val="clear" w:color="auto" w:fill="auto"/>
            <w:noWrap/>
            <w:vAlign w:val="center"/>
          </w:tcPr>
          <w:p w14:paraId="5D8D5EB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8438.70 </w:t>
            </w:r>
          </w:p>
        </w:tc>
        <w:tc>
          <w:tcPr>
            <w:tcW w:w="236" w:type="dxa"/>
            <w:tcBorders>
              <w:top w:val="nil"/>
              <w:left w:val="nil"/>
              <w:bottom w:val="nil"/>
              <w:right w:val="nil"/>
            </w:tcBorders>
            <w:shd w:val="clear" w:color="auto" w:fill="auto"/>
            <w:noWrap/>
            <w:vAlign w:val="center"/>
          </w:tcPr>
          <w:p w14:paraId="73F7E1E3">
            <w:pPr>
              <w:jc w:val="center"/>
              <w:rPr>
                <w:rFonts w:hint="default" w:ascii="Times New Roman" w:hAnsi="Times New Roman" w:eastAsia="宋体" w:cs="Times New Roman"/>
                <w:i w:val="0"/>
                <w:iCs w:val="0"/>
                <w:color w:val="000000"/>
                <w:sz w:val="20"/>
                <w:szCs w:val="20"/>
                <w:u w:val="none"/>
              </w:rPr>
            </w:pPr>
          </w:p>
        </w:tc>
        <w:tc>
          <w:tcPr>
            <w:tcW w:w="1011" w:type="dxa"/>
            <w:tcBorders>
              <w:top w:val="nil"/>
              <w:left w:val="nil"/>
              <w:bottom w:val="nil"/>
              <w:right w:val="nil"/>
            </w:tcBorders>
            <w:shd w:val="clear" w:color="auto" w:fill="auto"/>
            <w:noWrap/>
            <w:vAlign w:val="center"/>
          </w:tcPr>
          <w:p w14:paraId="663474D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773.38 </w:t>
            </w:r>
          </w:p>
        </w:tc>
        <w:tc>
          <w:tcPr>
            <w:tcW w:w="915" w:type="dxa"/>
            <w:tcBorders>
              <w:top w:val="nil"/>
              <w:left w:val="nil"/>
              <w:bottom w:val="nil"/>
              <w:right w:val="nil"/>
            </w:tcBorders>
            <w:shd w:val="clear" w:color="auto" w:fill="auto"/>
            <w:noWrap/>
            <w:vAlign w:val="center"/>
          </w:tcPr>
          <w:p w14:paraId="02A8312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605.90 </w:t>
            </w:r>
          </w:p>
        </w:tc>
        <w:tc>
          <w:tcPr>
            <w:tcW w:w="965" w:type="dxa"/>
            <w:tcBorders>
              <w:top w:val="nil"/>
              <w:left w:val="nil"/>
              <w:bottom w:val="nil"/>
              <w:right w:val="nil"/>
            </w:tcBorders>
            <w:shd w:val="clear" w:color="auto" w:fill="auto"/>
            <w:noWrap/>
            <w:vAlign w:val="center"/>
          </w:tcPr>
          <w:p w14:paraId="24AB2B9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948.59 </w:t>
            </w:r>
          </w:p>
        </w:tc>
      </w:tr>
      <w:tr w14:paraId="4ADD4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86" w:type="dxa"/>
            <w:tcBorders>
              <w:top w:val="nil"/>
              <w:left w:val="nil"/>
              <w:bottom w:val="nil"/>
              <w:right w:val="nil"/>
            </w:tcBorders>
            <w:shd w:val="clear" w:color="auto" w:fill="auto"/>
            <w:noWrap/>
            <w:vAlign w:val="center"/>
          </w:tcPr>
          <w:p w14:paraId="3211C1F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2019</w:t>
            </w:r>
          </w:p>
        </w:tc>
        <w:tc>
          <w:tcPr>
            <w:tcW w:w="935" w:type="dxa"/>
            <w:tcBorders>
              <w:top w:val="nil"/>
              <w:left w:val="nil"/>
              <w:bottom w:val="nil"/>
              <w:right w:val="nil"/>
            </w:tcBorders>
            <w:shd w:val="clear" w:color="auto" w:fill="auto"/>
            <w:noWrap/>
            <w:vAlign w:val="center"/>
          </w:tcPr>
          <w:p w14:paraId="0AE9F64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2992.72 </w:t>
            </w:r>
          </w:p>
        </w:tc>
        <w:tc>
          <w:tcPr>
            <w:tcW w:w="1045" w:type="dxa"/>
            <w:tcBorders>
              <w:top w:val="nil"/>
              <w:left w:val="nil"/>
              <w:bottom w:val="nil"/>
              <w:right w:val="nil"/>
            </w:tcBorders>
            <w:shd w:val="clear" w:color="auto" w:fill="auto"/>
            <w:noWrap/>
            <w:vAlign w:val="center"/>
          </w:tcPr>
          <w:p w14:paraId="734F7C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2331.09 </w:t>
            </w:r>
          </w:p>
        </w:tc>
        <w:tc>
          <w:tcPr>
            <w:tcW w:w="1046" w:type="dxa"/>
            <w:tcBorders>
              <w:top w:val="nil"/>
              <w:left w:val="nil"/>
              <w:bottom w:val="nil"/>
              <w:right w:val="nil"/>
            </w:tcBorders>
            <w:shd w:val="clear" w:color="auto" w:fill="auto"/>
            <w:noWrap/>
            <w:vAlign w:val="center"/>
          </w:tcPr>
          <w:p w14:paraId="07D43B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3685.54 </w:t>
            </w:r>
          </w:p>
        </w:tc>
        <w:tc>
          <w:tcPr>
            <w:tcW w:w="236" w:type="dxa"/>
            <w:tcBorders>
              <w:top w:val="nil"/>
              <w:left w:val="nil"/>
              <w:bottom w:val="nil"/>
              <w:right w:val="nil"/>
            </w:tcBorders>
            <w:shd w:val="clear" w:color="auto" w:fill="auto"/>
            <w:noWrap/>
            <w:vAlign w:val="center"/>
          </w:tcPr>
          <w:p w14:paraId="791CFD53">
            <w:pPr>
              <w:jc w:val="center"/>
              <w:rPr>
                <w:rFonts w:hint="default" w:ascii="Times New Roman" w:hAnsi="Times New Roman" w:eastAsia="宋体" w:cs="Times New Roman"/>
                <w:i w:val="0"/>
                <w:iCs w:val="0"/>
                <w:color w:val="000000"/>
                <w:sz w:val="20"/>
                <w:szCs w:val="20"/>
                <w:u w:val="none"/>
              </w:rPr>
            </w:pPr>
          </w:p>
        </w:tc>
        <w:tc>
          <w:tcPr>
            <w:tcW w:w="1046" w:type="dxa"/>
            <w:tcBorders>
              <w:top w:val="nil"/>
              <w:left w:val="nil"/>
              <w:bottom w:val="nil"/>
              <w:right w:val="nil"/>
            </w:tcBorders>
            <w:shd w:val="clear" w:color="auto" w:fill="auto"/>
            <w:noWrap/>
            <w:vAlign w:val="center"/>
          </w:tcPr>
          <w:p w14:paraId="60EDC29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6906.91 </w:t>
            </w:r>
          </w:p>
        </w:tc>
        <w:tc>
          <w:tcPr>
            <w:tcW w:w="1046" w:type="dxa"/>
            <w:tcBorders>
              <w:top w:val="nil"/>
              <w:left w:val="nil"/>
              <w:bottom w:val="nil"/>
              <w:right w:val="nil"/>
            </w:tcBorders>
            <w:shd w:val="clear" w:color="auto" w:fill="auto"/>
            <w:noWrap/>
            <w:vAlign w:val="center"/>
          </w:tcPr>
          <w:p w14:paraId="6684E7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5323.83 </w:t>
            </w:r>
          </w:p>
        </w:tc>
        <w:tc>
          <w:tcPr>
            <w:tcW w:w="1047" w:type="dxa"/>
            <w:tcBorders>
              <w:top w:val="nil"/>
              <w:left w:val="nil"/>
              <w:bottom w:val="nil"/>
              <w:right w:val="nil"/>
            </w:tcBorders>
            <w:shd w:val="clear" w:color="auto" w:fill="auto"/>
            <w:noWrap/>
            <w:vAlign w:val="center"/>
          </w:tcPr>
          <w:p w14:paraId="1D7E384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8564.60 </w:t>
            </w:r>
          </w:p>
        </w:tc>
        <w:tc>
          <w:tcPr>
            <w:tcW w:w="236" w:type="dxa"/>
            <w:tcBorders>
              <w:top w:val="nil"/>
              <w:left w:val="nil"/>
              <w:bottom w:val="nil"/>
              <w:right w:val="nil"/>
            </w:tcBorders>
            <w:shd w:val="clear" w:color="auto" w:fill="auto"/>
            <w:noWrap/>
            <w:vAlign w:val="center"/>
          </w:tcPr>
          <w:p w14:paraId="1332FBFC">
            <w:pPr>
              <w:jc w:val="center"/>
              <w:rPr>
                <w:rFonts w:hint="default" w:ascii="Times New Roman" w:hAnsi="Times New Roman" w:eastAsia="宋体" w:cs="Times New Roman"/>
                <w:i w:val="0"/>
                <w:iCs w:val="0"/>
                <w:color w:val="000000"/>
                <w:sz w:val="20"/>
                <w:szCs w:val="20"/>
                <w:u w:val="none"/>
              </w:rPr>
            </w:pPr>
          </w:p>
        </w:tc>
        <w:tc>
          <w:tcPr>
            <w:tcW w:w="1011" w:type="dxa"/>
            <w:tcBorders>
              <w:top w:val="nil"/>
              <w:left w:val="nil"/>
              <w:bottom w:val="nil"/>
              <w:right w:val="nil"/>
            </w:tcBorders>
            <w:shd w:val="clear" w:color="auto" w:fill="auto"/>
            <w:noWrap/>
            <w:vAlign w:val="center"/>
          </w:tcPr>
          <w:p w14:paraId="54BF075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781.66 </w:t>
            </w:r>
          </w:p>
        </w:tc>
        <w:tc>
          <w:tcPr>
            <w:tcW w:w="915" w:type="dxa"/>
            <w:tcBorders>
              <w:top w:val="nil"/>
              <w:left w:val="nil"/>
              <w:bottom w:val="nil"/>
              <w:right w:val="nil"/>
            </w:tcBorders>
            <w:shd w:val="clear" w:color="auto" w:fill="auto"/>
            <w:noWrap/>
            <w:vAlign w:val="center"/>
          </w:tcPr>
          <w:p w14:paraId="5679C1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609.69 </w:t>
            </w:r>
          </w:p>
        </w:tc>
        <w:tc>
          <w:tcPr>
            <w:tcW w:w="965" w:type="dxa"/>
            <w:tcBorders>
              <w:top w:val="nil"/>
              <w:left w:val="nil"/>
              <w:bottom w:val="nil"/>
              <w:right w:val="nil"/>
            </w:tcBorders>
            <w:shd w:val="clear" w:color="auto" w:fill="auto"/>
            <w:noWrap/>
            <w:vAlign w:val="center"/>
          </w:tcPr>
          <w:p w14:paraId="083BB4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961.74 </w:t>
            </w:r>
          </w:p>
        </w:tc>
      </w:tr>
      <w:tr w14:paraId="3A443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86" w:type="dxa"/>
            <w:tcBorders>
              <w:top w:val="nil"/>
              <w:left w:val="nil"/>
              <w:bottom w:val="nil"/>
              <w:right w:val="nil"/>
            </w:tcBorders>
            <w:shd w:val="clear" w:color="auto" w:fill="auto"/>
            <w:noWrap/>
            <w:vAlign w:val="center"/>
          </w:tcPr>
          <w:p w14:paraId="4B00D7A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2020</w:t>
            </w:r>
          </w:p>
        </w:tc>
        <w:tc>
          <w:tcPr>
            <w:tcW w:w="935" w:type="dxa"/>
            <w:tcBorders>
              <w:top w:val="nil"/>
              <w:left w:val="nil"/>
              <w:bottom w:val="nil"/>
              <w:right w:val="nil"/>
            </w:tcBorders>
            <w:shd w:val="clear" w:color="auto" w:fill="auto"/>
            <w:noWrap/>
            <w:vAlign w:val="center"/>
          </w:tcPr>
          <w:p w14:paraId="5334F5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3018.92 </w:t>
            </w:r>
          </w:p>
        </w:tc>
        <w:tc>
          <w:tcPr>
            <w:tcW w:w="1045" w:type="dxa"/>
            <w:tcBorders>
              <w:top w:val="nil"/>
              <w:left w:val="nil"/>
              <w:bottom w:val="nil"/>
              <w:right w:val="nil"/>
            </w:tcBorders>
            <w:shd w:val="clear" w:color="auto" w:fill="auto"/>
            <w:noWrap/>
            <w:vAlign w:val="center"/>
          </w:tcPr>
          <w:p w14:paraId="68AD3BF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2340.99 </w:t>
            </w:r>
          </w:p>
        </w:tc>
        <w:tc>
          <w:tcPr>
            <w:tcW w:w="1046" w:type="dxa"/>
            <w:tcBorders>
              <w:top w:val="nil"/>
              <w:left w:val="nil"/>
              <w:bottom w:val="nil"/>
              <w:right w:val="nil"/>
            </w:tcBorders>
            <w:shd w:val="clear" w:color="auto" w:fill="auto"/>
            <w:noWrap/>
            <w:vAlign w:val="center"/>
          </w:tcPr>
          <w:p w14:paraId="272D10B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3729.24 </w:t>
            </w:r>
          </w:p>
        </w:tc>
        <w:tc>
          <w:tcPr>
            <w:tcW w:w="236" w:type="dxa"/>
            <w:tcBorders>
              <w:top w:val="nil"/>
              <w:left w:val="nil"/>
              <w:bottom w:val="nil"/>
              <w:right w:val="nil"/>
            </w:tcBorders>
            <w:shd w:val="clear" w:color="auto" w:fill="auto"/>
            <w:noWrap/>
            <w:vAlign w:val="center"/>
          </w:tcPr>
          <w:p w14:paraId="4811ADD0">
            <w:pPr>
              <w:jc w:val="center"/>
              <w:rPr>
                <w:rFonts w:hint="default" w:ascii="Times New Roman" w:hAnsi="Times New Roman" w:eastAsia="宋体" w:cs="Times New Roman"/>
                <w:i w:val="0"/>
                <w:iCs w:val="0"/>
                <w:color w:val="000000"/>
                <w:sz w:val="20"/>
                <w:szCs w:val="20"/>
                <w:u w:val="none"/>
              </w:rPr>
            </w:pPr>
          </w:p>
        </w:tc>
        <w:tc>
          <w:tcPr>
            <w:tcW w:w="1046" w:type="dxa"/>
            <w:tcBorders>
              <w:top w:val="nil"/>
              <w:left w:val="nil"/>
              <w:bottom w:val="nil"/>
              <w:right w:val="nil"/>
            </w:tcBorders>
            <w:shd w:val="clear" w:color="auto" w:fill="auto"/>
            <w:noWrap/>
            <w:vAlign w:val="center"/>
          </w:tcPr>
          <w:p w14:paraId="2D0BEA7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6968.82 </w:t>
            </w:r>
          </w:p>
        </w:tc>
        <w:tc>
          <w:tcPr>
            <w:tcW w:w="1046" w:type="dxa"/>
            <w:tcBorders>
              <w:top w:val="nil"/>
              <w:left w:val="nil"/>
              <w:bottom w:val="nil"/>
              <w:right w:val="nil"/>
            </w:tcBorders>
            <w:shd w:val="clear" w:color="auto" w:fill="auto"/>
            <w:noWrap/>
            <w:vAlign w:val="center"/>
          </w:tcPr>
          <w:p w14:paraId="64AC6A0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5347.38 </w:t>
            </w:r>
          </w:p>
        </w:tc>
        <w:tc>
          <w:tcPr>
            <w:tcW w:w="1047" w:type="dxa"/>
            <w:tcBorders>
              <w:top w:val="nil"/>
              <w:left w:val="nil"/>
              <w:bottom w:val="nil"/>
              <w:right w:val="nil"/>
            </w:tcBorders>
            <w:shd w:val="clear" w:color="auto" w:fill="auto"/>
            <w:noWrap/>
            <w:vAlign w:val="center"/>
          </w:tcPr>
          <w:p w14:paraId="651E95A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8667.74 </w:t>
            </w:r>
          </w:p>
        </w:tc>
        <w:tc>
          <w:tcPr>
            <w:tcW w:w="236" w:type="dxa"/>
            <w:tcBorders>
              <w:top w:val="nil"/>
              <w:left w:val="nil"/>
              <w:bottom w:val="nil"/>
              <w:right w:val="nil"/>
            </w:tcBorders>
            <w:shd w:val="clear" w:color="auto" w:fill="auto"/>
            <w:noWrap/>
            <w:vAlign w:val="center"/>
          </w:tcPr>
          <w:p w14:paraId="3AAD35D7">
            <w:pPr>
              <w:jc w:val="center"/>
              <w:rPr>
                <w:rFonts w:hint="default" w:ascii="Times New Roman" w:hAnsi="Times New Roman" w:eastAsia="宋体" w:cs="Times New Roman"/>
                <w:i w:val="0"/>
                <w:iCs w:val="0"/>
                <w:color w:val="000000"/>
                <w:sz w:val="20"/>
                <w:szCs w:val="20"/>
                <w:u w:val="none"/>
              </w:rPr>
            </w:pPr>
          </w:p>
        </w:tc>
        <w:tc>
          <w:tcPr>
            <w:tcW w:w="1011" w:type="dxa"/>
            <w:tcBorders>
              <w:top w:val="nil"/>
              <w:left w:val="nil"/>
              <w:bottom w:val="nil"/>
              <w:right w:val="nil"/>
            </w:tcBorders>
            <w:shd w:val="clear" w:color="auto" w:fill="auto"/>
            <w:noWrap/>
            <w:vAlign w:val="center"/>
          </w:tcPr>
          <w:p w14:paraId="21CD659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787.43 </w:t>
            </w:r>
          </w:p>
        </w:tc>
        <w:tc>
          <w:tcPr>
            <w:tcW w:w="915" w:type="dxa"/>
            <w:tcBorders>
              <w:top w:val="nil"/>
              <w:left w:val="nil"/>
              <w:bottom w:val="nil"/>
              <w:right w:val="nil"/>
            </w:tcBorders>
            <w:shd w:val="clear" w:color="auto" w:fill="auto"/>
            <w:noWrap/>
            <w:vAlign w:val="center"/>
          </w:tcPr>
          <w:p w14:paraId="7D07D2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611.72 </w:t>
            </w:r>
          </w:p>
        </w:tc>
        <w:tc>
          <w:tcPr>
            <w:tcW w:w="965" w:type="dxa"/>
            <w:tcBorders>
              <w:top w:val="nil"/>
              <w:left w:val="nil"/>
              <w:bottom w:val="nil"/>
              <w:right w:val="nil"/>
            </w:tcBorders>
            <w:shd w:val="clear" w:color="auto" w:fill="auto"/>
            <w:noWrap/>
            <w:vAlign w:val="center"/>
          </w:tcPr>
          <w:p w14:paraId="723B251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971.54 </w:t>
            </w:r>
          </w:p>
        </w:tc>
      </w:tr>
      <w:tr w14:paraId="4BC3B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jc w:val="center"/>
        </w:trPr>
        <w:tc>
          <w:tcPr>
            <w:tcW w:w="786" w:type="dxa"/>
            <w:tcBorders>
              <w:top w:val="nil"/>
              <w:left w:val="nil"/>
              <w:bottom w:val="single" w:color="000000" w:sz="4" w:space="0"/>
              <w:right w:val="nil"/>
            </w:tcBorders>
            <w:shd w:val="clear" w:color="auto" w:fill="auto"/>
            <w:noWrap/>
            <w:vAlign w:val="center"/>
          </w:tcPr>
          <w:p w14:paraId="2DB69F9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2021</w:t>
            </w:r>
          </w:p>
        </w:tc>
        <w:tc>
          <w:tcPr>
            <w:tcW w:w="935" w:type="dxa"/>
            <w:tcBorders>
              <w:top w:val="nil"/>
              <w:left w:val="nil"/>
              <w:bottom w:val="single" w:color="000000" w:sz="4" w:space="0"/>
              <w:right w:val="nil"/>
            </w:tcBorders>
            <w:shd w:val="clear" w:color="auto" w:fill="auto"/>
            <w:noWrap/>
            <w:vAlign w:val="center"/>
          </w:tcPr>
          <w:p w14:paraId="5265091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3048.68 </w:t>
            </w:r>
          </w:p>
        </w:tc>
        <w:tc>
          <w:tcPr>
            <w:tcW w:w="1045" w:type="dxa"/>
            <w:tcBorders>
              <w:top w:val="nil"/>
              <w:left w:val="nil"/>
              <w:bottom w:val="single" w:color="000000" w:sz="4" w:space="0"/>
              <w:right w:val="nil"/>
            </w:tcBorders>
            <w:shd w:val="clear" w:color="auto" w:fill="auto"/>
            <w:noWrap/>
            <w:vAlign w:val="center"/>
          </w:tcPr>
          <w:p w14:paraId="435E92B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2356.54 </w:t>
            </w:r>
          </w:p>
        </w:tc>
        <w:tc>
          <w:tcPr>
            <w:tcW w:w="1046" w:type="dxa"/>
            <w:tcBorders>
              <w:top w:val="nil"/>
              <w:left w:val="nil"/>
              <w:bottom w:val="single" w:color="000000" w:sz="4" w:space="0"/>
              <w:right w:val="nil"/>
            </w:tcBorders>
            <w:shd w:val="clear" w:color="auto" w:fill="auto"/>
            <w:noWrap/>
            <w:vAlign w:val="center"/>
          </w:tcPr>
          <w:p w14:paraId="777CB89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3774.16 </w:t>
            </w:r>
          </w:p>
        </w:tc>
        <w:tc>
          <w:tcPr>
            <w:tcW w:w="236" w:type="dxa"/>
            <w:tcBorders>
              <w:top w:val="nil"/>
              <w:left w:val="nil"/>
              <w:bottom w:val="single" w:color="000000" w:sz="4" w:space="0"/>
              <w:right w:val="nil"/>
            </w:tcBorders>
            <w:shd w:val="clear" w:color="auto" w:fill="auto"/>
            <w:noWrap/>
            <w:vAlign w:val="center"/>
          </w:tcPr>
          <w:p w14:paraId="2D9D2BE6">
            <w:pPr>
              <w:jc w:val="center"/>
              <w:rPr>
                <w:rFonts w:hint="default" w:ascii="Times New Roman" w:hAnsi="Times New Roman" w:eastAsia="宋体" w:cs="Times New Roman"/>
                <w:i w:val="0"/>
                <w:iCs w:val="0"/>
                <w:color w:val="000000"/>
                <w:sz w:val="20"/>
                <w:szCs w:val="20"/>
                <w:u w:val="none"/>
              </w:rPr>
            </w:pPr>
          </w:p>
        </w:tc>
        <w:tc>
          <w:tcPr>
            <w:tcW w:w="1046" w:type="dxa"/>
            <w:tcBorders>
              <w:top w:val="nil"/>
              <w:left w:val="nil"/>
              <w:bottom w:val="single" w:color="000000" w:sz="4" w:space="0"/>
              <w:right w:val="nil"/>
            </w:tcBorders>
            <w:shd w:val="clear" w:color="auto" w:fill="auto"/>
            <w:noWrap/>
            <w:vAlign w:val="center"/>
          </w:tcPr>
          <w:p w14:paraId="6A7C26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7035.25 </w:t>
            </w:r>
          </w:p>
        </w:tc>
        <w:tc>
          <w:tcPr>
            <w:tcW w:w="1046" w:type="dxa"/>
            <w:tcBorders>
              <w:top w:val="nil"/>
              <w:left w:val="nil"/>
              <w:bottom w:val="single" w:color="000000" w:sz="4" w:space="0"/>
              <w:right w:val="nil"/>
            </w:tcBorders>
            <w:shd w:val="clear" w:color="auto" w:fill="auto"/>
            <w:noWrap/>
            <w:vAlign w:val="center"/>
          </w:tcPr>
          <w:p w14:paraId="3186B7F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5376.78 </w:t>
            </w:r>
          </w:p>
        </w:tc>
        <w:tc>
          <w:tcPr>
            <w:tcW w:w="1047" w:type="dxa"/>
            <w:tcBorders>
              <w:top w:val="nil"/>
              <w:left w:val="nil"/>
              <w:bottom w:val="single" w:color="000000" w:sz="4" w:space="0"/>
              <w:right w:val="nil"/>
            </w:tcBorders>
            <w:shd w:val="clear" w:color="auto" w:fill="auto"/>
            <w:noWrap/>
            <w:vAlign w:val="center"/>
          </w:tcPr>
          <w:p w14:paraId="7CA4B4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8773.61 </w:t>
            </w:r>
          </w:p>
        </w:tc>
        <w:tc>
          <w:tcPr>
            <w:tcW w:w="236" w:type="dxa"/>
            <w:tcBorders>
              <w:top w:val="nil"/>
              <w:left w:val="nil"/>
              <w:bottom w:val="single" w:color="000000" w:sz="4" w:space="0"/>
              <w:right w:val="nil"/>
            </w:tcBorders>
            <w:shd w:val="clear" w:color="auto" w:fill="auto"/>
            <w:noWrap/>
            <w:vAlign w:val="center"/>
          </w:tcPr>
          <w:p w14:paraId="54F5FE8B">
            <w:pPr>
              <w:jc w:val="center"/>
              <w:rPr>
                <w:rFonts w:hint="default" w:ascii="Times New Roman" w:hAnsi="Times New Roman" w:eastAsia="宋体" w:cs="Times New Roman"/>
                <w:i w:val="0"/>
                <w:iCs w:val="0"/>
                <w:color w:val="000000"/>
                <w:sz w:val="20"/>
                <w:szCs w:val="20"/>
                <w:u w:val="none"/>
              </w:rPr>
            </w:pPr>
          </w:p>
        </w:tc>
        <w:tc>
          <w:tcPr>
            <w:tcW w:w="1011" w:type="dxa"/>
            <w:tcBorders>
              <w:top w:val="nil"/>
              <w:left w:val="nil"/>
              <w:bottom w:val="single" w:color="000000" w:sz="4" w:space="0"/>
              <w:right w:val="nil"/>
            </w:tcBorders>
            <w:shd w:val="clear" w:color="auto" w:fill="auto"/>
            <w:noWrap/>
            <w:vAlign w:val="center"/>
          </w:tcPr>
          <w:p w14:paraId="775A844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794.08 </w:t>
            </w:r>
          </w:p>
        </w:tc>
        <w:tc>
          <w:tcPr>
            <w:tcW w:w="915" w:type="dxa"/>
            <w:tcBorders>
              <w:top w:val="nil"/>
              <w:left w:val="nil"/>
              <w:bottom w:val="single" w:color="000000" w:sz="4" w:space="0"/>
              <w:right w:val="nil"/>
            </w:tcBorders>
            <w:shd w:val="clear" w:color="auto" w:fill="auto"/>
            <w:noWrap/>
            <w:vAlign w:val="center"/>
          </w:tcPr>
          <w:p w14:paraId="6A241F4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614.54 </w:t>
            </w:r>
          </w:p>
        </w:tc>
        <w:tc>
          <w:tcPr>
            <w:tcW w:w="965" w:type="dxa"/>
            <w:tcBorders>
              <w:top w:val="nil"/>
              <w:left w:val="nil"/>
              <w:bottom w:val="single" w:color="000000" w:sz="4" w:space="0"/>
              <w:right w:val="nil"/>
            </w:tcBorders>
            <w:shd w:val="clear" w:color="auto" w:fill="auto"/>
            <w:noWrap/>
            <w:vAlign w:val="center"/>
          </w:tcPr>
          <w:p w14:paraId="1902DC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982.27 </w:t>
            </w:r>
          </w:p>
        </w:tc>
      </w:tr>
    </w:tbl>
    <w:p w14:paraId="63051DC8">
      <w:pPr>
        <w:rPr>
          <w:rFonts w:hint="default" w:ascii="Times New Roman" w:hAnsi="Times New Roman" w:cs="Times New Roman"/>
          <w:lang w:val="en-US" w:eastAsia="zh-CN"/>
        </w:rPr>
      </w:pPr>
      <w:r>
        <w:rPr>
          <w:rFonts w:hint="default" w:ascii="Times New Roman" w:hAnsi="Times New Roman" w:cs="Times New Roman"/>
          <w:lang w:val="en-US" w:eastAsia="zh-CN"/>
        </w:rPr>
        <w:br w:type="page"/>
      </w:r>
      <w:r>
        <w:rPr>
          <w:rFonts w:hint="default" w:ascii="Times New Roman" w:hAnsi="Times New Roman" w:cs="Times New Roman"/>
          <w:lang w:val="en-US" w:eastAsia="zh-CN"/>
        </w:rPr>
        <w:t>Table S</w:t>
      </w:r>
      <w:r>
        <w:rPr>
          <w:rFonts w:hint="eastAsia" w:ascii="Times New Roman" w:hAnsi="Times New Roman" w:cs="Times New Roman"/>
          <w:lang w:val="en-US" w:eastAsia="zh-CN"/>
        </w:rPr>
        <w:t>2.</w:t>
      </w:r>
      <w:r>
        <w:rPr>
          <w:rFonts w:hint="default" w:ascii="Times New Roman" w:hAnsi="Times New Roman" w:cs="Times New Roman"/>
          <w:lang w:val="en-US" w:eastAsia="zh-CN"/>
        </w:rPr>
        <w:t xml:space="preserve"> </w:t>
      </w:r>
      <w:r>
        <w:rPr>
          <w:rFonts w:hint="eastAsia" w:ascii="Times New Roman" w:hAnsi="Times New Roman" w:cs="Times New Roman"/>
          <w:lang w:val="en-US" w:eastAsia="zh-CN"/>
        </w:rPr>
        <w:t>Age-standardized rates of</w:t>
      </w:r>
      <w:r>
        <w:rPr>
          <w:rFonts w:hint="eastAsia" w:ascii="Times New Roman" w:hAnsi="Times New Roman" w:cs="Times New Roman"/>
        </w:rPr>
        <w:t xml:space="preserve"> low back pain in China from 1990 to 2021</w:t>
      </w:r>
      <w:r>
        <w:rPr>
          <w:rFonts w:hint="eastAsia" w:ascii="Times New Roman" w:hAnsi="Times New Roman" w:cs="Times New Roman"/>
          <w:lang w:val="en-US" w:eastAsia="zh-CN"/>
        </w:rPr>
        <w:t>, stratified by gender (per 100,000)</w:t>
      </w:r>
    </w:p>
    <w:tbl>
      <w:tblPr>
        <w:tblStyle w:val="2"/>
        <w:tblW w:w="103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01"/>
        <w:gridCol w:w="1014"/>
        <w:gridCol w:w="1014"/>
        <w:gridCol w:w="1014"/>
        <w:gridCol w:w="222"/>
        <w:gridCol w:w="1014"/>
        <w:gridCol w:w="1014"/>
        <w:gridCol w:w="1015"/>
        <w:gridCol w:w="222"/>
        <w:gridCol w:w="999"/>
        <w:gridCol w:w="999"/>
        <w:gridCol w:w="1049"/>
      </w:tblGrid>
      <w:tr w14:paraId="67C72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jc w:val="center"/>
        </w:trPr>
        <w:tc>
          <w:tcPr>
            <w:tcW w:w="801" w:type="dxa"/>
            <w:tcBorders>
              <w:top w:val="single" w:color="000000" w:sz="4" w:space="0"/>
              <w:left w:val="nil"/>
              <w:bottom w:val="nil"/>
              <w:right w:val="nil"/>
            </w:tcBorders>
            <w:shd w:val="clear" w:color="auto" w:fill="auto"/>
            <w:noWrap/>
            <w:vAlign w:val="center"/>
          </w:tcPr>
          <w:p w14:paraId="1CA882B7">
            <w:pPr>
              <w:rPr>
                <w:rFonts w:hint="eastAsia" w:ascii="宋体" w:hAnsi="宋体" w:eastAsia="宋体" w:cs="宋体"/>
                <w:i w:val="0"/>
                <w:iCs w:val="0"/>
                <w:color w:val="000000"/>
                <w:sz w:val="22"/>
                <w:szCs w:val="22"/>
                <w:u w:val="none"/>
              </w:rPr>
            </w:pPr>
          </w:p>
        </w:tc>
        <w:tc>
          <w:tcPr>
            <w:tcW w:w="3042" w:type="dxa"/>
            <w:gridSpan w:val="3"/>
            <w:tcBorders>
              <w:top w:val="single" w:color="000000" w:sz="4" w:space="0"/>
              <w:left w:val="nil"/>
              <w:bottom w:val="nil"/>
              <w:right w:val="nil"/>
            </w:tcBorders>
            <w:shd w:val="clear" w:color="auto" w:fill="auto"/>
            <w:noWrap/>
            <w:vAlign w:val="center"/>
          </w:tcPr>
          <w:p w14:paraId="73CEC8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eastAsia" w:ascii="Times New Roman" w:hAnsi="Times New Roman" w:eastAsia="宋体" w:cs="Times New Roman"/>
                <w:i w:val="0"/>
                <w:iCs w:val="0"/>
                <w:color w:val="000000"/>
                <w:kern w:val="0"/>
                <w:sz w:val="20"/>
                <w:szCs w:val="20"/>
                <w:u w:val="none"/>
                <w:lang w:val="en-US" w:eastAsia="zh-CN" w:bidi="ar"/>
              </w:rPr>
              <w:t>Age-standardized Incidence Rate</w:t>
            </w:r>
          </w:p>
        </w:tc>
        <w:tc>
          <w:tcPr>
            <w:tcW w:w="222" w:type="dxa"/>
            <w:tcBorders>
              <w:top w:val="single" w:color="000000" w:sz="4" w:space="0"/>
              <w:left w:val="nil"/>
              <w:bottom w:val="nil"/>
              <w:right w:val="nil"/>
            </w:tcBorders>
            <w:shd w:val="clear" w:color="auto" w:fill="auto"/>
            <w:noWrap/>
            <w:vAlign w:val="center"/>
          </w:tcPr>
          <w:p w14:paraId="55DE0F6C">
            <w:pPr>
              <w:jc w:val="center"/>
              <w:rPr>
                <w:rFonts w:hint="default" w:ascii="Times New Roman" w:hAnsi="Times New Roman" w:eastAsia="宋体" w:cs="Times New Roman"/>
                <w:i w:val="0"/>
                <w:iCs w:val="0"/>
                <w:color w:val="000000"/>
                <w:sz w:val="20"/>
                <w:szCs w:val="20"/>
                <w:u w:val="none"/>
              </w:rPr>
            </w:pPr>
          </w:p>
        </w:tc>
        <w:tc>
          <w:tcPr>
            <w:tcW w:w="3043" w:type="dxa"/>
            <w:gridSpan w:val="3"/>
            <w:tcBorders>
              <w:top w:val="single" w:color="000000" w:sz="4" w:space="0"/>
              <w:left w:val="nil"/>
              <w:bottom w:val="nil"/>
              <w:right w:val="nil"/>
            </w:tcBorders>
            <w:shd w:val="clear" w:color="auto" w:fill="auto"/>
            <w:noWrap/>
            <w:vAlign w:val="center"/>
          </w:tcPr>
          <w:p w14:paraId="2ECF94B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eastAsia" w:ascii="Times New Roman" w:hAnsi="Times New Roman" w:eastAsia="宋体" w:cs="Times New Roman"/>
                <w:i w:val="0"/>
                <w:iCs w:val="0"/>
                <w:color w:val="000000"/>
                <w:kern w:val="0"/>
                <w:sz w:val="20"/>
                <w:szCs w:val="20"/>
                <w:u w:val="none"/>
                <w:lang w:val="en-US" w:eastAsia="zh-CN" w:bidi="ar"/>
              </w:rPr>
              <w:t>Age-standardized Prevalence Rate</w:t>
            </w:r>
          </w:p>
        </w:tc>
        <w:tc>
          <w:tcPr>
            <w:tcW w:w="222" w:type="dxa"/>
            <w:tcBorders>
              <w:top w:val="single" w:color="000000" w:sz="4" w:space="0"/>
              <w:left w:val="nil"/>
              <w:bottom w:val="nil"/>
              <w:right w:val="nil"/>
            </w:tcBorders>
            <w:shd w:val="clear" w:color="auto" w:fill="auto"/>
            <w:noWrap/>
            <w:vAlign w:val="center"/>
          </w:tcPr>
          <w:p w14:paraId="79CEABB0">
            <w:pPr>
              <w:jc w:val="center"/>
              <w:rPr>
                <w:rFonts w:hint="default" w:ascii="Times New Roman" w:hAnsi="Times New Roman" w:eastAsia="宋体" w:cs="Times New Roman"/>
                <w:i w:val="0"/>
                <w:iCs w:val="0"/>
                <w:color w:val="000000"/>
                <w:sz w:val="20"/>
                <w:szCs w:val="20"/>
                <w:u w:val="none"/>
              </w:rPr>
            </w:pPr>
          </w:p>
        </w:tc>
        <w:tc>
          <w:tcPr>
            <w:tcW w:w="3047" w:type="dxa"/>
            <w:gridSpan w:val="3"/>
            <w:tcBorders>
              <w:top w:val="single" w:color="000000" w:sz="4" w:space="0"/>
              <w:left w:val="nil"/>
              <w:bottom w:val="nil"/>
              <w:right w:val="nil"/>
            </w:tcBorders>
            <w:shd w:val="clear" w:color="auto" w:fill="auto"/>
            <w:noWrap/>
            <w:vAlign w:val="center"/>
          </w:tcPr>
          <w:p w14:paraId="7B16BF6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lang w:val="en-US"/>
              </w:rPr>
            </w:pPr>
            <w:r>
              <w:rPr>
                <w:rFonts w:hint="eastAsia" w:ascii="Times New Roman" w:hAnsi="Times New Roman" w:eastAsia="宋体" w:cs="Times New Roman"/>
                <w:i w:val="0"/>
                <w:iCs w:val="0"/>
                <w:color w:val="000000"/>
                <w:kern w:val="0"/>
                <w:sz w:val="20"/>
                <w:szCs w:val="20"/>
                <w:u w:val="none"/>
                <w:lang w:val="en-US" w:eastAsia="zh-CN" w:bidi="ar"/>
              </w:rPr>
              <w:t xml:space="preserve">Age-standardized </w:t>
            </w:r>
            <w:r>
              <w:rPr>
                <w:rFonts w:hint="default" w:ascii="Times New Roman" w:hAnsi="Times New Roman" w:eastAsia="宋体" w:cs="Times New Roman"/>
                <w:i w:val="0"/>
                <w:iCs w:val="0"/>
                <w:color w:val="000000"/>
                <w:kern w:val="0"/>
                <w:sz w:val="20"/>
                <w:szCs w:val="20"/>
                <w:u w:val="none"/>
                <w:lang w:val="en-US" w:eastAsia="zh-CN" w:bidi="ar"/>
              </w:rPr>
              <w:t xml:space="preserve">DALY </w:t>
            </w:r>
            <w:r>
              <w:rPr>
                <w:rFonts w:hint="eastAsia" w:ascii="Times New Roman" w:hAnsi="Times New Roman" w:eastAsia="宋体" w:cs="Times New Roman"/>
                <w:i w:val="0"/>
                <w:iCs w:val="0"/>
                <w:color w:val="000000"/>
                <w:kern w:val="0"/>
                <w:sz w:val="20"/>
                <w:szCs w:val="20"/>
                <w:u w:val="none"/>
                <w:lang w:val="en-US" w:eastAsia="zh-CN" w:bidi="ar"/>
              </w:rPr>
              <w:t>R</w:t>
            </w:r>
            <w:r>
              <w:rPr>
                <w:rFonts w:hint="default" w:ascii="Times New Roman" w:hAnsi="Times New Roman" w:eastAsia="宋体" w:cs="Times New Roman"/>
                <w:i w:val="0"/>
                <w:iCs w:val="0"/>
                <w:color w:val="000000"/>
                <w:kern w:val="0"/>
                <w:sz w:val="20"/>
                <w:szCs w:val="20"/>
                <w:u w:val="none"/>
                <w:lang w:val="en-US" w:eastAsia="zh-CN" w:bidi="ar"/>
              </w:rPr>
              <w:t>ate</w:t>
            </w:r>
          </w:p>
        </w:tc>
      </w:tr>
      <w:tr w14:paraId="6D5EB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jc w:val="center"/>
        </w:trPr>
        <w:tc>
          <w:tcPr>
            <w:tcW w:w="0" w:type="auto"/>
            <w:tcBorders>
              <w:top w:val="nil"/>
              <w:left w:val="nil"/>
              <w:bottom w:val="single" w:color="000000" w:sz="4" w:space="0"/>
              <w:right w:val="nil"/>
            </w:tcBorders>
            <w:shd w:val="clear" w:color="auto" w:fill="auto"/>
            <w:noWrap/>
            <w:vAlign w:val="center"/>
          </w:tcPr>
          <w:p w14:paraId="52290B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Year</w:t>
            </w:r>
          </w:p>
        </w:tc>
        <w:tc>
          <w:tcPr>
            <w:tcW w:w="0" w:type="auto"/>
            <w:tcBorders>
              <w:top w:val="single" w:color="000000" w:sz="4" w:space="0"/>
              <w:left w:val="nil"/>
              <w:bottom w:val="single" w:color="000000" w:sz="4" w:space="0"/>
              <w:right w:val="nil"/>
            </w:tcBorders>
            <w:shd w:val="clear" w:color="auto" w:fill="auto"/>
            <w:noWrap/>
            <w:vAlign w:val="center"/>
          </w:tcPr>
          <w:p w14:paraId="292BD6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Both</w:t>
            </w:r>
          </w:p>
        </w:tc>
        <w:tc>
          <w:tcPr>
            <w:tcW w:w="0" w:type="auto"/>
            <w:tcBorders>
              <w:top w:val="single" w:color="000000" w:sz="4" w:space="0"/>
              <w:left w:val="nil"/>
              <w:bottom w:val="single" w:color="000000" w:sz="4" w:space="0"/>
              <w:right w:val="nil"/>
            </w:tcBorders>
            <w:shd w:val="clear" w:color="auto" w:fill="auto"/>
            <w:noWrap/>
            <w:vAlign w:val="center"/>
          </w:tcPr>
          <w:p w14:paraId="022116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Male</w:t>
            </w:r>
          </w:p>
        </w:tc>
        <w:tc>
          <w:tcPr>
            <w:tcW w:w="0" w:type="auto"/>
            <w:tcBorders>
              <w:top w:val="single" w:color="000000" w:sz="4" w:space="0"/>
              <w:left w:val="nil"/>
              <w:bottom w:val="single" w:color="000000" w:sz="4" w:space="0"/>
              <w:right w:val="nil"/>
            </w:tcBorders>
            <w:shd w:val="clear" w:color="auto" w:fill="auto"/>
            <w:noWrap/>
            <w:vAlign w:val="center"/>
          </w:tcPr>
          <w:p w14:paraId="4DFC7F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Female</w:t>
            </w:r>
          </w:p>
        </w:tc>
        <w:tc>
          <w:tcPr>
            <w:tcW w:w="0" w:type="auto"/>
            <w:tcBorders>
              <w:top w:val="nil"/>
              <w:left w:val="nil"/>
              <w:bottom w:val="single" w:color="000000" w:sz="4" w:space="0"/>
              <w:right w:val="nil"/>
            </w:tcBorders>
            <w:shd w:val="clear" w:color="auto" w:fill="auto"/>
            <w:noWrap/>
            <w:vAlign w:val="center"/>
          </w:tcPr>
          <w:p w14:paraId="6628AE32">
            <w:pPr>
              <w:jc w:val="center"/>
              <w:rPr>
                <w:rFonts w:hint="default" w:ascii="Times New Roman" w:hAnsi="Times New Roman" w:eastAsia="宋体" w:cs="Times New Roman"/>
                <w:i w:val="0"/>
                <w:iCs w:val="0"/>
                <w:color w:val="000000"/>
                <w:sz w:val="20"/>
                <w:szCs w:val="20"/>
                <w:u w:val="none"/>
              </w:rPr>
            </w:pPr>
          </w:p>
        </w:tc>
        <w:tc>
          <w:tcPr>
            <w:tcW w:w="0" w:type="auto"/>
            <w:tcBorders>
              <w:top w:val="single" w:color="000000" w:sz="4" w:space="0"/>
              <w:left w:val="nil"/>
              <w:bottom w:val="single" w:color="000000" w:sz="4" w:space="0"/>
              <w:right w:val="nil"/>
            </w:tcBorders>
            <w:shd w:val="clear" w:color="auto" w:fill="auto"/>
            <w:noWrap/>
            <w:vAlign w:val="center"/>
          </w:tcPr>
          <w:p w14:paraId="79CC1B9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Both</w:t>
            </w:r>
          </w:p>
        </w:tc>
        <w:tc>
          <w:tcPr>
            <w:tcW w:w="0" w:type="auto"/>
            <w:tcBorders>
              <w:top w:val="single" w:color="000000" w:sz="4" w:space="0"/>
              <w:left w:val="nil"/>
              <w:bottom w:val="single" w:color="000000" w:sz="4" w:space="0"/>
              <w:right w:val="nil"/>
            </w:tcBorders>
            <w:shd w:val="clear" w:color="auto" w:fill="auto"/>
            <w:noWrap/>
            <w:vAlign w:val="center"/>
          </w:tcPr>
          <w:p w14:paraId="20CA14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Male</w:t>
            </w:r>
          </w:p>
        </w:tc>
        <w:tc>
          <w:tcPr>
            <w:tcW w:w="0" w:type="auto"/>
            <w:tcBorders>
              <w:top w:val="single" w:color="000000" w:sz="4" w:space="0"/>
              <w:left w:val="nil"/>
              <w:bottom w:val="single" w:color="000000" w:sz="4" w:space="0"/>
              <w:right w:val="nil"/>
            </w:tcBorders>
            <w:shd w:val="clear" w:color="auto" w:fill="auto"/>
            <w:noWrap/>
            <w:vAlign w:val="center"/>
          </w:tcPr>
          <w:p w14:paraId="7314418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Female</w:t>
            </w:r>
          </w:p>
        </w:tc>
        <w:tc>
          <w:tcPr>
            <w:tcW w:w="0" w:type="auto"/>
            <w:tcBorders>
              <w:top w:val="nil"/>
              <w:left w:val="nil"/>
              <w:bottom w:val="single" w:color="000000" w:sz="4" w:space="0"/>
              <w:right w:val="nil"/>
            </w:tcBorders>
            <w:shd w:val="clear" w:color="auto" w:fill="auto"/>
            <w:noWrap/>
            <w:vAlign w:val="center"/>
          </w:tcPr>
          <w:p w14:paraId="2948BCE9">
            <w:pPr>
              <w:jc w:val="center"/>
              <w:rPr>
                <w:rFonts w:hint="default" w:ascii="Times New Roman" w:hAnsi="Times New Roman" w:eastAsia="宋体" w:cs="Times New Roman"/>
                <w:i w:val="0"/>
                <w:iCs w:val="0"/>
                <w:color w:val="000000"/>
                <w:sz w:val="20"/>
                <w:szCs w:val="20"/>
                <w:u w:val="none"/>
              </w:rPr>
            </w:pPr>
          </w:p>
        </w:tc>
        <w:tc>
          <w:tcPr>
            <w:tcW w:w="0" w:type="auto"/>
            <w:tcBorders>
              <w:top w:val="single" w:color="000000" w:sz="4" w:space="0"/>
              <w:left w:val="nil"/>
              <w:bottom w:val="single" w:color="000000" w:sz="4" w:space="0"/>
              <w:right w:val="nil"/>
            </w:tcBorders>
            <w:shd w:val="clear" w:color="auto" w:fill="auto"/>
            <w:noWrap/>
            <w:vAlign w:val="center"/>
          </w:tcPr>
          <w:p w14:paraId="5C38687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Both</w:t>
            </w:r>
          </w:p>
        </w:tc>
        <w:tc>
          <w:tcPr>
            <w:tcW w:w="0" w:type="auto"/>
            <w:tcBorders>
              <w:top w:val="single" w:color="000000" w:sz="4" w:space="0"/>
              <w:left w:val="nil"/>
              <w:bottom w:val="single" w:color="000000" w:sz="4" w:space="0"/>
              <w:right w:val="nil"/>
            </w:tcBorders>
            <w:shd w:val="clear" w:color="auto" w:fill="auto"/>
            <w:noWrap/>
            <w:vAlign w:val="center"/>
          </w:tcPr>
          <w:p w14:paraId="7FD144E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Male</w:t>
            </w:r>
          </w:p>
        </w:tc>
        <w:tc>
          <w:tcPr>
            <w:tcW w:w="0" w:type="auto"/>
            <w:tcBorders>
              <w:top w:val="single" w:color="000000" w:sz="4" w:space="0"/>
              <w:left w:val="nil"/>
              <w:bottom w:val="single" w:color="000000" w:sz="4" w:space="0"/>
              <w:right w:val="nil"/>
            </w:tcBorders>
            <w:shd w:val="clear" w:color="auto" w:fill="auto"/>
            <w:noWrap/>
            <w:vAlign w:val="center"/>
          </w:tcPr>
          <w:p w14:paraId="5791D94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Female</w:t>
            </w:r>
          </w:p>
        </w:tc>
      </w:tr>
      <w:tr w14:paraId="54E71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jc w:val="center"/>
        </w:trPr>
        <w:tc>
          <w:tcPr>
            <w:tcW w:w="0" w:type="auto"/>
            <w:tcBorders>
              <w:top w:val="nil"/>
              <w:left w:val="nil"/>
              <w:bottom w:val="nil"/>
              <w:right w:val="nil"/>
            </w:tcBorders>
            <w:shd w:val="clear" w:color="auto" w:fill="auto"/>
            <w:noWrap/>
            <w:vAlign w:val="center"/>
          </w:tcPr>
          <w:p w14:paraId="1EE2136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1990</w:t>
            </w:r>
          </w:p>
        </w:tc>
        <w:tc>
          <w:tcPr>
            <w:tcW w:w="0" w:type="auto"/>
            <w:tcBorders>
              <w:top w:val="nil"/>
              <w:left w:val="nil"/>
              <w:bottom w:val="nil"/>
              <w:right w:val="nil"/>
            </w:tcBorders>
            <w:shd w:val="clear" w:color="auto" w:fill="auto"/>
            <w:noWrap/>
            <w:vAlign w:val="center"/>
          </w:tcPr>
          <w:p w14:paraId="685DF88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2859.38 </w:t>
            </w:r>
          </w:p>
        </w:tc>
        <w:tc>
          <w:tcPr>
            <w:tcW w:w="0" w:type="auto"/>
            <w:tcBorders>
              <w:top w:val="nil"/>
              <w:left w:val="nil"/>
              <w:bottom w:val="nil"/>
              <w:right w:val="nil"/>
            </w:tcBorders>
            <w:shd w:val="clear" w:color="auto" w:fill="auto"/>
            <w:noWrap/>
            <w:vAlign w:val="center"/>
          </w:tcPr>
          <w:p w14:paraId="6D43517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2225.35 </w:t>
            </w:r>
          </w:p>
        </w:tc>
        <w:tc>
          <w:tcPr>
            <w:tcW w:w="0" w:type="auto"/>
            <w:tcBorders>
              <w:top w:val="nil"/>
              <w:left w:val="nil"/>
              <w:bottom w:val="nil"/>
              <w:right w:val="nil"/>
            </w:tcBorders>
            <w:shd w:val="clear" w:color="auto" w:fill="auto"/>
            <w:noWrap/>
            <w:vAlign w:val="center"/>
          </w:tcPr>
          <w:p w14:paraId="0FA802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3495.28 </w:t>
            </w:r>
          </w:p>
        </w:tc>
        <w:tc>
          <w:tcPr>
            <w:tcW w:w="0" w:type="auto"/>
            <w:tcBorders>
              <w:top w:val="nil"/>
              <w:left w:val="nil"/>
              <w:bottom w:val="nil"/>
              <w:right w:val="nil"/>
            </w:tcBorders>
            <w:shd w:val="clear" w:color="auto" w:fill="auto"/>
            <w:noWrap/>
            <w:vAlign w:val="center"/>
          </w:tcPr>
          <w:p w14:paraId="3EA7B2A8">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10845D7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6635.49 </w:t>
            </w:r>
          </w:p>
        </w:tc>
        <w:tc>
          <w:tcPr>
            <w:tcW w:w="0" w:type="auto"/>
            <w:tcBorders>
              <w:top w:val="nil"/>
              <w:left w:val="nil"/>
              <w:bottom w:val="nil"/>
              <w:right w:val="nil"/>
            </w:tcBorders>
            <w:shd w:val="clear" w:color="auto" w:fill="auto"/>
            <w:noWrap/>
            <w:vAlign w:val="center"/>
          </w:tcPr>
          <w:p w14:paraId="79F9AEC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5007.60 </w:t>
            </w:r>
          </w:p>
        </w:tc>
        <w:tc>
          <w:tcPr>
            <w:tcW w:w="0" w:type="auto"/>
            <w:tcBorders>
              <w:top w:val="nil"/>
              <w:left w:val="nil"/>
              <w:bottom w:val="nil"/>
              <w:right w:val="nil"/>
            </w:tcBorders>
            <w:shd w:val="clear" w:color="auto" w:fill="auto"/>
            <w:noWrap/>
            <w:vAlign w:val="center"/>
          </w:tcPr>
          <w:p w14:paraId="23675CB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8247.28 </w:t>
            </w:r>
          </w:p>
        </w:tc>
        <w:tc>
          <w:tcPr>
            <w:tcW w:w="0" w:type="auto"/>
            <w:tcBorders>
              <w:top w:val="nil"/>
              <w:left w:val="nil"/>
              <w:bottom w:val="nil"/>
              <w:right w:val="nil"/>
            </w:tcBorders>
            <w:shd w:val="clear" w:color="auto" w:fill="auto"/>
            <w:noWrap/>
            <w:vAlign w:val="center"/>
          </w:tcPr>
          <w:p w14:paraId="4D3FF98B">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55E7B7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749.03 </w:t>
            </w:r>
          </w:p>
        </w:tc>
        <w:tc>
          <w:tcPr>
            <w:tcW w:w="0" w:type="auto"/>
            <w:tcBorders>
              <w:top w:val="nil"/>
              <w:left w:val="nil"/>
              <w:bottom w:val="nil"/>
              <w:right w:val="nil"/>
            </w:tcBorders>
            <w:shd w:val="clear" w:color="auto" w:fill="auto"/>
            <w:noWrap/>
            <w:vAlign w:val="center"/>
          </w:tcPr>
          <w:p w14:paraId="72A9942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571.73 </w:t>
            </w:r>
          </w:p>
        </w:tc>
        <w:tc>
          <w:tcPr>
            <w:tcW w:w="0" w:type="auto"/>
            <w:tcBorders>
              <w:top w:val="nil"/>
              <w:left w:val="nil"/>
              <w:bottom w:val="nil"/>
              <w:right w:val="nil"/>
            </w:tcBorders>
            <w:shd w:val="clear" w:color="auto" w:fill="auto"/>
            <w:noWrap/>
            <w:vAlign w:val="center"/>
          </w:tcPr>
          <w:p w14:paraId="3A17E9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925.83 </w:t>
            </w:r>
          </w:p>
        </w:tc>
      </w:tr>
      <w:tr w14:paraId="2C419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tcBorders>
              <w:top w:val="nil"/>
              <w:left w:val="nil"/>
              <w:bottom w:val="nil"/>
              <w:right w:val="nil"/>
            </w:tcBorders>
            <w:shd w:val="clear" w:color="auto" w:fill="auto"/>
            <w:noWrap/>
            <w:vAlign w:val="center"/>
          </w:tcPr>
          <w:p w14:paraId="345856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1991</w:t>
            </w:r>
          </w:p>
        </w:tc>
        <w:tc>
          <w:tcPr>
            <w:tcW w:w="0" w:type="auto"/>
            <w:tcBorders>
              <w:top w:val="nil"/>
              <w:left w:val="nil"/>
              <w:bottom w:val="nil"/>
              <w:right w:val="nil"/>
            </w:tcBorders>
            <w:shd w:val="clear" w:color="auto" w:fill="auto"/>
            <w:noWrap/>
            <w:vAlign w:val="center"/>
          </w:tcPr>
          <w:p w14:paraId="60552D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2752.18 </w:t>
            </w:r>
          </w:p>
        </w:tc>
        <w:tc>
          <w:tcPr>
            <w:tcW w:w="0" w:type="auto"/>
            <w:tcBorders>
              <w:top w:val="nil"/>
              <w:left w:val="nil"/>
              <w:bottom w:val="nil"/>
              <w:right w:val="nil"/>
            </w:tcBorders>
            <w:shd w:val="clear" w:color="auto" w:fill="auto"/>
            <w:noWrap/>
            <w:vAlign w:val="center"/>
          </w:tcPr>
          <w:p w14:paraId="3E769FF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2170.86 </w:t>
            </w:r>
          </w:p>
        </w:tc>
        <w:tc>
          <w:tcPr>
            <w:tcW w:w="0" w:type="auto"/>
            <w:tcBorders>
              <w:top w:val="nil"/>
              <w:left w:val="nil"/>
              <w:bottom w:val="nil"/>
              <w:right w:val="nil"/>
            </w:tcBorders>
            <w:shd w:val="clear" w:color="auto" w:fill="auto"/>
            <w:noWrap/>
            <w:vAlign w:val="center"/>
          </w:tcPr>
          <w:p w14:paraId="75A4884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3334.91 </w:t>
            </w:r>
          </w:p>
        </w:tc>
        <w:tc>
          <w:tcPr>
            <w:tcW w:w="0" w:type="auto"/>
            <w:tcBorders>
              <w:top w:val="nil"/>
              <w:left w:val="nil"/>
              <w:bottom w:val="nil"/>
              <w:right w:val="nil"/>
            </w:tcBorders>
            <w:shd w:val="clear" w:color="auto" w:fill="auto"/>
            <w:noWrap/>
            <w:vAlign w:val="center"/>
          </w:tcPr>
          <w:p w14:paraId="68A6A3A5">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0B50C96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6357.44 </w:t>
            </w:r>
          </w:p>
        </w:tc>
        <w:tc>
          <w:tcPr>
            <w:tcW w:w="0" w:type="auto"/>
            <w:tcBorders>
              <w:top w:val="nil"/>
              <w:left w:val="nil"/>
              <w:bottom w:val="nil"/>
              <w:right w:val="nil"/>
            </w:tcBorders>
            <w:shd w:val="clear" w:color="auto" w:fill="auto"/>
            <w:noWrap/>
            <w:vAlign w:val="center"/>
          </w:tcPr>
          <w:p w14:paraId="445A10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4878.71 </w:t>
            </w:r>
          </w:p>
        </w:tc>
        <w:tc>
          <w:tcPr>
            <w:tcW w:w="0" w:type="auto"/>
            <w:tcBorders>
              <w:top w:val="nil"/>
              <w:left w:val="nil"/>
              <w:bottom w:val="nil"/>
              <w:right w:val="nil"/>
            </w:tcBorders>
            <w:shd w:val="clear" w:color="auto" w:fill="auto"/>
            <w:noWrap/>
            <w:vAlign w:val="center"/>
          </w:tcPr>
          <w:p w14:paraId="33DC825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7820.13 </w:t>
            </w:r>
          </w:p>
        </w:tc>
        <w:tc>
          <w:tcPr>
            <w:tcW w:w="0" w:type="auto"/>
            <w:tcBorders>
              <w:top w:val="nil"/>
              <w:left w:val="nil"/>
              <w:bottom w:val="nil"/>
              <w:right w:val="nil"/>
            </w:tcBorders>
            <w:shd w:val="clear" w:color="auto" w:fill="auto"/>
            <w:noWrap/>
            <w:vAlign w:val="center"/>
          </w:tcPr>
          <w:p w14:paraId="36B2E4BD">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5054FA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717.92 </w:t>
            </w:r>
          </w:p>
        </w:tc>
        <w:tc>
          <w:tcPr>
            <w:tcW w:w="0" w:type="auto"/>
            <w:tcBorders>
              <w:top w:val="nil"/>
              <w:left w:val="nil"/>
              <w:bottom w:val="nil"/>
              <w:right w:val="nil"/>
            </w:tcBorders>
            <w:shd w:val="clear" w:color="auto" w:fill="auto"/>
            <w:noWrap/>
            <w:vAlign w:val="center"/>
          </w:tcPr>
          <w:p w14:paraId="4BCFDE6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557.11 </w:t>
            </w:r>
          </w:p>
        </w:tc>
        <w:tc>
          <w:tcPr>
            <w:tcW w:w="0" w:type="auto"/>
            <w:tcBorders>
              <w:top w:val="nil"/>
              <w:left w:val="nil"/>
              <w:bottom w:val="nil"/>
              <w:right w:val="nil"/>
            </w:tcBorders>
            <w:shd w:val="clear" w:color="auto" w:fill="auto"/>
            <w:noWrap/>
            <w:vAlign w:val="center"/>
          </w:tcPr>
          <w:p w14:paraId="6E43C0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878.15 </w:t>
            </w:r>
          </w:p>
        </w:tc>
      </w:tr>
      <w:tr w14:paraId="4C1FD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tcBorders>
              <w:top w:val="nil"/>
              <w:left w:val="nil"/>
              <w:bottom w:val="nil"/>
              <w:right w:val="nil"/>
            </w:tcBorders>
            <w:shd w:val="clear" w:color="auto" w:fill="auto"/>
            <w:noWrap/>
            <w:vAlign w:val="center"/>
          </w:tcPr>
          <w:p w14:paraId="7926C1D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1992</w:t>
            </w:r>
          </w:p>
        </w:tc>
        <w:tc>
          <w:tcPr>
            <w:tcW w:w="0" w:type="auto"/>
            <w:tcBorders>
              <w:top w:val="nil"/>
              <w:left w:val="nil"/>
              <w:bottom w:val="nil"/>
              <w:right w:val="nil"/>
            </w:tcBorders>
            <w:shd w:val="clear" w:color="auto" w:fill="auto"/>
            <w:noWrap/>
            <w:vAlign w:val="center"/>
          </w:tcPr>
          <w:p w14:paraId="5F88678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2653.98 </w:t>
            </w:r>
          </w:p>
        </w:tc>
        <w:tc>
          <w:tcPr>
            <w:tcW w:w="0" w:type="auto"/>
            <w:tcBorders>
              <w:top w:val="nil"/>
              <w:left w:val="nil"/>
              <w:bottom w:val="nil"/>
              <w:right w:val="nil"/>
            </w:tcBorders>
            <w:shd w:val="clear" w:color="auto" w:fill="auto"/>
            <w:noWrap/>
            <w:vAlign w:val="center"/>
          </w:tcPr>
          <w:p w14:paraId="162FA69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2120.98 </w:t>
            </w:r>
          </w:p>
        </w:tc>
        <w:tc>
          <w:tcPr>
            <w:tcW w:w="0" w:type="auto"/>
            <w:tcBorders>
              <w:top w:val="nil"/>
              <w:left w:val="nil"/>
              <w:bottom w:val="nil"/>
              <w:right w:val="nil"/>
            </w:tcBorders>
            <w:shd w:val="clear" w:color="auto" w:fill="auto"/>
            <w:noWrap/>
            <w:vAlign w:val="center"/>
          </w:tcPr>
          <w:p w14:paraId="5625F16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3187.86 </w:t>
            </w:r>
          </w:p>
        </w:tc>
        <w:tc>
          <w:tcPr>
            <w:tcW w:w="0" w:type="auto"/>
            <w:tcBorders>
              <w:top w:val="nil"/>
              <w:left w:val="nil"/>
              <w:bottom w:val="nil"/>
              <w:right w:val="nil"/>
            </w:tcBorders>
            <w:shd w:val="clear" w:color="auto" w:fill="auto"/>
            <w:noWrap/>
            <w:vAlign w:val="center"/>
          </w:tcPr>
          <w:p w14:paraId="2D532383">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16B9A95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6102.68 </w:t>
            </w:r>
          </w:p>
        </w:tc>
        <w:tc>
          <w:tcPr>
            <w:tcW w:w="0" w:type="auto"/>
            <w:tcBorders>
              <w:top w:val="nil"/>
              <w:left w:val="nil"/>
              <w:bottom w:val="nil"/>
              <w:right w:val="nil"/>
            </w:tcBorders>
            <w:shd w:val="clear" w:color="auto" w:fill="auto"/>
            <w:noWrap/>
            <w:vAlign w:val="center"/>
          </w:tcPr>
          <w:p w14:paraId="0F30C07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4760.76 </w:t>
            </w:r>
          </w:p>
        </w:tc>
        <w:tc>
          <w:tcPr>
            <w:tcW w:w="0" w:type="auto"/>
            <w:tcBorders>
              <w:top w:val="nil"/>
              <w:left w:val="nil"/>
              <w:bottom w:val="nil"/>
              <w:right w:val="nil"/>
            </w:tcBorders>
            <w:shd w:val="clear" w:color="auto" w:fill="auto"/>
            <w:noWrap/>
            <w:vAlign w:val="center"/>
          </w:tcPr>
          <w:p w14:paraId="777D4A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7428.38 </w:t>
            </w:r>
          </w:p>
        </w:tc>
        <w:tc>
          <w:tcPr>
            <w:tcW w:w="0" w:type="auto"/>
            <w:tcBorders>
              <w:top w:val="nil"/>
              <w:left w:val="nil"/>
              <w:bottom w:val="nil"/>
              <w:right w:val="nil"/>
            </w:tcBorders>
            <w:shd w:val="clear" w:color="auto" w:fill="auto"/>
            <w:noWrap/>
            <w:vAlign w:val="center"/>
          </w:tcPr>
          <w:p w14:paraId="1C465509">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516935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689.13 </w:t>
            </w:r>
          </w:p>
        </w:tc>
        <w:tc>
          <w:tcPr>
            <w:tcW w:w="0" w:type="auto"/>
            <w:tcBorders>
              <w:top w:val="nil"/>
              <w:left w:val="nil"/>
              <w:bottom w:val="nil"/>
              <w:right w:val="nil"/>
            </w:tcBorders>
            <w:shd w:val="clear" w:color="auto" w:fill="auto"/>
            <w:noWrap/>
            <w:vAlign w:val="center"/>
          </w:tcPr>
          <w:p w14:paraId="2605511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543.51 </w:t>
            </w:r>
          </w:p>
        </w:tc>
        <w:tc>
          <w:tcPr>
            <w:tcW w:w="0" w:type="auto"/>
            <w:tcBorders>
              <w:top w:val="nil"/>
              <w:left w:val="nil"/>
              <w:bottom w:val="nil"/>
              <w:right w:val="nil"/>
            </w:tcBorders>
            <w:shd w:val="clear" w:color="auto" w:fill="auto"/>
            <w:noWrap/>
            <w:vAlign w:val="center"/>
          </w:tcPr>
          <w:p w14:paraId="35DCCC3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834.05 </w:t>
            </w:r>
          </w:p>
        </w:tc>
      </w:tr>
      <w:tr w14:paraId="6EEC54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tcBorders>
              <w:top w:val="nil"/>
              <w:left w:val="nil"/>
              <w:bottom w:val="nil"/>
              <w:right w:val="nil"/>
            </w:tcBorders>
            <w:shd w:val="clear" w:color="auto" w:fill="auto"/>
            <w:noWrap/>
            <w:vAlign w:val="center"/>
          </w:tcPr>
          <w:p w14:paraId="6F3734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1993</w:t>
            </w:r>
          </w:p>
        </w:tc>
        <w:tc>
          <w:tcPr>
            <w:tcW w:w="0" w:type="auto"/>
            <w:tcBorders>
              <w:top w:val="nil"/>
              <w:left w:val="nil"/>
              <w:bottom w:val="nil"/>
              <w:right w:val="nil"/>
            </w:tcBorders>
            <w:shd w:val="clear" w:color="auto" w:fill="auto"/>
            <w:noWrap/>
            <w:vAlign w:val="center"/>
          </w:tcPr>
          <w:p w14:paraId="678825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2572.51 </w:t>
            </w:r>
          </w:p>
        </w:tc>
        <w:tc>
          <w:tcPr>
            <w:tcW w:w="0" w:type="auto"/>
            <w:tcBorders>
              <w:top w:val="nil"/>
              <w:left w:val="nil"/>
              <w:bottom w:val="nil"/>
              <w:right w:val="nil"/>
            </w:tcBorders>
            <w:shd w:val="clear" w:color="auto" w:fill="auto"/>
            <w:noWrap/>
            <w:vAlign w:val="center"/>
          </w:tcPr>
          <w:p w14:paraId="55EE6A2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2079.52 </w:t>
            </w:r>
          </w:p>
        </w:tc>
        <w:tc>
          <w:tcPr>
            <w:tcW w:w="0" w:type="auto"/>
            <w:tcBorders>
              <w:top w:val="nil"/>
              <w:left w:val="nil"/>
              <w:bottom w:val="nil"/>
              <w:right w:val="nil"/>
            </w:tcBorders>
            <w:shd w:val="clear" w:color="auto" w:fill="auto"/>
            <w:noWrap/>
            <w:vAlign w:val="center"/>
          </w:tcPr>
          <w:p w14:paraId="1800D8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3066.03 </w:t>
            </w:r>
          </w:p>
        </w:tc>
        <w:tc>
          <w:tcPr>
            <w:tcW w:w="0" w:type="auto"/>
            <w:tcBorders>
              <w:top w:val="nil"/>
              <w:left w:val="nil"/>
              <w:bottom w:val="nil"/>
              <w:right w:val="nil"/>
            </w:tcBorders>
            <w:shd w:val="clear" w:color="auto" w:fill="auto"/>
            <w:noWrap/>
            <w:vAlign w:val="center"/>
          </w:tcPr>
          <w:p w14:paraId="7C11B37B">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16CF14D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5891.74 </w:t>
            </w:r>
          </w:p>
        </w:tc>
        <w:tc>
          <w:tcPr>
            <w:tcW w:w="0" w:type="auto"/>
            <w:tcBorders>
              <w:top w:val="nil"/>
              <w:left w:val="nil"/>
              <w:bottom w:val="nil"/>
              <w:right w:val="nil"/>
            </w:tcBorders>
            <w:shd w:val="clear" w:color="auto" w:fill="auto"/>
            <w:noWrap/>
            <w:vAlign w:val="center"/>
          </w:tcPr>
          <w:p w14:paraId="794010A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4662.92 </w:t>
            </w:r>
          </w:p>
        </w:tc>
        <w:tc>
          <w:tcPr>
            <w:tcW w:w="0" w:type="auto"/>
            <w:tcBorders>
              <w:top w:val="nil"/>
              <w:left w:val="nil"/>
              <w:bottom w:val="nil"/>
              <w:right w:val="nil"/>
            </w:tcBorders>
            <w:shd w:val="clear" w:color="auto" w:fill="auto"/>
            <w:noWrap/>
            <w:vAlign w:val="center"/>
          </w:tcPr>
          <w:p w14:paraId="0E83B22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7104.41 </w:t>
            </w:r>
          </w:p>
        </w:tc>
        <w:tc>
          <w:tcPr>
            <w:tcW w:w="0" w:type="auto"/>
            <w:tcBorders>
              <w:top w:val="nil"/>
              <w:left w:val="nil"/>
              <w:bottom w:val="nil"/>
              <w:right w:val="nil"/>
            </w:tcBorders>
            <w:shd w:val="clear" w:color="auto" w:fill="auto"/>
            <w:noWrap/>
            <w:vAlign w:val="center"/>
          </w:tcPr>
          <w:p w14:paraId="2B7131E3">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19E8E38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665.51 </w:t>
            </w:r>
          </w:p>
        </w:tc>
        <w:tc>
          <w:tcPr>
            <w:tcW w:w="0" w:type="auto"/>
            <w:tcBorders>
              <w:top w:val="nil"/>
              <w:left w:val="nil"/>
              <w:bottom w:val="nil"/>
              <w:right w:val="nil"/>
            </w:tcBorders>
            <w:shd w:val="clear" w:color="auto" w:fill="auto"/>
            <w:noWrap/>
            <w:vAlign w:val="center"/>
          </w:tcPr>
          <w:p w14:paraId="571C7C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532.45 </w:t>
            </w:r>
          </w:p>
        </w:tc>
        <w:tc>
          <w:tcPr>
            <w:tcW w:w="0" w:type="auto"/>
            <w:tcBorders>
              <w:top w:val="nil"/>
              <w:left w:val="nil"/>
              <w:bottom w:val="nil"/>
              <w:right w:val="nil"/>
            </w:tcBorders>
            <w:shd w:val="clear" w:color="auto" w:fill="auto"/>
            <w:noWrap/>
            <w:vAlign w:val="center"/>
          </w:tcPr>
          <w:p w14:paraId="020CDD8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797.79 </w:t>
            </w:r>
          </w:p>
        </w:tc>
      </w:tr>
      <w:tr w14:paraId="565B1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tcBorders>
              <w:top w:val="nil"/>
              <w:left w:val="nil"/>
              <w:bottom w:val="nil"/>
              <w:right w:val="nil"/>
            </w:tcBorders>
            <w:shd w:val="clear" w:color="auto" w:fill="auto"/>
            <w:noWrap/>
            <w:vAlign w:val="center"/>
          </w:tcPr>
          <w:p w14:paraId="7524A62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1994</w:t>
            </w:r>
          </w:p>
        </w:tc>
        <w:tc>
          <w:tcPr>
            <w:tcW w:w="0" w:type="auto"/>
            <w:tcBorders>
              <w:top w:val="nil"/>
              <w:left w:val="nil"/>
              <w:bottom w:val="nil"/>
              <w:right w:val="nil"/>
            </w:tcBorders>
            <w:shd w:val="clear" w:color="auto" w:fill="auto"/>
            <w:noWrap/>
            <w:vAlign w:val="center"/>
          </w:tcPr>
          <w:p w14:paraId="386BCD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2515.55 </w:t>
            </w:r>
          </w:p>
        </w:tc>
        <w:tc>
          <w:tcPr>
            <w:tcW w:w="0" w:type="auto"/>
            <w:tcBorders>
              <w:top w:val="nil"/>
              <w:left w:val="nil"/>
              <w:bottom w:val="nil"/>
              <w:right w:val="nil"/>
            </w:tcBorders>
            <w:shd w:val="clear" w:color="auto" w:fill="auto"/>
            <w:noWrap/>
            <w:vAlign w:val="center"/>
          </w:tcPr>
          <w:p w14:paraId="741A7B7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2050.22 </w:t>
            </w:r>
          </w:p>
        </w:tc>
        <w:tc>
          <w:tcPr>
            <w:tcW w:w="0" w:type="auto"/>
            <w:tcBorders>
              <w:top w:val="nil"/>
              <w:left w:val="nil"/>
              <w:bottom w:val="nil"/>
              <w:right w:val="nil"/>
            </w:tcBorders>
            <w:shd w:val="clear" w:color="auto" w:fill="auto"/>
            <w:noWrap/>
            <w:vAlign w:val="center"/>
          </w:tcPr>
          <w:p w14:paraId="1915280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2981.20 </w:t>
            </w:r>
          </w:p>
        </w:tc>
        <w:tc>
          <w:tcPr>
            <w:tcW w:w="0" w:type="auto"/>
            <w:tcBorders>
              <w:top w:val="nil"/>
              <w:left w:val="nil"/>
              <w:bottom w:val="nil"/>
              <w:right w:val="nil"/>
            </w:tcBorders>
            <w:shd w:val="clear" w:color="auto" w:fill="auto"/>
            <w:noWrap/>
            <w:vAlign w:val="center"/>
          </w:tcPr>
          <w:p w14:paraId="308D0CB0">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0F7D05E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5745.10 </w:t>
            </w:r>
          </w:p>
        </w:tc>
        <w:tc>
          <w:tcPr>
            <w:tcW w:w="0" w:type="auto"/>
            <w:tcBorders>
              <w:top w:val="nil"/>
              <w:left w:val="nil"/>
              <w:bottom w:val="nil"/>
              <w:right w:val="nil"/>
            </w:tcBorders>
            <w:shd w:val="clear" w:color="auto" w:fill="auto"/>
            <w:noWrap/>
            <w:vAlign w:val="center"/>
          </w:tcPr>
          <w:p w14:paraId="79B98C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4594.07 </w:t>
            </w:r>
          </w:p>
        </w:tc>
        <w:tc>
          <w:tcPr>
            <w:tcW w:w="0" w:type="auto"/>
            <w:tcBorders>
              <w:top w:val="nil"/>
              <w:left w:val="nil"/>
              <w:bottom w:val="nil"/>
              <w:right w:val="nil"/>
            </w:tcBorders>
            <w:shd w:val="clear" w:color="auto" w:fill="auto"/>
            <w:noWrap/>
            <w:vAlign w:val="center"/>
          </w:tcPr>
          <w:p w14:paraId="12E3528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6880.22 </w:t>
            </w:r>
          </w:p>
        </w:tc>
        <w:tc>
          <w:tcPr>
            <w:tcW w:w="0" w:type="auto"/>
            <w:tcBorders>
              <w:top w:val="nil"/>
              <w:left w:val="nil"/>
              <w:bottom w:val="nil"/>
              <w:right w:val="nil"/>
            </w:tcBorders>
            <w:shd w:val="clear" w:color="auto" w:fill="auto"/>
            <w:noWrap/>
            <w:vAlign w:val="center"/>
          </w:tcPr>
          <w:p w14:paraId="0BEB7FD6">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2D30E57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649.03 </w:t>
            </w:r>
          </w:p>
        </w:tc>
        <w:tc>
          <w:tcPr>
            <w:tcW w:w="0" w:type="auto"/>
            <w:tcBorders>
              <w:top w:val="nil"/>
              <w:left w:val="nil"/>
              <w:bottom w:val="nil"/>
              <w:right w:val="nil"/>
            </w:tcBorders>
            <w:shd w:val="clear" w:color="auto" w:fill="auto"/>
            <w:noWrap/>
            <w:vAlign w:val="center"/>
          </w:tcPr>
          <w:p w14:paraId="14825F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524.61 </w:t>
            </w:r>
          </w:p>
        </w:tc>
        <w:tc>
          <w:tcPr>
            <w:tcW w:w="0" w:type="auto"/>
            <w:tcBorders>
              <w:top w:val="nil"/>
              <w:left w:val="nil"/>
              <w:bottom w:val="nil"/>
              <w:right w:val="nil"/>
            </w:tcBorders>
            <w:shd w:val="clear" w:color="auto" w:fill="auto"/>
            <w:noWrap/>
            <w:vAlign w:val="center"/>
          </w:tcPr>
          <w:p w14:paraId="1624618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772.64 </w:t>
            </w:r>
          </w:p>
        </w:tc>
      </w:tr>
      <w:tr w14:paraId="2DB2C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tcBorders>
              <w:top w:val="nil"/>
              <w:left w:val="nil"/>
              <w:bottom w:val="nil"/>
              <w:right w:val="nil"/>
            </w:tcBorders>
            <w:shd w:val="clear" w:color="auto" w:fill="auto"/>
            <w:noWrap/>
            <w:vAlign w:val="center"/>
          </w:tcPr>
          <w:p w14:paraId="1AC0EDC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1995</w:t>
            </w:r>
          </w:p>
        </w:tc>
        <w:tc>
          <w:tcPr>
            <w:tcW w:w="0" w:type="auto"/>
            <w:tcBorders>
              <w:top w:val="nil"/>
              <w:left w:val="nil"/>
              <w:bottom w:val="nil"/>
              <w:right w:val="nil"/>
            </w:tcBorders>
            <w:shd w:val="clear" w:color="auto" w:fill="auto"/>
            <w:noWrap/>
            <w:vAlign w:val="center"/>
          </w:tcPr>
          <w:p w14:paraId="14E485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2490.85 </w:t>
            </w:r>
          </w:p>
        </w:tc>
        <w:tc>
          <w:tcPr>
            <w:tcW w:w="0" w:type="auto"/>
            <w:tcBorders>
              <w:top w:val="nil"/>
              <w:left w:val="nil"/>
              <w:bottom w:val="nil"/>
              <w:right w:val="nil"/>
            </w:tcBorders>
            <w:shd w:val="clear" w:color="auto" w:fill="auto"/>
            <w:noWrap/>
            <w:vAlign w:val="center"/>
          </w:tcPr>
          <w:p w14:paraId="50F16D3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2036.93 </w:t>
            </w:r>
          </w:p>
        </w:tc>
        <w:tc>
          <w:tcPr>
            <w:tcW w:w="0" w:type="auto"/>
            <w:tcBorders>
              <w:top w:val="nil"/>
              <w:left w:val="nil"/>
              <w:bottom w:val="nil"/>
              <w:right w:val="nil"/>
            </w:tcBorders>
            <w:shd w:val="clear" w:color="auto" w:fill="auto"/>
            <w:noWrap/>
            <w:vAlign w:val="center"/>
          </w:tcPr>
          <w:p w14:paraId="29F3B96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2945.17 </w:t>
            </w:r>
          </w:p>
        </w:tc>
        <w:tc>
          <w:tcPr>
            <w:tcW w:w="0" w:type="auto"/>
            <w:tcBorders>
              <w:top w:val="nil"/>
              <w:left w:val="nil"/>
              <w:bottom w:val="nil"/>
              <w:right w:val="nil"/>
            </w:tcBorders>
            <w:shd w:val="clear" w:color="auto" w:fill="auto"/>
            <w:noWrap/>
            <w:vAlign w:val="center"/>
          </w:tcPr>
          <w:p w14:paraId="31886857">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194394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5683.04 </w:t>
            </w:r>
          </w:p>
        </w:tc>
        <w:tc>
          <w:tcPr>
            <w:tcW w:w="0" w:type="auto"/>
            <w:tcBorders>
              <w:top w:val="nil"/>
              <w:left w:val="nil"/>
              <w:bottom w:val="nil"/>
              <w:right w:val="nil"/>
            </w:tcBorders>
            <w:shd w:val="clear" w:color="auto" w:fill="auto"/>
            <w:noWrap/>
            <w:vAlign w:val="center"/>
          </w:tcPr>
          <w:p w14:paraId="4250D3A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4563.23 </w:t>
            </w:r>
          </w:p>
        </w:tc>
        <w:tc>
          <w:tcPr>
            <w:tcW w:w="0" w:type="auto"/>
            <w:tcBorders>
              <w:top w:val="nil"/>
              <w:left w:val="nil"/>
              <w:bottom w:val="nil"/>
              <w:right w:val="nil"/>
            </w:tcBorders>
            <w:shd w:val="clear" w:color="auto" w:fill="auto"/>
            <w:noWrap/>
            <w:vAlign w:val="center"/>
          </w:tcPr>
          <w:p w14:paraId="775FA3B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6787.86 </w:t>
            </w:r>
          </w:p>
        </w:tc>
        <w:tc>
          <w:tcPr>
            <w:tcW w:w="0" w:type="auto"/>
            <w:tcBorders>
              <w:top w:val="nil"/>
              <w:left w:val="nil"/>
              <w:bottom w:val="nil"/>
              <w:right w:val="nil"/>
            </w:tcBorders>
            <w:shd w:val="clear" w:color="auto" w:fill="auto"/>
            <w:noWrap/>
            <w:vAlign w:val="center"/>
          </w:tcPr>
          <w:p w14:paraId="1F29F8EE">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27E156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642.05 </w:t>
            </w:r>
          </w:p>
        </w:tc>
        <w:tc>
          <w:tcPr>
            <w:tcW w:w="0" w:type="auto"/>
            <w:tcBorders>
              <w:top w:val="nil"/>
              <w:left w:val="nil"/>
              <w:bottom w:val="nil"/>
              <w:right w:val="nil"/>
            </w:tcBorders>
            <w:shd w:val="clear" w:color="auto" w:fill="auto"/>
            <w:noWrap/>
            <w:vAlign w:val="center"/>
          </w:tcPr>
          <w:p w14:paraId="6F0C0C6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521.13 </w:t>
            </w:r>
          </w:p>
        </w:tc>
        <w:tc>
          <w:tcPr>
            <w:tcW w:w="0" w:type="auto"/>
            <w:tcBorders>
              <w:top w:val="nil"/>
              <w:left w:val="nil"/>
              <w:bottom w:val="nil"/>
              <w:right w:val="nil"/>
            </w:tcBorders>
            <w:shd w:val="clear" w:color="auto" w:fill="auto"/>
            <w:noWrap/>
            <w:vAlign w:val="center"/>
          </w:tcPr>
          <w:p w14:paraId="30DF58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762.22 </w:t>
            </w:r>
          </w:p>
        </w:tc>
      </w:tr>
      <w:tr w14:paraId="6475A5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tcBorders>
              <w:top w:val="nil"/>
              <w:left w:val="nil"/>
              <w:bottom w:val="nil"/>
              <w:right w:val="nil"/>
            </w:tcBorders>
            <w:shd w:val="clear" w:color="auto" w:fill="auto"/>
            <w:noWrap/>
            <w:vAlign w:val="center"/>
          </w:tcPr>
          <w:p w14:paraId="74A7B61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1996</w:t>
            </w:r>
          </w:p>
        </w:tc>
        <w:tc>
          <w:tcPr>
            <w:tcW w:w="0" w:type="auto"/>
            <w:tcBorders>
              <w:top w:val="nil"/>
              <w:left w:val="nil"/>
              <w:bottom w:val="nil"/>
              <w:right w:val="nil"/>
            </w:tcBorders>
            <w:shd w:val="clear" w:color="auto" w:fill="auto"/>
            <w:noWrap/>
            <w:vAlign w:val="center"/>
          </w:tcPr>
          <w:p w14:paraId="1AD66FE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2486.24 </w:t>
            </w:r>
          </w:p>
        </w:tc>
        <w:tc>
          <w:tcPr>
            <w:tcW w:w="0" w:type="auto"/>
            <w:tcBorders>
              <w:top w:val="nil"/>
              <w:left w:val="nil"/>
              <w:bottom w:val="nil"/>
              <w:right w:val="nil"/>
            </w:tcBorders>
            <w:shd w:val="clear" w:color="auto" w:fill="auto"/>
            <w:noWrap/>
            <w:vAlign w:val="center"/>
          </w:tcPr>
          <w:p w14:paraId="30ED7E2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2033.88 </w:t>
            </w:r>
          </w:p>
        </w:tc>
        <w:tc>
          <w:tcPr>
            <w:tcW w:w="0" w:type="auto"/>
            <w:tcBorders>
              <w:top w:val="nil"/>
              <w:left w:val="nil"/>
              <w:bottom w:val="nil"/>
              <w:right w:val="nil"/>
            </w:tcBorders>
            <w:shd w:val="clear" w:color="auto" w:fill="auto"/>
            <w:noWrap/>
            <w:vAlign w:val="center"/>
          </w:tcPr>
          <w:p w14:paraId="649652A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2939.20 </w:t>
            </w:r>
          </w:p>
        </w:tc>
        <w:tc>
          <w:tcPr>
            <w:tcW w:w="0" w:type="auto"/>
            <w:tcBorders>
              <w:top w:val="nil"/>
              <w:left w:val="nil"/>
              <w:bottom w:val="nil"/>
              <w:right w:val="nil"/>
            </w:tcBorders>
            <w:shd w:val="clear" w:color="auto" w:fill="auto"/>
            <w:noWrap/>
            <w:vAlign w:val="center"/>
          </w:tcPr>
          <w:p w14:paraId="498D9700">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47A4EC2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5673.33 </w:t>
            </w:r>
          </w:p>
        </w:tc>
        <w:tc>
          <w:tcPr>
            <w:tcW w:w="0" w:type="auto"/>
            <w:tcBorders>
              <w:top w:val="nil"/>
              <w:left w:val="nil"/>
              <w:bottom w:val="nil"/>
              <w:right w:val="nil"/>
            </w:tcBorders>
            <w:shd w:val="clear" w:color="auto" w:fill="auto"/>
            <w:noWrap/>
            <w:vAlign w:val="center"/>
          </w:tcPr>
          <w:p w14:paraId="7A6967E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4556.59 </w:t>
            </w:r>
          </w:p>
        </w:tc>
        <w:tc>
          <w:tcPr>
            <w:tcW w:w="0" w:type="auto"/>
            <w:tcBorders>
              <w:top w:val="nil"/>
              <w:left w:val="nil"/>
              <w:bottom w:val="nil"/>
              <w:right w:val="nil"/>
            </w:tcBorders>
            <w:shd w:val="clear" w:color="auto" w:fill="auto"/>
            <w:noWrap/>
            <w:vAlign w:val="center"/>
          </w:tcPr>
          <w:p w14:paraId="5D60696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6776.16 </w:t>
            </w:r>
          </w:p>
        </w:tc>
        <w:tc>
          <w:tcPr>
            <w:tcW w:w="0" w:type="auto"/>
            <w:tcBorders>
              <w:top w:val="nil"/>
              <w:left w:val="nil"/>
              <w:bottom w:val="nil"/>
              <w:right w:val="nil"/>
            </w:tcBorders>
            <w:shd w:val="clear" w:color="auto" w:fill="auto"/>
            <w:noWrap/>
            <w:vAlign w:val="center"/>
          </w:tcPr>
          <w:p w14:paraId="4D27A041">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585FD23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641.05 </w:t>
            </w:r>
          </w:p>
        </w:tc>
        <w:tc>
          <w:tcPr>
            <w:tcW w:w="0" w:type="auto"/>
            <w:tcBorders>
              <w:top w:val="nil"/>
              <w:left w:val="nil"/>
              <w:bottom w:val="nil"/>
              <w:right w:val="nil"/>
            </w:tcBorders>
            <w:shd w:val="clear" w:color="auto" w:fill="auto"/>
            <w:noWrap/>
            <w:vAlign w:val="center"/>
          </w:tcPr>
          <w:p w14:paraId="3D0558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520.39 </w:t>
            </w:r>
          </w:p>
        </w:tc>
        <w:tc>
          <w:tcPr>
            <w:tcW w:w="0" w:type="auto"/>
            <w:tcBorders>
              <w:top w:val="nil"/>
              <w:left w:val="nil"/>
              <w:bottom w:val="nil"/>
              <w:right w:val="nil"/>
            </w:tcBorders>
            <w:shd w:val="clear" w:color="auto" w:fill="auto"/>
            <w:noWrap/>
            <w:vAlign w:val="center"/>
          </w:tcPr>
          <w:p w14:paraId="17DF46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761.06 </w:t>
            </w:r>
          </w:p>
        </w:tc>
      </w:tr>
      <w:tr w14:paraId="2D7CD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tcBorders>
              <w:top w:val="nil"/>
              <w:left w:val="nil"/>
              <w:bottom w:val="nil"/>
              <w:right w:val="nil"/>
            </w:tcBorders>
            <w:shd w:val="clear" w:color="auto" w:fill="auto"/>
            <w:noWrap/>
            <w:vAlign w:val="center"/>
          </w:tcPr>
          <w:p w14:paraId="0CAECD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1997</w:t>
            </w:r>
          </w:p>
        </w:tc>
        <w:tc>
          <w:tcPr>
            <w:tcW w:w="0" w:type="auto"/>
            <w:tcBorders>
              <w:top w:val="nil"/>
              <w:left w:val="nil"/>
              <w:bottom w:val="nil"/>
              <w:right w:val="nil"/>
            </w:tcBorders>
            <w:shd w:val="clear" w:color="auto" w:fill="auto"/>
            <w:noWrap/>
            <w:vAlign w:val="center"/>
          </w:tcPr>
          <w:p w14:paraId="1135CA8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2483.68 </w:t>
            </w:r>
          </w:p>
        </w:tc>
        <w:tc>
          <w:tcPr>
            <w:tcW w:w="0" w:type="auto"/>
            <w:tcBorders>
              <w:top w:val="nil"/>
              <w:left w:val="nil"/>
              <w:bottom w:val="nil"/>
              <w:right w:val="nil"/>
            </w:tcBorders>
            <w:shd w:val="clear" w:color="auto" w:fill="auto"/>
            <w:noWrap/>
            <w:vAlign w:val="center"/>
          </w:tcPr>
          <w:p w14:paraId="34E28FB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2032.25 </w:t>
            </w:r>
          </w:p>
        </w:tc>
        <w:tc>
          <w:tcPr>
            <w:tcW w:w="0" w:type="auto"/>
            <w:tcBorders>
              <w:top w:val="nil"/>
              <w:left w:val="nil"/>
              <w:bottom w:val="nil"/>
              <w:right w:val="nil"/>
            </w:tcBorders>
            <w:shd w:val="clear" w:color="auto" w:fill="auto"/>
            <w:noWrap/>
            <w:vAlign w:val="center"/>
          </w:tcPr>
          <w:p w14:paraId="4D5CA6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2935.89 </w:t>
            </w:r>
          </w:p>
        </w:tc>
        <w:tc>
          <w:tcPr>
            <w:tcW w:w="0" w:type="auto"/>
            <w:tcBorders>
              <w:top w:val="nil"/>
              <w:left w:val="nil"/>
              <w:bottom w:val="nil"/>
              <w:right w:val="nil"/>
            </w:tcBorders>
            <w:shd w:val="clear" w:color="auto" w:fill="auto"/>
            <w:noWrap/>
            <w:vAlign w:val="center"/>
          </w:tcPr>
          <w:p w14:paraId="22ACF184">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36CB01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5668.42 </w:t>
            </w:r>
          </w:p>
        </w:tc>
        <w:tc>
          <w:tcPr>
            <w:tcW w:w="0" w:type="auto"/>
            <w:tcBorders>
              <w:top w:val="nil"/>
              <w:left w:val="nil"/>
              <w:bottom w:val="nil"/>
              <w:right w:val="nil"/>
            </w:tcBorders>
            <w:shd w:val="clear" w:color="auto" w:fill="auto"/>
            <w:noWrap/>
            <w:vAlign w:val="center"/>
          </w:tcPr>
          <w:p w14:paraId="2BAA7C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4553.13 </w:t>
            </w:r>
          </w:p>
        </w:tc>
        <w:tc>
          <w:tcPr>
            <w:tcW w:w="0" w:type="auto"/>
            <w:tcBorders>
              <w:top w:val="nil"/>
              <w:left w:val="nil"/>
              <w:bottom w:val="nil"/>
              <w:right w:val="nil"/>
            </w:tcBorders>
            <w:shd w:val="clear" w:color="auto" w:fill="auto"/>
            <w:noWrap/>
            <w:vAlign w:val="center"/>
          </w:tcPr>
          <w:p w14:paraId="38C654F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6770.63 </w:t>
            </w:r>
          </w:p>
        </w:tc>
        <w:tc>
          <w:tcPr>
            <w:tcW w:w="0" w:type="auto"/>
            <w:tcBorders>
              <w:top w:val="nil"/>
              <w:left w:val="nil"/>
              <w:bottom w:val="nil"/>
              <w:right w:val="nil"/>
            </w:tcBorders>
            <w:shd w:val="clear" w:color="auto" w:fill="auto"/>
            <w:noWrap/>
            <w:vAlign w:val="center"/>
          </w:tcPr>
          <w:p w14:paraId="36682058">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1B1108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640.43 </w:t>
            </w:r>
          </w:p>
        </w:tc>
        <w:tc>
          <w:tcPr>
            <w:tcW w:w="0" w:type="auto"/>
            <w:tcBorders>
              <w:top w:val="nil"/>
              <w:left w:val="nil"/>
              <w:bottom w:val="nil"/>
              <w:right w:val="nil"/>
            </w:tcBorders>
            <w:shd w:val="clear" w:color="auto" w:fill="auto"/>
            <w:noWrap/>
            <w:vAlign w:val="center"/>
          </w:tcPr>
          <w:p w14:paraId="4E13511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519.96 </w:t>
            </w:r>
          </w:p>
        </w:tc>
        <w:tc>
          <w:tcPr>
            <w:tcW w:w="0" w:type="auto"/>
            <w:tcBorders>
              <w:top w:val="nil"/>
              <w:left w:val="nil"/>
              <w:bottom w:val="nil"/>
              <w:right w:val="nil"/>
            </w:tcBorders>
            <w:shd w:val="clear" w:color="auto" w:fill="auto"/>
            <w:noWrap/>
            <w:vAlign w:val="center"/>
          </w:tcPr>
          <w:p w14:paraId="1AF0788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760.30 </w:t>
            </w:r>
          </w:p>
        </w:tc>
      </w:tr>
      <w:tr w14:paraId="4327A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tcBorders>
              <w:top w:val="nil"/>
              <w:left w:val="nil"/>
              <w:bottom w:val="nil"/>
              <w:right w:val="nil"/>
            </w:tcBorders>
            <w:shd w:val="clear" w:color="auto" w:fill="auto"/>
            <w:noWrap/>
            <w:vAlign w:val="center"/>
          </w:tcPr>
          <w:p w14:paraId="2FAE9F9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1998</w:t>
            </w:r>
          </w:p>
        </w:tc>
        <w:tc>
          <w:tcPr>
            <w:tcW w:w="0" w:type="auto"/>
            <w:tcBorders>
              <w:top w:val="nil"/>
              <w:left w:val="nil"/>
              <w:bottom w:val="nil"/>
              <w:right w:val="nil"/>
            </w:tcBorders>
            <w:shd w:val="clear" w:color="auto" w:fill="auto"/>
            <w:noWrap/>
            <w:vAlign w:val="center"/>
          </w:tcPr>
          <w:p w14:paraId="50E82CD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2482.03 </w:t>
            </w:r>
          </w:p>
        </w:tc>
        <w:tc>
          <w:tcPr>
            <w:tcW w:w="0" w:type="auto"/>
            <w:tcBorders>
              <w:top w:val="nil"/>
              <w:left w:val="nil"/>
              <w:bottom w:val="nil"/>
              <w:right w:val="nil"/>
            </w:tcBorders>
            <w:shd w:val="clear" w:color="auto" w:fill="auto"/>
            <w:noWrap/>
            <w:vAlign w:val="center"/>
          </w:tcPr>
          <w:p w14:paraId="2B8AF7B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2031.22 </w:t>
            </w:r>
          </w:p>
        </w:tc>
        <w:tc>
          <w:tcPr>
            <w:tcW w:w="0" w:type="auto"/>
            <w:tcBorders>
              <w:top w:val="nil"/>
              <w:left w:val="nil"/>
              <w:bottom w:val="nil"/>
              <w:right w:val="nil"/>
            </w:tcBorders>
            <w:shd w:val="clear" w:color="auto" w:fill="auto"/>
            <w:noWrap/>
            <w:vAlign w:val="center"/>
          </w:tcPr>
          <w:p w14:paraId="73642CE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2933.89 </w:t>
            </w:r>
          </w:p>
        </w:tc>
        <w:tc>
          <w:tcPr>
            <w:tcW w:w="0" w:type="auto"/>
            <w:tcBorders>
              <w:top w:val="nil"/>
              <w:left w:val="nil"/>
              <w:bottom w:val="nil"/>
              <w:right w:val="nil"/>
            </w:tcBorders>
            <w:shd w:val="clear" w:color="auto" w:fill="auto"/>
            <w:noWrap/>
            <w:vAlign w:val="center"/>
          </w:tcPr>
          <w:p w14:paraId="5E6E8537">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651966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5665.60 </w:t>
            </w:r>
          </w:p>
        </w:tc>
        <w:tc>
          <w:tcPr>
            <w:tcW w:w="0" w:type="auto"/>
            <w:tcBorders>
              <w:top w:val="nil"/>
              <w:left w:val="nil"/>
              <w:bottom w:val="nil"/>
              <w:right w:val="nil"/>
            </w:tcBorders>
            <w:shd w:val="clear" w:color="auto" w:fill="auto"/>
            <w:noWrap/>
            <w:vAlign w:val="center"/>
          </w:tcPr>
          <w:p w14:paraId="0349B49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4551.00 </w:t>
            </w:r>
          </w:p>
        </w:tc>
        <w:tc>
          <w:tcPr>
            <w:tcW w:w="0" w:type="auto"/>
            <w:tcBorders>
              <w:top w:val="nil"/>
              <w:left w:val="nil"/>
              <w:bottom w:val="nil"/>
              <w:right w:val="nil"/>
            </w:tcBorders>
            <w:shd w:val="clear" w:color="auto" w:fill="auto"/>
            <w:noWrap/>
            <w:vAlign w:val="center"/>
          </w:tcPr>
          <w:p w14:paraId="75EC952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6767.99 </w:t>
            </w:r>
          </w:p>
        </w:tc>
        <w:tc>
          <w:tcPr>
            <w:tcW w:w="0" w:type="auto"/>
            <w:tcBorders>
              <w:top w:val="nil"/>
              <w:left w:val="nil"/>
              <w:bottom w:val="nil"/>
              <w:right w:val="nil"/>
            </w:tcBorders>
            <w:shd w:val="clear" w:color="auto" w:fill="auto"/>
            <w:noWrap/>
            <w:vAlign w:val="center"/>
          </w:tcPr>
          <w:p w14:paraId="522AAF13">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438A72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639.97 </w:t>
            </w:r>
          </w:p>
        </w:tc>
        <w:tc>
          <w:tcPr>
            <w:tcW w:w="0" w:type="auto"/>
            <w:tcBorders>
              <w:top w:val="nil"/>
              <w:left w:val="nil"/>
              <w:bottom w:val="nil"/>
              <w:right w:val="nil"/>
            </w:tcBorders>
            <w:shd w:val="clear" w:color="auto" w:fill="auto"/>
            <w:noWrap/>
            <w:vAlign w:val="center"/>
          </w:tcPr>
          <w:p w14:paraId="434545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519.54 </w:t>
            </w:r>
          </w:p>
        </w:tc>
        <w:tc>
          <w:tcPr>
            <w:tcW w:w="0" w:type="auto"/>
            <w:tcBorders>
              <w:top w:val="nil"/>
              <w:left w:val="nil"/>
              <w:bottom w:val="nil"/>
              <w:right w:val="nil"/>
            </w:tcBorders>
            <w:shd w:val="clear" w:color="auto" w:fill="auto"/>
            <w:noWrap/>
            <w:vAlign w:val="center"/>
          </w:tcPr>
          <w:p w14:paraId="269235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759.89 </w:t>
            </w:r>
          </w:p>
        </w:tc>
      </w:tr>
      <w:tr w14:paraId="25924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tcBorders>
              <w:top w:val="nil"/>
              <w:left w:val="nil"/>
              <w:bottom w:val="nil"/>
              <w:right w:val="nil"/>
            </w:tcBorders>
            <w:shd w:val="clear" w:color="auto" w:fill="auto"/>
            <w:noWrap/>
            <w:vAlign w:val="center"/>
          </w:tcPr>
          <w:p w14:paraId="7B20945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1999</w:t>
            </w:r>
          </w:p>
        </w:tc>
        <w:tc>
          <w:tcPr>
            <w:tcW w:w="0" w:type="auto"/>
            <w:tcBorders>
              <w:top w:val="nil"/>
              <w:left w:val="nil"/>
              <w:bottom w:val="nil"/>
              <w:right w:val="nil"/>
            </w:tcBorders>
            <w:shd w:val="clear" w:color="auto" w:fill="auto"/>
            <w:noWrap/>
            <w:vAlign w:val="center"/>
          </w:tcPr>
          <w:p w14:paraId="41D693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2480.29 </w:t>
            </w:r>
          </w:p>
        </w:tc>
        <w:tc>
          <w:tcPr>
            <w:tcW w:w="0" w:type="auto"/>
            <w:tcBorders>
              <w:top w:val="nil"/>
              <w:left w:val="nil"/>
              <w:bottom w:val="nil"/>
              <w:right w:val="nil"/>
            </w:tcBorders>
            <w:shd w:val="clear" w:color="auto" w:fill="auto"/>
            <w:noWrap/>
            <w:vAlign w:val="center"/>
          </w:tcPr>
          <w:p w14:paraId="666435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2029.97 </w:t>
            </w:r>
          </w:p>
        </w:tc>
        <w:tc>
          <w:tcPr>
            <w:tcW w:w="0" w:type="auto"/>
            <w:tcBorders>
              <w:top w:val="nil"/>
              <w:left w:val="nil"/>
              <w:bottom w:val="nil"/>
              <w:right w:val="nil"/>
            </w:tcBorders>
            <w:shd w:val="clear" w:color="auto" w:fill="auto"/>
            <w:noWrap/>
            <w:vAlign w:val="center"/>
          </w:tcPr>
          <w:p w14:paraId="0099B33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2931.88 </w:t>
            </w:r>
          </w:p>
        </w:tc>
        <w:tc>
          <w:tcPr>
            <w:tcW w:w="0" w:type="auto"/>
            <w:tcBorders>
              <w:top w:val="nil"/>
              <w:left w:val="nil"/>
              <w:bottom w:val="nil"/>
              <w:right w:val="nil"/>
            </w:tcBorders>
            <w:shd w:val="clear" w:color="auto" w:fill="auto"/>
            <w:noWrap/>
            <w:vAlign w:val="center"/>
          </w:tcPr>
          <w:p w14:paraId="4CCB8ABC">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34924F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5662.48 </w:t>
            </w:r>
          </w:p>
        </w:tc>
        <w:tc>
          <w:tcPr>
            <w:tcW w:w="0" w:type="auto"/>
            <w:tcBorders>
              <w:top w:val="nil"/>
              <w:left w:val="nil"/>
              <w:bottom w:val="nil"/>
              <w:right w:val="nil"/>
            </w:tcBorders>
            <w:shd w:val="clear" w:color="auto" w:fill="auto"/>
            <w:noWrap/>
            <w:vAlign w:val="center"/>
          </w:tcPr>
          <w:p w14:paraId="1CE72C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4548.35 </w:t>
            </w:r>
          </w:p>
        </w:tc>
        <w:tc>
          <w:tcPr>
            <w:tcW w:w="0" w:type="auto"/>
            <w:tcBorders>
              <w:top w:val="nil"/>
              <w:left w:val="nil"/>
              <w:bottom w:val="nil"/>
              <w:right w:val="nil"/>
            </w:tcBorders>
            <w:shd w:val="clear" w:color="auto" w:fill="auto"/>
            <w:noWrap/>
            <w:vAlign w:val="center"/>
          </w:tcPr>
          <w:p w14:paraId="005BD4F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6764.85 </w:t>
            </w:r>
          </w:p>
        </w:tc>
        <w:tc>
          <w:tcPr>
            <w:tcW w:w="0" w:type="auto"/>
            <w:tcBorders>
              <w:top w:val="nil"/>
              <w:left w:val="nil"/>
              <w:bottom w:val="nil"/>
              <w:right w:val="nil"/>
            </w:tcBorders>
            <w:shd w:val="clear" w:color="auto" w:fill="auto"/>
            <w:noWrap/>
            <w:vAlign w:val="center"/>
          </w:tcPr>
          <w:p w14:paraId="1747BB8B">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4B15F7B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639.54 </w:t>
            </w:r>
          </w:p>
        </w:tc>
        <w:tc>
          <w:tcPr>
            <w:tcW w:w="0" w:type="auto"/>
            <w:tcBorders>
              <w:top w:val="nil"/>
              <w:left w:val="nil"/>
              <w:bottom w:val="nil"/>
              <w:right w:val="nil"/>
            </w:tcBorders>
            <w:shd w:val="clear" w:color="auto" w:fill="auto"/>
            <w:noWrap/>
            <w:vAlign w:val="center"/>
          </w:tcPr>
          <w:p w14:paraId="2F5F214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519.25 </w:t>
            </w:r>
          </w:p>
        </w:tc>
        <w:tc>
          <w:tcPr>
            <w:tcW w:w="0" w:type="auto"/>
            <w:tcBorders>
              <w:top w:val="nil"/>
              <w:left w:val="nil"/>
              <w:bottom w:val="nil"/>
              <w:right w:val="nil"/>
            </w:tcBorders>
            <w:shd w:val="clear" w:color="auto" w:fill="auto"/>
            <w:noWrap/>
            <w:vAlign w:val="center"/>
          </w:tcPr>
          <w:p w14:paraId="6C1766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759.36 </w:t>
            </w:r>
          </w:p>
        </w:tc>
      </w:tr>
      <w:tr w14:paraId="77F75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tcBorders>
              <w:top w:val="nil"/>
              <w:left w:val="nil"/>
              <w:bottom w:val="nil"/>
              <w:right w:val="nil"/>
            </w:tcBorders>
            <w:shd w:val="clear" w:color="auto" w:fill="auto"/>
            <w:noWrap/>
            <w:vAlign w:val="center"/>
          </w:tcPr>
          <w:p w14:paraId="3E4F21A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2000</w:t>
            </w:r>
          </w:p>
        </w:tc>
        <w:tc>
          <w:tcPr>
            <w:tcW w:w="0" w:type="auto"/>
            <w:tcBorders>
              <w:top w:val="nil"/>
              <w:left w:val="nil"/>
              <w:bottom w:val="nil"/>
              <w:right w:val="nil"/>
            </w:tcBorders>
            <w:shd w:val="clear" w:color="auto" w:fill="auto"/>
            <w:noWrap/>
            <w:vAlign w:val="center"/>
          </w:tcPr>
          <w:p w14:paraId="63A8E6E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2477.60 </w:t>
            </w:r>
          </w:p>
        </w:tc>
        <w:tc>
          <w:tcPr>
            <w:tcW w:w="0" w:type="auto"/>
            <w:tcBorders>
              <w:top w:val="nil"/>
              <w:left w:val="nil"/>
              <w:bottom w:val="nil"/>
              <w:right w:val="nil"/>
            </w:tcBorders>
            <w:shd w:val="clear" w:color="auto" w:fill="auto"/>
            <w:noWrap/>
            <w:vAlign w:val="center"/>
          </w:tcPr>
          <w:p w14:paraId="77D7A4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2027.73 </w:t>
            </w:r>
          </w:p>
        </w:tc>
        <w:tc>
          <w:tcPr>
            <w:tcW w:w="0" w:type="auto"/>
            <w:tcBorders>
              <w:top w:val="nil"/>
              <w:left w:val="nil"/>
              <w:bottom w:val="nil"/>
              <w:right w:val="nil"/>
            </w:tcBorders>
            <w:shd w:val="clear" w:color="auto" w:fill="auto"/>
            <w:noWrap/>
            <w:vAlign w:val="center"/>
          </w:tcPr>
          <w:p w14:paraId="2A07FFA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2928.64 </w:t>
            </w:r>
          </w:p>
        </w:tc>
        <w:tc>
          <w:tcPr>
            <w:tcW w:w="0" w:type="auto"/>
            <w:tcBorders>
              <w:top w:val="nil"/>
              <w:left w:val="nil"/>
              <w:bottom w:val="nil"/>
              <w:right w:val="nil"/>
            </w:tcBorders>
            <w:shd w:val="clear" w:color="auto" w:fill="auto"/>
            <w:noWrap/>
            <w:vAlign w:val="center"/>
          </w:tcPr>
          <w:p w14:paraId="73C60C1E">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0D528C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5656.91 </w:t>
            </w:r>
          </w:p>
        </w:tc>
        <w:tc>
          <w:tcPr>
            <w:tcW w:w="0" w:type="auto"/>
            <w:tcBorders>
              <w:top w:val="nil"/>
              <w:left w:val="nil"/>
              <w:bottom w:val="nil"/>
              <w:right w:val="nil"/>
            </w:tcBorders>
            <w:shd w:val="clear" w:color="auto" w:fill="auto"/>
            <w:noWrap/>
            <w:vAlign w:val="center"/>
          </w:tcPr>
          <w:p w14:paraId="4112AD3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4543.52 </w:t>
            </w:r>
          </w:p>
        </w:tc>
        <w:tc>
          <w:tcPr>
            <w:tcW w:w="0" w:type="auto"/>
            <w:tcBorders>
              <w:top w:val="nil"/>
              <w:left w:val="nil"/>
              <w:bottom w:val="nil"/>
              <w:right w:val="nil"/>
            </w:tcBorders>
            <w:shd w:val="clear" w:color="auto" w:fill="auto"/>
            <w:noWrap/>
            <w:vAlign w:val="center"/>
          </w:tcPr>
          <w:p w14:paraId="62A190F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6758.15 </w:t>
            </w:r>
          </w:p>
        </w:tc>
        <w:tc>
          <w:tcPr>
            <w:tcW w:w="0" w:type="auto"/>
            <w:tcBorders>
              <w:top w:val="nil"/>
              <w:left w:val="nil"/>
              <w:bottom w:val="nil"/>
              <w:right w:val="nil"/>
            </w:tcBorders>
            <w:shd w:val="clear" w:color="auto" w:fill="auto"/>
            <w:noWrap/>
            <w:vAlign w:val="center"/>
          </w:tcPr>
          <w:p w14:paraId="4C42EDB6">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3A7BA41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639.05 </w:t>
            </w:r>
          </w:p>
        </w:tc>
        <w:tc>
          <w:tcPr>
            <w:tcW w:w="0" w:type="auto"/>
            <w:tcBorders>
              <w:top w:val="nil"/>
              <w:left w:val="nil"/>
              <w:bottom w:val="nil"/>
              <w:right w:val="nil"/>
            </w:tcBorders>
            <w:shd w:val="clear" w:color="auto" w:fill="auto"/>
            <w:noWrap/>
            <w:vAlign w:val="center"/>
          </w:tcPr>
          <w:p w14:paraId="222A221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518.76 </w:t>
            </w:r>
          </w:p>
        </w:tc>
        <w:tc>
          <w:tcPr>
            <w:tcW w:w="0" w:type="auto"/>
            <w:tcBorders>
              <w:top w:val="nil"/>
              <w:left w:val="nil"/>
              <w:bottom w:val="nil"/>
              <w:right w:val="nil"/>
            </w:tcBorders>
            <w:shd w:val="clear" w:color="auto" w:fill="auto"/>
            <w:noWrap/>
            <w:vAlign w:val="center"/>
          </w:tcPr>
          <w:p w14:paraId="5BA540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758.82 </w:t>
            </w:r>
          </w:p>
        </w:tc>
      </w:tr>
      <w:tr w14:paraId="40AD9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tcBorders>
              <w:top w:val="nil"/>
              <w:left w:val="nil"/>
              <w:bottom w:val="nil"/>
              <w:right w:val="nil"/>
            </w:tcBorders>
            <w:shd w:val="clear" w:color="auto" w:fill="auto"/>
            <w:noWrap/>
            <w:vAlign w:val="center"/>
          </w:tcPr>
          <w:p w14:paraId="3D19215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2001</w:t>
            </w:r>
          </w:p>
        </w:tc>
        <w:tc>
          <w:tcPr>
            <w:tcW w:w="0" w:type="auto"/>
            <w:tcBorders>
              <w:top w:val="nil"/>
              <w:left w:val="nil"/>
              <w:bottom w:val="nil"/>
              <w:right w:val="nil"/>
            </w:tcBorders>
            <w:shd w:val="clear" w:color="auto" w:fill="auto"/>
            <w:noWrap/>
            <w:vAlign w:val="center"/>
          </w:tcPr>
          <w:p w14:paraId="20B467E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2471.20 </w:t>
            </w:r>
          </w:p>
        </w:tc>
        <w:tc>
          <w:tcPr>
            <w:tcW w:w="0" w:type="auto"/>
            <w:tcBorders>
              <w:top w:val="nil"/>
              <w:left w:val="nil"/>
              <w:bottom w:val="nil"/>
              <w:right w:val="nil"/>
            </w:tcBorders>
            <w:shd w:val="clear" w:color="auto" w:fill="auto"/>
            <w:noWrap/>
            <w:vAlign w:val="center"/>
          </w:tcPr>
          <w:p w14:paraId="5B35655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2022.00 </w:t>
            </w:r>
          </w:p>
        </w:tc>
        <w:tc>
          <w:tcPr>
            <w:tcW w:w="0" w:type="auto"/>
            <w:tcBorders>
              <w:top w:val="nil"/>
              <w:left w:val="nil"/>
              <w:bottom w:val="nil"/>
              <w:right w:val="nil"/>
            </w:tcBorders>
            <w:shd w:val="clear" w:color="auto" w:fill="auto"/>
            <w:noWrap/>
            <w:vAlign w:val="center"/>
          </w:tcPr>
          <w:p w14:paraId="6AD406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2921.21 </w:t>
            </w:r>
          </w:p>
        </w:tc>
        <w:tc>
          <w:tcPr>
            <w:tcW w:w="0" w:type="auto"/>
            <w:tcBorders>
              <w:top w:val="nil"/>
              <w:left w:val="nil"/>
              <w:bottom w:val="nil"/>
              <w:right w:val="nil"/>
            </w:tcBorders>
            <w:shd w:val="clear" w:color="auto" w:fill="auto"/>
            <w:noWrap/>
            <w:vAlign w:val="center"/>
          </w:tcPr>
          <w:p w14:paraId="673F04CE">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53088F9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5642.16 </w:t>
            </w:r>
          </w:p>
        </w:tc>
        <w:tc>
          <w:tcPr>
            <w:tcW w:w="0" w:type="auto"/>
            <w:tcBorders>
              <w:top w:val="nil"/>
              <w:left w:val="nil"/>
              <w:bottom w:val="nil"/>
              <w:right w:val="nil"/>
            </w:tcBorders>
            <w:shd w:val="clear" w:color="auto" w:fill="auto"/>
            <w:noWrap/>
            <w:vAlign w:val="center"/>
          </w:tcPr>
          <w:p w14:paraId="0AF697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4531.00 </w:t>
            </w:r>
          </w:p>
        </w:tc>
        <w:tc>
          <w:tcPr>
            <w:tcW w:w="0" w:type="auto"/>
            <w:tcBorders>
              <w:top w:val="nil"/>
              <w:left w:val="nil"/>
              <w:bottom w:val="nil"/>
              <w:right w:val="nil"/>
            </w:tcBorders>
            <w:shd w:val="clear" w:color="auto" w:fill="auto"/>
            <w:noWrap/>
            <w:vAlign w:val="center"/>
          </w:tcPr>
          <w:p w14:paraId="23198E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6740.15 </w:t>
            </w:r>
          </w:p>
        </w:tc>
        <w:tc>
          <w:tcPr>
            <w:tcW w:w="0" w:type="auto"/>
            <w:tcBorders>
              <w:top w:val="nil"/>
              <w:left w:val="nil"/>
              <w:bottom w:val="nil"/>
              <w:right w:val="nil"/>
            </w:tcBorders>
            <w:shd w:val="clear" w:color="auto" w:fill="auto"/>
            <w:noWrap/>
            <w:vAlign w:val="center"/>
          </w:tcPr>
          <w:p w14:paraId="498394E6">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2E2B8C9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637.33 </w:t>
            </w:r>
          </w:p>
        </w:tc>
        <w:tc>
          <w:tcPr>
            <w:tcW w:w="0" w:type="auto"/>
            <w:tcBorders>
              <w:top w:val="nil"/>
              <w:left w:val="nil"/>
              <w:bottom w:val="nil"/>
              <w:right w:val="nil"/>
            </w:tcBorders>
            <w:shd w:val="clear" w:color="auto" w:fill="auto"/>
            <w:noWrap/>
            <w:vAlign w:val="center"/>
          </w:tcPr>
          <w:p w14:paraId="522846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517.31 </w:t>
            </w:r>
          </w:p>
        </w:tc>
        <w:tc>
          <w:tcPr>
            <w:tcW w:w="0" w:type="auto"/>
            <w:tcBorders>
              <w:top w:val="nil"/>
              <w:left w:val="nil"/>
              <w:bottom w:val="nil"/>
              <w:right w:val="nil"/>
            </w:tcBorders>
            <w:shd w:val="clear" w:color="auto" w:fill="auto"/>
            <w:noWrap/>
            <w:vAlign w:val="center"/>
          </w:tcPr>
          <w:p w14:paraId="275FD1E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756.70 </w:t>
            </w:r>
          </w:p>
        </w:tc>
      </w:tr>
      <w:tr w14:paraId="65609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tcBorders>
              <w:top w:val="nil"/>
              <w:left w:val="nil"/>
              <w:bottom w:val="nil"/>
              <w:right w:val="nil"/>
            </w:tcBorders>
            <w:shd w:val="clear" w:color="auto" w:fill="auto"/>
            <w:noWrap/>
            <w:vAlign w:val="center"/>
          </w:tcPr>
          <w:p w14:paraId="249533E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2002</w:t>
            </w:r>
          </w:p>
        </w:tc>
        <w:tc>
          <w:tcPr>
            <w:tcW w:w="0" w:type="auto"/>
            <w:tcBorders>
              <w:top w:val="nil"/>
              <w:left w:val="nil"/>
              <w:bottom w:val="nil"/>
              <w:right w:val="nil"/>
            </w:tcBorders>
            <w:shd w:val="clear" w:color="auto" w:fill="auto"/>
            <w:noWrap/>
            <w:vAlign w:val="center"/>
          </w:tcPr>
          <w:p w14:paraId="7ABEA3E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2460.42 </w:t>
            </w:r>
          </w:p>
        </w:tc>
        <w:tc>
          <w:tcPr>
            <w:tcW w:w="0" w:type="auto"/>
            <w:tcBorders>
              <w:top w:val="nil"/>
              <w:left w:val="nil"/>
              <w:bottom w:val="nil"/>
              <w:right w:val="nil"/>
            </w:tcBorders>
            <w:shd w:val="clear" w:color="auto" w:fill="auto"/>
            <w:noWrap/>
            <w:vAlign w:val="center"/>
          </w:tcPr>
          <w:p w14:paraId="5517D39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2012.18 </w:t>
            </w:r>
          </w:p>
        </w:tc>
        <w:tc>
          <w:tcPr>
            <w:tcW w:w="0" w:type="auto"/>
            <w:tcBorders>
              <w:top w:val="nil"/>
              <w:left w:val="nil"/>
              <w:bottom w:val="nil"/>
              <w:right w:val="nil"/>
            </w:tcBorders>
            <w:shd w:val="clear" w:color="auto" w:fill="auto"/>
            <w:noWrap/>
            <w:vAlign w:val="center"/>
          </w:tcPr>
          <w:p w14:paraId="682352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2909.13 </w:t>
            </w:r>
          </w:p>
        </w:tc>
        <w:tc>
          <w:tcPr>
            <w:tcW w:w="0" w:type="auto"/>
            <w:tcBorders>
              <w:top w:val="nil"/>
              <w:left w:val="nil"/>
              <w:bottom w:val="nil"/>
              <w:right w:val="nil"/>
            </w:tcBorders>
            <w:shd w:val="clear" w:color="auto" w:fill="auto"/>
            <w:noWrap/>
            <w:vAlign w:val="center"/>
          </w:tcPr>
          <w:p w14:paraId="043DB62B">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77B5C11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5616.51 </w:t>
            </w:r>
          </w:p>
        </w:tc>
        <w:tc>
          <w:tcPr>
            <w:tcW w:w="0" w:type="auto"/>
            <w:tcBorders>
              <w:top w:val="nil"/>
              <w:left w:val="nil"/>
              <w:bottom w:val="nil"/>
              <w:right w:val="nil"/>
            </w:tcBorders>
            <w:shd w:val="clear" w:color="auto" w:fill="auto"/>
            <w:noWrap/>
            <w:vAlign w:val="center"/>
          </w:tcPr>
          <w:p w14:paraId="07ED965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4509.44 </w:t>
            </w:r>
          </w:p>
        </w:tc>
        <w:tc>
          <w:tcPr>
            <w:tcW w:w="0" w:type="auto"/>
            <w:tcBorders>
              <w:top w:val="nil"/>
              <w:left w:val="nil"/>
              <w:bottom w:val="nil"/>
              <w:right w:val="nil"/>
            </w:tcBorders>
            <w:shd w:val="clear" w:color="auto" w:fill="auto"/>
            <w:noWrap/>
            <w:vAlign w:val="center"/>
          </w:tcPr>
          <w:p w14:paraId="5E5EFF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6709.48 </w:t>
            </w:r>
          </w:p>
        </w:tc>
        <w:tc>
          <w:tcPr>
            <w:tcW w:w="0" w:type="auto"/>
            <w:tcBorders>
              <w:top w:val="nil"/>
              <w:left w:val="nil"/>
              <w:bottom w:val="nil"/>
              <w:right w:val="nil"/>
            </w:tcBorders>
            <w:shd w:val="clear" w:color="auto" w:fill="auto"/>
            <w:noWrap/>
            <w:vAlign w:val="center"/>
          </w:tcPr>
          <w:p w14:paraId="396B6ACC">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4F54E1E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634.58 </w:t>
            </w:r>
          </w:p>
        </w:tc>
        <w:tc>
          <w:tcPr>
            <w:tcW w:w="0" w:type="auto"/>
            <w:tcBorders>
              <w:top w:val="nil"/>
              <w:left w:val="nil"/>
              <w:bottom w:val="nil"/>
              <w:right w:val="nil"/>
            </w:tcBorders>
            <w:shd w:val="clear" w:color="auto" w:fill="auto"/>
            <w:noWrap/>
            <w:vAlign w:val="center"/>
          </w:tcPr>
          <w:p w14:paraId="38228A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514.96 </w:t>
            </w:r>
          </w:p>
        </w:tc>
        <w:tc>
          <w:tcPr>
            <w:tcW w:w="0" w:type="auto"/>
            <w:tcBorders>
              <w:top w:val="nil"/>
              <w:left w:val="nil"/>
              <w:bottom w:val="nil"/>
              <w:right w:val="nil"/>
            </w:tcBorders>
            <w:shd w:val="clear" w:color="auto" w:fill="auto"/>
            <w:noWrap/>
            <w:vAlign w:val="center"/>
          </w:tcPr>
          <w:p w14:paraId="5AFFD6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753.45 </w:t>
            </w:r>
          </w:p>
        </w:tc>
      </w:tr>
      <w:tr w14:paraId="0B9D3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tcBorders>
              <w:top w:val="nil"/>
              <w:left w:val="nil"/>
              <w:bottom w:val="nil"/>
              <w:right w:val="nil"/>
            </w:tcBorders>
            <w:shd w:val="clear" w:color="auto" w:fill="auto"/>
            <w:noWrap/>
            <w:vAlign w:val="center"/>
          </w:tcPr>
          <w:p w14:paraId="7220F1B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2003</w:t>
            </w:r>
          </w:p>
        </w:tc>
        <w:tc>
          <w:tcPr>
            <w:tcW w:w="0" w:type="auto"/>
            <w:tcBorders>
              <w:top w:val="nil"/>
              <w:left w:val="nil"/>
              <w:bottom w:val="nil"/>
              <w:right w:val="nil"/>
            </w:tcBorders>
            <w:shd w:val="clear" w:color="auto" w:fill="auto"/>
            <w:noWrap/>
            <w:vAlign w:val="center"/>
          </w:tcPr>
          <w:p w14:paraId="61B2D3A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2447.35 </w:t>
            </w:r>
          </w:p>
        </w:tc>
        <w:tc>
          <w:tcPr>
            <w:tcW w:w="0" w:type="auto"/>
            <w:tcBorders>
              <w:top w:val="nil"/>
              <w:left w:val="nil"/>
              <w:bottom w:val="nil"/>
              <w:right w:val="nil"/>
            </w:tcBorders>
            <w:shd w:val="clear" w:color="auto" w:fill="auto"/>
            <w:noWrap/>
            <w:vAlign w:val="center"/>
          </w:tcPr>
          <w:p w14:paraId="5E83E1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2000.18 </w:t>
            </w:r>
          </w:p>
        </w:tc>
        <w:tc>
          <w:tcPr>
            <w:tcW w:w="0" w:type="auto"/>
            <w:tcBorders>
              <w:top w:val="nil"/>
              <w:left w:val="nil"/>
              <w:bottom w:val="nil"/>
              <w:right w:val="nil"/>
            </w:tcBorders>
            <w:shd w:val="clear" w:color="auto" w:fill="auto"/>
            <w:noWrap/>
            <w:vAlign w:val="center"/>
          </w:tcPr>
          <w:p w14:paraId="53E247C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2894.65 </w:t>
            </w:r>
          </w:p>
        </w:tc>
        <w:tc>
          <w:tcPr>
            <w:tcW w:w="0" w:type="auto"/>
            <w:tcBorders>
              <w:top w:val="nil"/>
              <w:left w:val="nil"/>
              <w:bottom w:val="nil"/>
              <w:right w:val="nil"/>
            </w:tcBorders>
            <w:shd w:val="clear" w:color="auto" w:fill="auto"/>
            <w:noWrap/>
            <w:vAlign w:val="center"/>
          </w:tcPr>
          <w:p w14:paraId="7E4E618B">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43F02F5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5585.07 </w:t>
            </w:r>
          </w:p>
        </w:tc>
        <w:tc>
          <w:tcPr>
            <w:tcW w:w="0" w:type="auto"/>
            <w:tcBorders>
              <w:top w:val="nil"/>
              <w:left w:val="nil"/>
              <w:bottom w:val="nil"/>
              <w:right w:val="nil"/>
            </w:tcBorders>
            <w:shd w:val="clear" w:color="auto" w:fill="auto"/>
            <w:noWrap/>
            <w:vAlign w:val="center"/>
          </w:tcPr>
          <w:p w14:paraId="6557FFA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4483.09 </w:t>
            </w:r>
          </w:p>
        </w:tc>
        <w:tc>
          <w:tcPr>
            <w:tcW w:w="0" w:type="auto"/>
            <w:tcBorders>
              <w:top w:val="nil"/>
              <w:left w:val="nil"/>
              <w:bottom w:val="nil"/>
              <w:right w:val="nil"/>
            </w:tcBorders>
            <w:shd w:val="clear" w:color="auto" w:fill="auto"/>
            <w:noWrap/>
            <w:vAlign w:val="center"/>
          </w:tcPr>
          <w:p w14:paraId="57F6D03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6672.07 </w:t>
            </w:r>
          </w:p>
        </w:tc>
        <w:tc>
          <w:tcPr>
            <w:tcW w:w="0" w:type="auto"/>
            <w:tcBorders>
              <w:top w:val="nil"/>
              <w:left w:val="nil"/>
              <w:bottom w:val="nil"/>
              <w:right w:val="nil"/>
            </w:tcBorders>
            <w:shd w:val="clear" w:color="auto" w:fill="auto"/>
            <w:noWrap/>
            <w:vAlign w:val="center"/>
          </w:tcPr>
          <w:p w14:paraId="413E2A0E">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0352A82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631.13 </w:t>
            </w:r>
          </w:p>
        </w:tc>
        <w:tc>
          <w:tcPr>
            <w:tcW w:w="0" w:type="auto"/>
            <w:tcBorders>
              <w:top w:val="nil"/>
              <w:left w:val="nil"/>
              <w:bottom w:val="nil"/>
              <w:right w:val="nil"/>
            </w:tcBorders>
            <w:shd w:val="clear" w:color="auto" w:fill="auto"/>
            <w:noWrap/>
            <w:vAlign w:val="center"/>
          </w:tcPr>
          <w:p w14:paraId="09B660A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512.05 </w:t>
            </w:r>
          </w:p>
        </w:tc>
        <w:tc>
          <w:tcPr>
            <w:tcW w:w="0" w:type="auto"/>
            <w:tcBorders>
              <w:top w:val="nil"/>
              <w:left w:val="nil"/>
              <w:bottom w:val="nil"/>
              <w:right w:val="nil"/>
            </w:tcBorders>
            <w:shd w:val="clear" w:color="auto" w:fill="auto"/>
            <w:noWrap/>
            <w:vAlign w:val="center"/>
          </w:tcPr>
          <w:p w14:paraId="28CC81D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749.35 </w:t>
            </w:r>
          </w:p>
        </w:tc>
      </w:tr>
      <w:tr w14:paraId="0A8C6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tcBorders>
              <w:top w:val="nil"/>
              <w:left w:val="nil"/>
              <w:bottom w:val="nil"/>
              <w:right w:val="nil"/>
            </w:tcBorders>
            <w:shd w:val="clear" w:color="auto" w:fill="auto"/>
            <w:noWrap/>
            <w:vAlign w:val="center"/>
          </w:tcPr>
          <w:p w14:paraId="713065D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2004</w:t>
            </w:r>
          </w:p>
        </w:tc>
        <w:tc>
          <w:tcPr>
            <w:tcW w:w="0" w:type="auto"/>
            <w:tcBorders>
              <w:top w:val="nil"/>
              <w:left w:val="nil"/>
              <w:bottom w:val="nil"/>
              <w:right w:val="nil"/>
            </w:tcBorders>
            <w:shd w:val="clear" w:color="auto" w:fill="auto"/>
            <w:noWrap/>
            <w:vAlign w:val="center"/>
          </w:tcPr>
          <w:p w14:paraId="5878818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2434.11 </w:t>
            </w:r>
          </w:p>
        </w:tc>
        <w:tc>
          <w:tcPr>
            <w:tcW w:w="0" w:type="auto"/>
            <w:tcBorders>
              <w:top w:val="nil"/>
              <w:left w:val="nil"/>
              <w:bottom w:val="nil"/>
              <w:right w:val="nil"/>
            </w:tcBorders>
            <w:shd w:val="clear" w:color="auto" w:fill="auto"/>
            <w:noWrap/>
            <w:vAlign w:val="center"/>
          </w:tcPr>
          <w:p w14:paraId="4D1166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1987.85 </w:t>
            </w:r>
          </w:p>
        </w:tc>
        <w:tc>
          <w:tcPr>
            <w:tcW w:w="0" w:type="auto"/>
            <w:tcBorders>
              <w:top w:val="nil"/>
              <w:left w:val="nil"/>
              <w:bottom w:val="nil"/>
              <w:right w:val="nil"/>
            </w:tcBorders>
            <w:shd w:val="clear" w:color="auto" w:fill="auto"/>
            <w:noWrap/>
            <w:vAlign w:val="center"/>
          </w:tcPr>
          <w:p w14:paraId="691AB64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2880.03 </w:t>
            </w:r>
          </w:p>
        </w:tc>
        <w:tc>
          <w:tcPr>
            <w:tcW w:w="0" w:type="auto"/>
            <w:tcBorders>
              <w:top w:val="nil"/>
              <w:left w:val="nil"/>
              <w:bottom w:val="nil"/>
              <w:right w:val="nil"/>
            </w:tcBorders>
            <w:shd w:val="clear" w:color="auto" w:fill="auto"/>
            <w:noWrap/>
            <w:vAlign w:val="center"/>
          </w:tcPr>
          <w:p w14:paraId="7D3D30D6">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6A9F1C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5553.08 </w:t>
            </w:r>
          </w:p>
        </w:tc>
        <w:tc>
          <w:tcPr>
            <w:tcW w:w="0" w:type="auto"/>
            <w:tcBorders>
              <w:top w:val="nil"/>
              <w:left w:val="nil"/>
              <w:bottom w:val="nil"/>
              <w:right w:val="nil"/>
            </w:tcBorders>
            <w:shd w:val="clear" w:color="auto" w:fill="auto"/>
            <w:noWrap/>
            <w:vAlign w:val="center"/>
          </w:tcPr>
          <w:p w14:paraId="45E441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4456.04 </w:t>
            </w:r>
          </w:p>
        </w:tc>
        <w:tc>
          <w:tcPr>
            <w:tcW w:w="0" w:type="auto"/>
            <w:tcBorders>
              <w:top w:val="nil"/>
              <w:left w:val="nil"/>
              <w:bottom w:val="nil"/>
              <w:right w:val="nil"/>
            </w:tcBorders>
            <w:shd w:val="clear" w:color="auto" w:fill="auto"/>
            <w:noWrap/>
            <w:vAlign w:val="center"/>
          </w:tcPr>
          <w:p w14:paraId="012DE6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6633.95 </w:t>
            </w:r>
          </w:p>
        </w:tc>
        <w:tc>
          <w:tcPr>
            <w:tcW w:w="0" w:type="auto"/>
            <w:tcBorders>
              <w:top w:val="nil"/>
              <w:left w:val="nil"/>
              <w:bottom w:val="nil"/>
              <w:right w:val="nil"/>
            </w:tcBorders>
            <w:shd w:val="clear" w:color="auto" w:fill="auto"/>
            <w:noWrap/>
            <w:vAlign w:val="center"/>
          </w:tcPr>
          <w:p w14:paraId="6D1B30F3">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7D1D56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627.52 </w:t>
            </w:r>
          </w:p>
        </w:tc>
        <w:tc>
          <w:tcPr>
            <w:tcW w:w="0" w:type="auto"/>
            <w:tcBorders>
              <w:top w:val="nil"/>
              <w:left w:val="nil"/>
              <w:bottom w:val="nil"/>
              <w:right w:val="nil"/>
            </w:tcBorders>
            <w:shd w:val="clear" w:color="auto" w:fill="auto"/>
            <w:noWrap/>
            <w:vAlign w:val="center"/>
          </w:tcPr>
          <w:p w14:paraId="6B3B134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508.91 </w:t>
            </w:r>
          </w:p>
        </w:tc>
        <w:tc>
          <w:tcPr>
            <w:tcW w:w="0" w:type="auto"/>
            <w:tcBorders>
              <w:top w:val="nil"/>
              <w:left w:val="nil"/>
              <w:bottom w:val="nil"/>
              <w:right w:val="nil"/>
            </w:tcBorders>
            <w:shd w:val="clear" w:color="auto" w:fill="auto"/>
            <w:noWrap/>
            <w:vAlign w:val="center"/>
          </w:tcPr>
          <w:p w14:paraId="561CC52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745.14 </w:t>
            </w:r>
          </w:p>
        </w:tc>
      </w:tr>
      <w:tr w14:paraId="1ACBE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tcBorders>
              <w:top w:val="nil"/>
              <w:left w:val="nil"/>
              <w:bottom w:val="nil"/>
              <w:right w:val="nil"/>
            </w:tcBorders>
            <w:shd w:val="clear" w:color="auto" w:fill="auto"/>
            <w:noWrap/>
            <w:vAlign w:val="center"/>
          </w:tcPr>
          <w:p w14:paraId="4B61F38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2005</w:t>
            </w:r>
          </w:p>
        </w:tc>
        <w:tc>
          <w:tcPr>
            <w:tcW w:w="0" w:type="auto"/>
            <w:tcBorders>
              <w:top w:val="nil"/>
              <w:left w:val="nil"/>
              <w:bottom w:val="nil"/>
              <w:right w:val="nil"/>
            </w:tcBorders>
            <w:shd w:val="clear" w:color="auto" w:fill="auto"/>
            <w:noWrap/>
            <w:vAlign w:val="center"/>
          </w:tcPr>
          <w:p w14:paraId="3F665F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2422.67 </w:t>
            </w:r>
          </w:p>
        </w:tc>
        <w:tc>
          <w:tcPr>
            <w:tcW w:w="0" w:type="auto"/>
            <w:tcBorders>
              <w:top w:val="nil"/>
              <w:left w:val="nil"/>
              <w:bottom w:val="nil"/>
              <w:right w:val="nil"/>
            </w:tcBorders>
            <w:shd w:val="clear" w:color="auto" w:fill="auto"/>
            <w:noWrap/>
            <w:vAlign w:val="center"/>
          </w:tcPr>
          <w:p w14:paraId="33DE92C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1976.96 </w:t>
            </w:r>
          </w:p>
        </w:tc>
        <w:tc>
          <w:tcPr>
            <w:tcW w:w="0" w:type="auto"/>
            <w:tcBorders>
              <w:top w:val="nil"/>
              <w:left w:val="nil"/>
              <w:bottom w:val="nil"/>
              <w:right w:val="nil"/>
            </w:tcBorders>
            <w:shd w:val="clear" w:color="auto" w:fill="auto"/>
            <w:noWrap/>
            <w:vAlign w:val="center"/>
          </w:tcPr>
          <w:p w14:paraId="1CBCAF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2867.64 </w:t>
            </w:r>
          </w:p>
        </w:tc>
        <w:tc>
          <w:tcPr>
            <w:tcW w:w="0" w:type="auto"/>
            <w:tcBorders>
              <w:top w:val="nil"/>
              <w:left w:val="nil"/>
              <w:bottom w:val="nil"/>
              <w:right w:val="nil"/>
            </w:tcBorders>
            <w:shd w:val="clear" w:color="auto" w:fill="auto"/>
            <w:noWrap/>
            <w:vAlign w:val="center"/>
          </w:tcPr>
          <w:p w14:paraId="462FD195">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4E81559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5525.44 </w:t>
            </w:r>
          </w:p>
        </w:tc>
        <w:tc>
          <w:tcPr>
            <w:tcW w:w="0" w:type="auto"/>
            <w:tcBorders>
              <w:top w:val="nil"/>
              <w:left w:val="nil"/>
              <w:bottom w:val="nil"/>
              <w:right w:val="nil"/>
            </w:tcBorders>
            <w:shd w:val="clear" w:color="auto" w:fill="auto"/>
            <w:noWrap/>
            <w:vAlign w:val="center"/>
          </w:tcPr>
          <w:p w14:paraId="38CDA1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4432.28 </w:t>
            </w:r>
          </w:p>
        </w:tc>
        <w:tc>
          <w:tcPr>
            <w:tcW w:w="0" w:type="auto"/>
            <w:tcBorders>
              <w:top w:val="nil"/>
              <w:left w:val="nil"/>
              <w:bottom w:val="nil"/>
              <w:right w:val="nil"/>
            </w:tcBorders>
            <w:shd w:val="clear" w:color="auto" w:fill="auto"/>
            <w:noWrap/>
            <w:vAlign w:val="center"/>
          </w:tcPr>
          <w:p w14:paraId="1DC933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6601.30 </w:t>
            </w:r>
          </w:p>
        </w:tc>
        <w:tc>
          <w:tcPr>
            <w:tcW w:w="0" w:type="auto"/>
            <w:tcBorders>
              <w:top w:val="nil"/>
              <w:left w:val="nil"/>
              <w:bottom w:val="nil"/>
              <w:right w:val="nil"/>
            </w:tcBorders>
            <w:shd w:val="clear" w:color="auto" w:fill="auto"/>
            <w:noWrap/>
            <w:vAlign w:val="center"/>
          </w:tcPr>
          <w:p w14:paraId="3CCF4C32">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072333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624.51 </w:t>
            </w:r>
          </w:p>
        </w:tc>
        <w:tc>
          <w:tcPr>
            <w:tcW w:w="0" w:type="auto"/>
            <w:tcBorders>
              <w:top w:val="nil"/>
              <w:left w:val="nil"/>
              <w:bottom w:val="nil"/>
              <w:right w:val="nil"/>
            </w:tcBorders>
            <w:shd w:val="clear" w:color="auto" w:fill="auto"/>
            <w:noWrap/>
            <w:vAlign w:val="center"/>
          </w:tcPr>
          <w:p w14:paraId="28D4911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506.31 </w:t>
            </w:r>
          </w:p>
        </w:tc>
        <w:tc>
          <w:tcPr>
            <w:tcW w:w="0" w:type="auto"/>
            <w:tcBorders>
              <w:top w:val="nil"/>
              <w:left w:val="nil"/>
              <w:bottom w:val="nil"/>
              <w:right w:val="nil"/>
            </w:tcBorders>
            <w:shd w:val="clear" w:color="auto" w:fill="auto"/>
            <w:noWrap/>
            <w:vAlign w:val="center"/>
          </w:tcPr>
          <w:p w14:paraId="5ED3369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741.58 </w:t>
            </w:r>
          </w:p>
        </w:tc>
      </w:tr>
      <w:tr w14:paraId="04942A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tcBorders>
              <w:top w:val="nil"/>
              <w:left w:val="nil"/>
              <w:bottom w:val="nil"/>
              <w:right w:val="nil"/>
            </w:tcBorders>
            <w:shd w:val="clear" w:color="auto" w:fill="auto"/>
            <w:noWrap/>
            <w:vAlign w:val="center"/>
          </w:tcPr>
          <w:p w14:paraId="176C69A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2006</w:t>
            </w:r>
          </w:p>
        </w:tc>
        <w:tc>
          <w:tcPr>
            <w:tcW w:w="0" w:type="auto"/>
            <w:tcBorders>
              <w:top w:val="nil"/>
              <w:left w:val="nil"/>
              <w:bottom w:val="nil"/>
              <w:right w:val="nil"/>
            </w:tcBorders>
            <w:shd w:val="clear" w:color="auto" w:fill="auto"/>
            <w:noWrap/>
            <w:vAlign w:val="center"/>
          </w:tcPr>
          <w:p w14:paraId="3B80DA2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2410.25 </w:t>
            </w:r>
          </w:p>
        </w:tc>
        <w:tc>
          <w:tcPr>
            <w:tcW w:w="0" w:type="auto"/>
            <w:tcBorders>
              <w:top w:val="nil"/>
              <w:left w:val="nil"/>
              <w:bottom w:val="nil"/>
              <w:right w:val="nil"/>
            </w:tcBorders>
            <w:shd w:val="clear" w:color="auto" w:fill="auto"/>
            <w:noWrap/>
            <w:vAlign w:val="center"/>
          </w:tcPr>
          <w:p w14:paraId="4BBB0AE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1965.11 </w:t>
            </w:r>
          </w:p>
        </w:tc>
        <w:tc>
          <w:tcPr>
            <w:tcW w:w="0" w:type="auto"/>
            <w:tcBorders>
              <w:top w:val="nil"/>
              <w:left w:val="nil"/>
              <w:bottom w:val="nil"/>
              <w:right w:val="nil"/>
            </w:tcBorders>
            <w:shd w:val="clear" w:color="auto" w:fill="auto"/>
            <w:noWrap/>
            <w:vAlign w:val="center"/>
          </w:tcPr>
          <w:p w14:paraId="17239F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2854.36 </w:t>
            </w:r>
          </w:p>
        </w:tc>
        <w:tc>
          <w:tcPr>
            <w:tcW w:w="0" w:type="auto"/>
            <w:tcBorders>
              <w:top w:val="nil"/>
              <w:left w:val="nil"/>
              <w:bottom w:val="nil"/>
              <w:right w:val="nil"/>
            </w:tcBorders>
            <w:shd w:val="clear" w:color="auto" w:fill="auto"/>
            <w:noWrap/>
            <w:vAlign w:val="center"/>
          </w:tcPr>
          <w:p w14:paraId="1626B1D8">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598EC01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5495.46 </w:t>
            </w:r>
          </w:p>
        </w:tc>
        <w:tc>
          <w:tcPr>
            <w:tcW w:w="0" w:type="auto"/>
            <w:tcBorders>
              <w:top w:val="nil"/>
              <w:left w:val="nil"/>
              <w:bottom w:val="nil"/>
              <w:right w:val="nil"/>
            </w:tcBorders>
            <w:shd w:val="clear" w:color="auto" w:fill="auto"/>
            <w:noWrap/>
            <w:vAlign w:val="center"/>
          </w:tcPr>
          <w:p w14:paraId="323213A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4406.06 </w:t>
            </w:r>
          </w:p>
        </w:tc>
        <w:tc>
          <w:tcPr>
            <w:tcW w:w="0" w:type="auto"/>
            <w:tcBorders>
              <w:top w:val="nil"/>
              <w:left w:val="nil"/>
              <w:bottom w:val="nil"/>
              <w:right w:val="nil"/>
            </w:tcBorders>
            <w:shd w:val="clear" w:color="auto" w:fill="auto"/>
            <w:noWrap/>
            <w:vAlign w:val="center"/>
          </w:tcPr>
          <w:p w14:paraId="5889D61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6566.85 </w:t>
            </w:r>
          </w:p>
        </w:tc>
        <w:tc>
          <w:tcPr>
            <w:tcW w:w="0" w:type="auto"/>
            <w:tcBorders>
              <w:top w:val="nil"/>
              <w:left w:val="nil"/>
              <w:bottom w:val="nil"/>
              <w:right w:val="nil"/>
            </w:tcBorders>
            <w:shd w:val="clear" w:color="auto" w:fill="auto"/>
            <w:noWrap/>
            <w:vAlign w:val="center"/>
          </w:tcPr>
          <w:p w14:paraId="44E05029">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62B97EE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621.25 </w:t>
            </w:r>
          </w:p>
        </w:tc>
        <w:tc>
          <w:tcPr>
            <w:tcW w:w="0" w:type="auto"/>
            <w:tcBorders>
              <w:top w:val="nil"/>
              <w:left w:val="nil"/>
              <w:bottom w:val="nil"/>
              <w:right w:val="nil"/>
            </w:tcBorders>
            <w:shd w:val="clear" w:color="auto" w:fill="auto"/>
            <w:noWrap/>
            <w:vAlign w:val="center"/>
          </w:tcPr>
          <w:p w14:paraId="02B5DB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503.46 </w:t>
            </w:r>
          </w:p>
        </w:tc>
        <w:tc>
          <w:tcPr>
            <w:tcW w:w="0" w:type="auto"/>
            <w:tcBorders>
              <w:top w:val="nil"/>
              <w:left w:val="nil"/>
              <w:bottom w:val="nil"/>
              <w:right w:val="nil"/>
            </w:tcBorders>
            <w:shd w:val="clear" w:color="auto" w:fill="auto"/>
            <w:noWrap/>
            <w:vAlign w:val="center"/>
          </w:tcPr>
          <w:p w14:paraId="3CD7978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737.83 </w:t>
            </w:r>
          </w:p>
        </w:tc>
      </w:tr>
      <w:tr w14:paraId="0E379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tcBorders>
              <w:top w:val="nil"/>
              <w:left w:val="nil"/>
              <w:bottom w:val="nil"/>
              <w:right w:val="nil"/>
            </w:tcBorders>
            <w:shd w:val="clear" w:color="auto" w:fill="auto"/>
            <w:noWrap/>
            <w:vAlign w:val="center"/>
          </w:tcPr>
          <w:p w14:paraId="2FA4D33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2007</w:t>
            </w:r>
          </w:p>
        </w:tc>
        <w:tc>
          <w:tcPr>
            <w:tcW w:w="0" w:type="auto"/>
            <w:tcBorders>
              <w:top w:val="nil"/>
              <w:left w:val="nil"/>
              <w:bottom w:val="nil"/>
              <w:right w:val="nil"/>
            </w:tcBorders>
            <w:shd w:val="clear" w:color="auto" w:fill="auto"/>
            <w:noWrap/>
            <w:vAlign w:val="center"/>
          </w:tcPr>
          <w:p w14:paraId="4FF446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2394.35</w:t>
            </w:r>
          </w:p>
        </w:tc>
        <w:tc>
          <w:tcPr>
            <w:tcW w:w="0" w:type="auto"/>
            <w:tcBorders>
              <w:top w:val="nil"/>
              <w:left w:val="nil"/>
              <w:bottom w:val="nil"/>
              <w:right w:val="nil"/>
            </w:tcBorders>
            <w:shd w:val="clear" w:color="auto" w:fill="auto"/>
            <w:noWrap/>
            <w:vAlign w:val="center"/>
          </w:tcPr>
          <w:p w14:paraId="0C62CC5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1950.06 </w:t>
            </w:r>
          </w:p>
        </w:tc>
        <w:tc>
          <w:tcPr>
            <w:tcW w:w="0" w:type="auto"/>
            <w:tcBorders>
              <w:top w:val="nil"/>
              <w:left w:val="nil"/>
              <w:bottom w:val="nil"/>
              <w:right w:val="nil"/>
            </w:tcBorders>
            <w:shd w:val="clear" w:color="auto" w:fill="auto"/>
            <w:noWrap/>
            <w:vAlign w:val="center"/>
          </w:tcPr>
          <w:p w14:paraId="4EE8CF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2837.50 </w:t>
            </w:r>
          </w:p>
        </w:tc>
        <w:tc>
          <w:tcPr>
            <w:tcW w:w="0" w:type="auto"/>
            <w:tcBorders>
              <w:top w:val="nil"/>
              <w:left w:val="nil"/>
              <w:bottom w:val="nil"/>
              <w:right w:val="nil"/>
            </w:tcBorders>
            <w:shd w:val="clear" w:color="auto" w:fill="auto"/>
            <w:noWrap/>
            <w:vAlign w:val="center"/>
          </w:tcPr>
          <w:p w14:paraId="3B32BB49">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14EFACD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5457.29 </w:t>
            </w:r>
          </w:p>
        </w:tc>
        <w:tc>
          <w:tcPr>
            <w:tcW w:w="0" w:type="auto"/>
            <w:tcBorders>
              <w:top w:val="nil"/>
              <w:left w:val="nil"/>
              <w:bottom w:val="nil"/>
              <w:right w:val="nil"/>
            </w:tcBorders>
            <w:shd w:val="clear" w:color="auto" w:fill="auto"/>
            <w:noWrap/>
            <w:vAlign w:val="center"/>
          </w:tcPr>
          <w:p w14:paraId="6B9B56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4372.42 </w:t>
            </w:r>
          </w:p>
        </w:tc>
        <w:tc>
          <w:tcPr>
            <w:tcW w:w="0" w:type="auto"/>
            <w:tcBorders>
              <w:top w:val="nil"/>
              <w:left w:val="nil"/>
              <w:bottom w:val="nil"/>
              <w:right w:val="nil"/>
            </w:tcBorders>
            <w:shd w:val="clear" w:color="auto" w:fill="auto"/>
            <w:noWrap/>
            <w:vAlign w:val="center"/>
          </w:tcPr>
          <w:p w14:paraId="046D36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6524.00 </w:t>
            </w:r>
          </w:p>
        </w:tc>
        <w:tc>
          <w:tcPr>
            <w:tcW w:w="0" w:type="auto"/>
            <w:tcBorders>
              <w:top w:val="nil"/>
              <w:left w:val="nil"/>
              <w:bottom w:val="nil"/>
              <w:right w:val="nil"/>
            </w:tcBorders>
            <w:shd w:val="clear" w:color="auto" w:fill="auto"/>
            <w:noWrap/>
            <w:vAlign w:val="center"/>
          </w:tcPr>
          <w:p w14:paraId="18F56FFF">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7E177F7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617.04 </w:t>
            </w:r>
          </w:p>
        </w:tc>
        <w:tc>
          <w:tcPr>
            <w:tcW w:w="0" w:type="auto"/>
            <w:tcBorders>
              <w:top w:val="nil"/>
              <w:left w:val="nil"/>
              <w:bottom w:val="nil"/>
              <w:right w:val="nil"/>
            </w:tcBorders>
            <w:shd w:val="clear" w:color="auto" w:fill="auto"/>
            <w:noWrap/>
            <w:vAlign w:val="center"/>
          </w:tcPr>
          <w:p w14:paraId="53EB2F6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499.57 </w:t>
            </w:r>
          </w:p>
        </w:tc>
        <w:tc>
          <w:tcPr>
            <w:tcW w:w="0" w:type="auto"/>
            <w:tcBorders>
              <w:top w:val="nil"/>
              <w:left w:val="nil"/>
              <w:bottom w:val="nil"/>
              <w:right w:val="nil"/>
            </w:tcBorders>
            <w:shd w:val="clear" w:color="auto" w:fill="auto"/>
            <w:noWrap/>
            <w:vAlign w:val="center"/>
          </w:tcPr>
          <w:p w14:paraId="665A5B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733.26 </w:t>
            </w:r>
          </w:p>
        </w:tc>
      </w:tr>
      <w:tr w14:paraId="3AA9A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tcBorders>
              <w:top w:val="nil"/>
              <w:left w:val="nil"/>
              <w:bottom w:val="nil"/>
              <w:right w:val="nil"/>
            </w:tcBorders>
            <w:shd w:val="clear" w:color="auto" w:fill="auto"/>
            <w:noWrap/>
            <w:vAlign w:val="center"/>
          </w:tcPr>
          <w:p w14:paraId="36C0A28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2008</w:t>
            </w:r>
          </w:p>
        </w:tc>
        <w:tc>
          <w:tcPr>
            <w:tcW w:w="0" w:type="auto"/>
            <w:tcBorders>
              <w:top w:val="nil"/>
              <w:left w:val="nil"/>
              <w:bottom w:val="nil"/>
              <w:right w:val="nil"/>
            </w:tcBorders>
            <w:shd w:val="clear" w:color="auto" w:fill="auto"/>
            <w:noWrap/>
            <w:vAlign w:val="center"/>
          </w:tcPr>
          <w:p w14:paraId="226B8DB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2377.54 </w:t>
            </w:r>
          </w:p>
        </w:tc>
        <w:tc>
          <w:tcPr>
            <w:tcW w:w="0" w:type="auto"/>
            <w:tcBorders>
              <w:top w:val="nil"/>
              <w:left w:val="nil"/>
              <w:bottom w:val="nil"/>
              <w:right w:val="nil"/>
            </w:tcBorders>
            <w:shd w:val="clear" w:color="auto" w:fill="auto"/>
            <w:noWrap/>
            <w:vAlign w:val="center"/>
          </w:tcPr>
          <w:p w14:paraId="70215F3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1934.14 </w:t>
            </w:r>
          </w:p>
        </w:tc>
        <w:tc>
          <w:tcPr>
            <w:tcW w:w="0" w:type="auto"/>
            <w:tcBorders>
              <w:top w:val="nil"/>
              <w:left w:val="nil"/>
              <w:bottom w:val="nil"/>
              <w:right w:val="nil"/>
            </w:tcBorders>
            <w:shd w:val="clear" w:color="auto" w:fill="auto"/>
            <w:noWrap/>
            <w:vAlign w:val="center"/>
          </w:tcPr>
          <w:p w14:paraId="698D67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2819.76 </w:t>
            </w:r>
          </w:p>
        </w:tc>
        <w:tc>
          <w:tcPr>
            <w:tcW w:w="0" w:type="auto"/>
            <w:tcBorders>
              <w:top w:val="nil"/>
              <w:left w:val="nil"/>
              <w:bottom w:val="nil"/>
              <w:right w:val="nil"/>
            </w:tcBorders>
            <w:shd w:val="clear" w:color="auto" w:fill="auto"/>
            <w:noWrap/>
            <w:vAlign w:val="center"/>
          </w:tcPr>
          <w:p w14:paraId="3A1574C0">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680EB46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5416.98 </w:t>
            </w:r>
          </w:p>
        </w:tc>
        <w:tc>
          <w:tcPr>
            <w:tcW w:w="0" w:type="auto"/>
            <w:tcBorders>
              <w:top w:val="nil"/>
              <w:left w:val="nil"/>
              <w:bottom w:val="nil"/>
              <w:right w:val="nil"/>
            </w:tcBorders>
            <w:shd w:val="clear" w:color="auto" w:fill="auto"/>
            <w:noWrap/>
            <w:vAlign w:val="center"/>
          </w:tcPr>
          <w:p w14:paraId="4A384BB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4336.76 </w:t>
            </w:r>
          </w:p>
        </w:tc>
        <w:tc>
          <w:tcPr>
            <w:tcW w:w="0" w:type="auto"/>
            <w:tcBorders>
              <w:top w:val="nil"/>
              <w:left w:val="nil"/>
              <w:bottom w:val="nil"/>
              <w:right w:val="nil"/>
            </w:tcBorders>
            <w:shd w:val="clear" w:color="auto" w:fill="auto"/>
            <w:noWrap/>
            <w:vAlign w:val="center"/>
          </w:tcPr>
          <w:p w14:paraId="33EB33C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6479.14 </w:t>
            </w:r>
          </w:p>
        </w:tc>
        <w:tc>
          <w:tcPr>
            <w:tcW w:w="0" w:type="auto"/>
            <w:tcBorders>
              <w:top w:val="nil"/>
              <w:left w:val="nil"/>
              <w:bottom w:val="nil"/>
              <w:right w:val="nil"/>
            </w:tcBorders>
            <w:shd w:val="clear" w:color="auto" w:fill="auto"/>
            <w:noWrap/>
            <w:vAlign w:val="center"/>
          </w:tcPr>
          <w:p w14:paraId="3E3A90C4">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3D0A447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612.54 </w:t>
            </w:r>
          </w:p>
        </w:tc>
        <w:tc>
          <w:tcPr>
            <w:tcW w:w="0" w:type="auto"/>
            <w:tcBorders>
              <w:top w:val="nil"/>
              <w:left w:val="nil"/>
              <w:bottom w:val="nil"/>
              <w:right w:val="nil"/>
            </w:tcBorders>
            <w:shd w:val="clear" w:color="auto" w:fill="auto"/>
            <w:noWrap/>
            <w:vAlign w:val="center"/>
          </w:tcPr>
          <w:p w14:paraId="32FF56D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495.46 </w:t>
            </w:r>
          </w:p>
        </w:tc>
        <w:tc>
          <w:tcPr>
            <w:tcW w:w="0" w:type="auto"/>
            <w:tcBorders>
              <w:top w:val="nil"/>
              <w:left w:val="nil"/>
              <w:bottom w:val="nil"/>
              <w:right w:val="nil"/>
            </w:tcBorders>
            <w:shd w:val="clear" w:color="auto" w:fill="auto"/>
            <w:noWrap/>
            <w:vAlign w:val="center"/>
          </w:tcPr>
          <w:p w14:paraId="0B9B3A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728.37 </w:t>
            </w:r>
          </w:p>
        </w:tc>
      </w:tr>
      <w:tr w14:paraId="7FA0D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tcBorders>
              <w:top w:val="nil"/>
              <w:left w:val="nil"/>
              <w:bottom w:val="nil"/>
              <w:right w:val="nil"/>
            </w:tcBorders>
            <w:shd w:val="clear" w:color="auto" w:fill="auto"/>
            <w:noWrap/>
            <w:vAlign w:val="center"/>
          </w:tcPr>
          <w:p w14:paraId="3C8BD28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2009</w:t>
            </w:r>
          </w:p>
        </w:tc>
        <w:tc>
          <w:tcPr>
            <w:tcW w:w="0" w:type="auto"/>
            <w:tcBorders>
              <w:top w:val="nil"/>
              <w:left w:val="nil"/>
              <w:bottom w:val="nil"/>
              <w:right w:val="nil"/>
            </w:tcBorders>
            <w:shd w:val="clear" w:color="auto" w:fill="auto"/>
            <w:noWrap/>
            <w:vAlign w:val="center"/>
          </w:tcPr>
          <w:p w14:paraId="5E4FB9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2362.40 </w:t>
            </w:r>
          </w:p>
        </w:tc>
        <w:tc>
          <w:tcPr>
            <w:tcW w:w="0" w:type="auto"/>
            <w:tcBorders>
              <w:top w:val="nil"/>
              <w:left w:val="nil"/>
              <w:bottom w:val="nil"/>
              <w:right w:val="nil"/>
            </w:tcBorders>
            <w:shd w:val="clear" w:color="auto" w:fill="auto"/>
            <w:noWrap/>
            <w:vAlign w:val="center"/>
          </w:tcPr>
          <w:p w14:paraId="513AA6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1919.71 </w:t>
            </w:r>
          </w:p>
        </w:tc>
        <w:tc>
          <w:tcPr>
            <w:tcW w:w="0" w:type="auto"/>
            <w:tcBorders>
              <w:top w:val="nil"/>
              <w:left w:val="nil"/>
              <w:bottom w:val="nil"/>
              <w:right w:val="nil"/>
            </w:tcBorders>
            <w:shd w:val="clear" w:color="auto" w:fill="auto"/>
            <w:noWrap/>
            <w:vAlign w:val="center"/>
          </w:tcPr>
          <w:p w14:paraId="3693952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2803.81 </w:t>
            </w:r>
          </w:p>
        </w:tc>
        <w:tc>
          <w:tcPr>
            <w:tcW w:w="0" w:type="auto"/>
            <w:tcBorders>
              <w:top w:val="nil"/>
              <w:left w:val="nil"/>
              <w:bottom w:val="nil"/>
              <w:right w:val="nil"/>
            </w:tcBorders>
            <w:shd w:val="clear" w:color="auto" w:fill="auto"/>
            <w:noWrap/>
            <w:vAlign w:val="center"/>
          </w:tcPr>
          <w:p w14:paraId="4A667619">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72A8CE7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5380.62 </w:t>
            </w:r>
          </w:p>
        </w:tc>
        <w:tc>
          <w:tcPr>
            <w:tcW w:w="0" w:type="auto"/>
            <w:tcBorders>
              <w:top w:val="nil"/>
              <w:left w:val="nil"/>
              <w:bottom w:val="nil"/>
              <w:right w:val="nil"/>
            </w:tcBorders>
            <w:shd w:val="clear" w:color="auto" w:fill="auto"/>
            <w:noWrap/>
            <w:vAlign w:val="center"/>
          </w:tcPr>
          <w:p w14:paraId="0D113C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4304.50 </w:t>
            </w:r>
          </w:p>
        </w:tc>
        <w:tc>
          <w:tcPr>
            <w:tcW w:w="0" w:type="auto"/>
            <w:tcBorders>
              <w:top w:val="nil"/>
              <w:left w:val="nil"/>
              <w:bottom w:val="nil"/>
              <w:right w:val="nil"/>
            </w:tcBorders>
            <w:shd w:val="clear" w:color="auto" w:fill="auto"/>
            <w:noWrap/>
            <w:vAlign w:val="center"/>
          </w:tcPr>
          <w:p w14:paraId="24B7C0A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6438.60 </w:t>
            </w:r>
          </w:p>
        </w:tc>
        <w:tc>
          <w:tcPr>
            <w:tcW w:w="0" w:type="auto"/>
            <w:tcBorders>
              <w:top w:val="nil"/>
              <w:left w:val="nil"/>
              <w:bottom w:val="nil"/>
              <w:right w:val="nil"/>
            </w:tcBorders>
            <w:shd w:val="clear" w:color="auto" w:fill="auto"/>
            <w:noWrap/>
            <w:vAlign w:val="center"/>
          </w:tcPr>
          <w:p w14:paraId="493FBBD4">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272B922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608.59 </w:t>
            </w:r>
          </w:p>
        </w:tc>
        <w:tc>
          <w:tcPr>
            <w:tcW w:w="0" w:type="auto"/>
            <w:tcBorders>
              <w:top w:val="nil"/>
              <w:left w:val="nil"/>
              <w:bottom w:val="nil"/>
              <w:right w:val="nil"/>
            </w:tcBorders>
            <w:shd w:val="clear" w:color="auto" w:fill="auto"/>
            <w:noWrap/>
            <w:vAlign w:val="center"/>
          </w:tcPr>
          <w:p w14:paraId="02430F1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491.81 </w:t>
            </w:r>
          </w:p>
        </w:tc>
        <w:tc>
          <w:tcPr>
            <w:tcW w:w="0" w:type="auto"/>
            <w:tcBorders>
              <w:top w:val="nil"/>
              <w:left w:val="nil"/>
              <w:bottom w:val="nil"/>
              <w:right w:val="nil"/>
            </w:tcBorders>
            <w:shd w:val="clear" w:color="auto" w:fill="auto"/>
            <w:noWrap/>
            <w:vAlign w:val="center"/>
          </w:tcPr>
          <w:p w14:paraId="144B2B5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724.10 </w:t>
            </w:r>
          </w:p>
        </w:tc>
      </w:tr>
      <w:tr w14:paraId="1B5BA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tcBorders>
              <w:top w:val="nil"/>
              <w:left w:val="nil"/>
              <w:bottom w:val="nil"/>
              <w:right w:val="nil"/>
            </w:tcBorders>
            <w:shd w:val="clear" w:color="auto" w:fill="auto"/>
            <w:noWrap/>
            <w:vAlign w:val="center"/>
          </w:tcPr>
          <w:p w14:paraId="513F758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2010</w:t>
            </w:r>
          </w:p>
        </w:tc>
        <w:tc>
          <w:tcPr>
            <w:tcW w:w="0" w:type="auto"/>
            <w:tcBorders>
              <w:top w:val="nil"/>
              <w:left w:val="nil"/>
              <w:bottom w:val="nil"/>
              <w:right w:val="nil"/>
            </w:tcBorders>
            <w:shd w:val="clear" w:color="auto" w:fill="auto"/>
            <w:noWrap/>
            <w:vAlign w:val="center"/>
          </w:tcPr>
          <w:p w14:paraId="2812B7B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2351.54 </w:t>
            </w:r>
          </w:p>
        </w:tc>
        <w:tc>
          <w:tcPr>
            <w:tcW w:w="0" w:type="auto"/>
            <w:tcBorders>
              <w:top w:val="nil"/>
              <w:left w:val="nil"/>
              <w:bottom w:val="nil"/>
              <w:right w:val="nil"/>
            </w:tcBorders>
            <w:shd w:val="clear" w:color="auto" w:fill="auto"/>
            <w:noWrap/>
            <w:vAlign w:val="center"/>
          </w:tcPr>
          <w:p w14:paraId="15EBB37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1909.16 </w:t>
            </w:r>
          </w:p>
        </w:tc>
        <w:tc>
          <w:tcPr>
            <w:tcW w:w="0" w:type="auto"/>
            <w:tcBorders>
              <w:top w:val="nil"/>
              <w:left w:val="nil"/>
              <w:bottom w:val="nil"/>
              <w:right w:val="nil"/>
            </w:tcBorders>
            <w:shd w:val="clear" w:color="auto" w:fill="auto"/>
            <w:noWrap/>
            <w:vAlign w:val="center"/>
          </w:tcPr>
          <w:p w14:paraId="3A6B0E5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2792.48 </w:t>
            </w:r>
          </w:p>
        </w:tc>
        <w:tc>
          <w:tcPr>
            <w:tcW w:w="0" w:type="auto"/>
            <w:tcBorders>
              <w:top w:val="nil"/>
              <w:left w:val="nil"/>
              <w:bottom w:val="nil"/>
              <w:right w:val="nil"/>
            </w:tcBorders>
            <w:shd w:val="clear" w:color="auto" w:fill="auto"/>
            <w:noWrap/>
            <w:vAlign w:val="center"/>
          </w:tcPr>
          <w:p w14:paraId="3EF2DCE8">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6AC1CE3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5354.31 </w:t>
            </w:r>
          </w:p>
        </w:tc>
        <w:tc>
          <w:tcPr>
            <w:tcW w:w="0" w:type="auto"/>
            <w:tcBorders>
              <w:top w:val="nil"/>
              <w:left w:val="nil"/>
              <w:bottom w:val="nil"/>
              <w:right w:val="nil"/>
            </w:tcBorders>
            <w:shd w:val="clear" w:color="auto" w:fill="auto"/>
            <w:noWrap/>
            <w:vAlign w:val="center"/>
          </w:tcPr>
          <w:p w14:paraId="6BC02DB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4281.05 </w:t>
            </w:r>
          </w:p>
        </w:tc>
        <w:tc>
          <w:tcPr>
            <w:tcW w:w="0" w:type="auto"/>
            <w:tcBorders>
              <w:top w:val="nil"/>
              <w:left w:val="nil"/>
              <w:bottom w:val="nil"/>
              <w:right w:val="nil"/>
            </w:tcBorders>
            <w:shd w:val="clear" w:color="auto" w:fill="auto"/>
            <w:noWrap/>
            <w:vAlign w:val="center"/>
          </w:tcPr>
          <w:p w14:paraId="3E0C361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6409.18 </w:t>
            </w:r>
          </w:p>
        </w:tc>
        <w:tc>
          <w:tcPr>
            <w:tcW w:w="0" w:type="auto"/>
            <w:tcBorders>
              <w:top w:val="nil"/>
              <w:left w:val="nil"/>
              <w:bottom w:val="nil"/>
              <w:right w:val="nil"/>
            </w:tcBorders>
            <w:shd w:val="clear" w:color="auto" w:fill="auto"/>
            <w:noWrap/>
            <w:vAlign w:val="center"/>
          </w:tcPr>
          <w:p w14:paraId="063D9B8A">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5BB8B72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605.61 </w:t>
            </w:r>
          </w:p>
        </w:tc>
        <w:tc>
          <w:tcPr>
            <w:tcW w:w="0" w:type="auto"/>
            <w:tcBorders>
              <w:top w:val="nil"/>
              <w:left w:val="nil"/>
              <w:bottom w:val="nil"/>
              <w:right w:val="nil"/>
            </w:tcBorders>
            <w:shd w:val="clear" w:color="auto" w:fill="auto"/>
            <w:noWrap/>
            <w:vAlign w:val="center"/>
          </w:tcPr>
          <w:p w14:paraId="42FBBC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489.10 </w:t>
            </w:r>
          </w:p>
        </w:tc>
        <w:tc>
          <w:tcPr>
            <w:tcW w:w="0" w:type="auto"/>
            <w:tcBorders>
              <w:top w:val="nil"/>
              <w:left w:val="nil"/>
              <w:bottom w:val="nil"/>
              <w:right w:val="nil"/>
            </w:tcBorders>
            <w:shd w:val="clear" w:color="auto" w:fill="auto"/>
            <w:noWrap/>
            <w:vAlign w:val="center"/>
          </w:tcPr>
          <w:p w14:paraId="73F07B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720.80 </w:t>
            </w:r>
          </w:p>
        </w:tc>
      </w:tr>
      <w:tr w14:paraId="0FE57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tcBorders>
              <w:top w:val="nil"/>
              <w:left w:val="nil"/>
              <w:bottom w:val="nil"/>
              <w:right w:val="nil"/>
            </w:tcBorders>
            <w:shd w:val="clear" w:color="auto" w:fill="auto"/>
            <w:noWrap/>
            <w:vAlign w:val="center"/>
          </w:tcPr>
          <w:p w14:paraId="4043913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2011</w:t>
            </w:r>
          </w:p>
        </w:tc>
        <w:tc>
          <w:tcPr>
            <w:tcW w:w="0" w:type="auto"/>
            <w:tcBorders>
              <w:top w:val="nil"/>
              <w:left w:val="nil"/>
              <w:bottom w:val="nil"/>
              <w:right w:val="nil"/>
            </w:tcBorders>
            <w:shd w:val="clear" w:color="auto" w:fill="auto"/>
            <w:noWrap/>
            <w:vAlign w:val="center"/>
          </w:tcPr>
          <w:p w14:paraId="18257F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2342.94 </w:t>
            </w:r>
          </w:p>
        </w:tc>
        <w:tc>
          <w:tcPr>
            <w:tcW w:w="0" w:type="auto"/>
            <w:tcBorders>
              <w:top w:val="nil"/>
              <w:left w:val="nil"/>
              <w:bottom w:val="nil"/>
              <w:right w:val="nil"/>
            </w:tcBorders>
            <w:shd w:val="clear" w:color="auto" w:fill="auto"/>
            <w:noWrap/>
            <w:vAlign w:val="center"/>
          </w:tcPr>
          <w:p w14:paraId="16BB2F2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1901.07 </w:t>
            </w:r>
          </w:p>
        </w:tc>
        <w:tc>
          <w:tcPr>
            <w:tcW w:w="0" w:type="auto"/>
            <w:tcBorders>
              <w:top w:val="nil"/>
              <w:left w:val="nil"/>
              <w:bottom w:val="nil"/>
              <w:right w:val="nil"/>
            </w:tcBorders>
            <w:shd w:val="clear" w:color="auto" w:fill="auto"/>
            <w:noWrap/>
            <w:vAlign w:val="center"/>
          </w:tcPr>
          <w:p w14:paraId="0EB6734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2783.03 </w:t>
            </w:r>
          </w:p>
        </w:tc>
        <w:tc>
          <w:tcPr>
            <w:tcW w:w="0" w:type="auto"/>
            <w:tcBorders>
              <w:top w:val="nil"/>
              <w:left w:val="nil"/>
              <w:bottom w:val="nil"/>
              <w:right w:val="nil"/>
            </w:tcBorders>
            <w:shd w:val="clear" w:color="auto" w:fill="auto"/>
            <w:noWrap/>
            <w:vAlign w:val="center"/>
          </w:tcPr>
          <w:p w14:paraId="6AD43293">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769E3C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5333.25 </w:t>
            </w:r>
          </w:p>
        </w:tc>
        <w:tc>
          <w:tcPr>
            <w:tcW w:w="0" w:type="auto"/>
            <w:tcBorders>
              <w:top w:val="nil"/>
              <w:left w:val="nil"/>
              <w:bottom w:val="nil"/>
              <w:right w:val="nil"/>
            </w:tcBorders>
            <w:shd w:val="clear" w:color="auto" w:fill="auto"/>
            <w:noWrap/>
            <w:vAlign w:val="center"/>
          </w:tcPr>
          <w:p w14:paraId="7513E89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4263.08 </w:t>
            </w:r>
          </w:p>
        </w:tc>
        <w:tc>
          <w:tcPr>
            <w:tcW w:w="0" w:type="auto"/>
            <w:tcBorders>
              <w:top w:val="nil"/>
              <w:left w:val="nil"/>
              <w:bottom w:val="nil"/>
              <w:right w:val="nil"/>
            </w:tcBorders>
            <w:shd w:val="clear" w:color="auto" w:fill="auto"/>
            <w:noWrap/>
            <w:vAlign w:val="center"/>
          </w:tcPr>
          <w:p w14:paraId="0096272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6384.51 </w:t>
            </w:r>
          </w:p>
        </w:tc>
        <w:tc>
          <w:tcPr>
            <w:tcW w:w="0" w:type="auto"/>
            <w:tcBorders>
              <w:top w:val="nil"/>
              <w:left w:val="nil"/>
              <w:bottom w:val="nil"/>
              <w:right w:val="nil"/>
            </w:tcBorders>
            <w:shd w:val="clear" w:color="auto" w:fill="auto"/>
            <w:noWrap/>
            <w:vAlign w:val="center"/>
          </w:tcPr>
          <w:p w14:paraId="2D39EDE3">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3AD2C6E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603.30 </w:t>
            </w:r>
          </w:p>
        </w:tc>
        <w:tc>
          <w:tcPr>
            <w:tcW w:w="0" w:type="auto"/>
            <w:tcBorders>
              <w:top w:val="nil"/>
              <w:left w:val="nil"/>
              <w:bottom w:val="nil"/>
              <w:right w:val="nil"/>
            </w:tcBorders>
            <w:shd w:val="clear" w:color="auto" w:fill="auto"/>
            <w:noWrap/>
            <w:vAlign w:val="center"/>
          </w:tcPr>
          <w:p w14:paraId="11F38D5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487.08 </w:t>
            </w:r>
          </w:p>
        </w:tc>
        <w:tc>
          <w:tcPr>
            <w:tcW w:w="0" w:type="auto"/>
            <w:tcBorders>
              <w:top w:val="nil"/>
              <w:left w:val="nil"/>
              <w:bottom w:val="nil"/>
              <w:right w:val="nil"/>
            </w:tcBorders>
            <w:shd w:val="clear" w:color="auto" w:fill="auto"/>
            <w:noWrap/>
            <w:vAlign w:val="center"/>
          </w:tcPr>
          <w:p w14:paraId="7FFE57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718.12 </w:t>
            </w:r>
          </w:p>
        </w:tc>
      </w:tr>
      <w:tr w14:paraId="06D54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tcBorders>
              <w:top w:val="nil"/>
              <w:left w:val="nil"/>
              <w:bottom w:val="nil"/>
              <w:right w:val="nil"/>
            </w:tcBorders>
            <w:shd w:val="clear" w:color="auto" w:fill="auto"/>
            <w:noWrap/>
            <w:vAlign w:val="center"/>
          </w:tcPr>
          <w:p w14:paraId="64F3767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2012</w:t>
            </w:r>
          </w:p>
        </w:tc>
        <w:tc>
          <w:tcPr>
            <w:tcW w:w="0" w:type="auto"/>
            <w:tcBorders>
              <w:top w:val="nil"/>
              <w:left w:val="nil"/>
              <w:bottom w:val="nil"/>
              <w:right w:val="nil"/>
            </w:tcBorders>
            <w:shd w:val="clear" w:color="auto" w:fill="auto"/>
            <w:noWrap/>
            <w:vAlign w:val="center"/>
          </w:tcPr>
          <w:p w14:paraId="2BBDCB5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2333.48 </w:t>
            </w:r>
          </w:p>
        </w:tc>
        <w:tc>
          <w:tcPr>
            <w:tcW w:w="0" w:type="auto"/>
            <w:tcBorders>
              <w:top w:val="nil"/>
              <w:left w:val="nil"/>
              <w:bottom w:val="nil"/>
              <w:right w:val="nil"/>
            </w:tcBorders>
            <w:shd w:val="clear" w:color="auto" w:fill="auto"/>
            <w:noWrap/>
            <w:vAlign w:val="center"/>
          </w:tcPr>
          <w:p w14:paraId="0CA21A7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1892.75 </w:t>
            </w:r>
          </w:p>
        </w:tc>
        <w:tc>
          <w:tcPr>
            <w:tcW w:w="0" w:type="auto"/>
            <w:tcBorders>
              <w:top w:val="nil"/>
              <w:left w:val="nil"/>
              <w:bottom w:val="nil"/>
              <w:right w:val="nil"/>
            </w:tcBorders>
            <w:shd w:val="clear" w:color="auto" w:fill="auto"/>
            <w:noWrap/>
            <w:vAlign w:val="center"/>
          </w:tcPr>
          <w:p w14:paraId="0388DE5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2772.10 </w:t>
            </w:r>
          </w:p>
        </w:tc>
        <w:tc>
          <w:tcPr>
            <w:tcW w:w="0" w:type="auto"/>
            <w:tcBorders>
              <w:top w:val="nil"/>
              <w:left w:val="nil"/>
              <w:bottom w:val="nil"/>
              <w:right w:val="nil"/>
            </w:tcBorders>
            <w:shd w:val="clear" w:color="auto" w:fill="auto"/>
            <w:noWrap/>
            <w:vAlign w:val="center"/>
          </w:tcPr>
          <w:p w14:paraId="43325609">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51E0D3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5310.28 </w:t>
            </w:r>
          </w:p>
        </w:tc>
        <w:tc>
          <w:tcPr>
            <w:tcW w:w="0" w:type="auto"/>
            <w:tcBorders>
              <w:top w:val="nil"/>
              <w:left w:val="nil"/>
              <w:bottom w:val="nil"/>
              <w:right w:val="nil"/>
            </w:tcBorders>
            <w:shd w:val="clear" w:color="auto" w:fill="auto"/>
            <w:noWrap/>
            <w:vAlign w:val="center"/>
          </w:tcPr>
          <w:p w14:paraId="044F2F3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4244.40 </w:t>
            </w:r>
          </w:p>
        </w:tc>
        <w:tc>
          <w:tcPr>
            <w:tcW w:w="0" w:type="auto"/>
            <w:tcBorders>
              <w:top w:val="nil"/>
              <w:left w:val="nil"/>
              <w:bottom w:val="nil"/>
              <w:right w:val="nil"/>
            </w:tcBorders>
            <w:shd w:val="clear" w:color="auto" w:fill="auto"/>
            <w:noWrap/>
            <w:vAlign w:val="center"/>
          </w:tcPr>
          <w:p w14:paraId="00FCD62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6356.85 </w:t>
            </w:r>
          </w:p>
        </w:tc>
        <w:tc>
          <w:tcPr>
            <w:tcW w:w="0" w:type="auto"/>
            <w:tcBorders>
              <w:top w:val="nil"/>
              <w:left w:val="nil"/>
              <w:bottom w:val="nil"/>
              <w:right w:val="nil"/>
            </w:tcBorders>
            <w:shd w:val="clear" w:color="auto" w:fill="auto"/>
            <w:noWrap/>
            <w:vAlign w:val="center"/>
          </w:tcPr>
          <w:p w14:paraId="1F31BFF5">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1F3FEED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600.60 </w:t>
            </w:r>
          </w:p>
        </w:tc>
        <w:tc>
          <w:tcPr>
            <w:tcW w:w="0" w:type="auto"/>
            <w:tcBorders>
              <w:top w:val="nil"/>
              <w:left w:val="nil"/>
              <w:bottom w:val="nil"/>
              <w:right w:val="nil"/>
            </w:tcBorders>
            <w:shd w:val="clear" w:color="auto" w:fill="auto"/>
            <w:noWrap/>
            <w:vAlign w:val="center"/>
          </w:tcPr>
          <w:p w14:paraId="59792F9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484.80 </w:t>
            </w:r>
          </w:p>
        </w:tc>
        <w:tc>
          <w:tcPr>
            <w:tcW w:w="0" w:type="auto"/>
            <w:tcBorders>
              <w:top w:val="nil"/>
              <w:left w:val="nil"/>
              <w:bottom w:val="nil"/>
              <w:right w:val="nil"/>
            </w:tcBorders>
            <w:shd w:val="clear" w:color="auto" w:fill="auto"/>
            <w:noWrap/>
            <w:vAlign w:val="center"/>
          </w:tcPr>
          <w:p w14:paraId="39BB85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714.94 </w:t>
            </w:r>
          </w:p>
        </w:tc>
      </w:tr>
      <w:tr w14:paraId="78486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tcBorders>
              <w:top w:val="nil"/>
              <w:left w:val="nil"/>
              <w:bottom w:val="nil"/>
              <w:right w:val="nil"/>
            </w:tcBorders>
            <w:shd w:val="clear" w:color="auto" w:fill="auto"/>
            <w:noWrap/>
            <w:vAlign w:val="center"/>
          </w:tcPr>
          <w:p w14:paraId="3C314A9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2013</w:t>
            </w:r>
          </w:p>
        </w:tc>
        <w:tc>
          <w:tcPr>
            <w:tcW w:w="0" w:type="auto"/>
            <w:tcBorders>
              <w:top w:val="nil"/>
              <w:left w:val="nil"/>
              <w:bottom w:val="nil"/>
              <w:right w:val="nil"/>
            </w:tcBorders>
            <w:shd w:val="clear" w:color="auto" w:fill="auto"/>
            <w:noWrap/>
            <w:vAlign w:val="center"/>
          </w:tcPr>
          <w:p w14:paraId="567462D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2324.30 </w:t>
            </w:r>
          </w:p>
        </w:tc>
        <w:tc>
          <w:tcPr>
            <w:tcW w:w="0" w:type="auto"/>
            <w:tcBorders>
              <w:top w:val="nil"/>
              <w:left w:val="nil"/>
              <w:bottom w:val="nil"/>
              <w:right w:val="nil"/>
            </w:tcBorders>
            <w:shd w:val="clear" w:color="auto" w:fill="auto"/>
            <w:noWrap/>
            <w:vAlign w:val="center"/>
          </w:tcPr>
          <w:p w14:paraId="35967E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1884.77 </w:t>
            </w:r>
          </w:p>
        </w:tc>
        <w:tc>
          <w:tcPr>
            <w:tcW w:w="0" w:type="auto"/>
            <w:tcBorders>
              <w:top w:val="nil"/>
              <w:left w:val="nil"/>
              <w:bottom w:val="nil"/>
              <w:right w:val="nil"/>
            </w:tcBorders>
            <w:shd w:val="clear" w:color="auto" w:fill="auto"/>
            <w:noWrap/>
            <w:vAlign w:val="center"/>
          </w:tcPr>
          <w:p w14:paraId="5FF867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2761.43 </w:t>
            </w:r>
          </w:p>
        </w:tc>
        <w:tc>
          <w:tcPr>
            <w:tcW w:w="0" w:type="auto"/>
            <w:tcBorders>
              <w:top w:val="nil"/>
              <w:left w:val="nil"/>
              <w:bottom w:val="nil"/>
              <w:right w:val="nil"/>
            </w:tcBorders>
            <w:shd w:val="clear" w:color="auto" w:fill="auto"/>
            <w:noWrap/>
            <w:vAlign w:val="center"/>
          </w:tcPr>
          <w:p w14:paraId="4F9A2443">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7346320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5288.21 </w:t>
            </w:r>
          </w:p>
        </w:tc>
        <w:tc>
          <w:tcPr>
            <w:tcW w:w="0" w:type="auto"/>
            <w:tcBorders>
              <w:top w:val="nil"/>
              <w:left w:val="nil"/>
              <w:bottom w:val="nil"/>
              <w:right w:val="nil"/>
            </w:tcBorders>
            <w:shd w:val="clear" w:color="auto" w:fill="auto"/>
            <w:noWrap/>
            <w:vAlign w:val="center"/>
          </w:tcPr>
          <w:p w14:paraId="5E650A1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4226.49 </w:t>
            </w:r>
          </w:p>
        </w:tc>
        <w:tc>
          <w:tcPr>
            <w:tcW w:w="0" w:type="auto"/>
            <w:tcBorders>
              <w:top w:val="nil"/>
              <w:left w:val="nil"/>
              <w:bottom w:val="nil"/>
              <w:right w:val="nil"/>
            </w:tcBorders>
            <w:shd w:val="clear" w:color="auto" w:fill="auto"/>
            <w:noWrap/>
            <w:vAlign w:val="center"/>
          </w:tcPr>
          <w:p w14:paraId="3DD26CA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6330.40 </w:t>
            </w:r>
          </w:p>
        </w:tc>
        <w:tc>
          <w:tcPr>
            <w:tcW w:w="0" w:type="auto"/>
            <w:tcBorders>
              <w:top w:val="nil"/>
              <w:left w:val="nil"/>
              <w:bottom w:val="nil"/>
              <w:right w:val="nil"/>
            </w:tcBorders>
            <w:shd w:val="clear" w:color="auto" w:fill="auto"/>
            <w:noWrap/>
            <w:vAlign w:val="center"/>
          </w:tcPr>
          <w:p w14:paraId="5842C6C7">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727A514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598.02 </w:t>
            </w:r>
          </w:p>
        </w:tc>
        <w:tc>
          <w:tcPr>
            <w:tcW w:w="0" w:type="auto"/>
            <w:tcBorders>
              <w:top w:val="nil"/>
              <w:left w:val="nil"/>
              <w:bottom w:val="nil"/>
              <w:right w:val="nil"/>
            </w:tcBorders>
            <w:shd w:val="clear" w:color="auto" w:fill="auto"/>
            <w:noWrap/>
            <w:vAlign w:val="center"/>
          </w:tcPr>
          <w:p w14:paraId="4BECAB0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482.63 </w:t>
            </w:r>
          </w:p>
        </w:tc>
        <w:tc>
          <w:tcPr>
            <w:tcW w:w="0" w:type="auto"/>
            <w:tcBorders>
              <w:top w:val="nil"/>
              <w:left w:val="nil"/>
              <w:bottom w:val="nil"/>
              <w:right w:val="nil"/>
            </w:tcBorders>
            <w:shd w:val="clear" w:color="auto" w:fill="auto"/>
            <w:noWrap/>
            <w:vAlign w:val="center"/>
          </w:tcPr>
          <w:p w14:paraId="116C9B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711.92 </w:t>
            </w:r>
          </w:p>
        </w:tc>
      </w:tr>
      <w:tr w14:paraId="5582C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tcBorders>
              <w:top w:val="nil"/>
              <w:left w:val="nil"/>
              <w:bottom w:val="nil"/>
              <w:right w:val="nil"/>
            </w:tcBorders>
            <w:shd w:val="clear" w:color="auto" w:fill="auto"/>
            <w:noWrap/>
            <w:vAlign w:val="center"/>
          </w:tcPr>
          <w:p w14:paraId="4A3FF1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2014</w:t>
            </w:r>
          </w:p>
        </w:tc>
        <w:tc>
          <w:tcPr>
            <w:tcW w:w="0" w:type="auto"/>
            <w:tcBorders>
              <w:top w:val="nil"/>
              <w:left w:val="nil"/>
              <w:bottom w:val="nil"/>
              <w:right w:val="nil"/>
            </w:tcBorders>
            <w:shd w:val="clear" w:color="auto" w:fill="auto"/>
            <w:noWrap/>
            <w:vAlign w:val="center"/>
          </w:tcPr>
          <w:p w14:paraId="6E50AFA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2316.48 </w:t>
            </w:r>
          </w:p>
        </w:tc>
        <w:tc>
          <w:tcPr>
            <w:tcW w:w="0" w:type="auto"/>
            <w:tcBorders>
              <w:top w:val="nil"/>
              <w:left w:val="nil"/>
              <w:bottom w:val="nil"/>
              <w:right w:val="nil"/>
            </w:tcBorders>
            <w:shd w:val="clear" w:color="auto" w:fill="auto"/>
            <w:noWrap/>
            <w:vAlign w:val="center"/>
          </w:tcPr>
          <w:p w14:paraId="3EC1A6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1877.73 </w:t>
            </w:r>
          </w:p>
        </w:tc>
        <w:tc>
          <w:tcPr>
            <w:tcW w:w="0" w:type="auto"/>
            <w:tcBorders>
              <w:top w:val="nil"/>
              <w:left w:val="nil"/>
              <w:bottom w:val="nil"/>
              <w:right w:val="nil"/>
            </w:tcBorders>
            <w:shd w:val="clear" w:color="auto" w:fill="auto"/>
            <w:noWrap/>
            <w:vAlign w:val="center"/>
          </w:tcPr>
          <w:p w14:paraId="029137D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2752.73 </w:t>
            </w:r>
          </w:p>
        </w:tc>
        <w:tc>
          <w:tcPr>
            <w:tcW w:w="0" w:type="auto"/>
            <w:tcBorders>
              <w:top w:val="nil"/>
              <w:left w:val="nil"/>
              <w:bottom w:val="nil"/>
              <w:right w:val="nil"/>
            </w:tcBorders>
            <w:shd w:val="clear" w:color="auto" w:fill="auto"/>
            <w:noWrap/>
            <w:vAlign w:val="center"/>
          </w:tcPr>
          <w:p w14:paraId="469EF6C0">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7EF2F8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5269.75 </w:t>
            </w:r>
          </w:p>
        </w:tc>
        <w:tc>
          <w:tcPr>
            <w:tcW w:w="0" w:type="auto"/>
            <w:tcBorders>
              <w:top w:val="nil"/>
              <w:left w:val="nil"/>
              <w:bottom w:val="nil"/>
              <w:right w:val="nil"/>
            </w:tcBorders>
            <w:shd w:val="clear" w:color="auto" w:fill="auto"/>
            <w:noWrap/>
            <w:vAlign w:val="center"/>
          </w:tcPr>
          <w:p w14:paraId="2491B5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4210.87 </w:t>
            </w:r>
          </w:p>
        </w:tc>
        <w:tc>
          <w:tcPr>
            <w:tcW w:w="0" w:type="auto"/>
            <w:tcBorders>
              <w:top w:val="nil"/>
              <w:left w:val="nil"/>
              <w:bottom w:val="nil"/>
              <w:right w:val="nil"/>
            </w:tcBorders>
            <w:shd w:val="clear" w:color="auto" w:fill="auto"/>
            <w:noWrap/>
            <w:vAlign w:val="center"/>
          </w:tcPr>
          <w:p w14:paraId="6994F6D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6309.25 </w:t>
            </w:r>
          </w:p>
        </w:tc>
        <w:tc>
          <w:tcPr>
            <w:tcW w:w="0" w:type="auto"/>
            <w:tcBorders>
              <w:top w:val="nil"/>
              <w:left w:val="nil"/>
              <w:bottom w:val="nil"/>
              <w:right w:val="nil"/>
            </w:tcBorders>
            <w:shd w:val="clear" w:color="auto" w:fill="auto"/>
            <w:noWrap/>
            <w:vAlign w:val="center"/>
          </w:tcPr>
          <w:p w14:paraId="042AAE04">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63FCFAC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595.95 </w:t>
            </w:r>
          </w:p>
        </w:tc>
        <w:tc>
          <w:tcPr>
            <w:tcW w:w="0" w:type="auto"/>
            <w:tcBorders>
              <w:top w:val="nil"/>
              <w:left w:val="nil"/>
              <w:bottom w:val="nil"/>
              <w:right w:val="nil"/>
            </w:tcBorders>
            <w:shd w:val="clear" w:color="auto" w:fill="auto"/>
            <w:noWrap/>
            <w:vAlign w:val="center"/>
          </w:tcPr>
          <w:p w14:paraId="143FB41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480.91 </w:t>
            </w:r>
          </w:p>
        </w:tc>
        <w:tc>
          <w:tcPr>
            <w:tcW w:w="0" w:type="auto"/>
            <w:tcBorders>
              <w:top w:val="nil"/>
              <w:left w:val="nil"/>
              <w:bottom w:val="nil"/>
              <w:right w:val="nil"/>
            </w:tcBorders>
            <w:shd w:val="clear" w:color="auto" w:fill="auto"/>
            <w:noWrap/>
            <w:vAlign w:val="center"/>
          </w:tcPr>
          <w:p w14:paraId="3EEE363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709.52 </w:t>
            </w:r>
          </w:p>
        </w:tc>
      </w:tr>
      <w:tr w14:paraId="33F73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tcBorders>
              <w:top w:val="nil"/>
              <w:left w:val="nil"/>
              <w:bottom w:val="nil"/>
              <w:right w:val="nil"/>
            </w:tcBorders>
            <w:shd w:val="clear" w:color="auto" w:fill="auto"/>
            <w:noWrap/>
            <w:vAlign w:val="center"/>
          </w:tcPr>
          <w:p w14:paraId="08943D4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2015</w:t>
            </w:r>
          </w:p>
        </w:tc>
        <w:tc>
          <w:tcPr>
            <w:tcW w:w="0" w:type="auto"/>
            <w:tcBorders>
              <w:top w:val="nil"/>
              <w:left w:val="nil"/>
              <w:bottom w:val="nil"/>
              <w:right w:val="nil"/>
            </w:tcBorders>
            <w:shd w:val="clear" w:color="auto" w:fill="auto"/>
            <w:noWrap/>
            <w:vAlign w:val="center"/>
          </w:tcPr>
          <w:p w14:paraId="06E992E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2311.26 </w:t>
            </w:r>
          </w:p>
        </w:tc>
        <w:tc>
          <w:tcPr>
            <w:tcW w:w="0" w:type="auto"/>
            <w:tcBorders>
              <w:top w:val="nil"/>
              <w:left w:val="nil"/>
              <w:bottom w:val="nil"/>
              <w:right w:val="nil"/>
            </w:tcBorders>
            <w:shd w:val="clear" w:color="auto" w:fill="auto"/>
            <w:noWrap/>
            <w:vAlign w:val="center"/>
          </w:tcPr>
          <w:p w14:paraId="219F6A6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1872.22 </w:t>
            </w:r>
          </w:p>
        </w:tc>
        <w:tc>
          <w:tcPr>
            <w:tcW w:w="0" w:type="auto"/>
            <w:tcBorders>
              <w:top w:val="nil"/>
              <w:left w:val="nil"/>
              <w:bottom w:val="nil"/>
              <w:right w:val="nil"/>
            </w:tcBorders>
            <w:shd w:val="clear" w:color="auto" w:fill="auto"/>
            <w:noWrap/>
            <w:vAlign w:val="center"/>
          </w:tcPr>
          <w:p w14:paraId="3EF54A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2747.81 </w:t>
            </w:r>
          </w:p>
        </w:tc>
        <w:tc>
          <w:tcPr>
            <w:tcW w:w="0" w:type="auto"/>
            <w:tcBorders>
              <w:top w:val="nil"/>
              <w:left w:val="nil"/>
              <w:bottom w:val="nil"/>
              <w:right w:val="nil"/>
            </w:tcBorders>
            <w:shd w:val="clear" w:color="auto" w:fill="auto"/>
            <w:noWrap/>
            <w:vAlign w:val="center"/>
          </w:tcPr>
          <w:p w14:paraId="2B75EE0B">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64C92AE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5257.98 </w:t>
            </w:r>
          </w:p>
        </w:tc>
        <w:tc>
          <w:tcPr>
            <w:tcW w:w="0" w:type="auto"/>
            <w:tcBorders>
              <w:top w:val="nil"/>
              <w:left w:val="nil"/>
              <w:bottom w:val="nil"/>
              <w:right w:val="nil"/>
            </w:tcBorders>
            <w:shd w:val="clear" w:color="auto" w:fill="auto"/>
            <w:noWrap/>
            <w:vAlign w:val="center"/>
          </w:tcPr>
          <w:p w14:paraId="360F7F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4199.09 </w:t>
            </w:r>
          </w:p>
        </w:tc>
        <w:tc>
          <w:tcPr>
            <w:tcW w:w="0" w:type="auto"/>
            <w:tcBorders>
              <w:top w:val="nil"/>
              <w:left w:val="nil"/>
              <w:bottom w:val="nil"/>
              <w:right w:val="nil"/>
            </w:tcBorders>
            <w:shd w:val="clear" w:color="auto" w:fill="auto"/>
            <w:noWrap/>
            <w:vAlign w:val="center"/>
          </w:tcPr>
          <w:p w14:paraId="0C63A0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6297.78 </w:t>
            </w:r>
          </w:p>
        </w:tc>
        <w:tc>
          <w:tcPr>
            <w:tcW w:w="0" w:type="auto"/>
            <w:tcBorders>
              <w:top w:val="nil"/>
              <w:left w:val="nil"/>
              <w:bottom w:val="nil"/>
              <w:right w:val="nil"/>
            </w:tcBorders>
            <w:shd w:val="clear" w:color="auto" w:fill="auto"/>
            <w:noWrap/>
            <w:vAlign w:val="center"/>
          </w:tcPr>
          <w:p w14:paraId="3A14918B">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734509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594.57 </w:t>
            </w:r>
          </w:p>
        </w:tc>
        <w:tc>
          <w:tcPr>
            <w:tcW w:w="0" w:type="auto"/>
            <w:tcBorders>
              <w:top w:val="nil"/>
              <w:left w:val="nil"/>
              <w:bottom w:val="nil"/>
              <w:right w:val="nil"/>
            </w:tcBorders>
            <w:shd w:val="clear" w:color="auto" w:fill="auto"/>
            <w:noWrap/>
            <w:vAlign w:val="center"/>
          </w:tcPr>
          <w:p w14:paraId="3A91B9F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479.51 </w:t>
            </w:r>
          </w:p>
        </w:tc>
        <w:tc>
          <w:tcPr>
            <w:tcW w:w="0" w:type="auto"/>
            <w:tcBorders>
              <w:top w:val="nil"/>
              <w:left w:val="nil"/>
              <w:bottom w:val="nil"/>
              <w:right w:val="nil"/>
            </w:tcBorders>
            <w:shd w:val="clear" w:color="auto" w:fill="auto"/>
            <w:noWrap/>
            <w:vAlign w:val="center"/>
          </w:tcPr>
          <w:p w14:paraId="06FFB9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708.19 </w:t>
            </w:r>
          </w:p>
        </w:tc>
      </w:tr>
      <w:tr w14:paraId="2D040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tcBorders>
              <w:top w:val="nil"/>
              <w:left w:val="nil"/>
              <w:bottom w:val="nil"/>
              <w:right w:val="nil"/>
            </w:tcBorders>
            <w:shd w:val="clear" w:color="auto" w:fill="auto"/>
            <w:noWrap/>
            <w:vAlign w:val="center"/>
          </w:tcPr>
          <w:p w14:paraId="4D750AB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2016</w:t>
            </w:r>
          </w:p>
        </w:tc>
        <w:tc>
          <w:tcPr>
            <w:tcW w:w="0" w:type="auto"/>
            <w:tcBorders>
              <w:top w:val="nil"/>
              <w:left w:val="nil"/>
              <w:bottom w:val="nil"/>
              <w:right w:val="nil"/>
            </w:tcBorders>
            <w:shd w:val="clear" w:color="auto" w:fill="auto"/>
            <w:noWrap/>
            <w:vAlign w:val="center"/>
          </w:tcPr>
          <w:p w14:paraId="487187D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2315.79 </w:t>
            </w:r>
          </w:p>
        </w:tc>
        <w:tc>
          <w:tcPr>
            <w:tcW w:w="0" w:type="auto"/>
            <w:tcBorders>
              <w:top w:val="nil"/>
              <w:left w:val="nil"/>
              <w:bottom w:val="nil"/>
              <w:right w:val="nil"/>
            </w:tcBorders>
            <w:shd w:val="clear" w:color="auto" w:fill="auto"/>
            <w:noWrap/>
            <w:vAlign w:val="center"/>
          </w:tcPr>
          <w:p w14:paraId="657E12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1876.29 </w:t>
            </w:r>
          </w:p>
        </w:tc>
        <w:tc>
          <w:tcPr>
            <w:tcW w:w="0" w:type="auto"/>
            <w:tcBorders>
              <w:top w:val="nil"/>
              <w:left w:val="nil"/>
              <w:bottom w:val="nil"/>
              <w:right w:val="nil"/>
            </w:tcBorders>
            <w:shd w:val="clear" w:color="auto" w:fill="auto"/>
            <w:noWrap/>
            <w:vAlign w:val="center"/>
          </w:tcPr>
          <w:p w14:paraId="1130024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2752.57 </w:t>
            </w:r>
          </w:p>
        </w:tc>
        <w:tc>
          <w:tcPr>
            <w:tcW w:w="0" w:type="auto"/>
            <w:tcBorders>
              <w:top w:val="nil"/>
              <w:left w:val="nil"/>
              <w:bottom w:val="nil"/>
              <w:right w:val="nil"/>
            </w:tcBorders>
            <w:shd w:val="clear" w:color="auto" w:fill="auto"/>
            <w:noWrap/>
            <w:vAlign w:val="center"/>
          </w:tcPr>
          <w:p w14:paraId="64E7B042">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38953B2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5270.93 </w:t>
            </w:r>
          </w:p>
        </w:tc>
        <w:tc>
          <w:tcPr>
            <w:tcW w:w="0" w:type="auto"/>
            <w:tcBorders>
              <w:top w:val="nil"/>
              <w:left w:val="nil"/>
              <w:bottom w:val="nil"/>
              <w:right w:val="nil"/>
            </w:tcBorders>
            <w:shd w:val="clear" w:color="auto" w:fill="auto"/>
            <w:noWrap/>
            <w:vAlign w:val="center"/>
          </w:tcPr>
          <w:p w14:paraId="77AA78F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4211.20 </w:t>
            </w:r>
          </w:p>
        </w:tc>
        <w:tc>
          <w:tcPr>
            <w:tcW w:w="0" w:type="auto"/>
            <w:tcBorders>
              <w:top w:val="nil"/>
              <w:left w:val="nil"/>
              <w:bottom w:val="nil"/>
              <w:right w:val="nil"/>
            </w:tcBorders>
            <w:shd w:val="clear" w:color="auto" w:fill="auto"/>
            <w:noWrap/>
            <w:vAlign w:val="center"/>
          </w:tcPr>
          <w:p w14:paraId="2065F4F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6311.30 </w:t>
            </w:r>
          </w:p>
        </w:tc>
        <w:tc>
          <w:tcPr>
            <w:tcW w:w="0" w:type="auto"/>
            <w:tcBorders>
              <w:top w:val="nil"/>
              <w:left w:val="nil"/>
              <w:bottom w:val="nil"/>
              <w:right w:val="nil"/>
            </w:tcBorders>
            <w:shd w:val="clear" w:color="auto" w:fill="auto"/>
            <w:noWrap/>
            <w:vAlign w:val="center"/>
          </w:tcPr>
          <w:p w14:paraId="534C5CF7">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0D93DA0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595.96 </w:t>
            </w:r>
          </w:p>
        </w:tc>
        <w:tc>
          <w:tcPr>
            <w:tcW w:w="0" w:type="auto"/>
            <w:tcBorders>
              <w:top w:val="nil"/>
              <w:left w:val="nil"/>
              <w:bottom w:val="nil"/>
              <w:right w:val="nil"/>
            </w:tcBorders>
            <w:shd w:val="clear" w:color="auto" w:fill="auto"/>
            <w:noWrap/>
            <w:vAlign w:val="center"/>
          </w:tcPr>
          <w:p w14:paraId="16E9303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480.88 </w:t>
            </w:r>
          </w:p>
        </w:tc>
        <w:tc>
          <w:tcPr>
            <w:tcW w:w="0" w:type="auto"/>
            <w:tcBorders>
              <w:top w:val="nil"/>
              <w:left w:val="nil"/>
              <w:bottom w:val="nil"/>
              <w:right w:val="nil"/>
            </w:tcBorders>
            <w:shd w:val="clear" w:color="auto" w:fill="auto"/>
            <w:noWrap/>
            <w:vAlign w:val="center"/>
          </w:tcPr>
          <w:p w14:paraId="06369D3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709.57 </w:t>
            </w:r>
          </w:p>
        </w:tc>
      </w:tr>
      <w:tr w14:paraId="3C731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tcBorders>
              <w:top w:val="nil"/>
              <w:left w:val="nil"/>
              <w:bottom w:val="nil"/>
              <w:right w:val="nil"/>
            </w:tcBorders>
            <w:shd w:val="clear" w:color="auto" w:fill="auto"/>
            <w:noWrap/>
            <w:vAlign w:val="center"/>
          </w:tcPr>
          <w:p w14:paraId="3A37BC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2017</w:t>
            </w:r>
          </w:p>
        </w:tc>
        <w:tc>
          <w:tcPr>
            <w:tcW w:w="0" w:type="auto"/>
            <w:tcBorders>
              <w:top w:val="nil"/>
              <w:left w:val="nil"/>
              <w:bottom w:val="nil"/>
              <w:right w:val="nil"/>
            </w:tcBorders>
            <w:shd w:val="clear" w:color="auto" w:fill="auto"/>
            <w:noWrap/>
            <w:vAlign w:val="center"/>
          </w:tcPr>
          <w:p w14:paraId="423DDE7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2330.24 </w:t>
            </w:r>
          </w:p>
        </w:tc>
        <w:tc>
          <w:tcPr>
            <w:tcW w:w="0" w:type="auto"/>
            <w:tcBorders>
              <w:top w:val="nil"/>
              <w:left w:val="nil"/>
              <w:bottom w:val="nil"/>
              <w:right w:val="nil"/>
            </w:tcBorders>
            <w:shd w:val="clear" w:color="auto" w:fill="auto"/>
            <w:noWrap/>
            <w:vAlign w:val="center"/>
          </w:tcPr>
          <w:p w14:paraId="623C51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1891.02 </w:t>
            </w:r>
          </w:p>
        </w:tc>
        <w:tc>
          <w:tcPr>
            <w:tcW w:w="0" w:type="auto"/>
            <w:tcBorders>
              <w:top w:val="nil"/>
              <w:left w:val="nil"/>
              <w:bottom w:val="nil"/>
              <w:right w:val="nil"/>
            </w:tcBorders>
            <w:shd w:val="clear" w:color="auto" w:fill="auto"/>
            <w:noWrap/>
            <w:vAlign w:val="center"/>
          </w:tcPr>
          <w:p w14:paraId="3DF8D5A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2766.27 </w:t>
            </w:r>
          </w:p>
        </w:tc>
        <w:tc>
          <w:tcPr>
            <w:tcW w:w="0" w:type="auto"/>
            <w:tcBorders>
              <w:top w:val="nil"/>
              <w:left w:val="nil"/>
              <w:bottom w:val="nil"/>
              <w:right w:val="nil"/>
            </w:tcBorders>
            <w:shd w:val="clear" w:color="auto" w:fill="auto"/>
            <w:noWrap/>
            <w:vAlign w:val="center"/>
          </w:tcPr>
          <w:p w14:paraId="41CD25CB">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5A50909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5308.93 </w:t>
            </w:r>
          </w:p>
        </w:tc>
        <w:tc>
          <w:tcPr>
            <w:tcW w:w="0" w:type="auto"/>
            <w:tcBorders>
              <w:top w:val="nil"/>
              <w:left w:val="nil"/>
              <w:bottom w:val="nil"/>
              <w:right w:val="nil"/>
            </w:tcBorders>
            <w:shd w:val="clear" w:color="auto" w:fill="auto"/>
            <w:noWrap/>
            <w:vAlign w:val="center"/>
          </w:tcPr>
          <w:p w14:paraId="6E92FDF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4249.58 </w:t>
            </w:r>
          </w:p>
        </w:tc>
        <w:tc>
          <w:tcPr>
            <w:tcW w:w="0" w:type="auto"/>
            <w:tcBorders>
              <w:top w:val="nil"/>
              <w:left w:val="nil"/>
              <w:bottom w:val="nil"/>
              <w:right w:val="nil"/>
            </w:tcBorders>
            <w:shd w:val="clear" w:color="auto" w:fill="auto"/>
            <w:noWrap/>
            <w:vAlign w:val="center"/>
          </w:tcPr>
          <w:p w14:paraId="582585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6348.07 </w:t>
            </w:r>
          </w:p>
        </w:tc>
        <w:tc>
          <w:tcPr>
            <w:tcW w:w="0" w:type="auto"/>
            <w:tcBorders>
              <w:top w:val="nil"/>
              <w:left w:val="nil"/>
              <w:bottom w:val="nil"/>
              <w:right w:val="nil"/>
            </w:tcBorders>
            <w:shd w:val="clear" w:color="auto" w:fill="auto"/>
            <w:noWrap/>
            <w:vAlign w:val="center"/>
          </w:tcPr>
          <w:p w14:paraId="3E3C3D05">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04D5BD7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600.08 </w:t>
            </w:r>
          </w:p>
        </w:tc>
        <w:tc>
          <w:tcPr>
            <w:tcW w:w="0" w:type="auto"/>
            <w:tcBorders>
              <w:top w:val="nil"/>
              <w:left w:val="nil"/>
              <w:bottom w:val="nil"/>
              <w:right w:val="nil"/>
            </w:tcBorders>
            <w:shd w:val="clear" w:color="auto" w:fill="auto"/>
            <w:noWrap/>
            <w:vAlign w:val="center"/>
          </w:tcPr>
          <w:p w14:paraId="2103A84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485.09 </w:t>
            </w:r>
          </w:p>
        </w:tc>
        <w:tc>
          <w:tcPr>
            <w:tcW w:w="0" w:type="auto"/>
            <w:tcBorders>
              <w:top w:val="nil"/>
              <w:left w:val="nil"/>
              <w:bottom w:val="nil"/>
              <w:right w:val="nil"/>
            </w:tcBorders>
            <w:shd w:val="clear" w:color="auto" w:fill="auto"/>
            <w:noWrap/>
            <w:vAlign w:val="center"/>
          </w:tcPr>
          <w:p w14:paraId="5A4328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713.49 </w:t>
            </w:r>
          </w:p>
        </w:tc>
      </w:tr>
      <w:tr w14:paraId="5FA34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tcBorders>
              <w:top w:val="nil"/>
              <w:left w:val="nil"/>
              <w:bottom w:val="nil"/>
              <w:right w:val="nil"/>
            </w:tcBorders>
            <w:shd w:val="clear" w:color="auto" w:fill="auto"/>
            <w:noWrap/>
            <w:vAlign w:val="center"/>
          </w:tcPr>
          <w:p w14:paraId="7625C5E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2018</w:t>
            </w:r>
          </w:p>
        </w:tc>
        <w:tc>
          <w:tcPr>
            <w:tcW w:w="0" w:type="auto"/>
            <w:tcBorders>
              <w:top w:val="nil"/>
              <w:left w:val="nil"/>
              <w:bottom w:val="nil"/>
              <w:right w:val="nil"/>
            </w:tcBorders>
            <w:shd w:val="clear" w:color="auto" w:fill="auto"/>
            <w:noWrap/>
            <w:vAlign w:val="center"/>
          </w:tcPr>
          <w:p w14:paraId="31B7813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2345.39 </w:t>
            </w:r>
          </w:p>
        </w:tc>
        <w:tc>
          <w:tcPr>
            <w:tcW w:w="0" w:type="auto"/>
            <w:tcBorders>
              <w:top w:val="nil"/>
              <w:left w:val="nil"/>
              <w:bottom w:val="nil"/>
              <w:right w:val="nil"/>
            </w:tcBorders>
            <w:shd w:val="clear" w:color="auto" w:fill="auto"/>
            <w:noWrap/>
            <w:vAlign w:val="center"/>
          </w:tcPr>
          <w:p w14:paraId="32C9A2D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1906.31 </w:t>
            </w:r>
          </w:p>
        </w:tc>
        <w:tc>
          <w:tcPr>
            <w:tcW w:w="0" w:type="auto"/>
            <w:tcBorders>
              <w:top w:val="nil"/>
              <w:left w:val="nil"/>
              <w:bottom w:val="nil"/>
              <w:right w:val="nil"/>
            </w:tcBorders>
            <w:shd w:val="clear" w:color="auto" w:fill="auto"/>
            <w:noWrap/>
            <w:vAlign w:val="center"/>
          </w:tcPr>
          <w:p w14:paraId="75726C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2780.75 </w:t>
            </w:r>
          </w:p>
        </w:tc>
        <w:tc>
          <w:tcPr>
            <w:tcW w:w="0" w:type="auto"/>
            <w:tcBorders>
              <w:top w:val="nil"/>
              <w:left w:val="nil"/>
              <w:bottom w:val="nil"/>
              <w:right w:val="nil"/>
            </w:tcBorders>
            <w:shd w:val="clear" w:color="auto" w:fill="auto"/>
            <w:noWrap/>
            <w:vAlign w:val="center"/>
          </w:tcPr>
          <w:p w14:paraId="50D78C2F">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2CF801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5348.46 </w:t>
            </w:r>
          </w:p>
        </w:tc>
        <w:tc>
          <w:tcPr>
            <w:tcW w:w="0" w:type="auto"/>
            <w:tcBorders>
              <w:top w:val="nil"/>
              <w:left w:val="nil"/>
              <w:bottom w:val="nil"/>
              <w:right w:val="nil"/>
            </w:tcBorders>
            <w:shd w:val="clear" w:color="auto" w:fill="auto"/>
            <w:noWrap/>
            <w:vAlign w:val="center"/>
          </w:tcPr>
          <w:p w14:paraId="3A2AEA6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4289.15 </w:t>
            </w:r>
          </w:p>
        </w:tc>
        <w:tc>
          <w:tcPr>
            <w:tcW w:w="0" w:type="auto"/>
            <w:tcBorders>
              <w:top w:val="nil"/>
              <w:left w:val="nil"/>
              <w:bottom w:val="nil"/>
              <w:right w:val="nil"/>
            </w:tcBorders>
            <w:shd w:val="clear" w:color="auto" w:fill="auto"/>
            <w:noWrap/>
            <w:vAlign w:val="center"/>
          </w:tcPr>
          <w:p w14:paraId="437AFF5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6386.69 </w:t>
            </w:r>
          </w:p>
        </w:tc>
        <w:tc>
          <w:tcPr>
            <w:tcW w:w="0" w:type="auto"/>
            <w:tcBorders>
              <w:top w:val="nil"/>
              <w:left w:val="nil"/>
              <w:bottom w:val="nil"/>
              <w:right w:val="nil"/>
            </w:tcBorders>
            <w:shd w:val="clear" w:color="auto" w:fill="auto"/>
            <w:noWrap/>
            <w:vAlign w:val="center"/>
          </w:tcPr>
          <w:p w14:paraId="3BF3F259">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77AB92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604.52 </w:t>
            </w:r>
          </w:p>
        </w:tc>
        <w:tc>
          <w:tcPr>
            <w:tcW w:w="0" w:type="auto"/>
            <w:tcBorders>
              <w:top w:val="nil"/>
              <w:left w:val="nil"/>
              <w:bottom w:val="nil"/>
              <w:right w:val="nil"/>
            </w:tcBorders>
            <w:shd w:val="clear" w:color="auto" w:fill="auto"/>
            <w:noWrap/>
            <w:vAlign w:val="center"/>
          </w:tcPr>
          <w:p w14:paraId="4A127FB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489.59 </w:t>
            </w:r>
          </w:p>
        </w:tc>
        <w:tc>
          <w:tcPr>
            <w:tcW w:w="0" w:type="auto"/>
            <w:tcBorders>
              <w:top w:val="nil"/>
              <w:left w:val="nil"/>
              <w:bottom w:val="nil"/>
              <w:right w:val="nil"/>
            </w:tcBorders>
            <w:shd w:val="clear" w:color="auto" w:fill="auto"/>
            <w:noWrap/>
            <w:vAlign w:val="center"/>
          </w:tcPr>
          <w:p w14:paraId="6AA84D7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717.79 </w:t>
            </w:r>
          </w:p>
        </w:tc>
      </w:tr>
      <w:tr w14:paraId="4A46D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tcBorders>
              <w:top w:val="nil"/>
              <w:left w:val="nil"/>
              <w:bottom w:val="nil"/>
              <w:right w:val="nil"/>
            </w:tcBorders>
            <w:shd w:val="clear" w:color="auto" w:fill="auto"/>
            <w:noWrap/>
            <w:vAlign w:val="center"/>
          </w:tcPr>
          <w:p w14:paraId="7C9D69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2019</w:t>
            </w:r>
          </w:p>
        </w:tc>
        <w:tc>
          <w:tcPr>
            <w:tcW w:w="0" w:type="auto"/>
            <w:tcBorders>
              <w:top w:val="nil"/>
              <w:left w:val="nil"/>
              <w:bottom w:val="nil"/>
              <w:right w:val="nil"/>
            </w:tcBorders>
            <w:shd w:val="clear" w:color="auto" w:fill="auto"/>
            <w:noWrap/>
            <w:vAlign w:val="center"/>
          </w:tcPr>
          <w:p w14:paraId="0EC1149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2351.89 </w:t>
            </w:r>
          </w:p>
        </w:tc>
        <w:tc>
          <w:tcPr>
            <w:tcW w:w="0" w:type="auto"/>
            <w:tcBorders>
              <w:top w:val="nil"/>
              <w:left w:val="nil"/>
              <w:bottom w:val="nil"/>
              <w:right w:val="nil"/>
            </w:tcBorders>
            <w:shd w:val="clear" w:color="auto" w:fill="auto"/>
            <w:noWrap/>
            <w:vAlign w:val="center"/>
          </w:tcPr>
          <w:p w14:paraId="492DB98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1912.11 </w:t>
            </w:r>
          </w:p>
        </w:tc>
        <w:tc>
          <w:tcPr>
            <w:tcW w:w="0" w:type="auto"/>
            <w:tcBorders>
              <w:top w:val="nil"/>
              <w:left w:val="nil"/>
              <w:bottom w:val="nil"/>
              <w:right w:val="nil"/>
            </w:tcBorders>
            <w:shd w:val="clear" w:color="auto" w:fill="auto"/>
            <w:noWrap/>
            <w:vAlign w:val="center"/>
          </w:tcPr>
          <w:p w14:paraId="297E1F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2787.80 </w:t>
            </w:r>
          </w:p>
        </w:tc>
        <w:tc>
          <w:tcPr>
            <w:tcW w:w="0" w:type="auto"/>
            <w:tcBorders>
              <w:top w:val="nil"/>
              <w:left w:val="nil"/>
              <w:bottom w:val="nil"/>
              <w:right w:val="nil"/>
            </w:tcBorders>
            <w:shd w:val="clear" w:color="auto" w:fill="auto"/>
            <w:noWrap/>
            <w:vAlign w:val="center"/>
          </w:tcPr>
          <w:p w14:paraId="034382E5">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5E77D5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5365.76 </w:t>
            </w:r>
          </w:p>
        </w:tc>
        <w:tc>
          <w:tcPr>
            <w:tcW w:w="0" w:type="auto"/>
            <w:tcBorders>
              <w:top w:val="nil"/>
              <w:left w:val="nil"/>
              <w:bottom w:val="nil"/>
              <w:right w:val="nil"/>
            </w:tcBorders>
            <w:shd w:val="clear" w:color="auto" w:fill="auto"/>
            <w:noWrap/>
            <w:vAlign w:val="center"/>
          </w:tcPr>
          <w:p w14:paraId="5F8C56C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4304.87 </w:t>
            </w:r>
          </w:p>
        </w:tc>
        <w:tc>
          <w:tcPr>
            <w:tcW w:w="0" w:type="auto"/>
            <w:tcBorders>
              <w:top w:val="nil"/>
              <w:left w:val="nil"/>
              <w:bottom w:val="nil"/>
              <w:right w:val="nil"/>
            </w:tcBorders>
            <w:shd w:val="clear" w:color="auto" w:fill="auto"/>
            <w:noWrap/>
            <w:vAlign w:val="center"/>
          </w:tcPr>
          <w:p w14:paraId="6D698DA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6405.61 </w:t>
            </w:r>
          </w:p>
        </w:tc>
        <w:tc>
          <w:tcPr>
            <w:tcW w:w="0" w:type="auto"/>
            <w:tcBorders>
              <w:top w:val="nil"/>
              <w:left w:val="nil"/>
              <w:bottom w:val="nil"/>
              <w:right w:val="nil"/>
            </w:tcBorders>
            <w:shd w:val="clear" w:color="auto" w:fill="auto"/>
            <w:noWrap/>
            <w:vAlign w:val="center"/>
          </w:tcPr>
          <w:p w14:paraId="250A2E8D">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15D6F0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606.35 </w:t>
            </w:r>
          </w:p>
        </w:tc>
        <w:tc>
          <w:tcPr>
            <w:tcW w:w="0" w:type="auto"/>
            <w:tcBorders>
              <w:top w:val="nil"/>
              <w:left w:val="nil"/>
              <w:bottom w:val="nil"/>
              <w:right w:val="nil"/>
            </w:tcBorders>
            <w:shd w:val="clear" w:color="auto" w:fill="auto"/>
            <w:noWrap/>
            <w:vAlign w:val="center"/>
          </w:tcPr>
          <w:p w14:paraId="0B0044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491.24 </w:t>
            </w:r>
          </w:p>
        </w:tc>
        <w:tc>
          <w:tcPr>
            <w:tcW w:w="0" w:type="auto"/>
            <w:tcBorders>
              <w:top w:val="nil"/>
              <w:left w:val="nil"/>
              <w:bottom w:val="nil"/>
              <w:right w:val="nil"/>
            </w:tcBorders>
            <w:shd w:val="clear" w:color="auto" w:fill="auto"/>
            <w:noWrap/>
            <w:vAlign w:val="center"/>
          </w:tcPr>
          <w:p w14:paraId="4A7266F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719.80 </w:t>
            </w:r>
          </w:p>
        </w:tc>
      </w:tr>
      <w:tr w14:paraId="23872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tcBorders>
              <w:top w:val="nil"/>
              <w:left w:val="nil"/>
              <w:bottom w:val="nil"/>
              <w:right w:val="nil"/>
            </w:tcBorders>
            <w:shd w:val="clear" w:color="auto" w:fill="auto"/>
            <w:noWrap/>
            <w:vAlign w:val="center"/>
          </w:tcPr>
          <w:p w14:paraId="3E6C68C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2020</w:t>
            </w:r>
          </w:p>
        </w:tc>
        <w:tc>
          <w:tcPr>
            <w:tcW w:w="0" w:type="auto"/>
            <w:tcBorders>
              <w:top w:val="nil"/>
              <w:left w:val="nil"/>
              <w:bottom w:val="nil"/>
              <w:right w:val="nil"/>
            </w:tcBorders>
            <w:shd w:val="clear" w:color="auto" w:fill="auto"/>
            <w:noWrap/>
            <w:vAlign w:val="center"/>
          </w:tcPr>
          <w:p w14:paraId="588733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2347.27 </w:t>
            </w:r>
          </w:p>
        </w:tc>
        <w:tc>
          <w:tcPr>
            <w:tcW w:w="0" w:type="auto"/>
            <w:tcBorders>
              <w:top w:val="nil"/>
              <w:left w:val="nil"/>
              <w:bottom w:val="nil"/>
              <w:right w:val="nil"/>
            </w:tcBorders>
            <w:shd w:val="clear" w:color="auto" w:fill="auto"/>
            <w:noWrap/>
            <w:vAlign w:val="center"/>
          </w:tcPr>
          <w:p w14:paraId="3DE4F5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1906.50 </w:t>
            </w:r>
          </w:p>
        </w:tc>
        <w:tc>
          <w:tcPr>
            <w:tcW w:w="0" w:type="auto"/>
            <w:tcBorders>
              <w:top w:val="nil"/>
              <w:left w:val="nil"/>
              <w:bottom w:val="nil"/>
              <w:right w:val="nil"/>
            </w:tcBorders>
            <w:shd w:val="clear" w:color="auto" w:fill="auto"/>
            <w:noWrap/>
            <w:vAlign w:val="center"/>
          </w:tcPr>
          <w:p w14:paraId="6876C5C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2784.11 </w:t>
            </w:r>
          </w:p>
        </w:tc>
        <w:tc>
          <w:tcPr>
            <w:tcW w:w="0" w:type="auto"/>
            <w:tcBorders>
              <w:top w:val="nil"/>
              <w:left w:val="nil"/>
              <w:bottom w:val="nil"/>
              <w:right w:val="nil"/>
            </w:tcBorders>
            <w:shd w:val="clear" w:color="auto" w:fill="auto"/>
            <w:noWrap/>
            <w:vAlign w:val="center"/>
          </w:tcPr>
          <w:p w14:paraId="3C1700AD">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420884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5354.01 </w:t>
            </w:r>
          </w:p>
        </w:tc>
        <w:tc>
          <w:tcPr>
            <w:tcW w:w="0" w:type="auto"/>
            <w:tcBorders>
              <w:top w:val="nil"/>
              <w:left w:val="nil"/>
              <w:bottom w:val="nil"/>
              <w:right w:val="nil"/>
            </w:tcBorders>
            <w:shd w:val="clear" w:color="auto" w:fill="auto"/>
            <w:noWrap/>
            <w:vAlign w:val="center"/>
          </w:tcPr>
          <w:p w14:paraId="019BD1E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4293.46 </w:t>
            </w:r>
          </w:p>
        </w:tc>
        <w:tc>
          <w:tcPr>
            <w:tcW w:w="0" w:type="auto"/>
            <w:tcBorders>
              <w:top w:val="nil"/>
              <w:left w:val="nil"/>
              <w:bottom w:val="nil"/>
              <w:right w:val="nil"/>
            </w:tcBorders>
            <w:shd w:val="clear" w:color="auto" w:fill="auto"/>
            <w:noWrap/>
            <w:vAlign w:val="center"/>
          </w:tcPr>
          <w:p w14:paraId="24B7DEC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6394.05 </w:t>
            </w:r>
          </w:p>
        </w:tc>
        <w:tc>
          <w:tcPr>
            <w:tcW w:w="0" w:type="auto"/>
            <w:tcBorders>
              <w:top w:val="nil"/>
              <w:left w:val="nil"/>
              <w:bottom w:val="nil"/>
              <w:right w:val="nil"/>
            </w:tcBorders>
            <w:shd w:val="clear" w:color="auto" w:fill="auto"/>
            <w:noWrap/>
            <w:vAlign w:val="center"/>
          </w:tcPr>
          <w:p w14:paraId="475EF77A">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5682FE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604.56 </w:t>
            </w:r>
          </w:p>
        </w:tc>
        <w:tc>
          <w:tcPr>
            <w:tcW w:w="0" w:type="auto"/>
            <w:tcBorders>
              <w:top w:val="nil"/>
              <w:left w:val="nil"/>
              <w:bottom w:val="nil"/>
              <w:right w:val="nil"/>
            </w:tcBorders>
            <w:shd w:val="clear" w:color="auto" w:fill="auto"/>
            <w:noWrap/>
            <w:vAlign w:val="center"/>
          </w:tcPr>
          <w:p w14:paraId="1830687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489.75 </w:t>
            </w:r>
          </w:p>
        </w:tc>
        <w:tc>
          <w:tcPr>
            <w:tcW w:w="0" w:type="auto"/>
            <w:tcBorders>
              <w:top w:val="nil"/>
              <w:left w:val="nil"/>
              <w:bottom w:val="nil"/>
              <w:right w:val="nil"/>
            </w:tcBorders>
            <w:shd w:val="clear" w:color="auto" w:fill="auto"/>
            <w:noWrap/>
            <w:vAlign w:val="center"/>
          </w:tcPr>
          <w:p w14:paraId="12200A3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717.78 </w:t>
            </w:r>
          </w:p>
        </w:tc>
      </w:tr>
      <w:tr w14:paraId="6599C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jc w:val="center"/>
        </w:trPr>
        <w:tc>
          <w:tcPr>
            <w:tcW w:w="0" w:type="auto"/>
            <w:tcBorders>
              <w:top w:val="nil"/>
              <w:left w:val="nil"/>
              <w:bottom w:val="single" w:color="000000" w:sz="4" w:space="0"/>
              <w:right w:val="nil"/>
            </w:tcBorders>
            <w:shd w:val="clear" w:color="auto" w:fill="auto"/>
            <w:noWrap/>
            <w:vAlign w:val="center"/>
          </w:tcPr>
          <w:p w14:paraId="295F41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2021</w:t>
            </w:r>
          </w:p>
        </w:tc>
        <w:tc>
          <w:tcPr>
            <w:tcW w:w="0" w:type="auto"/>
            <w:tcBorders>
              <w:top w:val="nil"/>
              <w:left w:val="nil"/>
              <w:bottom w:val="single" w:color="000000" w:sz="4" w:space="0"/>
              <w:right w:val="nil"/>
            </w:tcBorders>
            <w:shd w:val="clear" w:color="auto" w:fill="auto"/>
            <w:noWrap/>
            <w:vAlign w:val="center"/>
          </w:tcPr>
          <w:p w14:paraId="7AFB31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2342.46 </w:t>
            </w:r>
          </w:p>
        </w:tc>
        <w:tc>
          <w:tcPr>
            <w:tcW w:w="0" w:type="auto"/>
            <w:tcBorders>
              <w:top w:val="nil"/>
              <w:left w:val="nil"/>
              <w:bottom w:val="single" w:color="000000" w:sz="4" w:space="0"/>
              <w:right w:val="nil"/>
            </w:tcBorders>
            <w:shd w:val="clear" w:color="auto" w:fill="auto"/>
            <w:noWrap/>
            <w:vAlign w:val="center"/>
          </w:tcPr>
          <w:p w14:paraId="15196C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1901.62 </w:t>
            </w:r>
          </w:p>
        </w:tc>
        <w:tc>
          <w:tcPr>
            <w:tcW w:w="0" w:type="auto"/>
            <w:tcBorders>
              <w:top w:val="nil"/>
              <w:left w:val="nil"/>
              <w:bottom w:val="single" w:color="000000" w:sz="4" w:space="0"/>
              <w:right w:val="nil"/>
            </w:tcBorders>
            <w:shd w:val="clear" w:color="auto" w:fill="auto"/>
            <w:noWrap/>
            <w:vAlign w:val="center"/>
          </w:tcPr>
          <w:p w14:paraId="7614DD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2779.16 </w:t>
            </w:r>
          </w:p>
        </w:tc>
        <w:tc>
          <w:tcPr>
            <w:tcW w:w="0" w:type="auto"/>
            <w:tcBorders>
              <w:top w:val="nil"/>
              <w:left w:val="nil"/>
              <w:bottom w:val="single" w:color="000000" w:sz="4" w:space="0"/>
              <w:right w:val="nil"/>
            </w:tcBorders>
            <w:shd w:val="clear" w:color="auto" w:fill="auto"/>
            <w:noWrap/>
            <w:vAlign w:val="center"/>
          </w:tcPr>
          <w:p w14:paraId="38DE33C2">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single" w:color="000000" w:sz="4" w:space="0"/>
              <w:right w:val="nil"/>
            </w:tcBorders>
            <w:shd w:val="clear" w:color="auto" w:fill="auto"/>
            <w:noWrap/>
            <w:vAlign w:val="center"/>
          </w:tcPr>
          <w:p w14:paraId="46EB41E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5342.10 </w:t>
            </w:r>
          </w:p>
        </w:tc>
        <w:tc>
          <w:tcPr>
            <w:tcW w:w="0" w:type="auto"/>
            <w:tcBorders>
              <w:top w:val="nil"/>
              <w:left w:val="nil"/>
              <w:bottom w:val="single" w:color="000000" w:sz="4" w:space="0"/>
              <w:right w:val="nil"/>
            </w:tcBorders>
            <w:shd w:val="clear" w:color="auto" w:fill="auto"/>
            <w:noWrap/>
            <w:vAlign w:val="center"/>
          </w:tcPr>
          <w:p w14:paraId="44E85B8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4282.30 </w:t>
            </w:r>
          </w:p>
        </w:tc>
        <w:tc>
          <w:tcPr>
            <w:tcW w:w="0" w:type="auto"/>
            <w:tcBorders>
              <w:top w:val="nil"/>
              <w:left w:val="nil"/>
              <w:bottom w:val="single" w:color="000000" w:sz="4" w:space="0"/>
              <w:right w:val="nil"/>
            </w:tcBorders>
            <w:shd w:val="clear" w:color="auto" w:fill="auto"/>
            <w:noWrap/>
            <w:vAlign w:val="center"/>
          </w:tcPr>
          <w:p w14:paraId="5188359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6381.38 </w:t>
            </w:r>
          </w:p>
        </w:tc>
        <w:tc>
          <w:tcPr>
            <w:tcW w:w="0" w:type="auto"/>
            <w:tcBorders>
              <w:top w:val="nil"/>
              <w:left w:val="nil"/>
              <w:bottom w:val="single" w:color="000000" w:sz="4" w:space="0"/>
              <w:right w:val="nil"/>
            </w:tcBorders>
            <w:shd w:val="clear" w:color="auto" w:fill="auto"/>
            <w:noWrap/>
            <w:vAlign w:val="center"/>
          </w:tcPr>
          <w:p w14:paraId="27571C41">
            <w:pPr>
              <w:jc w:val="center"/>
              <w:rPr>
                <w:rFonts w:hint="default" w:ascii="Times New Roman" w:hAnsi="Times New Roman" w:eastAsia="宋体" w:cs="Times New Roman"/>
                <w:i w:val="0"/>
                <w:iCs w:val="0"/>
                <w:color w:val="000000"/>
                <w:sz w:val="20"/>
                <w:szCs w:val="20"/>
                <w:u w:val="none"/>
              </w:rPr>
            </w:pPr>
          </w:p>
        </w:tc>
        <w:tc>
          <w:tcPr>
            <w:tcW w:w="0" w:type="auto"/>
            <w:tcBorders>
              <w:top w:val="nil"/>
              <w:left w:val="nil"/>
              <w:bottom w:val="single" w:color="000000" w:sz="4" w:space="0"/>
              <w:right w:val="nil"/>
            </w:tcBorders>
            <w:shd w:val="clear" w:color="auto" w:fill="auto"/>
            <w:noWrap/>
            <w:vAlign w:val="center"/>
          </w:tcPr>
          <w:p w14:paraId="04CC468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603.03 </w:t>
            </w:r>
          </w:p>
        </w:tc>
        <w:tc>
          <w:tcPr>
            <w:tcW w:w="0" w:type="auto"/>
            <w:tcBorders>
              <w:top w:val="nil"/>
              <w:left w:val="nil"/>
              <w:bottom w:val="single" w:color="000000" w:sz="4" w:space="0"/>
              <w:right w:val="nil"/>
            </w:tcBorders>
            <w:shd w:val="clear" w:color="auto" w:fill="auto"/>
            <w:noWrap/>
            <w:vAlign w:val="center"/>
          </w:tcPr>
          <w:p w14:paraId="75B791D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488.36 </w:t>
            </w:r>
          </w:p>
        </w:tc>
        <w:tc>
          <w:tcPr>
            <w:tcW w:w="0" w:type="auto"/>
            <w:tcBorders>
              <w:top w:val="nil"/>
              <w:left w:val="nil"/>
              <w:bottom w:val="single" w:color="000000" w:sz="4" w:space="0"/>
              <w:right w:val="nil"/>
            </w:tcBorders>
            <w:shd w:val="clear" w:color="auto" w:fill="auto"/>
            <w:noWrap/>
            <w:vAlign w:val="center"/>
          </w:tcPr>
          <w:p w14:paraId="7DEAB38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 xml:space="preserve">716.15 </w:t>
            </w:r>
          </w:p>
        </w:tc>
      </w:tr>
    </w:tbl>
    <w:p w14:paraId="1A023159">
      <w:pPr>
        <w:rPr>
          <w:rFonts w:hint="default" w:ascii="Times New Roman" w:hAnsi="Times New Roman" w:cs="Times New Roman"/>
          <w:lang w:val="en-US" w:eastAsia="zh-CN"/>
        </w:rPr>
      </w:pPr>
      <w:r>
        <w:rPr>
          <w:rFonts w:hint="default" w:ascii="Times New Roman" w:hAnsi="Times New Roman" w:cs="Times New Roman"/>
          <w:lang w:val="en-US" w:eastAsia="zh-CN"/>
        </w:rPr>
        <w:br w:type="page"/>
      </w:r>
    </w:p>
    <w:p w14:paraId="417D102A">
      <w:pPr>
        <w:rPr>
          <w:rFonts w:hint="eastAsia" w:ascii="Times New Roman" w:hAnsi="Times New Roman" w:cs="Times New Roman"/>
          <w:szCs w:val="21"/>
        </w:rPr>
      </w:pPr>
      <w:r>
        <w:rPr>
          <w:rFonts w:hint="default" w:ascii="Times New Roman" w:hAnsi="Times New Roman" w:cs="Times New Roman"/>
          <w:lang w:val="en-US" w:eastAsia="zh-CN"/>
        </w:rPr>
        <w:t xml:space="preserve">A </w:t>
      </w:r>
      <w:r>
        <w:rPr>
          <w:rFonts w:hint="eastAsia" w:ascii="Times New Roman" w:hAnsi="Times New Roman" w:cs="Times New Roman"/>
          <w:lang w:val="en-US" w:eastAsia="zh-CN"/>
        </w:rPr>
        <w:t xml:space="preserve"> </w:t>
      </w:r>
      <w:r>
        <w:rPr>
          <w:rFonts w:hint="eastAsia" w:ascii="Times New Roman" w:hAnsi="Times New Roman" w:cs="Times New Roman"/>
          <w:szCs w:val="21"/>
        </w:rPr>
        <w:t xml:space="preserve">Local drift for </w:t>
      </w:r>
      <w:r>
        <w:rPr>
          <w:rFonts w:hint="eastAsia" w:ascii="Times New Roman" w:hAnsi="Times New Roman" w:cs="Times New Roman"/>
          <w:szCs w:val="21"/>
          <w:lang w:val="en-US" w:eastAsia="zh-CN"/>
        </w:rPr>
        <w:t>preval</w:t>
      </w:r>
      <w:r>
        <w:rPr>
          <w:rFonts w:hint="eastAsia" w:ascii="Times New Roman" w:hAnsi="Times New Roman" w:cs="Times New Roman"/>
          <w:szCs w:val="21"/>
        </w:rPr>
        <w:t>ence rates of LBP in China</w:t>
      </w:r>
    </w:p>
    <w:p w14:paraId="6F389A4C">
      <w:r>
        <w:drawing>
          <wp:inline distT="0" distB="0" distL="114300" distR="114300">
            <wp:extent cx="4084955" cy="2776220"/>
            <wp:effectExtent l="0" t="0" r="4445" b="5080"/>
            <wp:docPr id="2"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6AAE8110">
      <w:pPr>
        <w:spacing w:line="240" w:lineRule="auto"/>
      </w:pPr>
      <w:r>
        <w:rPr>
          <w:rFonts w:hint="eastAsia" w:ascii="Times New Roman" w:hAnsi="Times New Roman" w:cs="Times New Roman"/>
          <w:szCs w:val="21"/>
          <w:lang w:val="en-US" w:eastAsia="zh-CN"/>
        </w:rPr>
        <w:t>B  Age effects</w:t>
      </w:r>
    </w:p>
    <w:p w14:paraId="7781C8C5">
      <w:r>
        <w:drawing>
          <wp:inline distT="0" distB="0" distL="114300" distR="114300">
            <wp:extent cx="4128135" cy="2857500"/>
            <wp:effectExtent l="0" t="0" r="12065" b="0"/>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7CE2A64B">
      <w:pPr>
        <w:rPr>
          <w:rFonts w:hint="default" w:ascii="Times New Roman" w:hAnsi="Times New Roman" w:cs="Times New Roman"/>
          <w:lang w:val="en-US" w:eastAsia="zh-CN"/>
        </w:rPr>
      </w:pPr>
      <w:r>
        <w:rPr>
          <w:rFonts w:hint="default" w:ascii="Times New Roman" w:hAnsi="Times New Roman" w:cs="Times New Roman"/>
          <w:lang w:val="en-US" w:eastAsia="zh-CN"/>
        </w:rPr>
        <w:br w:type="page"/>
      </w:r>
    </w:p>
    <w:p w14:paraId="144484E9">
      <w:pPr>
        <w:spacing w:line="240" w:lineRule="auto"/>
        <w:rPr>
          <w:rFonts w:hint="default" w:ascii="Times New Roman" w:hAnsi="Times New Roman" w:cs="Times New Roman"/>
          <w:lang w:val="en-US" w:eastAsia="zh-CN"/>
        </w:rPr>
      </w:pPr>
      <w:r>
        <w:rPr>
          <w:rFonts w:hint="default" w:ascii="Times New Roman" w:hAnsi="Times New Roman" w:cs="Times New Roman"/>
          <w:lang w:val="en-US" w:eastAsia="zh-CN"/>
        </w:rPr>
        <w:t>C  Period effects</w:t>
      </w:r>
    </w:p>
    <w:p w14:paraId="3FACA007">
      <w:r>
        <w:drawing>
          <wp:inline distT="0" distB="0" distL="114300" distR="114300">
            <wp:extent cx="3996055" cy="2833370"/>
            <wp:effectExtent l="0" t="0" r="4445" b="11430"/>
            <wp:docPr id="3"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C24DD7D">
      <w:pPr>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D  Cohort effects</w:t>
      </w:r>
    </w:p>
    <w:p w14:paraId="1BFE3D64">
      <w:r>
        <w:drawing>
          <wp:inline distT="0" distB="0" distL="114300" distR="114300">
            <wp:extent cx="4044950" cy="3187700"/>
            <wp:effectExtent l="0" t="0" r="6350" b="0"/>
            <wp:docPr id="4"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75D456E">
      <w:pPr>
        <w:rPr>
          <w:rFonts w:hint="eastAsia" w:ascii="Times New Roman" w:hAnsi="Times New Roman" w:cs="Times New Roman"/>
          <w:szCs w:val="21"/>
          <w:lang w:val="en-US" w:eastAsia="zh-CN"/>
        </w:rPr>
      </w:pPr>
      <w:r>
        <w:rPr>
          <w:rFonts w:ascii="Times New Roman" w:hAnsi="Times New Roman" w:cs="Times New Roman"/>
          <w:szCs w:val="21"/>
        </w:rPr>
        <w:t>Figure</w:t>
      </w:r>
      <w:r>
        <w:rPr>
          <w:rFonts w:hint="eastAsia" w:ascii="Times New Roman" w:hAnsi="Times New Roman" w:cs="Times New Roman"/>
          <w:szCs w:val="21"/>
        </w:rPr>
        <w:t xml:space="preserve"> </w:t>
      </w:r>
      <w:r>
        <w:rPr>
          <w:rFonts w:hint="eastAsia" w:ascii="Times New Roman" w:hAnsi="Times New Roman" w:cs="Times New Roman"/>
          <w:szCs w:val="21"/>
          <w:lang w:val="en-US" w:eastAsia="zh-CN"/>
        </w:rPr>
        <w:t>S1</w:t>
      </w:r>
      <w:r>
        <w:rPr>
          <w:rFonts w:hint="eastAsia" w:ascii="Times New Roman" w:hAnsi="Times New Roman" w:cs="Times New Roman"/>
          <w:szCs w:val="21"/>
        </w:rPr>
        <w:t>.</w:t>
      </w:r>
      <w:r>
        <w:rPr>
          <w:rFonts w:ascii="Times New Roman" w:hAnsi="Times New Roman" w:cs="Times New Roman"/>
          <w:szCs w:val="21"/>
        </w:rPr>
        <w:t xml:space="preserve"> </w:t>
      </w:r>
      <w:r>
        <w:rPr>
          <w:rFonts w:hint="eastAsia" w:ascii="Times New Roman" w:hAnsi="Times New Roman" w:cs="Times New Roman"/>
          <w:szCs w:val="21"/>
          <w:lang w:val="en-US" w:eastAsia="zh-CN"/>
        </w:rPr>
        <w:t>Age, p</w:t>
      </w:r>
      <w:r>
        <w:rPr>
          <w:rFonts w:hint="eastAsia" w:ascii="Times New Roman" w:hAnsi="Times New Roman" w:cs="Times New Roman"/>
          <w:szCs w:val="21"/>
        </w:rPr>
        <w:t>eriod</w:t>
      </w:r>
      <w:r>
        <w:rPr>
          <w:rFonts w:hint="eastAsia" w:ascii="Times New Roman" w:hAnsi="Times New Roman" w:cs="Times New Roman"/>
          <w:szCs w:val="21"/>
          <w:lang w:val="en-US" w:eastAsia="zh-CN"/>
        </w:rPr>
        <w:t xml:space="preserve"> and cohort effects on low back pain (LBP)</w:t>
      </w:r>
      <w:r>
        <w:rPr>
          <w:rFonts w:hint="eastAsia" w:ascii="Times New Roman" w:hAnsi="Times New Roman" w:cs="Times New Roman"/>
          <w:szCs w:val="21"/>
        </w:rPr>
        <w:t xml:space="preserve"> </w:t>
      </w:r>
      <w:r>
        <w:rPr>
          <w:rFonts w:hint="eastAsia" w:ascii="Times New Roman" w:hAnsi="Times New Roman" w:cs="Times New Roman"/>
          <w:szCs w:val="21"/>
          <w:lang w:val="en-US" w:eastAsia="zh-CN"/>
        </w:rPr>
        <w:t>preval</w:t>
      </w:r>
      <w:r>
        <w:rPr>
          <w:rFonts w:hint="eastAsia" w:ascii="Times New Roman" w:hAnsi="Times New Roman" w:cs="Times New Roman"/>
          <w:szCs w:val="21"/>
        </w:rPr>
        <w:t>ence in China</w:t>
      </w:r>
      <w:r>
        <w:rPr>
          <w:rFonts w:hint="eastAsia" w:ascii="Times New Roman" w:hAnsi="Times New Roman" w:cs="Times New Roman"/>
          <w:szCs w:val="21"/>
          <w:lang w:val="en-US" w:eastAsia="zh-CN"/>
        </w:rPr>
        <w:t xml:space="preserve">. (A) Local drifts for prevalence rates for LBP. (B) </w:t>
      </w:r>
      <w:r>
        <w:rPr>
          <w:rFonts w:hint="eastAsia" w:ascii="Times New Roman" w:hAnsi="Times New Roman" w:cs="Times New Roman"/>
          <w:sz w:val="21"/>
          <w:szCs w:val="21"/>
          <w:lang w:val="en-US" w:eastAsia="zh-CN"/>
        </w:rPr>
        <w:t xml:space="preserve">Longitudinal age curves for </w:t>
      </w:r>
      <w:r>
        <w:rPr>
          <w:rFonts w:hint="eastAsia" w:ascii="Times New Roman" w:hAnsi="Times New Roman" w:cs="Times New Roman"/>
          <w:szCs w:val="21"/>
          <w:lang w:val="en-US" w:eastAsia="zh-CN"/>
        </w:rPr>
        <w:t>prevalence</w:t>
      </w:r>
      <w:r>
        <w:rPr>
          <w:rFonts w:hint="eastAsia" w:ascii="Times New Roman" w:hAnsi="Times New Roman" w:cs="Times New Roman"/>
          <w:sz w:val="21"/>
          <w:szCs w:val="21"/>
          <w:lang w:val="en-US" w:eastAsia="zh-CN"/>
        </w:rPr>
        <w:t xml:space="preserve"> rates of LBP. (C) </w:t>
      </w:r>
      <w:r>
        <w:rPr>
          <w:rFonts w:hint="eastAsia" w:ascii="Times New Roman" w:hAnsi="Times New Roman" w:cs="Times New Roman"/>
          <w:szCs w:val="21"/>
          <w:lang w:val="en-US" w:eastAsia="zh-CN"/>
        </w:rPr>
        <w:t>Period</w:t>
      </w:r>
      <w:r>
        <w:rPr>
          <w:rFonts w:hint="eastAsia" w:ascii="Times New Roman" w:hAnsi="Times New Roman" w:cs="Times New Roman"/>
          <w:szCs w:val="21"/>
        </w:rPr>
        <w:t xml:space="preserve"> rate ratio for </w:t>
      </w:r>
      <w:r>
        <w:rPr>
          <w:rFonts w:hint="eastAsia" w:ascii="Times New Roman" w:hAnsi="Times New Roman" w:cs="Times New Roman"/>
          <w:szCs w:val="21"/>
          <w:lang w:val="en-US" w:eastAsia="zh-CN"/>
        </w:rPr>
        <w:t>prevalence</w:t>
      </w:r>
      <w:r>
        <w:rPr>
          <w:rFonts w:hint="eastAsia" w:ascii="Times New Roman" w:hAnsi="Times New Roman" w:cs="Times New Roman"/>
          <w:szCs w:val="21"/>
        </w:rPr>
        <w:t xml:space="preserve"> rates of LBP</w:t>
      </w:r>
      <w:r>
        <w:rPr>
          <w:rFonts w:hint="eastAsia" w:ascii="Times New Roman" w:hAnsi="Times New Roman" w:cs="Times New Roman"/>
          <w:szCs w:val="21"/>
          <w:lang w:val="en-US" w:eastAsia="zh-CN"/>
        </w:rPr>
        <w:t xml:space="preserve">. (D) </w:t>
      </w:r>
      <w:r>
        <w:rPr>
          <w:rFonts w:hint="eastAsia" w:ascii="Times New Roman" w:hAnsi="Times New Roman" w:cs="Times New Roman"/>
          <w:szCs w:val="21"/>
        </w:rPr>
        <w:t xml:space="preserve">Cohort rate ratio for </w:t>
      </w:r>
      <w:r>
        <w:rPr>
          <w:rFonts w:hint="eastAsia" w:ascii="Times New Roman" w:hAnsi="Times New Roman" w:cs="Times New Roman"/>
          <w:szCs w:val="21"/>
          <w:lang w:val="en-US" w:eastAsia="zh-CN"/>
        </w:rPr>
        <w:t>prevalence</w:t>
      </w:r>
      <w:r>
        <w:rPr>
          <w:rFonts w:hint="eastAsia" w:ascii="Times New Roman" w:hAnsi="Times New Roman" w:cs="Times New Roman"/>
          <w:szCs w:val="21"/>
        </w:rPr>
        <w:t xml:space="preserve"> rates of LBP</w:t>
      </w:r>
      <w:r>
        <w:rPr>
          <w:rFonts w:hint="eastAsia" w:ascii="Times New Roman" w:hAnsi="Times New Roman" w:cs="Times New Roman"/>
          <w:szCs w:val="21"/>
          <w:lang w:val="en-US" w:eastAsia="zh-CN"/>
        </w:rPr>
        <w:t>.</w:t>
      </w:r>
    </w:p>
    <w:p w14:paraId="69280CE0">
      <w:pPr>
        <w:rPr>
          <w:rFonts w:hint="eastAsia" w:ascii="Times New Roman" w:hAnsi="Times New Roman" w:cs="Times New Roman"/>
          <w:b/>
          <w:bCs/>
          <w:sz w:val="24"/>
          <w:szCs w:val="32"/>
          <w:lang w:val="en-US" w:eastAsia="zh-CN"/>
        </w:rPr>
      </w:pPr>
      <w:r>
        <w:rPr>
          <w:rFonts w:hint="eastAsia" w:ascii="Times New Roman" w:hAnsi="Times New Roman" w:cs="Times New Roman"/>
          <w:b/>
          <w:bCs/>
          <w:sz w:val="24"/>
          <w:szCs w:val="32"/>
          <w:lang w:val="en-US" w:eastAsia="zh-CN"/>
        </w:rPr>
        <w:br w:type="page"/>
      </w:r>
    </w:p>
    <w:p w14:paraId="570DE839">
      <w:pPr>
        <w:rPr>
          <w:rFonts w:hint="eastAsia" w:ascii="Times New Roman" w:hAnsi="Times New Roman" w:cs="Times New Roman"/>
          <w:szCs w:val="21"/>
        </w:rPr>
      </w:pPr>
      <w:r>
        <w:rPr>
          <w:rFonts w:hint="default" w:ascii="Times New Roman" w:hAnsi="Times New Roman" w:cs="Times New Roman"/>
          <w:lang w:val="en-US" w:eastAsia="zh-CN"/>
        </w:rPr>
        <w:t xml:space="preserve">A </w:t>
      </w:r>
      <w:r>
        <w:rPr>
          <w:rFonts w:hint="eastAsia" w:ascii="Times New Roman" w:hAnsi="Times New Roman" w:cs="Times New Roman"/>
          <w:lang w:val="en-US" w:eastAsia="zh-CN"/>
        </w:rPr>
        <w:t xml:space="preserve"> </w:t>
      </w:r>
      <w:r>
        <w:rPr>
          <w:rFonts w:hint="eastAsia" w:ascii="Times New Roman" w:hAnsi="Times New Roman" w:cs="Times New Roman"/>
          <w:szCs w:val="21"/>
        </w:rPr>
        <w:t xml:space="preserve">Local drift for </w:t>
      </w:r>
      <w:r>
        <w:rPr>
          <w:rFonts w:hint="eastAsia" w:ascii="Times New Roman" w:hAnsi="Times New Roman" w:cs="Times New Roman"/>
          <w:szCs w:val="21"/>
          <w:lang w:val="en-US" w:eastAsia="zh-CN"/>
        </w:rPr>
        <w:t>DALY</w:t>
      </w:r>
      <w:r>
        <w:rPr>
          <w:rFonts w:hint="eastAsia" w:ascii="Times New Roman" w:hAnsi="Times New Roman" w:cs="Times New Roman"/>
          <w:szCs w:val="21"/>
        </w:rPr>
        <w:t xml:space="preserve"> rates of LBP in China</w:t>
      </w:r>
    </w:p>
    <w:p w14:paraId="494167E1">
      <w:r>
        <w:drawing>
          <wp:inline distT="0" distB="0" distL="114300" distR="114300">
            <wp:extent cx="4083685" cy="3397885"/>
            <wp:effectExtent l="0" t="0" r="5715" b="5715"/>
            <wp:docPr id="9"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36F3DA7">
      <w:pPr>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B  Age effects</w:t>
      </w:r>
    </w:p>
    <w:p w14:paraId="724AF6D3">
      <w:r>
        <w:drawing>
          <wp:inline distT="0" distB="0" distL="114300" distR="114300">
            <wp:extent cx="4095750" cy="3271520"/>
            <wp:effectExtent l="0" t="0" r="6350" b="5080"/>
            <wp:docPr id="10"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21C5076">
      <w:pPr>
        <w:rPr>
          <w:rFonts w:hint="eastAsia" w:ascii="Times New Roman" w:hAnsi="Times New Roman" w:cs="Times New Roman"/>
          <w:b/>
          <w:bCs/>
          <w:sz w:val="24"/>
          <w:szCs w:val="32"/>
          <w:lang w:val="en-US" w:eastAsia="zh-CN"/>
        </w:rPr>
      </w:pPr>
      <w:r>
        <w:rPr>
          <w:rFonts w:hint="eastAsia" w:ascii="Times New Roman" w:hAnsi="Times New Roman" w:cs="Times New Roman"/>
          <w:b/>
          <w:bCs/>
          <w:sz w:val="24"/>
          <w:szCs w:val="32"/>
          <w:lang w:val="en-US" w:eastAsia="zh-CN"/>
        </w:rPr>
        <w:br w:type="page"/>
      </w:r>
    </w:p>
    <w:p w14:paraId="7A1C3B85">
      <w:pPr>
        <w:rPr>
          <w:rFonts w:hint="default" w:ascii="Times New Roman" w:hAnsi="Times New Roman" w:cs="Times New Roman"/>
          <w:lang w:val="en-US" w:eastAsia="zh-CN"/>
        </w:rPr>
      </w:pPr>
      <w:r>
        <w:rPr>
          <w:rFonts w:hint="default" w:ascii="Times New Roman" w:hAnsi="Times New Roman" w:cs="Times New Roman"/>
          <w:lang w:val="en-US" w:eastAsia="zh-CN"/>
        </w:rPr>
        <w:t>C  Period effects</w:t>
      </w:r>
    </w:p>
    <w:p w14:paraId="5C9F5CED">
      <w:r>
        <w:drawing>
          <wp:inline distT="0" distB="0" distL="114300" distR="114300">
            <wp:extent cx="4109720" cy="3145155"/>
            <wp:effectExtent l="0" t="0" r="5080" b="4445"/>
            <wp:docPr id="1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AEDA483">
      <w:pPr>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D  Cohort effects</w:t>
      </w:r>
    </w:p>
    <w:p w14:paraId="52014E6A">
      <w:r>
        <w:drawing>
          <wp:inline distT="0" distB="0" distL="114300" distR="114300">
            <wp:extent cx="4116070" cy="3074035"/>
            <wp:effectExtent l="0" t="0" r="11430" b="12065"/>
            <wp:docPr id="12"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B06D87D">
      <w:pPr>
        <w:rPr>
          <w:rFonts w:hint="eastAsia" w:ascii="Times New Roman" w:hAnsi="Times New Roman" w:cs="Times New Roman"/>
          <w:szCs w:val="21"/>
          <w:lang w:val="en-US" w:eastAsia="zh-CN"/>
        </w:rPr>
      </w:pPr>
      <w:r>
        <w:rPr>
          <w:rFonts w:ascii="Times New Roman" w:hAnsi="Times New Roman" w:cs="Times New Roman"/>
          <w:szCs w:val="21"/>
        </w:rPr>
        <w:t>Figure</w:t>
      </w:r>
      <w:r>
        <w:rPr>
          <w:rFonts w:hint="eastAsia" w:ascii="Times New Roman" w:hAnsi="Times New Roman" w:cs="Times New Roman"/>
          <w:szCs w:val="21"/>
        </w:rPr>
        <w:t xml:space="preserve"> </w:t>
      </w:r>
      <w:r>
        <w:rPr>
          <w:rFonts w:hint="eastAsia" w:ascii="Times New Roman" w:hAnsi="Times New Roman" w:cs="Times New Roman"/>
          <w:szCs w:val="21"/>
          <w:lang w:val="en-US" w:eastAsia="zh-CN"/>
        </w:rPr>
        <w:t>S2</w:t>
      </w:r>
      <w:r>
        <w:rPr>
          <w:rFonts w:hint="eastAsia" w:ascii="Times New Roman" w:hAnsi="Times New Roman" w:cs="Times New Roman"/>
          <w:szCs w:val="21"/>
        </w:rPr>
        <w:t>.</w:t>
      </w:r>
      <w:r>
        <w:rPr>
          <w:rFonts w:ascii="Times New Roman" w:hAnsi="Times New Roman" w:cs="Times New Roman"/>
          <w:szCs w:val="21"/>
        </w:rPr>
        <w:t xml:space="preserve"> </w:t>
      </w:r>
      <w:r>
        <w:rPr>
          <w:rFonts w:hint="eastAsia" w:ascii="Times New Roman" w:hAnsi="Times New Roman" w:cs="Times New Roman"/>
          <w:szCs w:val="21"/>
          <w:lang w:val="en-US" w:eastAsia="zh-CN"/>
        </w:rPr>
        <w:t>Age, p</w:t>
      </w:r>
      <w:r>
        <w:rPr>
          <w:rFonts w:hint="eastAsia" w:ascii="Times New Roman" w:hAnsi="Times New Roman" w:cs="Times New Roman"/>
          <w:szCs w:val="21"/>
        </w:rPr>
        <w:t>eriod</w:t>
      </w:r>
      <w:r>
        <w:rPr>
          <w:rFonts w:hint="eastAsia" w:ascii="Times New Roman" w:hAnsi="Times New Roman" w:cs="Times New Roman"/>
          <w:szCs w:val="21"/>
          <w:lang w:val="en-US" w:eastAsia="zh-CN"/>
        </w:rPr>
        <w:t xml:space="preserve"> and cohort effects on low back pain (LBP)</w:t>
      </w:r>
      <w:r>
        <w:rPr>
          <w:rFonts w:hint="eastAsia" w:ascii="Times New Roman" w:hAnsi="Times New Roman" w:cs="Times New Roman"/>
          <w:szCs w:val="21"/>
        </w:rPr>
        <w:t xml:space="preserve"> </w:t>
      </w:r>
      <w:r>
        <w:rPr>
          <w:rFonts w:hint="eastAsia" w:ascii="Times New Roman" w:hAnsi="Times New Roman" w:cs="Times New Roman"/>
          <w:szCs w:val="21"/>
          <w:lang w:val="en-US" w:eastAsia="zh-CN"/>
        </w:rPr>
        <w:t>DALY rates</w:t>
      </w:r>
      <w:r>
        <w:rPr>
          <w:rFonts w:hint="eastAsia" w:ascii="Times New Roman" w:hAnsi="Times New Roman" w:cs="Times New Roman"/>
          <w:szCs w:val="21"/>
        </w:rPr>
        <w:t xml:space="preserve"> in China</w:t>
      </w:r>
      <w:r>
        <w:rPr>
          <w:rFonts w:hint="eastAsia" w:ascii="Times New Roman" w:hAnsi="Times New Roman" w:cs="Times New Roman"/>
          <w:szCs w:val="21"/>
          <w:lang w:val="en-US" w:eastAsia="zh-CN"/>
        </w:rPr>
        <w:t xml:space="preserve">. (A) Local drifts for DALY rates for LBP. (B) </w:t>
      </w:r>
      <w:r>
        <w:rPr>
          <w:rFonts w:hint="eastAsia" w:ascii="Times New Roman" w:hAnsi="Times New Roman" w:cs="Times New Roman"/>
          <w:sz w:val="21"/>
          <w:szCs w:val="21"/>
          <w:lang w:val="en-US" w:eastAsia="zh-CN"/>
        </w:rPr>
        <w:t xml:space="preserve">Longitudinal age curves for </w:t>
      </w:r>
      <w:r>
        <w:rPr>
          <w:rFonts w:hint="eastAsia" w:ascii="Times New Roman" w:hAnsi="Times New Roman" w:cs="Times New Roman"/>
          <w:szCs w:val="21"/>
          <w:lang w:val="en-US" w:eastAsia="zh-CN"/>
        </w:rPr>
        <w:t>DALY</w:t>
      </w:r>
      <w:r>
        <w:rPr>
          <w:rFonts w:hint="eastAsia" w:ascii="Times New Roman" w:hAnsi="Times New Roman" w:cs="Times New Roman"/>
          <w:sz w:val="21"/>
          <w:szCs w:val="21"/>
          <w:lang w:val="en-US" w:eastAsia="zh-CN"/>
        </w:rPr>
        <w:t xml:space="preserve"> rates of LBP. (C) </w:t>
      </w:r>
      <w:r>
        <w:rPr>
          <w:rFonts w:hint="eastAsia" w:ascii="Times New Roman" w:hAnsi="Times New Roman" w:cs="Times New Roman"/>
          <w:szCs w:val="21"/>
          <w:lang w:val="en-US" w:eastAsia="zh-CN"/>
        </w:rPr>
        <w:t>Period</w:t>
      </w:r>
      <w:r>
        <w:rPr>
          <w:rFonts w:hint="eastAsia" w:ascii="Times New Roman" w:hAnsi="Times New Roman" w:cs="Times New Roman"/>
          <w:szCs w:val="21"/>
        </w:rPr>
        <w:t xml:space="preserve"> rate ratio for </w:t>
      </w:r>
      <w:r>
        <w:rPr>
          <w:rFonts w:hint="eastAsia" w:ascii="Times New Roman" w:hAnsi="Times New Roman" w:cs="Times New Roman"/>
          <w:szCs w:val="21"/>
          <w:lang w:val="en-US" w:eastAsia="zh-CN"/>
        </w:rPr>
        <w:t>DALY</w:t>
      </w:r>
      <w:r>
        <w:rPr>
          <w:rFonts w:hint="eastAsia" w:ascii="Times New Roman" w:hAnsi="Times New Roman" w:cs="Times New Roman"/>
          <w:szCs w:val="21"/>
        </w:rPr>
        <w:t xml:space="preserve"> rates of LBP</w:t>
      </w:r>
      <w:r>
        <w:rPr>
          <w:rFonts w:hint="eastAsia" w:ascii="Times New Roman" w:hAnsi="Times New Roman" w:cs="Times New Roman"/>
          <w:szCs w:val="21"/>
          <w:lang w:val="en-US" w:eastAsia="zh-CN"/>
        </w:rPr>
        <w:t xml:space="preserve">. (D) </w:t>
      </w:r>
      <w:r>
        <w:rPr>
          <w:rFonts w:hint="eastAsia" w:ascii="Times New Roman" w:hAnsi="Times New Roman" w:cs="Times New Roman"/>
          <w:szCs w:val="21"/>
        </w:rPr>
        <w:t xml:space="preserve">Cohort rate ratio for </w:t>
      </w:r>
      <w:r>
        <w:rPr>
          <w:rFonts w:hint="eastAsia" w:ascii="Times New Roman" w:hAnsi="Times New Roman" w:cs="Times New Roman"/>
          <w:szCs w:val="21"/>
          <w:lang w:val="en-US" w:eastAsia="zh-CN"/>
        </w:rPr>
        <w:t>DALY</w:t>
      </w:r>
      <w:r>
        <w:rPr>
          <w:rFonts w:hint="eastAsia" w:ascii="Times New Roman" w:hAnsi="Times New Roman" w:cs="Times New Roman"/>
          <w:szCs w:val="21"/>
        </w:rPr>
        <w:t xml:space="preserve"> rates of LBP</w:t>
      </w:r>
      <w:r>
        <w:rPr>
          <w:rFonts w:hint="eastAsia" w:ascii="Times New Roman" w:hAnsi="Times New Roman" w:cs="Times New Roman"/>
          <w:szCs w:val="21"/>
          <w:lang w:val="en-US" w:eastAsia="zh-CN"/>
        </w:rPr>
        <w:t>.</w:t>
      </w:r>
    </w:p>
    <w:p w14:paraId="24BF5183">
      <w:pPr>
        <w:rPr>
          <w:rFonts w:hint="eastAsia" w:ascii="Times New Roman" w:hAnsi="Times New Roman" w:cs="Times New Roman"/>
          <w:b/>
          <w:bCs/>
          <w:sz w:val="24"/>
          <w:szCs w:val="32"/>
          <w:lang w:val="en-US" w:eastAsia="zh-CN"/>
        </w:rPr>
      </w:pPr>
      <w:r>
        <w:rPr>
          <w:rFonts w:hint="eastAsia" w:ascii="Times New Roman" w:hAnsi="Times New Roman" w:cs="Times New Roman"/>
          <w:szCs w:val="21"/>
          <w:lang w:val="en-US" w:eastAsia="zh-CN"/>
        </w:rPr>
        <w:t>Abbreviation: DALY, disability adjusted life years.</w:t>
      </w:r>
      <w:r>
        <w:rPr>
          <w:rFonts w:hint="eastAsia" w:ascii="Times New Roman" w:hAnsi="Times New Roman" w:cs="Times New Roman"/>
          <w:b/>
          <w:bCs/>
          <w:sz w:val="24"/>
          <w:szCs w:val="32"/>
          <w:lang w:val="en-US" w:eastAsia="zh-CN"/>
        </w:rPr>
        <w:br w:type="page"/>
      </w:r>
    </w:p>
    <w:p w14:paraId="2DE1123F">
      <w:pPr>
        <w:spacing w:line="360" w:lineRule="auto"/>
        <w:jc w:val="center"/>
        <w:rPr>
          <w:rFonts w:hint="eastAsia" w:ascii="Times New Roman" w:hAnsi="Times New Roman" w:cs="Times New Roman"/>
          <w:sz w:val="24"/>
          <w:szCs w:val="32"/>
          <w:lang w:val="en-US" w:eastAsia="zh-CN"/>
        </w:rPr>
      </w:pPr>
      <w:r>
        <w:rPr>
          <w:rFonts w:hint="eastAsia" w:ascii="Times New Roman" w:hAnsi="Times New Roman" w:cs="Times New Roman"/>
          <w:b/>
          <w:bCs/>
          <w:sz w:val="24"/>
          <w:szCs w:val="32"/>
          <w:lang w:val="en-US" w:eastAsia="zh-CN"/>
        </w:rPr>
        <w:t>E</w:t>
      </w:r>
      <w:r>
        <w:rPr>
          <w:rFonts w:hint="default" w:ascii="Times New Roman" w:hAnsi="Times New Roman" w:cs="Times New Roman"/>
          <w:b/>
          <w:bCs/>
          <w:sz w:val="24"/>
          <w:szCs w:val="32"/>
          <w:lang w:val="en-US" w:eastAsia="zh-CN"/>
        </w:rPr>
        <w:t xml:space="preserve">xplanation of </w:t>
      </w:r>
      <w:r>
        <w:rPr>
          <w:rFonts w:hint="eastAsia" w:ascii="Times New Roman" w:hAnsi="Times New Roman" w:cs="Times New Roman"/>
          <w:b/>
          <w:bCs/>
          <w:sz w:val="24"/>
          <w:szCs w:val="32"/>
          <w:lang w:val="en-US" w:eastAsia="zh-CN"/>
        </w:rPr>
        <w:t>some</w:t>
      </w:r>
      <w:r>
        <w:rPr>
          <w:rFonts w:hint="default" w:ascii="Times New Roman" w:hAnsi="Times New Roman" w:cs="Times New Roman"/>
          <w:b/>
          <w:bCs/>
          <w:sz w:val="24"/>
          <w:szCs w:val="32"/>
          <w:lang w:val="en-US" w:eastAsia="zh-CN"/>
        </w:rPr>
        <w:t xml:space="preserve"> terms</w:t>
      </w:r>
      <w:r>
        <w:rPr>
          <w:rFonts w:hint="eastAsia" w:ascii="Times New Roman" w:hAnsi="Times New Roman" w:cs="Times New Roman"/>
          <w:b/>
          <w:bCs/>
          <w:sz w:val="24"/>
          <w:szCs w:val="32"/>
          <w:lang w:val="en-US" w:eastAsia="zh-CN"/>
        </w:rPr>
        <w:t xml:space="preserve"> used in the study</w:t>
      </w:r>
    </w:p>
    <w:p w14:paraId="47E7BE94">
      <w:pPr>
        <w:numPr>
          <w:ilvl w:val="0"/>
          <w:numId w:val="1"/>
        </w:numPr>
        <w:spacing w:line="360" w:lineRule="auto"/>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Jointpoint Regression Models</w:t>
      </w:r>
    </w:p>
    <w:p w14:paraId="0C27045F">
      <w:pPr>
        <w:spacing w:line="360" w:lineRule="auto"/>
        <w:ind w:firstLine="480" w:firstLineChars="200"/>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Jointpoint regression models are a set of statistical tools used to analyze trends in data over time. They are particularly useful for identifying points at which the trend changes significantly, known as "joinpoints". This technique is designed to detect years where there are statistically significant abrupt changes in temporal trends. The models calculate the average annual percentage change (AAPC) and annual percentage change (APC), which help in understanding whether the trend is increasing or decreasing over the specified period.</w:t>
      </w:r>
    </w:p>
    <w:p w14:paraId="07E88471">
      <w:pPr>
        <w:numPr>
          <w:ilvl w:val="0"/>
          <w:numId w:val="1"/>
        </w:numPr>
        <w:spacing w:line="360" w:lineRule="auto"/>
        <w:ind w:left="0" w:leftChars="0" w:firstLine="0" w:firstLineChars="0"/>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Age-Period-Cohort (APC) Analysis</w:t>
      </w:r>
    </w:p>
    <w:p w14:paraId="1C73E17E">
      <w:pPr>
        <w:spacing w:line="360" w:lineRule="auto"/>
        <w:ind w:firstLine="480" w:firstLineChars="200"/>
        <w:rPr>
          <w:rFonts w:hint="eastAsia" w:ascii="Times New Roman" w:hAnsi="Times New Roman" w:cs="Times New Roman"/>
          <w:sz w:val="24"/>
          <w:szCs w:val="32"/>
          <w:lang w:val="en-US" w:eastAsia="zh-CN"/>
        </w:rPr>
      </w:pPr>
      <w:r>
        <w:rPr>
          <w:rFonts w:hint="default" w:ascii="Times New Roman" w:hAnsi="Times New Roman" w:cs="Times New Roman"/>
          <w:sz w:val="24"/>
          <w:szCs w:val="32"/>
          <w:lang w:val="en-US" w:eastAsia="zh-CN"/>
        </w:rPr>
        <w:t>Age-Period-Cohort analysis is a method used to decompose trends in health outcomes into the effects of age, period, and cohort. This analysis helps in understanding how these three factors contribute to the observed trends. The APC model reflects a disease’s incidence or mortality time trend by age, period, and cohort. It's a technique that allows researchers to estimate the distinct effects of each component, despite the inherent linear associations among age, period, and cohor</w:t>
      </w:r>
      <w:r>
        <w:rPr>
          <w:rFonts w:hint="eastAsia" w:ascii="Times New Roman" w:hAnsi="Times New Roman" w:cs="Times New Roman"/>
          <w:sz w:val="24"/>
          <w:szCs w:val="32"/>
          <w:lang w:val="en-US" w:eastAsia="zh-CN"/>
        </w:rPr>
        <w:t>t.</w:t>
      </w:r>
    </w:p>
    <w:p w14:paraId="75289598">
      <w:pPr>
        <w:spacing w:line="360" w:lineRule="auto"/>
        <w:ind w:firstLine="480" w:firstLineChars="200"/>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Key Terms</w:t>
      </w:r>
      <w:r>
        <w:rPr>
          <w:rFonts w:hint="eastAsia" w:ascii="Times New Roman" w:hAnsi="Times New Roman" w:cs="Times New Roman"/>
          <w:sz w:val="24"/>
          <w:szCs w:val="32"/>
          <w:lang w:val="en-US" w:eastAsia="zh-CN"/>
        </w:rPr>
        <w:t>:</w:t>
      </w:r>
    </w:p>
    <w:p w14:paraId="0C49B36A">
      <w:pPr>
        <w:spacing w:line="360" w:lineRule="auto"/>
        <w:ind w:firstLine="480" w:firstLineChars="200"/>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Local Drift: This refers to the logarithmic linear trend of age standardized rates for each age group after adjusting for period and cohort effects. It helps in understanding the specific trends within each age group.</w:t>
      </w:r>
    </w:p>
    <w:p w14:paraId="68574AA4">
      <w:pPr>
        <w:spacing w:line="360" w:lineRule="auto"/>
        <w:ind w:firstLine="480" w:firstLineChars="200"/>
        <w:rPr>
          <w:rFonts w:hint="default"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Age Effect: This represents the impact of age on a certain outcome as it increases。It is one of the most important determinants for disease occurrence. In the context of APC analysis, age effects are considered to reflect the natural course of disease with age.</w:t>
      </w:r>
    </w:p>
    <w:p w14:paraId="5ECAC3BB">
      <w:pPr>
        <w:spacing w:line="360" w:lineRule="auto"/>
        <w:ind w:firstLine="480" w:firstLineChars="200"/>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Period Effect: This term indicates the independent effect of the current period after adjusting for age and cohort effects. It reflects the influence of time-specific factors on the outcome.</w:t>
      </w:r>
    </w:p>
    <w:p w14:paraId="344858C9">
      <w:pPr>
        <w:spacing w:line="360" w:lineRule="auto"/>
        <w:ind w:firstLine="480" w:firstLineChars="200"/>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Cohort Effect: This represents the cumulative effect of age, period, and cohort on disease risk. It captures the influence of birth cohort-specific factors on the outcome</w:t>
      </w:r>
      <w:r>
        <w:rPr>
          <w:rFonts w:hint="eastAsia" w:ascii="Times New Roman" w:hAnsi="Times New Roman" w:cs="Times New Roman"/>
          <w:sz w:val="24"/>
          <w:szCs w:val="32"/>
          <w:lang w:val="en-US"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7A9844B"/>
    <w:multiLevelType w:val="singleLevel"/>
    <w:tmpl w:val="37A9844B"/>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182DFB"/>
    <w:rsid w:val="01256185"/>
    <w:rsid w:val="18101208"/>
    <w:rsid w:val="2B0223D6"/>
    <w:rsid w:val="2C1B188C"/>
    <w:rsid w:val="31EA6A3C"/>
    <w:rsid w:val="54182DFB"/>
    <w:rsid w:val="62D434BD"/>
    <w:rsid w:val="75E279F1"/>
    <w:rsid w:val="784E59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chart" Target="charts/chart6.xml"/><Relationship Id="rId8" Type="http://schemas.openxmlformats.org/officeDocument/2006/relationships/chart" Target="charts/chart5.xml"/><Relationship Id="rId7" Type="http://schemas.openxmlformats.org/officeDocument/2006/relationships/chart" Target="charts/chart4.xml"/><Relationship Id="rId6" Type="http://schemas.openxmlformats.org/officeDocument/2006/relationships/chart" Target="charts/chart3.xml"/><Relationship Id="rId5" Type="http://schemas.openxmlformats.org/officeDocument/2006/relationships/chart" Target="charts/chart2.xml"/><Relationship Id="rId4" Type="http://schemas.openxmlformats.org/officeDocument/2006/relationships/chart" Target="charts/chart1.xml"/><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hart" Target="charts/chart8.xml"/><Relationship Id="rId10" Type="http://schemas.openxmlformats.org/officeDocument/2006/relationships/chart" Target="charts/chart7.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26753;&#21338;\Desktop\LBP%20disease%20burden\Data\APC%20analysis\apc-&#19977;&#21512;&#19968;.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26753;&#21338;\Desktop\LBP%20disease%20burden\Data\APC%20analysis\apc-&#19977;&#21512;&#19968;.xlsx"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oleObject" Target="file:///C:\Users\&#26753;&#21338;\Desktop\LBP%20disease%20burden\Data\APC%20analysis\apc-&#19977;&#21512;&#19968;.xlsx"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8.xml"/><Relationship Id="rId2" Type="http://schemas.microsoft.com/office/2011/relationships/chartStyle" Target="style8.xml"/><Relationship Id="rId1" Type="http://schemas.openxmlformats.org/officeDocument/2006/relationships/oleObject" Target="file:///C:\Users\&#26753;&#21338;\Desktop\LBP%20disease%20burden\Data\APC%20analysis\apc-&#19977;&#21512;&#19968;.xlsx" TargetMode="External"/></Relationships>
</file>

<file path=word/charts/_rels/chart5.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C:\Users\&#26753;&#21338;\Desktop\LBP%20disease%20burden\Data\APC%20analysis\apc-&#19977;&#21512;&#19968;.xlsx" TargetMode="External"/></Relationships>
</file>

<file path=word/charts/_rels/chart6.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oleObject" Target="file:///C:\Users\&#26753;&#21338;\Desktop\LBP%20disease%20burden\Data\APC%20analysis\apc-&#19977;&#21512;&#19968;.xlsx" TargetMode="External"/></Relationships>
</file>

<file path=word/charts/_rels/chart7.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C:\Users\&#26753;&#21338;\Desktop\LBP%20disease%20burden\Data\APC%20analysis\apc-&#19977;&#21512;&#19968;.xlsx" TargetMode="External"/></Relationships>
</file>

<file path=word/charts/_rels/chart8.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C:\Users\&#26753;&#21338;\Desktop\LBP%20disease%20burden\Data\APC%20analysis\apc-&#19977;&#21512;&#19968;.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3131067961165"/>
          <c:y val="0.0435051546391753"/>
          <c:w val="0.840625"/>
          <c:h val="0.822701030927835"/>
        </c:manualLayout>
      </c:layout>
      <c:lineChart>
        <c:grouping val="standard"/>
        <c:varyColors val="0"/>
        <c:ser>
          <c:idx val="0"/>
          <c:order val="0"/>
          <c:tx>
            <c:strRef>
              <c:f>"Both"</c:f>
              <c:strCache>
                <c:ptCount val="1"/>
                <c:pt idx="0">
                  <c:v>Both</c:v>
                </c:pt>
              </c:strCache>
            </c:strRef>
          </c:tx>
          <c:spPr>
            <a:ln w="19050" cap="rnd">
              <a:solidFill>
                <a:schemeClr val="tx1">
                  <a:lumMod val="50000"/>
                  <a:lumOff val="50000"/>
                </a:schemeClr>
              </a:solidFill>
              <a:round/>
            </a:ln>
            <a:effectLst/>
            <a:sp3d contourW="19050"/>
          </c:spPr>
          <c:marker>
            <c:symbol val="triangle"/>
            <c:size val="4"/>
            <c:spPr>
              <a:solidFill>
                <a:schemeClr val="tx1">
                  <a:lumMod val="50000"/>
                  <a:lumOff val="50000"/>
                </a:schemeClr>
              </a:solidFill>
              <a:ln w="15875">
                <a:solidFill>
                  <a:schemeClr val="tx1">
                    <a:lumMod val="50000"/>
                    <a:lumOff val="50000"/>
                  </a:schemeClr>
                </a:solidFill>
              </a:ln>
              <a:effectLst/>
            </c:spPr>
          </c:marker>
          <c:dLbls>
            <c:delete val="1"/>
          </c:dLbls>
          <c:errBars>
            <c:errDir val="y"/>
            <c:errBarType val="both"/>
            <c:errValType val="cust"/>
            <c:noEndCap val="0"/>
            <c:plus>
              <c:numRef>
                <c:f>'[apc-三合一.xlsx]pre-loacal'!$E$3:$E$13</c:f>
                <c:numCache>
                  <c:formatCode>General</c:formatCode>
                  <c:ptCount val="11"/>
                  <c:pt idx="0">
                    <c:v>0.0508</c:v>
                  </c:pt>
                  <c:pt idx="1">
                    <c:v>0.0383</c:v>
                  </c:pt>
                  <c:pt idx="2">
                    <c:v>0.0311</c:v>
                  </c:pt>
                  <c:pt idx="3">
                    <c:v>0.0278</c:v>
                  </c:pt>
                  <c:pt idx="4">
                    <c:v>0.0276</c:v>
                  </c:pt>
                  <c:pt idx="5">
                    <c:v>0.0285</c:v>
                  </c:pt>
                  <c:pt idx="6">
                    <c:v>0.03</c:v>
                  </c:pt>
                  <c:pt idx="7">
                    <c:v>0.033</c:v>
                  </c:pt>
                  <c:pt idx="8">
                    <c:v>0.0396</c:v>
                  </c:pt>
                  <c:pt idx="9">
                    <c:v>0.0523</c:v>
                  </c:pt>
                  <c:pt idx="10">
                    <c:v>0.0854</c:v>
                  </c:pt>
                </c:numCache>
              </c:numRef>
            </c:plus>
            <c:minus>
              <c:numRef>
                <c:f>'[apc-三合一.xlsx]pre-loacal'!$F$3:$F$13</c:f>
                <c:numCache>
                  <c:formatCode>General</c:formatCode>
                  <c:ptCount val="11"/>
                  <c:pt idx="0">
                    <c:v>0.0508</c:v>
                  </c:pt>
                  <c:pt idx="1">
                    <c:v>0.0383</c:v>
                  </c:pt>
                  <c:pt idx="2">
                    <c:v>0.0312</c:v>
                  </c:pt>
                  <c:pt idx="3">
                    <c:v>0.0279</c:v>
                  </c:pt>
                  <c:pt idx="4">
                    <c:v>0.0276</c:v>
                  </c:pt>
                  <c:pt idx="5">
                    <c:v>0.0286</c:v>
                  </c:pt>
                  <c:pt idx="6">
                    <c:v>0.03</c:v>
                  </c:pt>
                  <c:pt idx="7">
                    <c:v>0.033</c:v>
                  </c:pt>
                  <c:pt idx="8">
                    <c:v>0.0395</c:v>
                  </c:pt>
                  <c:pt idx="9">
                    <c:v>0.0523</c:v>
                  </c:pt>
                  <c:pt idx="10">
                    <c:v>0.0852</c:v>
                  </c:pt>
                </c:numCache>
              </c:numRef>
            </c:minus>
            <c:spPr>
              <a:noFill/>
              <a:ln w="12700" cap="flat" cmpd="sng" algn="ctr">
                <a:solidFill>
                  <a:schemeClr val="tx1">
                    <a:lumMod val="50000"/>
                    <a:lumOff val="50000"/>
                  </a:schemeClr>
                </a:solidFill>
                <a:prstDash val="sysDot"/>
                <a:round/>
              </a:ln>
              <a:effectLst/>
            </c:spPr>
          </c:errBars>
          <c:cat>
            <c:numRef>
              <c:f>'C:\Users\梁博\Desktop\LBP disease burden\Data\APC analysis\[APC_Analysis_both.xlsx]LocalDrifts'!$G$2:$G$12</c:f>
              <c:numCache>
                <c:formatCode>General</c:formatCode>
                <c:ptCount val="11"/>
                <c:pt idx="0">
                  <c:v>30</c:v>
                </c:pt>
                <c:pt idx="1">
                  <c:v>35</c:v>
                </c:pt>
                <c:pt idx="2">
                  <c:v>40</c:v>
                </c:pt>
                <c:pt idx="3">
                  <c:v>45</c:v>
                </c:pt>
                <c:pt idx="4">
                  <c:v>50</c:v>
                </c:pt>
                <c:pt idx="5">
                  <c:v>55</c:v>
                </c:pt>
                <c:pt idx="6">
                  <c:v>60</c:v>
                </c:pt>
                <c:pt idx="7">
                  <c:v>65</c:v>
                </c:pt>
                <c:pt idx="8">
                  <c:v>70</c:v>
                </c:pt>
                <c:pt idx="9">
                  <c:v>75</c:v>
                </c:pt>
                <c:pt idx="10">
                  <c:v>80</c:v>
                </c:pt>
              </c:numCache>
            </c:numRef>
          </c:cat>
          <c:val>
            <c:numRef>
              <c:f>'[apc-三合一.xlsx]pre-loacal'!$B$3:$B$13</c:f>
              <c:numCache>
                <c:formatCode>General</c:formatCode>
                <c:ptCount val="11"/>
                <c:pt idx="0">
                  <c:v>-0.4365</c:v>
                </c:pt>
                <c:pt idx="1">
                  <c:v>-0.5142</c:v>
                </c:pt>
                <c:pt idx="2">
                  <c:v>-0.4644</c:v>
                </c:pt>
                <c:pt idx="3">
                  <c:v>-0.4261</c:v>
                </c:pt>
                <c:pt idx="4">
                  <c:v>-0.4235</c:v>
                </c:pt>
                <c:pt idx="5">
                  <c:v>-0.4224</c:v>
                </c:pt>
                <c:pt idx="6">
                  <c:v>-0.4124</c:v>
                </c:pt>
                <c:pt idx="7">
                  <c:v>-0.4081</c:v>
                </c:pt>
                <c:pt idx="8">
                  <c:v>-0.4204</c:v>
                </c:pt>
                <c:pt idx="9">
                  <c:v>-0.4354</c:v>
                </c:pt>
                <c:pt idx="10">
                  <c:v>-0.423</c:v>
                </c:pt>
              </c:numCache>
            </c:numRef>
          </c:val>
          <c:smooth val="0"/>
        </c:ser>
        <c:ser>
          <c:idx val="1"/>
          <c:order val="1"/>
          <c:tx>
            <c:strRef>
              <c:f>'[apc-三合一.xlsx]pre-loacal'!$H$1</c:f>
              <c:strCache>
                <c:ptCount val="1"/>
                <c:pt idx="0">
                  <c:v>Male</c:v>
                </c:pt>
              </c:strCache>
            </c:strRef>
          </c:tx>
          <c:spPr>
            <a:ln w="19050" cap="rnd" cmpd="sng">
              <a:solidFill>
                <a:schemeClr val="accent1"/>
              </a:solidFill>
              <a:prstDash val="solid"/>
              <a:round/>
            </a:ln>
            <a:effectLst/>
            <a:sp3d contourW="19050"/>
          </c:spPr>
          <c:marker>
            <c:symbol val="circle"/>
            <c:size val="4"/>
            <c:spPr>
              <a:solidFill>
                <a:schemeClr val="accent1"/>
              </a:solidFill>
              <a:ln w="9525">
                <a:solidFill>
                  <a:schemeClr val="accent1"/>
                </a:solidFill>
              </a:ln>
              <a:effectLst/>
            </c:spPr>
          </c:marker>
          <c:dLbls>
            <c:delete val="1"/>
          </c:dLbls>
          <c:errBars>
            <c:errDir val="y"/>
            <c:errBarType val="both"/>
            <c:errValType val="cust"/>
            <c:noEndCap val="0"/>
            <c:plus>
              <c:numRef>
                <c:f>'[apc-三合一.xlsx]pre-loacal'!$K$3:$K$13</c:f>
                <c:numCache>
                  <c:formatCode>General</c:formatCode>
                  <c:ptCount val="11"/>
                  <c:pt idx="0">
                    <c:v>0.0858</c:v>
                  </c:pt>
                  <c:pt idx="1">
                    <c:v>0.0637</c:v>
                  </c:pt>
                  <c:pt idx="2">
                    <c:v>0.0519</c:v>
                  </c:pt>
                  <c:pt idx="3">
                    <c:v>0.0479</c:v>
                  </c:pt>
                  <c:pt idx="4">
                    <c:v>0.0496</c:v>
                  </c:pt>
                  <c:pt idx="5">
                    <c:v>0.0527</c:v>
                  </c:pt>
                  <c:pt idx="6">
                    <c:v>0.0564999999999999</c:v>
                  </c:pt>
                  <c:pt idx="7">
                    <c:v>0.0635</c:v>
                  </c:pt>
                  <c:pt idx="8">
                    <c:v>0.0781000000000001</c:v>
                  </c:pt>
                  <c:pt idx="9">
                    <c:v>0.1065</c:v>
                  </c:pt>
                  <c:pt idx="10">
                    <c:v>0.18</c:v>
                  </c:pt>
                </c:numCache>
              </c:numRef>
            </c:plus>
            <c:minus>
              <c:numRef>
                <c:f>'[apc-三合一.xlsx]pre-loacal'!$L$3:$L$13</c:f>
                <c:numCache>
                  <c:formatCode>General</c:formatCode>
                  <c:ptCount val="11"/>
                  <c:pt idx="0">
                    <c:v>0.0858</c:v>
                  </c:pt>
                  <c:pt idx="1">
                    <c:v>0.0637</c:v>
                  </c:pt>
                  <c:pt idx="2">
                    <c:v>0.0519</c:v>
                  </c:pt>
                  <c:pt idx="3">
                    <c:v>0.048</c:v>
                  </c:pt>
                  <c:pt idx="4">
                    <c:v>0.0497</c:v>
                  </c:pt>
                  <c:pt idx="5">
                    <c:v>0.0527000000000001</c:v>
                  </c:pt>
                  <c:pt idx="6">
                    <c:v>0.0565000000000001</c:v>
                  </c:pt>
                  <c:pt idx="7">
                    <c:v>0.0634</c:v>
                  </c:pt>
                  <c:pt idx="8">
                    <c:v>0.078</c:v>
                  </c:pt>
                  <c:pt idx="9">
                    <c:v>0.1063</c:v>
                  </c:pt>
                  <c:pt idx="10">
                    <c:v>0.1798</c:v>
                  </c:pt>
                </c:numCache>
              </c:numRef>
            </c:minus>
            <c:spPr>
              <a:noFill/>
              <a:ln w="12700" cap="flat" cmpd="sng" algn="ctr">
                <a:solidFill>
                  <a:schemeClr val="accent1"/>
                </a:solidFill>
                <a:prstDash val="sysDot"/>
                <a:round/>
                <a:headEnd type="none"/>
              </a:ln>
              <a:effectLst/>
            </c:spPr>
          </c:errBars>
          <c:cat>
            <c:numRef>
              <c:f>'C:\Users\梁博\Desktop\LBP disease burden\Data\APC analysis\[APC_Analysis_both.xlsx]LocalDrifts'!$G$2:$G$12</c:f>
              <c:numCache>
                <c:formatCode>General</c:formatCode>
                <c:ptCount val="11"/>
                <c:pt idx="0">
                  <c:v>30</c:v>
                </c:pt>
                <c:pt idx="1">
                  <c:v>35</c:v>
                </c:pt>
                <c:pt idx="2">
                  <c:v>40</c:v>
                </c:pt>
                <c:pt idx="3">
                  <c:v>45</c:v>
                </c:pt>
                <c:pt idx="4">
                  <c:v>50</c:v>
                </c:pt>
                <c:pt idx="5">
                  <c:v>55</c:v>
                </c:pt>
                <c:pt idx="6">
                  <c:v>60</c:v>
                </c:pt>
                <c:pt idx="7">
                  <c:v>65</c:v>
                </c:pt>
                <c:pt idx="8">
                  <c:v>70</c:v>
                </c:pt>
                <c:pt idx="9">
                  <c:v>75</c:v>
                </c:pt>
                <c:pt idx="10">
                  <c:v>80</c:v>
                </c:pt>
              </c:numCache>
            </c:numRef>
          </c:cat>
          <c:val>
            <c:numRef>
              <c:f>'[apc-三合一.xlsx]pre-loacal'!$H$3:$H$13</c:f>
              <c:numCache>
                <c:formatCode>General</c:formatCode>
                <c:ptCount val="11"/>
                <c:pt idx="0">
                  <c:v>-0.4261</c:v>
                </c:pt>
                <c:pt idx="1">
                  <c:v>-0.4669</c:v>
                </c:pt>
                <c:pt idx="2">
                  <c:v>-0.3968</c:v>
                </c:pt>
                <c:pt idx="3">
                  <c:v>-0.397</c:v>
                </c:pt>
                <c:pt idx="4">
                  <c:v>-0.4656</c:v>
                </c:pt>
                <c:pt idx="5">
                  <c:v>-0.5277</c:v>
                </c:pt>
                <c:pt idx="6">
                  <c:v>-0.5549</c:v>
                </c:pt>
                <c:pt idx="7">
                  <c:v>-0.5555</c:v>
                </c:pt>
                <c:pt idx="8">
                  <c:v>-0.5168</c:v>
                </c:pt>
                <c:pt idx="9">
                  <c:v>-0.4637</c:v>
                </c:pt>
                <c:pt idx="10">
                  <c:v>-0.4092</c:v>
                </c:pt>
              </c:numCache>
            </c:numRef>
          </c:val>
          <c:smooth val="0"/>
        </c:ser>
        <c:ser>
          <c:idx val="2"/>
          <c:order val="2"/>
          <c:tx>
            <c:strRef>
              <c:f>'[apc-三合一.xlsx]pre-loacal'!$M$1</c:f>
              <c:strCache>
                <c:ptCount val="1"/>
                <c:pt idx="0">
                  <c:v>Female</c:v>
                </c:pt>
              </c:strCache>
            </c:strRef>
          </c:tx>
          <c:spPr>
            <a:ln w="19050" cap="rnd">
              <a:solidFill>
                <a:schemeClr val="accent6"/>
              </a:solidFill>
              <a:round/>
            </a:ln>
            <a:effectLst/>
            <a:sp3d contourW="19050"/>
          </c:spPr>
          <c:marker>
            <c:symbol val="square"/>
            <c:size val="4"/>
            <c:spPr>
              <a:solidFill>
                <a:schemeClr val="accent6"/>
              </a:solidFill>
              <a:ln w="9525">
                <a:solidFill>
                  <a:schemeClr val="accent6"/>
                </a:solidFill>
              </a:ln>
              <a:effectLst/>
            </c:spPr>
          </c:marker>
          <c:dLbls>
            <c:delete val="1"/>
          </c:dLbls>
          <c:errBars>
            <c:errDir val="y"/>
            <c:errBarType val="both"/>
            <c:errValType val="cust"/>
            <c:noEndCap val="0"/>
            <c:plus>
              <c:numRef>
                <c:f>'[apc-三合一.xlsx]pre-loacal'!$P$3:$P$13</c:f>
                <c:numCache>
                  <c:formatCode>General</c:formatCode>
                  <c:ptCount val="11"/>
                  <c:pt idx="0">
                    <c:v>0.048</c:v>
                  </c:pt>
                  <c:pt idx="1">
                    <c:v>0.0367999999999999</c:v>
                  </c:pt>
                  <c:pt idx="2">
                    <c:v>0.0298999999999999</c:v>
                  </c:pt>
                  <c:pt idx="3">
                    <c:v>0.026</c:v>
                  </c:pt>
                  <c:pt idx="4">
                    <c:v>0.025</c:v>
                  </c:pt>
                  <c:pt idx="5">
                    <c:v>0.0253</c:v>
                  </c:pt>
                  <c:pt idx="6">
                    <c:v>0.0262</c:v>
                  </c:pt>
                  <c:pt idx="7">
                    <c:v>0.0285</c:v>
                  </c:pt>
                  <c:pt idx="8">
                    <c:v>0.0337</c:v>
                  </c:pt>
                  <c:pt idx="9">
                    <c:v>0.0439</c:v>
                  </c:pt>
                  <c:pt idx="10">
                    <c:v>0.0706</c:v>
                  </c:pt>
                </c:numCache>
              </c:numRef>
            </c:plus>
            <c:minus>
              <c:numRef>
                <c:f>'[apc-三合一.xlsx]pre-loacal'!$Q$3:$Q$13</c:f>
                <c:numCache>
                  <c:formatCode>General</c:formatCode>
                  <c:ptCount val="11"/>
                  <c:pt idx="0">
                    <c:v>0.0481</c:v>
                  </c:pt>
                  <c:pt idx="1">
                    <c:v>0.0367000000000001</c:v>
                  </c:pt>
                  <c:pt idx="2">
                    <c:v>0.0299</c:v>
                  </c:pt>
                  <c:pt idx="3">
                    <c:v>0.026</c:v>
                  </c:pt>
                  <c:pt idx="4">
                    <c:v>0.025</c:v>
                  </c:pt>
                  <c:pt idx="5">
                    <c:v>0.0253</c:v>
                  </c:pt>
                  <c:pt idx="6">
                    <c:v>0.0262</c:v>
                  </c:pt>
                  <c:pt idx="7">
                    <c:v>0.0285</c:v>
                  </c:pt>
                  <c:pt idx="8">
                    <c:v>0.0337</c:v>
                  </c:pt>
                  <c:pt idx="9">
                    <c:v>0.044</c:v>
                  </c:pt>
                  <c:pt idx="10">
                    <c:v>0.0706</c:v>
                  </c:pt>
                </c:numCache>
              </c:numRef>
            </c:minus>
            <c:spPr>
              <a:noFill/>
              <a:ln w="12700" cap="flat" cmpd="sng" algn="ctr">
                <a:solidFill>
                  <a:schemeClr val="accent6"/>
                </a:solidFill>
                <a:prstDash val="sysDot"/>
                <a:round/>
              </a:ln>
              <a:effectLst/>
            </c:spPr>
          </c:errBars>
          <c:cat>
            <c:numRef>
              <c:f>'C:\Users\梁博\Desktop\LBP disease burden\Data\APC analysis\[APC_Analysis_both.xlsx]LocalDrifts'!$G$2:$G$12</c:f>
              <c:numCache>
                <c:formatCode>General</c:formatCode>
                <c:ptCount val="11"/>
                <c:pt idx="0">
                  <c:v>30</c:v>
                </c:pt>
                <c:pt idx="1">
                  <c:v>35</c:v>
                </c:pt>
                <c:pt idx="2">
                  <c:v>40</c:v>
                </c:pt>
                <c:pt idx="3">
                  <c:v>45</c:v>
                </c:pt>
                <c:pt idx="4">
                  <c:v>50</c:v>
                </c:pt>
                <c:pt idx="5">
                  <c:v>55</c:v>
                </c:pt>
                <c:pt idx="6">
                  <c:v>60</c:v>
                </c:pt>
                <c:pt idx="7">
                  <c:v>65</c:v>
                </c:pt>
                <c:pt idx="8">
                  <c:v>70</c:v>
                </c:pt>
                <c:pt idx="9">
                  <c:v>75</c:v>
                </c:pt>
                <c:pt idx="10">
                  <c:v>80</c:v>
                </c:pt>
              </c:numCache>
            </c:numRef>
          </c:cat>
          <c:val>
            <c:numRef>
              <c:f>'[apc-三合一.xlsx]pre-loacal'!$M$3:$M$13</c:f>
              <c:numCache>
                <c:formatCode>General</c:formatCode>
                <c:ptCount val="11"/>
                <c:pt idx="0">
                  <c:v>-0.4379</c:v>
                </c:pt>
                <c:pt idx="1">
                  <c:v>-0.5617</c:v>
                </c:pt>
                <c:pt idx="2">
                  <c:v>-0.5355</c:v>
                </c:pt>
                <c:pt idx="3">
                  <c:v>-0.4891</c:v>
                </c:pt>
                <c:pt idx="4">
                  <c:v>-0.467</c:v>
                </c:pt>
                <c:pt idx="5">
                  <c:v>-0.4406</c:v>
                </c:pt>
                <c:pt idx="6">
                  <c:v>-0.395</c:v>
                </c:pt>
                <c:pt idx="7">
                  <c:v>-0.3504</c:v>
                </c:pt>
                <c:pt idx="8">
                  <c:v>-0.3205</c:v>
                </c:pt>
                <c:pt idx="9">
                  <c:v>-0.3116</c:v>
                </c:pt>
                <c:pt idx="10">
                  <c:v>-0.2973</c:v>
                </c:pt>
              </c:numCache>
            </c:numRef>
          </c:val>
          <c:smooth val="0"/>
        </c:ser>
        <c:dLbls>
          <c:showLegendKey val="0"/>
          <c:showVal val="0"/>
          <c:showCatName val="0"/>
          <c:showSerName val="0"/>
          <c:showPercent val="0"/>
          <c:showBubbleSize val="0"/>
        </c:dLbls>
        <c:marker val="1"/>
        <c:smooth val="0"/>
        <c:axId val="207423979"/>
        <c:axId val="590840182"/>
      </c:lineChart>
      <c:catAx>
        <c:axId val="207423979"/>
        <c:scaling>
          <c:orientation val="minMax"/>
        </c:scaling>
        <c:delete val="0"/>
        <c:axPos val="b"/>
        <c:title>
          <c:tx>
            <c:rich>
              <a:bodyPr rot="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r>
                  <a:rPr lang="en-US" altLang="zh-CN" sz="900">
                    <a:latin typeface="Times New Roman" panose="02020603050405020304" charset="0"/>
                    <a:ea typeface="Times New Roman" panose="02020603050405020304" charset="0"/>
                    <a:cs typeface="Times New Roman" panose="02020603050405020304" charset="0"/>
                    <a:sym typeface="Times New Roman" panose="02020603050405020304" charset="0"/>
                  </a:rPr>
                  <a:t>Age</a:t>
                </a:r>
                <a:endParaRPr lang="en-US" altLang="zh-CN" sz="900">
                  <a:latin typeface="Times New Roman" panose="02020603050405020304" charset="0"/>
                  <a:ea typeface="Times New Roman" panose="02020603050405020304" charset="0"/>
                  <a:cs typeface="Times New Roman" panose="02020603050405020304" charset="0"/>
                  <a:sym typeface="Times New Roman" panose="02020603050405020304" charset="0"/>
                </a:endParaRPr>
              </a:p>
            </c:rich>
          </c:tx>
          <c:layout/>
          <c:overlay val="0"/>
          <c:spPr>
            <a:noFill/>
            <a:ln>
              <a:noFill/>
            </a:ln>
            <a:effectLst/>
          </c:spPr>
        </c:title>
        <c:majorTickMark val="in"/>
        <c:minorTickMark val="none"/>
        <c:tickLblPos val="nextTo"/>
        <c:spPr>
          <a:noFill/>
          <a:ln w="9525" cap="flat" cmpd="sng" algn="ctr">
            <a:solidFill>
              <a:schemeClr val="tx1">
                <a:lumMod val="50000"/>
                <a:lumOff val="50000"/>
              </a:schemeClr>
            </a:solidFill>
            <a:round/>
          </a:ln>
          <a:effectLst/>
        </c:spPr>
        <c:txPr>
          <a:bodyPr rot="0" spcFirstLastPara="0" vertOverflow="ellipsis" vert="horz" wrap="square" anchor="ctr" anchorCtr="0"/>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crossAx val="590840182"/>
        <c:crossesAt val="-0.7"/>
        <c:auto val="1"/>
        <c:lblAlgn val="ctr"/>
        <c:lblOffset val="10"/>
        <c:tickLblSkip val="1"/>
        <c:noMultiLvlLbl val="0"/>
      </c:catAx>
      <c:valAx>
        <c:axId val="590840182"/>
        <c:scaling>
          <c:orientation val="minMax"/>
          <c:max val="-0.1"/>
          <c:min val="-0.7"/>
        </c:scaling>
        <c:delete val="0"/>
        <c:axPos val="l"/>
        <c:title>
          <c:tx>
            <c:rich>
              <a:bodyPr rot="-5400000" spcFirstLastPara="0" vertOverflow="ellipsis" vert="horz" wrap="square" anchor="ctr" anchorCtr="1"/>
              <a:lstStyle/>
              <a:p>
                <a:pPr defTabSz="914400">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r>
                  <a:rPr lang="en-US" altLang="zh-CN" sz="900">
                    <a:latin typeface="Times New Roman" panose="02020603050405020304" charset="0"/>
                    <a:ea typeface="Times New Roman" panose="02020603050405020304" charset="0"/>
                    <a:cs typeface="Times New Roman" panose="02020603050405020304" charset="0"/>
                    <a:sym typeface="Times New Roman" panose="02020603050405020304" charset="0"/>
                  </a:rPr>
                  <a:t>Rate per year</a:t>
                </a:r>
                <a:endParaRPr lang="en-US" altLang="zh-CN" sz="900">
                  <a:latin typeface="Times New Roman" panose="02020603050405020304" charset="0"/>
                  <a:ea typeface="Times New Roman" panose="02020603050405020304" charset="0"/>
                  <a:cs typeface="Times New Roman" panose="02020603050405020304" charset="0"/>
                  <a:sym typeface="Times New Roman" panose="02020603050405020304" charset="0"/>
                </a:endParaRPr>
              </a:p>
            </c:rich>
          </c:tx>
          <c:layout>
            <c:manualLayout>
              <c:xMode val="edge"/>
              <c:yMode val="edge"/>
              <c:x val="0.00526315789473684"/>
              <c:y val="0.340907118055555"/>
            </c:manualLayout>
          </c:layout>
          <c:overlay val="0"/>
          <c:spPr>
            <a:noFill/>
            <a:ln>
              <a:noFill/>
            </a:ln>
            <a:effectLst/>
          </c:spPr>
        </c:title>
        <c:numFmt formatCode="#,##0.00_ " sourceLinked="0"/>
        <c:majorTickMark val="out"/>
        <c:minorTickMark val="none"/>
        <c:tickLblPos val="nextTo"/>
        <c:spPr>
          <a:noFill/>
          <a:ln>
            <a:solidFill>
              <a:schemeClr val="tx1">
                <a:lumMod val="50000"/>
                <a:lumOff val="50000"/>
              </a:schemeClr>
            </a:solid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crossAx val="207423979"/>
        <c:crosses val="autoZero"/>
        <c:crossBetween val="between"/>
        <c:majorUnit val="0.1"/>
      </c:valAx>
      <c:spPr>
        <a:noFill/>
        <a:ln>
          <a:noFill/>
        </a:ln>
        <a:effectLst/>
      </c:spPr>
    </c:plotArea>
    <c:legend>
      <c:legendPos val="t"/>
      <c:legendEntry>
        <c:idx val="0"/>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egendEntry>
        <c:idx val="1"/>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egendEntry>
        <c:idx val="2"/>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
    <c:plotVisOnly val="1"/>
    <c:dispBlanksAs val="gap"/>
    <c:showDLblsOverMax val="0"/>
    <c:extLst>
      <c:ext uri="{0b15fc19-7d7d-44ad-8c2d-2c3a37ce22c3}">
        <chartProps xmlns="https://web.wps.cn/et/2018/main" chartId="{9bc31346-f496-47bc-97cb-0d4db9151f1c}"/>
      </c:ext>
    </c:extLst>
  </c:chart>
  <c:spPr>
    <a:solidFill>
      <a:schemeClr val="bg1"/>
    </a:solidFill>
    <a:ln w="9525" cap="flat" cmpd="sng" algn="ctr">
      <a:noFill/>
      <a:round/>
    </a:ln>
    <a:effectLst/>
  </c:spPr>
  <c:txPr>
    <a:bodyPr/>
    <a:lstStyle/>
    <a:p>
      <a:pPr>
        <a:defRPr lang="zh-CN">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2842105263158"/>
          <c:y val="0.0666666666666667"/>
          <c:w val="0.840973684210526"/>
          <c:h val="0.771892361111111"/>
        </c:manualLayout>
      </c:layout>
      <c:lineChart>
        <c:grouping val="standard"/>
        <c:varyColors val="0"/>
        <c:ser>
          <c:idx val="0"/>
          <c:order val="0"/>
          <c:tx>
            <c:strRef>
              <c:f>"Both"</c:f>
              <c:strCache>
                <c:ptCount val="1"/>
                <c:pt idx="0">
                  <c:v>Both</c:v>
                </c:pt>
              </c:strCache>
            </c:strRef>
          </c:tx>
          <c:spPr>
            <a:ln w="19050" cap="rnd">
              <a:solidFill>
                <a:schemeClr val="tx1">
                  <a:lumMod val="50000"/>
                  <a:lumOff val="50000"/>
                </a:schemeClr>
              </a:solidFill>
              <a:round/>
            </a:ln>
            <a:effectLst/>
            <a:sp3d contourW="19050"/>
          </c:spPr>
          <c:marker>
            <c:symbol val="triangle"/>
            <c:size val="4"/>
            <c:spPr>
              <a:solidFill>
                <a:schemeClr val="tx1">
                  <a:lumMod val="50000"/>
                  <a:lumOff val="50000"/>
                </a:schemeClr>
              </a:solidFill>
              <a:ln w="15875">
                <a:solidFill>
                  <a:schemeClr val="tx1">
                    <a:lumMod val="50000"/>
                    <a:lumOff val="50000"/>
                  </a:schemeClr>
                </a:solidFill>
              </a:ln>
              <a:effectLst/>
            </c:spPr>
          </c:marker>
          <c:dLbls>
            <c:delete val="1"/>
          </c:dLbls>
          <c:errBars>
            <c:errDir val="y"/>
            <c:errBarType val="both"/>
            <c:errValType val="cust"/>
            <c:noEndCap val="0"/>
            <c:plus>
              <c:numRef>
                <c:f>'[apc-三合一.xlsx]pre-age'!$E$3:$E$13</c:f>
                <c:numCache>
                  <c:formatCode>General</c:formatCode>
                  <c:ptCount val="11"/>
                  <c:pt idx="0">
                    <c:v>40.8621999999996</c:v>
                  </c:pt>
                  <c:pt idx="1">
                    <c:v>49.9035000000003</c:v>
                  </c:pt>
                  <c:pt idx="2">
                    <c:v>58.3185000000003</c:v>
                  </c:pt>
                  <c:pt idx="3">
                    <c:v>61.366399999999</c:v>
                  </c:pt>
                  <c:pt idx="4">
                    <c:v>67.5888999999988</c:v>
                  </c:pt>
                  <c:pt idx="5">
                    <c:v>72.5831999999991</c:v>
                  </c:pt>
                  <c:pt idx="6">
                    <c:v>80.6363999999994</c:v>
                  </c:pt>
                  <c:pt idx="7">
                    <c:v>90.6617999999999</c:v>
                  </c:pt>
                  <c:pt idx="8">
                    <c:v>104.521999999999</c:v>
                  </c:pt>
                  <c:pt idx="9">
                    <c:v>141.148000000001</c:v>
                  </c:pt>
                  <c:pt idx="10">
                    <c:v>184.371599999999</c:v>
                  </c:pt>
                </c:numCache>
              </c:numRef>
            </c:plus>
            <c:minus>
              <c:numRef>
                <c:f>'[apc-三合一.xlsx]pre-age'!$F$3:$F$13</c:f>
                <c:numCache>
                  <c:formatCode>General</c:formatCode>
                  <c:ptCount val="11"/>
                  <c:pt idx="0">
                    <c:v>40.4943000000003</c:v>
                  </c:pt>
                  <c:pt idx="1">
                    <c:v>49.5095999999994</c:v>
                  </c:pt>
                  <c:pt idx="2">
                    <c:v>57.9002</c:v>
                  </c:pt>
                  <c:pt idx="3">
                    <c:v>60.9750000000004</c:v>
                  </c:pt>
                  <c:pt idx="4">
                    <c:v>67.1783000000014</c:v>
                  </c:pt>
                  <c:pt idx="5">
                    <c:v>72.1489999999994</c:v>
                  </c:pt>
                  <c:pt idx="6">
                    <c:v>80.1538999999993</c:v>
                  </c:pt>
                  <c:pt idx="7">
                    <c:v>90.0964000000004</c:v>
                  </c:pt>
                  <c:pt idx="8">
                    <c:v>103.7996</c:v>
                  </c:pt>
                  <c:pt idx="9">
                    <c:v>139.9308</c:v>
                  </c:pt>
                  <c:pt idx="10">
                    <c:v>182.413500000002</c:v>
                  </c:pt>
                </c:numCache>
              </c:numRef>
            </c:minus>
            <c:spPr>
              <a:noFill/>
              <a:ln w="12700" cap="flat" cmpd="sng" algn="ctr">
                <a:solidFill>
                  <a:schemeClr val="tx1">
                    <a:lumMod val="50000"/>
                    <a:lumOff val="50000"/>
                  </a:schemeClr>
                </a:solidFill>
                <a:prstDash val="sysDot"/>
                <a:round/>
              </a:ln>
              <a:effectLst/>
            </c:spPr>
          </c:errBars>
          <c:cat>
            <c:strRef>
              <c:f>'[apc-三合一.xlsx]longitudinal age'!$G$3:$G$13</c:f>
              <c:strCache>
                <c:ptCount val="11"/>
                <c:pt idx="0">
                  <c:v>30-34</c:v>
                </c:pt>
                <c:pt idx="1">
                  <c:v>35-39</c:v>
                </c:pt>
                <c:pt idx="2">
                  <c:v>40-44</c:v>
                </c:pt>
                <c:pt idx="3">
                  <c:v>45-49</c:v>
                </c:pt>
                <c:pt idx="4">
                  <c:v>50-54</c:v>
                </c:pt>
                <c:pt idx="5">
                  <c:v>55-59</c:v>
                </c:pt>
                <c:pt idx="6">
                  <c:v>60-64</c:v>
                </c:pt>
                <c:pt idx="7">
                  <c:v>65-69</c:v>
                </c:pt>
                <c:pt idx="8">
                  <c:v>70-74</c:v>
                </c:pt>
                <c:pt idx="9">
                  <c:v>75-79</c:v>
                </c:pt>
                <c:pt idx="10">
                  <c:v>80-84</c:v>
                </c:pt>
              </c:strCache>
            </c:strRef>
          </c:cat>
          <c:val>
            <c:numRef>
              <c:f>'[apc-三合一.xlsx]pre-age'!$B$3:$B$13</c:f>
              <c:numCache>
                <c:formatCode>General</c:formatCode>
                <c:ptCount val="11"/>
                <c:pt idx="0">
                  <c:v>4497.5288</c:v>
                </c:pt>
                <c:pt idx="1">
                  <c:v>6272.4769</c:v>
                </c:pt>
                <c:pt idx="2">
                  <c:v>8074.1909</c:v>
                </c:pt>
                <c:pt idx="3">
                  <c:v>9559.8515</c:v>
                </c:pt>
                <c:pt idx="4">
                  <c:v>11061.2198</c:v>
                </c:pt>
                <c:pt idx="5">
                  <c:v>12064.3436</c:v>
                </c:pt>
                <c:pt idx="6">
                  <c:v>13398.5257</c:v>
                </c:pt>
                <c:pt idx="7">
                  <c:v>14446.1596</c:v>
                </c:pt>
                <c:pt idx="8">
                  <c:v>15018.5519</c:v>
                </c:pt>
                <c:pt idx="9">
                  <c:v>16226.1624</c:v>
                </c:pt>
                <c:pt idx="10">
                  <c:v>17174.9716</c:v>
                </c:pt>
              </c:numCache>
            </c:numRef>
          </c:val>
          <c:smooth val="0"/>
        </c:ser>
        <c:ser>
          <c:idx val="1"/>
          <c:order val="1"/>
          <c:tx>
            <c:strRef>
              <c:f>'[apc-三合一.xlsx]pre-age'!$H$1</c:f>
              <c:strCache>
                <c:ptCount val="1"/>
                <c:pt idx="0">
                  <c:v>Male</c:v>
                </c:pt>
              </c:strCache>
            </c:strRef>
          </c:tx>
          <c:spPr>
            <a:ln w="19050" cap="rnd" cmpd="sng">
              <a:solidFill>
                <a:schemeClr val="accent1"/>
              </a:solidFill>
              <a:prstDash val="solid"/>
              <a:round/>
            </a:ln>
            <a:effectLst/>
            <a:sp3d contourW="19050"/>
          </c:spPr>
          <c:marker>
            <c:symbol val="circle"/>
            <c:size val="4"/>
            <c:spPr>
              <a:solidFill>
                <a:schemeClr val="accent1"/>
              </a:solidFill>
              <a:ln w="9525">
                <a:solidFill>
                  <a:schemeClr val="accent1"/>
                </a:solidFill>
              </a:ln>
              <a:effectLst/>
            </c:spPr>
          </c:marker>
          <c:dLbls>
            <c:delete val="1"/>
          </c:dLbls>
          <c:errBars>
            <c:errDir val="y"/>
            <c:errBarType val="both"/>
            <c:errValType val="cust"/>
            <c:noEndCap val="0"/>
            <c:plus>
              <c:numRef>
                <c:f>'[apc-三合一.xlsx]pre-age'!$K$3:$K$13</c:f>
                <c:numCache>
                  <c:formatCode>General</c:formatCode>
                  <c:ptCount val="11"/>
                  <c:pt idx="0">
                    <c:v>64.2767999999996</c:v>
                  </c:pt>
                  <c:pt idx="1">
                    <c:v>82.5712000000003</c:v>
                  </c:pt>
                  <c:pt idx="2">
                    <c:v>100.087399999999</c:v>
                  </c:pt>
                  <c:pt idx="3">
                    <c:v>98.4680000000008</c:v>
                  </c:pt>
                  <c:pt idx="4">
                    <c:v>95.8423999999995</c:v>
                  </c:pt>
                  <c:pt idx="5">
                    <c:v>98.1028000000006</c:v>
                  </c:pt>
                  <c:pt idx="6">
                    <c:v>109.3735</c:v>
                  </c:pt>
                  <c:pt idx="7">
                    <c:v>122.022900000002</c:v>
                  </c:pt>
                  <c:pt idx="8">
                    <c:v>141.436599999999</c:v>
                  </c:pt>
                  <c:pt idx="9">
                    <c:v>193.7783</c:v>
                  </c:pt>
                  <c:pt idx="10">
                    <c:v>266.3161</c:v>
                  </c:pt>
                </c:numCache>
              </c:numRef>
            </c:plus>
            <c:minus>
              <c:numRef>
                <c:f>'[apc-三合一.xlsx]pre-age'!$L$3:$L$13</c:f>
                <c:numCache>
                  <c:formatCode>General</c:formatCode>
                  <c:ptCount val="11"/>
                  <c:pt idx="0">
                    <c:v>63.2807000000003</c:v>
                  </c:pt>
                  <c:pt idx="1">
                    <c:v>81.4470999999994</c:v>
                  </c:pt>
                  <c:pt idx="2">
                    <c:v>98.8420000000006</c:v>
                  </c:pt>
                  <c:pt idx="3">
                    <c:v>97.3642999999993</c:v>
                  </c:pt>
                  <c:pt idx="4">
                    <c:v>94.7844000000005</c:v>
                  </c:pt>
                  <c:pt idx="5">
                    <c:v>97.0141000000003</c:v>
                  </c:pt>
                  <c:pt idx="6">
                    <c:v>108.151900000001</c:v>
                  </c:pt>
                  <c:pt idx="7">
                    <c:v>120.5813</c:v>
                  </c:pt>
                  <c:pt idx="8">
                    <c:v>139.552600000001</c:v>
                  </c:pt>
                  <c:pt idx="9">
                    <c:v>190.5514</c:v>
                  </c:pt>
                  <c:pt idx="10">
                    <c:v>260.6947</c:v>
                  </c:pt>
                </c:numCache>
              </c:numRef>
            </c:minus>
            <c:spPr>
              <a:noFill/>
              <a:ln w="12700" cap="flat" cmpd="sng" algn="ctr">
                <a:solidFill>
                  <a:schemeClr val="accent1"/>
                </a:solidFill>
                <a:prstDash val="sysDot"/>
                <a:round/>
                <a:headEnd type="none"/>
              </a:ln>
              <a:effectLst/>
            </c:spPr>
          </c:errBars>
          <c:cat>
            <c:strRef>
              <c:f>'[apc-三合一.xlsx]longitudinal age'!$G$3:$G$13</c:f>
              <c:strCache>
                <c:ptCount val="11"/>
                <c:pt idx="0">
                  <c:v>30-34</c:v>
                </c:pt>
                <c:pt idx="1">
                  <c:v>35-39</c:v>
                </c:pt>
                <c:pt idx="2">
                  <c:v>40-44</c:v>
                </c:pt>
                <c:pt idx="3">
                  <c:v>45-49</c:v>
                </c:pt>
                <c:pt idx="4">
                  <c:v>50-54</c:v>
                </c:pt>
                <c:pt idx="5">
                  <c:v>55-59</c:v>
                </c:pt>
                <c:pt idx="6">
                  <c:v>60-64</c:v>
                </c:pt>
                <c:pt idx="7">
                  <c:v>65-69</c:v>
                </c:pt>
                <c:pt idx="8">
                  <c:v>70-74</c:v>
                </c:pt>
                <c:pt idx="9">
                  <c:v>75-79</c:v>
                </c:pt>
                <c:pt idx="10">
                  <c:v>80-84</c:v>
                </c:pt>
              </c:strCache>
            </c:strRef>
          </c:cat>
          <c:val>
            <c:numRef>
              <c:f>'[apc-三合一.xlsx]pre-age'!$H$3:$H$13</c:f>
              <c:numCache>
                <c:formatCode>General</c:formatCode>
                <c:ptCount val="11"/>
                <c:pt idx="0">
                  <c:v>4083.3791</c:v>
                </c:pt>
                <c:pt idx="1">
                  <c:v>5982.4689</c:v>
                </c:pt>
                <c:pt idx="2">
                  <c:v>7943.0029</c:v>
                </c:pt>
                <c:pt idx="3">
                  <c:v>8686.9563</c:v>
                </c:pt>
                <c:pt idx="4">
                  <c:v>8585.851</c:v>
                </c:pt>
                <c:pt idx="5">
                  <c:v>8741.7992</c:v>
                </c:pt>
                <c:pt idx="6">
                  <c:v>9682.6049</c:v>
                </c:pt>
                <c:pt idx="7">
                  <c:v>10207.076</c:v>
                </c:pt>
                <c:pt idx="8">
                  <c:v>10476.7636</c:v>
                </c:pt>
                <c:pt idx="9">
                  <c:v>11442.726</c:v>
                </c:pt>
                <c:pt idx="10">
                  <c:v>12350.4258</c:v>
                </c:pt>
              </c:numCache>
            </c:numRef>
          </c:val>
          <c:smooth val="0"/>
        </c:ser>
        <c:ser>
          <c:idx val="2"/>
          <c:order val="2"/>
          <c:tx>
            <c:strRef>
              <c:f>'[apc-三合一.xlsx]pre-age'!$M$1</c:f>
              <c:strCache>
                <c:ptCount val="1"/>
                <c:pt idx="0">
                  <c:v>Female</c:v>
                </c:pt>
              </c:strCache>
            </c:strRef>
          </c:tx>
          <c:spPr>
            <a:ln w="19050" cap="rnd">
              <a:solidFill>
                <a:schemeClr val="accent6"/>
              </a:solidFill>
              <a:round/>
            </a:ln>
            <a:effectLst/>
            <a:sp3d contourW="19050"/>
          </c:spPr>
          <c:marker>
            <c:symbol val="square"/>
            <c:size val="4"/>
            <c:spPr>
              <a:solidFill>
                <a:schemeClr val="accent6"/>
              </a:solidFill>
              <a:ln w="9525">
                <a:solidFill>
                  <a:schemeClr val="accent6"/>
                </a:solidFill>
              </a:ln>
              <a:effectLst/>
            </c:spPr>
          </c:marker>
          <c:dLbls>
            <c:delete val="1"/>
          </c:dLbls>
          <c:errBars>
            <c:errDir val="y"/>
            <c:errBarType val="both"/>
            <c:errValType val="cust"/>
            <c:noEndCap val="0"/>
            <c:plus>
              <c:numRef>
                <c:f>'[apc-三合一.xlsx]pre-age'!$P$3:$P$13</c:f>
                <c:numCache>
                  <c:formatCode>General</c:formatCode>
                  <c:ptCount val="11"/>
                  <c:pt idx="0">
                    <c:v>42.1902</c:v>
                  </c:pt>
                  <c:pt idx="1">
                    <c:v>49.3485000000001</c:v>
                  </c:pt>
                  <c:pt idx="2">
                    <c:v>55.8148000000001</c:v>
                  </c:pt>
                  <c:pt idx="3">
                    <c:v>62.3096000000005</c:v>
                  </c:pt>
                  <c:pt idx="4">
                    <c:v>74.9061999999994</c:v>
                  </c:pt>
                  <c:pt idx="5">
                    <c:v>82.5326000000005</c:v>
                  </c:pt>
                  <c:pt idx="6">
                    <c:v>91.0264999999999</c:v>
                  </c:pt>
                  <c:pt idx="7">
                    <c:v>101.911799999998</c:v>
                  </c:pt>
                  <c:pt idx="8">
                    <c:v>115.814499999997</c:v>
                  </c:pt>
                  <c:pt idx="9">
                    <c:v>152.577399999998</c:v>
                  </c:pt>
                  <c:pt idx="10">
                    <c:v>189.179400000001</c:v>
                  </c:pt>
                </c:numCache>
              </c:numRef>
            </c:plus>
            <c:minus>
              <c:numRef>
                <c:f>'[apc-三合一.xlsx]pre-age'!$Q$3:$Q$13</c:f>
                <c:numCache>
                  <c:formatCode>General</c:formatCode>
                  <c:ptCount val="11"/>
                  <c:pt idx="0">
                    <c:v>41.8360000000002</c:v>
                  </c:pt>
                  <c:pt idx="1">
                    <c:v>48.9847</c:v>
                  </c:pt>
                  <c:pt idx="2">
                    <c:v>55.4418999999998</c:v>
                  </c:pt>
                  <c:pt idx="3">
                    <c:v>61.9444999999996</c:v>
                  </c:pt>
                  <c:pt idx="4">
                    <c:v>74.4997999999996</c:v>
                  </c:pt>
                  <c:pt idx="5">
                    <c:v>82.097600000001</c:v>
                  </c:pt>
                  <c:pt idx="6">
                    <c:v>90.5485000000008</c:v>
                  </c:pt>
                  <c:pt idx="7">
                    <c:v>101.3586</c:v>
                  </c:pt>
                  <c:pt idx="8">
                    <c:v>115.124600000003</c:v>
                  </c:pt>
                  <c:pt idx="9">
                    <c:v>151.444500000001</c:v>
                  </c:pt>
                  <c:pt idx="10">
                    <c:v>187.473699999999</c:v>
                  </c:pt>
                </c:numCache>
              </c:numRef>
            </c:minus>
            <c:spPr>
              <a:noFill/>
              <a:ln w="12700" cap="flat" cmpd="sng" algn="ctr">
                <a:solidFill>
                  <a:schemeClr val="accent6"/>
                </a:solidFill>
                <a:prstDash val="sysDot"/>
                <a:round/>
              </a:ln>
              <a:effectLst/>
            </c:spPr>
          </c:errBars>
          <c:cat>
            <c:strRef>
              <c:f>'[apc-三合一.xlsx]longitudinal age'!$G$3:$G$13</c:f>
              <c:strCache>
                <c:ptCount val="11"/>
                <c:pt idx="0">
                  <c:v>30-34</c:v>
                </c:pt>
                <c:pt idx="1">
                  <c:v>35-39</c:v>
                </c:pt>
                <c:pt idx="2">
                  <c:v>40-44</c:v>
                </c:pt>
                <c:pt idx="3">
                  <c:v>45-49</c:v>
                </c:pt>
                <c:pt idx="4">
                  <c:v>50-54</c:v>
                </c:pt>
                <c:pt idx="5">
                  <c:v>55-59</c:v>
                </c:pt>
                <c:pt idx="6">
                  <c:v>60-64</c:v>
                </c:pt>
                <c:pt idx="7">
                  <c:v>65-69</c:v>
                </c:pt>
                <c:pt idx="8">
                  <c:v>70-74</c:v>
                </c:pt>
                <c:pt idx="9">
                  <c:v>75-79</c:v>
                </c:pt>
                <c:pt idx="10">
                  <c:v>80-84</c:v>
                </c:pt>
              </c:strCache>
            </c:strRef>
          </c:cat>
          <c:val>
            <c:numRef>
              <c:f>'[apc-三合一.xlsx]pre-age'!$M$3:$M$13</c:f>
              <c:numCache>
                <c:formatCode>General</c:formatCode>
                <c:ptCount val="11"/>
                <c:pt idx="0">
                  <c:v>4984.6571</c:v>
                </c:pt>
                <c:pt idx="1">
                  <c:v>6645.8669</c:v>
                </c:pt>
                <c:pt idx="2">
                  <c:v>8295.839</c:v>
                </c:pt>
                <c:pt idx="3">
                  <c:v>10572.034</c:v>
                </c:pt>
                <c:pt idx="4">
                  <c:v>13732.3302</c:v>
                </c:pt>
                <c:pt idx="5">
                  <c:v>15577.2052</c:v>
                </c:pt>
                <c:pt idx="6">
                  <c:v>17243.3301</c:v>
                </c:pt>
                <c:pt idx="7">
                  <c:v>18667.3581</c:v>
                </c:pt>
                <c:pt idx="8">
                  <c:v>19328.08</c:v>
                </c:pt>
                <c:pt idx="9">
                  <c:v>20394.4791</c:v>
                </c:pt>
                <c:pt idx="10">
                  <c:v>20792.6351</c:v>
                </c:pt>
              </c:numCache>
            </c:numRef>
          </c:val>
          <c:smooth val="0"/>
        </c:ser>
        <c:dLbls>
          <c:showLegendKey val="0"/>
          <c:showVal val="0"/>
          <c:showCatName val="0"/>
          <c:showSerName val="0"/>
          <c:showPercent val="0"/>
          <c:showBubbleSize val="0"/>
        </c:dLbls>
        <c:marker val="1"/>
        <c:smooth val="0"/>
        <c:axId val="207423979"/>
        <c:axId val="590840182"/>
      </c:lineChart>
      <c:catAx>
        <c:axId val="207423979"/>
        <c:scaling>
          <c:orientation val="minMax"/>
        </c:scaling>
        <c:delete val="0"/>
        <c:axPos val="b"/>
        <c:title>
          <c:tx>
            <c:rich>
              <a:bodyPr rot="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rPr lang="en-US" altLang="zh-CN" sz="900">
                    <a:latin typeface="Times New Roman" panose="02020603050405020304" charset="0"/>
                    <a:ea typeface="宋体" panose="02010600030101010101" charset="-122"/>
                    <a:cs typeface="Times New Roman" panose="02020603050405020304" charset="0"/>
                  </a:rPr>
                  <a:t>Age</a:t>
                </a:r>
                <a:endParaRPr lang="en-US" altLang="zh-CN" sz="900">
                  <a:latin typeface="Times New Roman" panose="02020603050405020304" charset="0"/>
                  <a:ea typeface="宋体" panose="02010600030101010101" charset="-122"/>
                  <a:cs typeface="Times New Roman" panose="02020603050405020304" charset="0"/>
                </a:endParaRPr>
              </a:p>
            </c:rich>
          </c:tx>
          <c:layout/>
          <c:overlay val="0"/>
          <c:spPr>
            <a:noFill/>
            <a:ln>
              <a:noFill/>
            </a:ln>
            <a:effectLst/>
          </c:spPr>
        </c:title>
        <c:majorTickMark val="in"/>
        <c:minorTickMark val="none"/>
        <c:tickLblPos val="nextTo"/>
        <c:spPr>
          <a:noFill/>
          <a:ln w="9525" cap="flat" cmpd="sng" algn="ctr">
            <a:solidFill>
              <a:schemeClr val="tx1">
                <a:lumMod val="50000"/>
                <a:lumOff val="50000"/>
              </a:schemeClr>
            </a:solidFill>
            <a:round/>
          </a:ln>
          <a:effectLst/>
        </c:spPr>
        <c:txPr>
          <a:bodyPr rot="-5400000" spcFirstLastPara="0" vertOverflow="ellipsis" vert="horz" wrap="square" anchor="ctr" anchorCtr="0"/>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crossAx val="590840182"/>
        <c:crossesAt val="-0.7"/>
        <c:auto val="1"/>
        <c:lblAlgn val="ctr"/>
        <c:lblOffset val="10"/>
        <c:tickLblSkip val="1"/>
        <c:noMultiLvlLbl val="0"/>
      </c:catAx>
      <c:valAx>
        <c:axId val="590840182"/>
        <c:scaling>
          <c:orientation val="minMax"/>
          <c:max val="22000"/>
          <c:min val="2000"/>
        </c:scaling>
        <c:delete val="0"/>
        <c:axPos val="l"/>
        <c:title>
          <c:tx>
            <c:rich>
              <a:bodyPr rot="-5400000" spcFirstLastPara="0" vertOverflow="ellipsis" vert="horz" wrap="square" anchor="ctr" anchorCtr="1"/>
              <a:lstStyle/>
              <a:p>
                <a:pPr defTabSz="914400">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r>
                  <a:rPr lang="en-US" altLang="zh-CN" sz="900">
                    <a:latin typeface="Times New Roman" panose="02020603050405020304" charset="0"/>
                    <a:ea typeface="Times New Roman" panose="02020603050405020304" charset="0"/>
                    <a:cs typeface="Times New Roman" panose="02020603050405020304" charset="0"/>
                    <a:sym typeface="Times New Roman" panose="02020603050405020304" charset="0"/>
                  </a:rPr>
                  <a:t>Prevalence rate (per 100 000)</a:t>
                </a:r>
                <a:endParaRPr lang="en-US" altLang="zh-CN" sz="900">
                  <a:latin typeface="Times New Roman" panose="02020603050405020304" charset="0"/>
                  <a:ea typeface="Times New Roman" panose="02020603050405020304" charset="0"/>
                  <a:cs typeface="Times New Roman" panose="02020603050405020304" charset="0"/>
                  <a:sym typeface="Times New Roman" panose="02020603050405020304" charset="0"/>
                </a:endParaRPr>
              </a:p>
            </c:rich>
          </c:tx>
          <c:layout>
            <c:manualLayout>
              <c:xMode val="edge"/>
              <c:yMode val="edge"/>
              <c:x val="0.00657894736842105"/>
              <c:y val="0.248893229166666"/>
            </c:manualLayout>
          </c:layout>
          <c:overlay val="0"/>
          <c:spPr>
            <a:noFill/>
            <a:ln>
              <a:noFill/>
            </a:ln>
            <a:effectLst/>
          </c:spPr>
        </c:title>
        <c:numFmt formatCode="General" sourceLinked="0"/>
        <c:majorTickMark val="out"/>
        <c:minorTickMark val="none"/>
        <c:tickLblPos val="low"/>
        <c:spPr>
          <a:noFill/>
          <a:ln>
            <a:solidFill>
              <a:schemeClr val="tx1">
                <a:lumMod val="50000"/>
                <a:lumOff val="50000"/>
              </a:schemeClr>
            </a:solid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crossAx val="207423979"/>
        <c:crosses val="autoZero"/>
        <c:crossBetween val="between"/>
        <c:majorUnit val="4000"/>
      </c:valAx>
      <c:spPr>
        <a:noFill/>
        <a:ln>
          <a:noFill/>
        </a:ln>
        <a:effectLst/>
      </c:spPr>
    </c:plotArea>
    <c:legend>
      <c:legendPos val="t"/>
      <c:legendEntry>
        <c:idx val="0"/>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egendEntry>
        <c:idx val="1"/>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egendEntry>
        <c:idx val="2"/>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
    <c:plotVisOnly val="1"/>
    <c:dispBlanksAs val="gap"/>
    <c:showDLblsOverMax val="0"/>
    <c:extLst>
      <c:ext uri="{0b15fc19-7d7d-44ad-8c2d-2c3a37ce22c3}">
        <chartProps xmlns="https://web.wps.cn/et/2018/main" chartId="{e101347b-d3ef-406e-92b9-18edb3d40be6}"/>
      </c:ext>
    </c:extLst>
  </c:chart>
  <c:spPr>
    <a:solidFill>
      <a:schemeClr val="bg1"/>
    </a:solidFill>
    <a:ln w="9525" cap="flat" cmpd="sng" algn="ctr">
      <a:no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6278404576514"/>
          <c:y val="0.0649932765575975"/>
          <c:w val="0.837501986334022"/>
          <c:h val="0.81019722097714"/>
        </c:manualLayout>
      </c:layout>
      <c:lineChart>
        <c:grouping val="standard"/>
        <c:varyColors val="0"/>
        <c:ser>
          <c:idx val="0"/>
          <c:order val="0"/>
          <c:tx>
            <c:strRef>
              <c:f>"Both"</c:f>
              <c:strCache>
                <c:ptCount val="1"/>
                <c:pt idx="0">
                  <c:v>Both</c:v>
                </c:pt>
              </c:strCache>
            </c:strRef>
          </c:tx>
          <c:spPr>
            <a:ln w="19050" cap="rnd">
              <a:solidFill>
                <a:schemeClr val="tx1">
                  <a:lumMod val="50000"/>
                  <a:lumOff val="50000"/>
                </a:schemeClr>
              </a:solidFill>
              <a:round/>
            </a:ln>
            <a:effectLst/>
            <a:sp3d contourW="19050"/>
          </c:spPr>
          <c:marker>
            <c:symbol val="triangle"/>
            <c:size val="4"/>
            <c:spPr>
              <a:solidFill>
                <a:schemeClr val="tx1">
                  <a:lumMod val="50000"/>
                  <a:lumOff val="50000"/>
                </a:schemeClr>
              </a:solidFill>
              <a:ln w="15875">
                <a:solidFill>
                  <a:schemeClr val="tx1">
                    <a:lumMod val="50000"/>
                    <a:lumOff val="50000"/>
                  </a:schemeClr>
                </a:solidFill>
              </a:ln>
              <a:effectLst/>
            </c:spPr>
          </c:marker>
          <c:dLbls>
            <c:delete val="1"/>
          </c:dLbls>
          <c:errBars>
            <c:errDir val="y"/>
            <c:errBarType val="both"/>
            <c:errValType val="cust"/>
            <c:noEndCap val="0"/>
            <c:plus>
              <c:numRef>
                <c:f>'[apc-三合一.xlsx]pre-period'!$E$3:$E$8</c:f>
                <c:numCache>
                  <c:formatCode>General</c:formatCode>
                  <c:ptCount val="6"/>
                  <c:pt idx="0">
                    <c:v>0.00570000000000004</c:v>
                  </c:pt>
                  <c:pt idx="1">
                    <c:v>0.00530000000000008</c:v>
                  </c:pt>
                  <c:pt idx="2">
                    <c:v>0</c:v>
                  </c:pt>
                  <c:pt idx="3">
                    <c:v>0.00480000000000003</c:v>
                  </c:pt>
                  <c:pt idx="4">
                    <c:v>0.00470000000000004</c:v>
                  </c:pt>
                  <c:pt idx="5">
                    <c:v>0.00469999999999993</c:v>
                  </c:pt>
                </c:numCache>
              </c:numRef>
            </c:plus>
            <c:minus>
              <c:numRef>
                <c:f>'[apc-三合一.xlsx]pre-period'!$F$3:$F$8</c:f>
                <c:numCache>
                  <c:formatCode>General</c:formatCode>
                  <c:ptCount val="6"/>
                  <c:pt idx="0">
                    <c:v>0.00570000000000004</c:v>
                  </c:pt>
                  <c:pt idx="1">
                    <c:v>0.00540000000000007</c:v>
                  </c:pt>
                  <c:pt idx="2">
                    <c:v>0</c:v>
                  </c:pt>
                  <c:pt idx="3">
                    <c:v>0.00490000000000002</c:v>
                  </c:pt>
                  <c:pt idx="4">
                    <c:v>0.00469999999999993</c:v>
                  </c:pt>
                  <c:pt idx="5">
                    <c:v>0.00470000000000004</c:v>
                  </c:pt>
                </c:numCache>
              </c:numRef>
            </c:minus>
            <c:spPr>
              <a:noFill/>
              <a:ln w="12700" cap="flat" cmpd="sng" algn="ctr">
                <a:solidFill>
                  <a:schemeClr val="tx1">
                    <a:lumMod val="50000"/>
                    <a:lumOff val="50000"/>
                  </a:schemeClr>
                </a:solidFill>
                <a:prstDash val="sysDot"/>
                <a:round/>
              </a:ln>
              <a:effectLst/>
            </c:spPr>
          </c:errBars>
          <c:cat>
            <c:numRef>
              <c:f>'[apc-三合一.xlsx]period'!$G$3:$G$8</c:f>
              <c:numCache>
                <c:formatCode>General</c:formatCode>
                <c:ptCount val="6"/>
                <c:pt idx="0">
                  <c:v>1995</c:v>
                </c:pt>
                <c:pt idx="1">
                  <c:v>2000</c:v>
                </c:pt>
                <c:pt idx="2">
                  <c:v>2005</c:v>
                </c:pt>
                <c:pt idx="3">
                  <c:v>2010</c:v>
                </c:pt>
                <c:pt idx="4">
                  <c:v>2015</c:v>
                </c:pt>
                <c:pt idx="5">
                  <c:v>2020</c:v>
                </c:pt>
              </c:numCache>
            </c:numRef>
          </c:cat>
          <c:val>
            <c:numRef>
              <c:f>'[apc-三合一.xlsx]pre-period'!$B$3:$B$8</c:f>
              <c:numCache>
                <c:formatCode>General</c:formatCode>
                <c:ptCount val="6"/>
                <c:pt idx="0">
                  <c:v>1.0507</c:v>
                </c:pt>
                <c:pt idx="1">
                  <c:v>1.02</c:v>
                </c:pt>
                <c:pt idx="2">
                  <c:v>1</c:v>
                </c:pt>
                <c:pt idx="3">
                  <c:v>0.9721</c:v>
                </c:pt>
                <c:pt idx="4">
                  <c:v>0.954</c:v>
                </c:pt>
                <c:pt idx="5">
                  <c:v>0.9453</c:v>
                </c:pt>
              </c:numCache>
            </c:numRef>
          </c:val>
          <c:smooth val="0"/>
        </c:ser>
        <c:ser>
          <c:idx val="1"/>
          <c:order val="1"/>
          <c:tx>
            <c:strRef>
              <c:f>'[apc-三合一.xlsx]pre-period'!$H$1</c:f>
              <c:strCache>
                <c:ptCount val="1"/>
                <c:pt idx="0">
                  <c:v>Male</c:v>
                </c:pt>
              </c:strCache>
            </c:strRef>
          </c:tx>
          <c:spPr>
            <a:ln w="19050" cap="rnd" cmpd="sng">
              <a:solidFill>
                <a:schemeClr val="accent1"/>
              </a:solidFill>
              <a:prstDash val="solid"/>
              <a:round/>
            </a:ln>
            <a:effectLst/>
            <a:sp3d contourW="19050"/>
          </c:spPr>
          <c:marker>
            <c:symbol val="circle"/>
            <c:size val="4"/>
            <c:spPr>
              <a:solidFill>
                <a:schemeClr val="accent1"/>
              </a:solidFill>
              <a:ln w="9525">
                <a:solidFill>
                  <a:schemeClr val="accent1"/>
                </a:solidFill>
              </a:ln>
              <a:effectLst/>
            </c:spPr>
          </c:marker>
          <c:dLbls>
            <c:delete val="1"/>
          </c:dLbls>
          <c:errBars>
            <c:errDir val="y"/>
            <c:errBarType val="both"/>
            <c:errValType val="cust"/>
            <c:noEndCap val="0"/>
            <c:plus>
              <c:numRef>
                <c:f>'[apc-三合一.xlsx]pre-period'!$K$3:$K$8</c:f>
                <c:numCache>
                  <c:formatCode>General</c:formatCode>
                  <c:ptCount val="6"/>
                  <c:pt idx="0">
                    <c:v>0.0101</c:v>
                  </c:pt>
                  <c:pt idx="1">
                    <c:v>0.00949999999999984</c:v>
                  </c:pt>
                  <c:pt idx="2">
                    <c:v>0</c:v>
                  </c:pt>
                  <c:pt idx="3">
                    <c:v>0.00859999999999994</c:v>
                  </c:pt>
                  <c:pt idx="4">
                    <c:v>0.00849999999999995</c:v>
                  </c:pt>
                  <c:pt idx="5">
                    <c:v>0.00839999999999996</c:v>
                  </c:pt>
                </c:numCache>
              </c:numRef>
            </c:plus>
            <c:minus>
              <c:numRef>
                <c:f>'[apc-三合一.xlsx]pre-period'!$L$3:$L$8</c:f>
                <c:numCache>
                  <c:formatCode>General</c:formatCode>
                  <c:ptCount val="6"/>
                  <c:pt idx="0">
                    <c:v>0.00990000000000002</c:v>
                  </c:pt>
                  <c:pt idx="1">
                    <c:v>0.00950000000000006</c:v>
                  </c:pt>
                  <c:pt idx="2">
                    <c:v>0</c:v>
                  </c:pt>
                  <c:pt idx="3">
                    <c:v>0.00860000000000005</c:v>
                  </c:pt>
                  <c:pt idx="4">
                    <c:v>0.00839999999999996</c:v>
                  </c:pt>
                  <c:pt idx="5">
                    <c:v>0.00840000000000007</c:v>
                  </c:pt>
                </c:numCache>
              </c:numRef>
            </c:minus>
            <c:spPr>
              <a:noFill/>
              <a:ln w="12700" cap="flat" cmpd="sng" algn="ctr">
                <a:solidFill>
                  <a:schemeClr val="accent1"/>
                </a:solidFill>
                <a:prstDash val="sysDot"/>
                <a:round/>
                <a:headEnd type="none"/>
              </a:ln>
              <a:effectLst/>
            </c:spPr>
          </c:errBars>
          <c:cat>
            <c:numRef>
              <c:f>'[apc-三合一.xlsx]period'!$G$3:$G$8</c:f>
              <c:numCache>
                <c:formatCode>General</c:formatCode>
                <c:ptCount val="6"/>
                <c:pt idx="0">
                  <c:v>1995</c:v>
                </c:pt>
                <c:pt idx="1">
                  <c:v>2000</c:v>
                </c:pt>
                <c:pt idx="2">
                  <c:v>2005</c:v>
                </c:pt>
                <c:pt idx="3">
                  <c:v>2010</c:v>
                </c:pt>
                <c:pt idx="4">
                  <c:v>2015</c:v>
                </c:pt>
                <c:pt idx="5">
                  <c:v>2020</c:v>
                </c:pt>
              </c:numCache>
            </c:numRef>
          </c:cat>
          <c:val>
            <c:numRef>
              <c:f>'[apc-三合一.xlsx]pre-period'!$H$3:$H$8</c:f>
              <c:numCache>
                <c:formatCode>General</c:formatCode>
                <c:ptCount val="6"/>
                <c:pt idx="0">
                  <c:v>1.0398</c:v>
                </c:pt>
                <c:pt idx="1">
                  <c:v>1.0217</c:v>
                </c:pt>
                <c:pt idx="2">
                  <c:v>1</c:v>
                </c:pt>
                <c:pt idx="3">
                  <c:v>0.9684</c:v>
                </c:pt>
                <c:pt idx="4">
                  <c:v>0.9465</c:v>
                </c:pt>
                <c:pt idx="5">
                  <c:v>0.926</c:v>
                </c:pt>
              </c:numCache>
            </c:numRef>
          </c:val>
          <c:smooth val="0"/>
        </c:ser>
        <c:ser>
          <c:idx val="2"/>
          <c:order val="2"/>
          <c:tx>
            <c:strRef>
              <c:f>'[apc-三合一.xlsx]pre-period'!$M$1</c:f>
              <c:strCache>
                <c:ptCount val="1"/>
                <c:pt idx="0">
                  <c:v>Female</c:v>
                </c:pt>
              </c:strCache>
            </c:strRef>
          </c:tx>
          <c:spPr>
            <a:ln w="19050" cap="rnd">
              <a:solidFill>
                <a:schemeClr val="accent6"/>
              </a:solidFill>
              <a:round/>
            </a:ln>
            <a:effectLst/>
            <a:sp3d contourW="19050"/>
          </c:spPr>
          <c:marker>
            <c:symbol val="square"/>
            <c:size val="4"/>
            <c:spPr>
              <a:solidFill>
                <a:schemeClr val="accent6"/>
              </a:solidFill>
              <a:ln w="9525">
                <a:solidFill>
                  <a:schemeClr val="accent6"/>
                </a:solidFill>
              </a:ln>
              <a:effectLst/>
            </c:spPr>
          </c:marker>
          <c:dLbls>
            <c:delete val="1"/>
          </c:dLbls>
          <c:errBars>
            <c:errDir val="y"/>
            <c:errBarType val="both"/>
            <c:errValType val="cust"/>
            <c:noEndCap val="0"/>
            <c:plus>
              <c:numRef>
                <c:f>'[apc-三合一.xlsx]pre-period'!$P$3:$P$8</c:f>
                <c:numCache>
                  <c:formatCode>General</c:formatCode>
                  <c:ptCount val="6"/>
                  <c:pt idx="0">
                    <c:v>0.00530000000000008</c:v>
                  </c:pt>
                  <c:pt idx="1">
                    <c:v>0.00479999999999992</c:v>
                  </c:pt>
                  <c:pt idx="2">
                    <c:v>0</c:v>
                  </c:pt>
                  <c:pt idx="3">
                    <c:v>0.00439999999999996</c:v>
                  </c:pt>
                  <c:pt idx="4">
                    <c:v>0.00430000000000008</c:v>
                  </c:pt>
                  <c:pt idx="5">
                    <c:v>0.00420000000000009</c:v>
                  </c:pt>
                </c:numCache>
              </c:numRef>
            </c:plus>
            <c:minus>
              <c:numRef>
                <c:f>'[apc-三合一.xlsx]pre-period'!$Q$3:$Q$8</c:f>
                <c:numCache>
                  <c:formatCode>General</c:formatCode>
                  <c:ptCount val="6"/>
                  <c:pt idx="0">
                    <c:v>0.00520000000000009</c:v>
                  </c:pt>
                  <c:pt idx="1">
                    <c:v>0.00490000000000013</c:v>
                  </c:pt>
                  <c:pt idx="2">
                    <c:v>0</c:v>
                  </c:pt>
                  <c:pt idx="3">
                    <c:v>0.00439999999999996</c:v>
                  </c:pt>
                  <c:pt idx="4">
                    <c:v>0.00419999999999998</c:v>
                  </c:pt>
                  <c:pt idx="5">
                    <c:v>0.00419999999999998</c:v>
                  </c:pt>
                </c:numCache>
              </c:numRef>
            </c:minus>
            <c:spPr>
              <a:noFill/>
              <a:ln w="12700" cap="flat" cmpd="sng" algn="ctr">
                <a:solidFill>
                  <a:schemeClr val="accent6"/>
                </a:solidFill>
                <a:prstDash val="sysDot"/>
                <a:round/>
              </a:ln>
              <a:effectLst/>
            </c:spPr>
          </c:errBars>
          <c:cat>
            <c:numRef>
              <c:f>'[apc-三合一.xlsx]period'!$G$3:$G$8</c:f>
              <c:numCache>
                <c:formatCode>General</c:formatCode>
                <c:ptCount val="6"/>
                <c:pt idx="0">
                  <c:v>1995</c:v>
                </c:pt>
                <c:pt idx="1">
                  <c:v>2000</c:v>
                </c:pt>
                <c:pt idx="2">
                  <c:v>2005</c:v>
                </c:pt>
                <c:pt idx="3">
                  <c:v>2010</c:v>
                </c:pt>
                <c:pt idx="4">
                  <c:v>2015</c:v>
                </c:pt>
                <c:pt idx="5">
                  <c:v>2020</c:v>
                </c:pt>
              </c:numCache>
            </c:numRef>
          </c:cat>
          <c:val>
            <c:numRef>
              <c:f>'[apc-三合一.xlsx]pre-period'!$M$3:$M$8</c:f>
              <c:numCache>
                <c:formatCode>General</c:formatCode>
                <c:ptCount val="6"/>
                <c:pt idx="0">
                  <c:v>1.0604</c:v>
                </c:pt>
                <c:pt idx="1">
                  <c:v>1.0199</c:v>
                </c:pt>
                <c:pt idx="2">
                  <c:v>1</c:v>
                </c:pt>
                <c:pt idx="3">
                  <c:v>0.9737</c:v>
                </c:pt>
                <c:pt idx="4">
                  <c:v>0.9569</c:v>
                </c:pt>
                <c:pt idx="5">
                  <c:v>0.955</c:v>
                </c:pt>
              </c:numCache>
            </c:numRef>
          </c:val>
          <c:smooth val="0"/>
        </c:ser>
        <c:dLbls>
          <c:showLegendKey val="0"/>
          <c:showVal val="0"/>
          <c:showCatName val="0"/>
          <c:showSerName val="0"/>
          <c:showPercent val="0"/>
          <c:showBubbleSize val="0"/>
        </c:dLbls>
        <c:marker val="1"/>
        <c:smooth val="0"/>
        <c:axId val="207423979"/>
        <c:axId val="590840182"/>
      </c:lineChart>
      <c:catAx>
        <c:axId val="207423979"/>
        <c:scaling>
          <c:orientation val="minMax"/>
        </c:scaling>
        <c:delete val="0"/>
        <c:axPos val="b"/>
        <c:title>
          <c:tx>
            <c:rich>
              <a:bodyPr rot="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r>
                  <a:rPr lang="en-US" altLang="zh-CN" sz="900">
                    <a:latin typeface="Times New Roman" panose="02020603050405020304" charset="0"/>
                    <a:ea typeface="Times New Roman" panose="02020603050405020304" charset="0"/>
                    <a:cs typeface="Times New Roman" panose="02020603050405020304" charset="0"/>
                    <a:sym typeface="Times New Roman" panose="02020603050405020304" charset="0"/>
                  </a:rPr>
                  <a:t>Period</a:t>
                </a:r>
                <a:endParaRPr lang="en-US" altLang="zh-CN" sz="900">
                  <a:latin typeface="Times New Roman" panose="02020603050405020304" charset="0"/>
                  <a:ea typeface="Times New Roman" panose="02020603050405020304" charset="0"/>
                  <a:cs typeface="Times New Roman" panose="02020603050405020304" charset="0"/>
                  <a:sym typeface="Times New Roman" panose="02020603050405020304" charset="0"/>
                </a:endParaRPr>
              </a:p>
            </c:rich>
          </c:tx>
          <c:layout/>
          <c:overlay val="0"/>
          <c:spPr>
            <a:noFill/>
            <a:ln>
              <a:noFill/>
            </a:ln>
            <a:effectLst/>
          </c:spPr>
        </c:title>
        <c:majorTickMark val="none"/>
        <c:minorTickMark val="in"/>
        <c:tickLblPos val="nextTo"/>
        <c:spPr>
          <a:noFill/>
          <a:ln w="9525" cap="flat" cmpd="sng" algn="ctr">
            <a:solidFill>
              <a:schemeClr val="tx1">
                <a:lumMod val="50000"/>
                <a:lumOff val="50000"/>
              </a:schemeClr>
            </a:solidFill>
            <a:round/>
          </a:ln>
          <a:effectLst/>
        </c:spPr>
        <c:txPr>
          <a:bodyPr rot="0" spcFirstLastPara="0" vertOverflow="ellipsis" vert="horz" wrap="square" anchor="ctr" anchorCtr="0"/>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crossAx val="590840182"/>
        <c:crossesAt val="-0.7"/>
        <c:auto val="1"/>
        <c:lblAlgn val="ctr"/>
        <c:lblOffset val="10"/>
        <c:tickLblSkip val="1"/>
        <c:noMultiLvlLbl val="0"/>
      </c:catAx>
      <c:valAx>
        <c:axId val="590840182"/>
        <c:scaling>
          <c:orientation val="minMax"/>
          <c:max val="1.1"/>
          <c:min val="0.9"/>
        </c:scaling>
        <c:delete val="0"/>
        <c:axPos val="l"/>
        <c:title>
          <c:tx>
            <c:rich>
              <a:bodyPr rot="-5400000" spcFirstLastPara="0" vertOverflow="ellipsis" vert="horz" wrap="square" anchor="ctr" anchorCtr="1"/>
              <a:lstStyle/>
              <a:p>
                <a:pPr defTabSz="914400">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r>
                  <a:rPr lang="en-US" altLang="zh-CN" sz="900">
                    <a:latin typeface="Times New Roman" panose="02020603050405020304" charset="0"/>
                    <a:ea typeface="Times New Roman" panose="02020603050405020304" charset="0"/>
                    <a:cs typeface="Times New Roman" panose="02020603050405020304" charset="0"/>
                    <a:sym typeface="Times New Roman" panose="02020603050405020304" charset="0"/>
                  </a:rPr>
                  <a:t>Prevalence rate ratio</a:t>
                </a:r>
                <a:endParaRPr lang="en-US" altLang="zh-CN" sz="900">
                  <a:latin typeface="Times New Roman" panose="02020603050405020304" charset="0"/>
                  <a:ea typeface="Times New Roman" panose="02020603050405020304" charset="0"/>
                  <a:cs typeface="Times New Roman" panose="02020603050405020304" charset="0"/>
                  <a:sym typeface="Times New Roman" panose="02020603050405020304" charset="0"/>
                </a:endParaRPr>
              </a:p>
            </c:rich>
          </c:tx>
          <c:layout>
            <c:manualLayout>
              <c:xMode val="edge"/>
              <c:yMode val="edge"/>
              <c:x val="0.00657894736842105"/>
              <c:y val="0.313997395833333"/>
            </c:manualLayout>
          </c:layout>
          <c:overlay val="0"/>
          <c:spPr>
            <a:noFill/>
            <a:ln>
              <a:noFill/>
            </a:ln>
            <a:effectLst/>
          </c:spPr>
        </c:title>
        <c:numFmt formatCode="#,##0.00_);[Red]\(#,##0.00\)" sourceLinked="0"/>
        <c:majorTickMark val="out"/>
        <c:minorTickMark val="none"/>
        <c:tickLblPos val="low"/>
        <c:spPr>
          <a:noFill/>
          <a:ln>
            <a:solidFill>
              <a:schemeClr val="tx1">
                <a:lumMod val="50000"/>
                <a:lumOff val="50000"/>
              </a:schemeClr>
            </a:solid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crossAx val="207423979"/>
        <c:crosses val="autoZero"/>
        <c:crossBetween val="between"/>
        <c:majorUnit val="0.05"/>
      </c:valAx>
      <c:spPr>
        <a:noFill/>
        <a:ln>
          <a:noFill/>
        </a:ln>
        <a:effectLst/>
      </c:spPr>
    </c:plotArea>
    <c:legend>
      <c:legendPos val="t"/>
      <c:legendEntry>
        <c:idx val="0"/>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egendEntry>
        <c:idx val="1"/>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egendEntry>
        <c:idx val="2"/>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
    <c:plotVisOnly val="1"/>
    <c:dispBlanksAs val="gap"/>
    <c:showDLblsOverMax val="0"/>
    <c:extLst>
      <c:ext uri="{0b15fc19-7d7d-44ad-8c2d-2c3a37ce22c3}">
        <chartProps xmlns="https://web.wps.cn/et/2018/main" chartId="{6f500484-3c66-40f8-9270-d547182f4d4a}"/>
      </c:ext>
    </c:extLst>
  </c:chart>
  <c:spPr>
    <a:solidFill>
      <a:schemeClr val="bg1"/>
    </a:solidFill>
    <a:ln w="9525" cap="flat" cmpd="sng" algn="ctr">
      <a:noFill/>
      <a:round/>
    </a:ln>
    <a:effectLst/>
  </c:spPr>
  <c:txPr>
    <a:bodyPr/>
    <a:lstStyle/>
    <a:p>
      <a:pPr>
        <a:defRPr lang="zh-CN">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7153965785381"/>
          <c:y val="0.0649402390438247"/>
          <c:w val="0.846718506998445"/>
          <c:h val="0.704800796812749"/>
        </c:manualLayout>
      </c:layout>
      <c:lineChart>
        <c:grouping val="standard"/>
        <c:varyColors val="0"/>
        <c:ser>
          <c:idx val="0"/>
          <c:order val="0"/>
          <c:tx>
            <c:strRef>
              <c:f>"Both"</c:f>
              <c:strCache>
                <c:ptCount val="1"/>
                <c:pt idx="0">
                  <c:v>Both</c:v>
                </c:pt>
              </c:strCache>
            </c:strRef>
          </c:tx>
          <c:spPr>
            <a:ln w="19050" cap="rnd">
              <a:solidFill>
                <a:schemeClr val="tx1">
                  <a:lumMod val="50000"/>
                  <a:lumOff val="50000"/>
                </a:schemeClr>
              </a:solidFill>
              <a:round/>
            </a:ln>
            <a:effectLst/>
            <a:sp3d contourW="19050"/>
          </c:spPr>
          <c:marker>
            <c:symbol val="triangle"/>
            <c:size val="4"/>
            <c:spPr>
              <a:solidFill>
                <a:schemeClr val="tx1">
                  <a:lumMod val="50000"/>
                  <a:lumOff val="50000"/>
                </a:schemeClr>
              </a:solidFill>
              <a:ln w="15875">
                <a:solidFill>
                  <a:schemeClr val="tx1">
                    <a:lumMod val="50000"/>
                    <a:lumOff val="50000"/>
                  </a:schemeClr>
                </a:solidFill>
              </a:ln>
              <a:effectLst/>
            </c:spPr>
          </c:marker>
          <c:dLbls>
            <c:delete val="1"/>
          </c:dLbls>
          <c:errBars>
            <c:errDir val="y"/>
            <c:errBarType val="both"/>
            <c:errValType val="cust"/>
            <c:noEndCap val="0"/>
            <c:plus>
              <c:numRef>
                <c:f>'[apc-三合一.xlsx]pre-cohort'!$E$3:$E$18</c:f>
                <c:numCache>
                  <c:formatCode>General</c:formatCode>
                  <c:ptCount val="16"/>
                  <c:pt idx="0">
                    <c:v>0.0326</c:v>
                  </c:pt>
                  <c:pt idx="1">
                    <c:v>0.0191000000000001</c:v>
                  </c:pt>
                  <c:pt idx="2">
                    <c:v>0.0134000000000001</c:v>
                  </c:pt>
                  <c:pt idx="3">
                    <c:v>0.0104000000000002</c:v>
                  </c:pt>
                  <c:pt idx="4">
                    <c:v>0.00860000000000016</c:v>
                  </c:pt>
                  <c:pt idx="5">
                    <c:v>0.00749999999999984</c:v>
                  </c:pt>
                  <c:pt idx="6">
                    <c:v>0.0069999999999999</c:v>
                  </c:pt>
                  <c:pt idx="7">
                    <c:v>0</c:v>
                  </c:pt>
                  <c:pt idx="8">
                    <c:v>0.00609999999999999</c:v>
                  </c:pt>
                  <c:pt idx="9">
                    <c:v>0.00619999999999998</c:v>
                  </c:pt>
                  <c:pt idx="10">
                    <c:v>0.00639999999999996</c:v>
                  </c:pt>
                  <c:pt idx="11">
                    <c:v>0.00649999999999995</c:v>
                  </c:pt>
                  <c:pt idx="12">
                    <c:v>0.00719999999999998</c:v>
                  </c:pt>
                  <c:pt idx="13">
                    <c:v>0.00870000000000004</c:v>
                  </c:pt>
                  <c:pt idx="14">
                    <c:v>0.0105</c:v>
                  </c:pt>
                  <c:pt idx="15">
                    <c:v>0.0141</c:v>
                  </c:pt>
                </c:numCache>
              </c:numRef>
            </c:plus>
            <c:minus>
              <c:numRef>
                <c:f>'[apc-三合一.xlsx]pre-cohort'!$F$3:$F$18</c:f>
                <c:numCache>
                  <c:formatCode>General</c:formatCode>
                  <c:ptCount val="16"/>
                  <c:pt idx="0">
                    <c:v>0.0318000000000001</c:v>
                  </c:pt>
                  <c:pt idx="1">
                    <c:v>0.0186999999999999</c:v>
                  </c:pt>
                  <c:pt idx="2">
                    <c:v>0.0132999999999999</c:v>
                  </c:pt>
                  <c:pt idx="3">
                    <c:v>0.0103</c:v>
                  </c:pt>
                  <c:pt idx="4">
                    <c:v>0.00849999999999995</c:v>
                  </c:pt>
                  <c:pt idx="5">
                    <c:v>0.00750000000000006</c:v>
                  </c:pt>
                  <c:pt idx="6">
                    <c:v>0.00690000000000013</c:v>
                  </c:pt>
                  <c:pt idx="7">
                    <c:v>0</c:v>
                  </c:pt>
                  <c:pt idx="8">
                    <c:v>0.00600000000000001</c:v>
                  </c:pt>
                  <c:pt idx="9">
                    <c:v>0.00619999999999998</c:v>
                  </c:pt>
                  <c:pt idx="10">
                    <c:v>0.00640000000000007</c:v>
                  </c:pt>
                  <c:pt idx="11">
                    <c:v>0.00650000000000006</c:v>
                  </c:pt>
                  <c:pt idx="12">
                    <c:v>0.00719999999999998</c:v>
                  </c:pt>
                  <c:pt idx="13">
                    <c:v>0.00849999999999995</c:v>
                  </c:pt>
                  <c:pt idx="14">
                    <c:v>0.0103</c:v>
                  </c:pt>
                  <c:pt idx="15">
                    <c:v>0.0139</c:v>
                  </c:pt>
                </c:numCache>
              </c:numRef>
            </c:minus>
            <c:spPr>
              <a:noFill/>
              <a:ln w="12700" cap="flat" cmpd="sng" algn="ctr">
                <a:solidFill>
                  <a:schemeClr val="tx1">
                    <a:lumMod val="50000"/>
                    <a:lumOff val="50000"/>
                  </a:schemeClr>
                </a:solidFill>
                <a:prstDash val="sysDot"/>
                <a:round/>
              </a:ln>
              <a:effectLst/>
            </c:spPr>
          </c:errBars>
          <c:cat>
            <c:strRef>
              <c:f>'[apc-三合一.xlsx]cohort'!$G$3:$G$18</c:f>
              <c:strCache>
                <c:ptCount val="16"/>
                <c:pt idx="0">
                  <c:v>1912-1916</c:v>
                </c:pt>
                <c:pt idx="1">
                  <c:v>1917-1921</c:v>
                </c:pt>
                <c:pt idx="2">
                  <c:v>1922-1926</c:v>
                </c:pt>
                <c:pt idx="3">
                  <c:v>1927-1931</c:v>
                </c:pt>
                <c:pt idx="4">
                  <c:v>1932-1936</c:v>
                </c:pt>
                <c:pt idx="5">
                  <c:v>1937-1941</c:v>
                </c:pt>
                <c:pt idx="6">
                  <c:v>1942-1946</c:v>
                </c:pt>
                <c:pt idx="7">
                  <c:v>1947-1951</c:v>
                </c:pt>
                <c:pt idx="8">
                  <c:v>1952-1956</c:v>
                </c:pt>
                <c:pt idx="9">
                  <c:v>1957-1961</c:v>
                </c:pt>
                <c:pt idx="10">
                  <c:v>1962-1966</c:v>
                </c:pt>
                <c:pt idx="11">
                  <c:v>1967-1971</c:v>
                </c:pt>
                <c:pt idx="12">
                  <c:v>1972-1976</c:v>
                </c:pt>
                <c:pt idx="13">
                  <c:v>1977-1981</c:v>
                </c:pt>
                <c:pt idx="14">
                  <c:v>1982-1986</c:v>
                </c:pt>
                <c:pt idx="15">
                  <c:v>1987-1991</c:v>
                </c:pt>
              </c:strCache>
            </c:strRef>
          </c:cat>
          <c:val>
            <c:numRef>
              <c:f>'[apc-三合一.xlsx]pre-cohort'!$B$3:$B$18</c:f>
              <c:numCache>
                <c:formatCode>General</c:formatCode>
                <c:ptCount val="16"/>
                <c:pt idx="0">
                  <c:v>1.1544</c:v>
                </c:pt>
                <c:pt idx="1">
                  <c:v>1.1415</c:v>
                </c:pt>
                <c:pt idx="2">
                  <c:v>1.1132</c:v>
                </c:pt>
                <c:pt idx="3">
                  <c:v>1.0874</c:v>
                </c:pt>
                <c:pt idx="4">
                  <c:v>1.063</c:v>
                </c:pt>
                <c:pt idx="5">
                  <c:v>1.0436</c:v>
                </c:pt>
                <c:pt idx="6">
                  <c:v>1.0232</c:v>
                </c:pt>
                <c:pt idx="7">
                  <c:v>1</c:v>
                </c:pt>
                <c:pt idx="8">
                  <c:v>0.9814</c:v>
                </c:pt>
                <c:pt idx="9">
                  <c:v>0.9588</c:v>
                </c:pt>
                <c:pt idx="10">
                  <c:v>0.9392</c:v>
                </c:pt>
                <c:pt idx="11">
                  <c:v>0.9201</c:v>
                </c:pt>
                <c:pt idx="12">
                  <c:v>0.8989</c:v>
                </c:pt>
                <c:pt idx="13">
                  <c:v>0.8703</c:v>
                </c:pt>
                <c:pt idx="14">
                  <c:v>0.8418</c:v>
                </c:pt>
                <c:pt idx="15">
                  <c:v>0.8555</c:v>
                </c:pt>
              </c:numCache>
            </c:numRef>
          </c:val>
          <c:smooth val="0"/>
        </c:ser>
        <c:ser>
          <c:idx val="1"/>
          <c:order val="1"/>
          <c:tx>
            <c:strRef>
              <c:f>'[apc-三合一.xlsx]pre-cohort'!$H$1</c:f>
              <c:strCache>
                <c:ptCount val="1"/>
                <c:pt idx="0">
                  <c:v>Male</c:v>
                </c:pt>
              </c:strCache>
            </c:strRef>
          </c:tx>
          <c:spPr>
            <a:ln w="19050" cap="rnd" cmpd="sng">
              <a:solidFill>
                <a:schemeClr val="accent1"/>
              </a:solidFill>
              <a:prstDash val="solid"/>
              <a:round/>
            </a:ln>
            <a:effectLst/>
            <a:sp3d contourW="19050"/>
          </c:spPr>
          <c:marker>
            <c:symbol val="circle"/>
            <c:size val="4"/>
            <c:spPr>
              <a:solidFill>
                <a:schemeClr val="accent1"/>
              </a:solidFill>
              <a:ln w="9525">
                <a:solidFill>
                  <a:schemeClr val="accent1"/>
                </a:solidFill>
              </a:ln>
              <a:effectLst/>
            </c:spPr>
          </c:marker>
          <c:dLbls>
            <c:delete val="1"/>
          </c:dLbls>
          <c:errBars>
            <c:errDir val="y"/>
            <c:errBarType val="both"/>
            <c:errValType val="cust"/>
            <c:noEndCap val="0"/>
            <c:plus>
              <c:numRef>
                <c:f>'[apc-三合一.xlsx]pre-cohort'!$K$3:$K$18</c:f>
                <c:numCache>
                  <c:formatCode>General</c:formatCode>
                  <c:ptCount val="16"/>
                  <c:pt idx="0">
                    <c:v>0.0716000000000001</c:v>
                  </c:pt>
                  <c:pt idx="1">
                    <c:v>0.04</c:v>
                  </c:pt>
                  <c:pt idx="2">
                    <c:v>0.0275000000000001</c:v>
                  </c:pt>
                  <c:pt idx="3">
                    <c:v>0.0206999999999999</c:v>
                  </c:pt>
                  <c:pt idx="4">
                    <c:v>0.0168000000000001</c:v>
                  </c:pt>
                  <c:pt idx="5">
                    <c:v>0.0146000000000002</c:v>
                  </c:pt>
                  <c:pt idx="6">
                    <c:v>0.0132000000000001</c:v>
                  </c:pt>
                  <c:pt idx="7">
                    <c:v>0</c:v>
                  </c:pt>
                  <c:pt idx="8">
                    <c:v>0.011</c:v>
                  </c:pt>
                  <c:pt idx="9">
                    <c:v>0.0113</c:v>
                  </c:pt>
                  <c:pt idx="10">
                    <c:v>0.0115</c:v>
                  </c:pt>
                  <c:pt idx="11">
                    <c:v>0.0116999999999999</c:v>
                  </c:pt>
                  <c:pt idx="12">
                    <c:v>0.0126000000000001</c:v>
                  </c:pt>
                  <c:pt idx="13">
                    <c:v>0.0148</c:v>
                  </c:pt>
                  <c:pt idx="14">
                    <c:v>0.0177999999999999</c:v>
                  </c:pt>
                  <c:pt idx="15">
                    <c:v>0.0240999999999999</c:v>
                  </c:pt>
                </c:numCache>
              </c:numRef>
            </c:plus>
            <c:minus>
              <c:numRef>
                <c:f>'[apc-三合一.xlsx]pre-cohort'!$L$3:$L$18</c:f>
                <c:numCache>
                  <c:formatCode>General</c:formatCode>
                  <c:ptCount val="16"/>
                  <c:pt idx="0">
                    <c:v>0.0674999999999999</c:v>
                  </c:pt>
                  <c:pt idx="1">
                    <c:v>0.0387999999999999</c:v>
                  </c:pt>
                  <c:pt idx="2">
                    <c:v>0.0268999999999999</c:v>
                  </c:pt>
                  <c:pt idx="3">
                    <c:v>0.0204</c:v>
                  </c:pt>
                  <c:pt idx="4">
                    <c:v>0.0165999999999999</c:v>
                  </c:pt>
                  <c:pt idx="5">
                    <c:v>0.0145</c:v>
                  </c:pt>
                  <c:pt idx="6">
                    <c:v>0.0130999999999999</c:v>
                  </c:pt>
                  <c:pt idx="7">
                    <c:v>0</c:v>
                  </c:pt>
                  <c:pt idx="8">
                    <c:v>0.0109999999999999</c:v>
                  </c:pt>
                  <c:pt idx="9">
                    <c:v>0.0111</c:v>
                  </c:pt>
                  <c:pt idx="10">
                    <c:v>0.0113000000000001</c:v>
                  </c:pt>
                  <c:pt idx="11">
                    <c:v>0.0114</c:v>
                  </c:pt>
                  <c:pt idx="12">
                    <c:v>0.0125</c:v>
                  </c:pt>
                  <c:pt idx="13">
                    <c:v>0.0145999999999999</c:v>
                  </c:pt>
                  <c:pt idx="14">
                    <c:v>0.0174000000000001</c:v>
                  </c:pt>
                  <c:pt idx="15">
                    <c:v>0.0235000000000001</c:v>
                  </c:pt>
                </c:numCache>
              </c:numRef>
            </c:minus>
            <c:spPr>
              <a:noFill/>
              <a:ln w="12700" cap="flat" cmpd="sng" algn="ctr">
                <a:solidFill>
                  <a:schemeClr val="accent1"/>
                </a:solidFill>
                <a:prstDash val="sysDot"/>
                <a:round/>
                <a:headEnd type="none"/>
              </a:ln>
              <a:effectLst/>
            </c:spPr>
          </c:errBars>
          <c:cat>
            <c:strRef>
              <c:f>'[apc-三合一.xlsx]cohort'!$G$3:$G$18</c:f>
              <c:strCache>
                <c:ptCount val="16"/>
                <c:pt idx="0">
                  <c:v>1912-1916</c:v>
                </c:pt>
                <c:pt idx="1">
                  <c:v>1917-1921</c:v>
                </c:pt>
                <c:pt idx="2">
                  <c:v>1922-1926</c:v>
                </c:pt>
                <c:pt idx="3">
                  <c:v>1927-1931</c:v>
                </c:pt>
                <c:pt idx="4">
                  <c:v>1932-1936</c:v>
                </c:pt>
                <c:pt idx="5">
                  <c:v>1937-1941</c:v>
                </c:pt>
                <c:pt idx="6">
                  <c:v>1942-1946</c:v>
                </c:pt>
                <c:pt idx="7">
                  <c:v>1947-1951</c:v>
                </c:pt>
                <c:pt idx="8">
                  <c:v>1952-1956</c:v>
                </c:pt>
                <c:pt idx="9">
                  <c:v>1957-1961</c:v>
                </c:pt>
                <c:pt idx="10">
                  <c:v>1962-1966</c:v>
                </c:pt>
                <c:pt idx="11">
                  <c:v>1967-1971</c:v>
                </c:pt>
                <c:pt idx="12">
                  <c:v>1972-1976</c:v>
                </c:pt>
                <c:pt idx="13">
                  <c:v>1977-1981</c:v>
                </c:pt>
                <c:pt idx="14">
                  <c:v>1982-1986</c:v>
                </c:pt>
                <c:pt idx="15">
                  <c:v>1987-1991</c:v>
                </c:pt>
              </c:strCache>
            </c:strRef>
          </c:cat>
          <c:val>
            <c:numRef>
              <c:f>'[apc-三合一.xlsx]pre-cohort'!$H$3:$H$18</c:f>
              <c:numCache>
                <c:formatCode>General</c:formatCode>
                <c:ptCount val="16"/>
                <c:pt idx="0">
                  <c:v>1.1777</c:v>
                </c:pt>
                <c:pt idx="1">
                  <c:v>1.1659</c:v>
                </c:pt>
                <c:pt idx="2">
                  <c:v>1.1419</c:v>
                </c:pt>
                <c:pt idx="3">
                  <c:v>1.1169</c:v>
                </c:pt>
                <c:pt idx="4">
                  <c:v>1.0896</c:v>
                </c:pt>
                <c:pt idx="5">
                  <c:v>1.0673</c:v>
                </c:pt>
                <c:pt idx="6">
                  <c:v>1.037</c:v>
                </c:pt>
                <c:pt idx="7">
                  <c:v>1</c:v>
                </c:pt>
                <c:pt idx="8">
                  <c:v>0.9732</c:v>
                </c:pt>
                <c:pt idx="9">
                  <c:v>0.9547</c:v>
                </c:pt>
                <c:pt idx="10">
                  <c:v>0.937</c:v>
                </c:pt>
                <c:pt idx="11">
                  <c:v>0.9192</c:v>
                </c:pt>
                <c:pt idx="12">
                  <c:v>0.9037</c:v>
                </c:pt>
                <c:pt idx="13">
                  <c:v>0.8785</c:v>
                </c:pt>
                <c:pt idx="14">
                  <c:v>0.8453</c:v>
                </c:pt>
                <c:pt idx="15">
                  <c:v>0.8534</c:v>
                </c:pt>
              </c:numCache>
            </c:numRef>
          </c:val>
          <c:smooth val="0"/>
        </c:ser>
        <c:ser>
          <c:idx val="2"/>
          <c:order val="2"/>
          <c:tx>
            <c:strRef>
              <c:f>'[apc-三合一.xlsx]pre-cohort'!$M$1</c:f>
              <c:strCache>
                <c:ptCount val="1"/>
                <c:pt idx="0">
                  <c:v>Female</c:v>
                </c:pt>
              </c:strCache>
            </c:strRef>
          </c:tx>
          <c:spPr>
            <a:ln w="19050" cap="rnd">
              <a:solidFill>
                <a:schemeClr val="accent6"/>
              </a:solidFill>
              <a:round/>
            </a:ln>
            <a:effectLst/>
            <a:sp3d contourW="19050"/>
          </c:spPr>
          <c:marker>
            <c:symbol val="square"/>
            <c:size val="4"/>
            <c:spPr>
              <a:solidFill>
                <a:schemeClr val="accent6"/>
              </a:solidFill>
              <a:ln w="9525">
                <a:solidFill>
                  <a:schemeClr val="accent6"/>
                </a:solidFill>
              </a:ln>
              <a:effectLst/>
            </c:spPr>
          </c:marker>
          <c:dLbls>
            <c:delete val="1"/>
          </c:dLbls>
          <c:errBars>
            <c:errDir val="y"/>
            <c:errBarType val="both"/>
            <c:errValType val="cust"/>
            <c:noEndCap val="0"/>
            <c:plus>
              <c:numRef>
                <c:f>'[apc-三合一.xlsx]pre-cohort'!$P$3:$P$18</c:f>
                <c:numCache>
                  <c:formatCode>General</c:formatCode>
                  <c:ptCount val="16"/>
                  <c:pt idx="0">
                    <c:v>0.0155000000000001</c:v>
                  </c:pt>
                  <c:pt idx="1">
                    <c:v>0.0111000000000001</c:v>
                  </c:pt>
                  <c:pt idx="2">
                    <c:v>0.00869999999999993</c:v>
                  </c:pt>
                  <c:pt idx="3">
                    <c:v>0.00740000000000007</c:v>
                  </c:pt>
                  <c:pt idx="4">
                    <c:v>0.00660000000000016</c:v>
                  </c:pt>
                  <c:pt idx="5">
                    <c:v>0.00609999999999999</c:v>
                  </c:pt>
                  <c:pt idx="6">
                    <c:v>0</c:v>
                  </c:pt>
                  <c:pt idx="7">
                    <c:v>0.00530000000000008</c:v>
                  </c:pt>
                  <c:pt idx="8">
                    <c:v>0.00560000000000005</c:v>
                  </c:pt>
                  <c:pt idx="9">
                    <c:v>0.00569999999999993</c:v>
                  </c:pt>
                  <c:pt idx="10">
                    <c:v>0.00590000000000002</c:v>
                  </c:pt>
                  <c:pt idx="11">
                    <c:v>0.00660000000000005</c:v>
                  </c:pt>
                  <c:pt idx="12">
                    <c:v>0.00800000000000001</c:v>
                  </c:pt>
                  <c:pt idx="13">
                    <c:v>0.00969999999999993</c:v>
                  </c:pt>
                  <c:pt idx="14">
                    <c:v>0.0131</c:v>
                  </c:pt>
                  <c:pt idx="15">
                    <c:v>0</c:v>
                  </c:pt>
                </c:numCache>
              </c:numRef>
            </c:plus>
            <c:minus>
              <c:numRef>
                <c:f>'[apc-三合一.xlsx]pre-cohort'!$Q$3:$Q$18</c:f>
                <c:numCache>
                  <c:formatCode>General</c:formatCode>
                  <c:ptCount val="16"/>
                  <c:pt idx="0">
                    <c:v>0.0151999999999999</c:v>
                  </c:pt>
                  <c:pt idx="1">
                    <c:v>0.0109999999999999</c:v>
                  </c:pt>
                  <c:pt idx="2">
                    <c:v>0.00880000000000014</c:v>
                  </c:pt>
                  <c:pt idx="3">
                    <c:v>0.00740000000000007</c:v>
                  </c:pt>
                  <c:pt idx="4">
                    <c:v>0.00649999999999995</c:v>
                  </c:pt>
                  <c:pt idx="5">
                    <c:v>0.00600000000000001</c:v>
                  </c:pt>
                  <c:pt idx="6">
                    <c:v>0</c:v>
                  </c:pt>
                  <c:pt idx="7">
                    <c:v>0.00529999999999997</c:v>
                  </c:pt>
                  <c:pt idx="8">
                    <c:v>0.00549999999999995</c:v>
                  </c:pt>
                  <c:pt idx="9">
                    <c:v>0.00570000000000004</c:v>
                  </c:pt>
                  <c:pt idx="10">
                    <c:v>0.00590000000000002</c:v>
                  </c:pt>
                  <c:pt idx="11">
                    <c:v>0.00670000000000004</c:v>
                  </c:pt>
                  <c:pt idx="12">
                    <c:v>0.00800000000000001</c:v>
                  </c:pt>
                  <c:pt idx="13">
                    <c:v>0.00970000000000004</c:v>
                  </c:pt>
                  <c:pt idx="14">
                    <c:v>0.013</c:v>
                  </c:pt>
                  <c:pt idx="15">
                    <c:v>0</c:v>
                  </c:pt>
                </c:numCache>
              </c:numRef>
            </c:minus>
            <c:spPr>
              <a:noFill/>
              <a:ln w="12700" cap="flat" cmpd="sng" algn="ctr">
                <a:solidFill>
                  <a:schemeClr val="accent6"/>
                </a:solidFill>
                <a:prstDash val="sysDot"/>
                <a:round/>
              </a:ln>
              <a:effectLst/>
            </c:spPr>
          </c:errBars>
          <c:cat>
            <c:strRef>
              <c:f>'[apc-三合一.xlsx]cohort'!$G$3:$G$18</c:f>
              <c:strCache>
                <c:ptCount val="16"/>
                <c:pt idx="0">
                  <c:v>1912-1916</c:v>
                </c:pt>
                <c:pt idx="1">
                  <c:v>1917-1921</c:v>
                </c:pt>
                <c:pt idx="2">
                  <c:v>1922-1926</c:v>
                </c:pt>
                <c:pt idx="3">
                  <c:v>1927-1931</c:v>
                </c:pt>
                <c:pt idx="4">
                  <c:v>1932-1936</c:v>
                </c:pt>
                <c:pt idx="5">
                  <c:v>1937-1941</c:v>
                </c:pt>
                <c:pt idx="6">
                  <c:v>1942-1946</c:v>
                </c:pt>
                <c:pt idx="7">
                  <c:v>1947-1951</c:v>
                </c:pt>
                <c:pt idx="8">
                  <c:v>1952-1956</c:v>
                </c:pt>
                <c:pt idx="9">
                  <c:v>1957-1961</c:v>
                </c:pt>
                <c:pt idx="10">
                  <c:v>1962-1966</c:v>
                </c:pt>
                <c:pt idx="11">
                  <c:v>1967-1971</c:v>
                </c:pt>
                <c:pt idx="12">
                  <c:v>1972-1976</c:v>
                </c:pt>
                <c:pt idx="13">
                  <c:v>1977-1981</c:v>
                </c:pt>
                <c:pt idx="14">
                  <c:v>1982-1986</c:v>
                </c:pt>
                <c:pt idx="15">
                  <c:v>1987-1991</c:v>
                </c:pt>
              </c:strCache>
            </c:strRef>
          </c:cat>
          <c:val>
            <c:numRef>
              <c:f>'[apc-三合一.xlsx]pre-cohort'!$M$3:$M$18</c:f>
              <c:numCache>
                <c:formatCode>General</c:formatCode>
                <c:ptCount val="16"/>
                <c:pt idx="0">
                  <c:v>1.117</c:v>
                </c:pt>
                <c:pt idx="1">
                  <c:v>1.1072</c:v>
                </c:pt>
                <c:pt idx="2">
                  <c:v>1.0853</c:v>
                </c:pt>
                <c:pt idx="3">
                  <c:v>1.0699</c:v>
                </c:pt>
                <c:pt idx="4">
                  <c:v>1.0545</c:v>
                </c:pt>
                <c:pt idx="5">
                  <c:v>1.0393</c:v>
                </c:pt>
                <c:pt idx="6">
                  <c:v>1.0217</c:v>
                </c:pt>
                <c:pt idx="7">
                  <c:v>1</c:v>
                </c:pt>
                <c:pt idx="8">
                  <c:v>0.9801</c:v>
                </c:pt>
                <c:pt idx="9">
                  <c:v>0.955</c:v>
                </c:pt>
                <c:pt idx="10">
                  <c:v>0.931</c:v>
                </c:pt>
                <c:pt idx="11">
                  <c:v>0.91</c:v>
                </c:pt>
                <c:pt idx="12">
                  <c:v>0.8852</c:v>
                </c:pt>
                <c:pt idx="13">
                  <c:v>0.854</c:v>
                </c:pt>
                <c:pt idx="14">
                  <c:v>0.8305</c:v>
                </c:pt>
                <c:pt idx="15">
                  <c:v>0.8496</c:v>
                </c:pt>
              </c:numCache>
            </c:numRef>
          </c:val>
          <c:smooth val="0"/>
        </c:ser>
        <c:dLbls>
          <c:showLegendKey val="0"/>
          <c:showVal val="0"/>
          <c:showCatName val="0"/>
          <c:showSerName val="0"/>
          <c:showPercent val="0"/>
          <c:showBubbleSize val="0"/>
        </c:dLbls>
        <c:marker val="1"/>
        <c:smooth val="0"/>
        <c:axId val="207423979"/>
        <c:axId val="590840182"/>
      </c:lineChart>
      <c:catAx>
        <c:axId val="207423979"/>
        <c:scaling>
          <c:orientation val="minMax"/>
        </c:scaling>
        <c:delete val="0"/>
        <c:axPos val="b"/>
        <c:title>
          <c:tx>
            <c:rich>
              <a:bodyPr rot="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r>
                  <a:rPr lang="en-US" altLang="zh-CN" sz="900">
                    <a:latin typeface="Times New Roman" panose="02020603050405020304" charset="0"/>
                    <a:ea typeface="Times New Roman" panose="02020603050405020304" charset="0"/>
                    <a:cs typeface="Times New Roman" panose="02020603050405020304" charset="0"/>
                    <a:sym typeface="Times New Roman" panose="02020603050405020304" charset="0"/>
                  </a:rPr>
                  <a:t>Cohort</a:t>
                </a:r>
                <a:endParaRPr lang="en-US" altLang="zh-CN" sz="900">
                  <a:latin typeface="Times New Roman" panose="02020603050405020304" charset="0"/>
                  <a:ea typeface="Times New Roman" panose="02020603050405020304" charset="0"/>
                  <a:cs typeface="Times New Roman" panose="02020603050405020304" charset="0"/>
                  <a:sym typeface="Times New Roman" panose="02020603050405020304" charset="0"/>
                </a:endParaRPr>
              </a:p>
            </c:rich>
          </c:tx>
          <c:layout/>
          <c:overlay val="0"/>
          <c:spPr>
            <a:noFill/>
            <a:ln>
              <a:noFill/>
            </a:ln>
            <a:effectLst/>
          </c:spPr>
        </c:title>
        <c:majorTickMark val="in"/>
        <c:minorTickMark val="none"/>
        <c:tickLblPos val="nextTo"/>
        <c:spPr>
          <a:noFill/>
          <a:ln w="9525" cap="flat" cmpd="sng" algn="ctr">
            <a:solidFill>
              <a:schemeClr val="tx1">
                <a:lumMod val="50000"/>
                <a:lumOff val="50000"/>
              </a:schemeClr>
            </a:solidFill>
            <a:round/>
          </a:ln>
          <a:effectLst/>
        </c:spPr>
        <c:txPr>
          <a:bodyPr rot="-5400000" spcFirstLastPara="0" vertOverflow="ellipsis" vert="horz" wrap="square" anchor="ctr" anchorCtr="0"/>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crossAx val="590840182"/>
        <c:crossesAt val="-0.7"/>
        <c:auto val="1"/>
        <c:lblAlgn val="ctr"/>
        <c:lblOffset val="10"/>
        <c:tickLblSkip val="1"/>
        <c:noMultiLvlLbl val="0"/>
      </c:catAx>
      <c:valAx>
        <c:axId val="590840182"/>
        <c:scaling>
          <c:orientation val="minMax"/>
          <c:max val="1.3"/>
          <c:min val="0.75"/>
        </c:scaling>
        <c:delete val="0"/>
        <c:axPos val="l"/>
        <c:title>
          <c:tx>
            <c:rich>
              <a:bodyPr rot="-5400000" spcFirstLastPara="0" vertOverflow="ellipsis" vert="horz" wrap="square" anchor="ctr" anchorCtr="1"/>
              <a:lstStyle/>
              <a:p>
                <a:pPr defTabSz="914400">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r>
                  <a:rPr lang="en-US" altLang="zh-CN" sz="900">
                    <a:latin typeface="Times New Roman" panose="02020603050405020304" charset="0"/>
                    <a:ea typeface="Times New Roman" panose="02020603050405020304" charset="0"/>
                    <a:cs typeface="Times New Roman" panose="02020603050405020304" charset="0"/>
                    <a:sym typeface="Times New Roman" panose="02020603050405020304" charset="0"/>
                  </a:rPr>
                  <a:t>Prevalence rate ratio</a:t>
                </a:r>
                <a:endParaRPr lang="en-US" altLang="zh-CN" sz="900">
                  <a:latin typeface="Times New Roman" panose="02020603050405020304" charset="0"/>
                  <a:ea typeface="Times New Roman" panose="02020603050405020304" charset="0"/>
                  <a:cs typeface="Times New Roman" panose="02020603050405020304" charset="0"/>
                  <a:sym typeface="Times New Roman" panose="02020603050405020304" charset="0"/>
                </a:endParaRPr>
              </a:p>
            </c:rich>
          </c:tx>
          <c:layout>
            <c:manualLayout>
              <c:xMode val="edge"/>
              <c:yMode val="edge"/>
              <c:x val="0.00394736842105263"/>
              <c:y val="0.315733506944444"/>
            </c:manualLayout>
          </c:layout>
          <c:overlay val="0"/>
          <c:spPr>
            <a:noFill/>
            <a:ln>
              <a:noFill/>
            </a:ln>
            <a:effectLst/>
          </c:spPr>
        </c:title>
        <c:numFmt formatCode="#,##0.00_);[Red]\(#,##0.00\)" sourceLinked="0"/>
        <c:majorTickMark val="out"/>
        <c:minorTickMark val="none"/>
        <c:tickLblPos val="low"/>
        <c:spPr>
          <a:noFill/>
          <a:ln>
            <a:solidFill>
              <a:schemeClr val="tx1">
                <a:lumMod val="50000"/>
                <a:lumOff val="50000"/>
              </a:schemeClr>
            </a:solid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crossAx val="207423979"/>
        <c:crosses val="autoZero"/>
        <c:crossBetween val="between"/>
        <c:majorUnit val="0.05"/>
      </c:valAx>
      <c:spPr>
        <a:noFill/>
        <a:ln>
          <a:noFill/>
        </a:ln>
        <a:effectLst/>
      </c:spPr>
    </c:plotArea>
    <c:legend>
      <c:legendPos val="t"/>
      <c:legendEntry>
        <c:idx val="0"/>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egendEntry>
        <c:idx val="1"/>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egendEntry>
        <c:idx val="2"/>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
    <c:plotVisOnly val="1"/>
    <c:dispBlanksAs val="gap"/>
    <c:showDLblsOverMax val="0"/>
    <c:extLst>
      <c:ext uri="{0b15fc19-7d7d-44ad-8c2d-2c3a37ce22c3}">
        <chartProps xmlns="https://web.wps.cn/et/2018/main" chartId="{85997896-36ba-48bf-b2df-fd80e942e7ab}"/>
      </c:ext>
    </c:extLst>
  </c:chart>
  <c:spPr>
    <a:solidFill>
      <a:schemeClr val="bg1"/>
    </a:solidFill>
    <a:ln w="9525" cap="flat" cmpd="sng" algn="ctr">
      <a:noFill/>
      <a:round/>
    </a:ln>
    <a:effectLst/>
  </c:spPr>
  <c:txPr>
    <a:bodyPr/>
    <a:lstStyle/>
    <a:p>
      <a:pPr>
        <a:defRPr lang="zh-CN">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5579225625875"/>
          <c:y val="0.0667165015884881"/>
          <c:w val="0.848141813092832"/>
          <c:h val="0.787535040179406"/>
        </c:manualLayout>
      </c:layout>
      <c:lineChart>
        <c:grouping val="standard"/>
        <c:varyColors val="0"/>
        <c:ser>
          <c:idx val="0"/>
          <c:order val="0"/>
          <c:tx>
            <c:strRef>
              <c:f>"Both"</c:f>
              <c:strCache>
                <c:ptCount val="1"/>
                <c:pt idx="0">
                  <c:v>Both</c:v>
                </c:pt>
              </c:strCache>
            </c:strRef>
          </c:tx>
          <c:spPr>
            <a:ln w="19050" cap="rnd">
              <a:solidFill>
                <a:schemeClr val="tx1">
                  <a:lumMod val="50000"/>
                  <a:lumOff val="50000"/>
                </a:schemeClr>
              </a:solidFill>
              <a:round/>
            </a:ln>
            <a:effectLst/>
            <a:sp3d contourW="19050"/>
          </c:spPr>
          <c:marker>
            <c:symbol val="triangle"/>
            <c:size val="4"/>
            <c:spPr>
              <a:solidFill>
                <a:schemeClr val="tx1">
                  <a:lumMod val="50000"/>
                  <a:lumOff val="50000"/>
                </a:schemeClr>
              </a:solidFill>
              <a:ln w="15875">
                <a:solidFill>
                  <a:schemeClr val="tx1">
                    <a:lumMod val="50000"/>
                    <a:lumOff val="50000"/>
                  </a:schemeClr>
                </a:solidFill>
              </a:ln>
              <a:effectLst/>
            </c:spPr>
          </c:marker>
          <c:dLbls>
            <c:delete val="1"/>
          </c:dLbls>
          <c:errBars>
            <c:errDir val="y"/>
            <c:errBarType val="both"/>
            <c:errValType val="cust"/>
            <c:noEndCap val="0"/>
            <c:plus>
              <c:numRef>
                <c:f>'[apc-三合一.xlsx]daly-local'!$E$3:$E$13</c:f>
                <c:numCache>
                  <c:formatCode>General</c:formatCode>
                  <c:ptCount val="11"/>
                  <c:pt idx="0">
                    <c:v>0.0491</c:v>
                  </c:pt>
                  <c:pt idx="1">
                    <c:v>0.037</c:v>
                  </c:pt>
                  <c:pt idx="2">
                    <c:v>0.0302</c:v>
                  </c:pt>
                  <c:pt idx="3">
                    <c:v>0.027</c:v>
                  </c:pt>
                  <c:pt idx="4">
                    <c:v>0.027</c:v>
                  </c:pt>
                  <c:pt idx="5">
                    <c:v>0.0279</c:v>
                  </c:pt>
                  <c:pt idx="6">
                    <c:v>0.0296</c:v>
                  </c:pt>
                  <c:pt idx="7">
                    <c:v>0.0328</c:v>
                  </c:pt>
                  <c:pt idx="8">
                    <c:v>0.0398</c:v>
                  </c:pt>
                  <c:pt idx="9">
                    <c:v>0.0532</c:v>
                  </c:pt>
                  <c:pt idx="10">
                    <c:v>0.088</c:v>
                  </c:pt>
                </c:numCache>
              </c:numRef>
            </c:plus>
            <c:minus>
              <c:numRef>
                <c:f>'[apc-三合一.xlsx]daly-local'!$F$3:$F$13</c:f>
                <c:numCache>
                  <c:formatCode>General</c:formatCode>
                  <c:ptCount val="11"/>
                  <c:pt idx="0">
                    <c:v>0.049</c:v>
                  </c:pt>
                  <c:pt idx="1">
                    <c:v>0.037</c:v>
                  </c:pt>
                  <c:pt idx="2">
                    <c:v>0.0301</c:v>
                  </c:pt>
                  <c:pt idx="3">
                    <c:v>0.027</c:v>
                  </c:pt>
                  <c:pt idx="4">
                    <c:v>0.0269</c:v>
                  </c:pt>
                  <c:pt idx="5">
                    <c:v>0.028</c:v>
                  </c:pt>
                  <c:pt idx="6">
                    <c:v>0.0295</c:v>
                  </c:pt>
                  <c:pt idx="7">
                    <c:v>0.0328</c:v>
                  </c:pt>
                  <c:pt idx="8">
                    <c:v>0.0398</c:v>
                  </c:pt>
                  <c:pt idx="9">
                    <c:v>0.0533</c:v>
                  </c:pt>
                  <c:pt idx="10">
                    <c:v>0.0878</c:v>
                  </c:pt>
                </c:numCache>
              </c:numRef>
            </c:minus>
            <c:spPr>
              <a:noFill/>
              <a:ln w="12700" cap="flat" cmpd="sng" algn="ctr">
                <a:solidFill>
                  <a:schemeClr val="tx1">
                    <a:lumMod val="50000"/>
                    <a:lumOff val="50000"/>
                  </a:schemeClr>
                </a:solidFill>
                <a:prstDash val="sysDot"/>
                <a:round/>
              </a:ln>
              <a:effectLst/>
            </c:spPr>
          </c:errBars>
          <c:cat>
            <c:numRef>
              <c:f>'C:\Users\梁博\Desktop\LBP disease burden\Data\APC analysis\[APC_Analysis_both.xlsx]LocalDrifts'!$G$2:$G$12</c:f>
              <c:numCache>
                <c:formatCode>General</c:formatCode>
                <c:ptCount val="11"/>
                <c:pt idx="0">
                  <c:v>30</c:v>
                </c:pt>
                <c:pt idx="1">
                  <c:v>35</c:v>
                </c:pt>
                <c:pt idx="2">
                  <c:v>40</c:v>
                </c:pt>
                <c:pt idx="3">
                  <c:v>45</c:v>
                </c:pt>
                <c:pt idx="4">
                  <c:v>50</c:v>
                </c:pt>
                <c:pt idx="5">
                  <c:v>55</c:v>
                </c:pt>
                <c:pt idx="6">
                  <c:v>60</c:v>
                </c:pt>
                <c:pt idx="7">
                  <c:v>65</c:v>
                </c:pt>
                <c:pt idx="8">
                  <c:v>70</c:v>
                </c:pt>
                <c:pt idx="9">
                  <c:v>75</c:v>
                </c:pt>
                <c:pt idx="10">
                  <c:v>80</c:v>
                </c:pt>
              </c:numCache>
            </c:numRef>
          </c:cat>
          <c:val>
            <c:numRef>
              <c:f>'[apc-三合一.xlsx]daly-local'!$B$3:$B$13</c:f>
              <c:numCache>
                <c:formatCode>General</c:formatCode>
                <c:ptCount val="11"/>
                <c:pt idx="0">
                  <c:v>-0.4224</c:v>
                </c:pt>
                <c:pt idx="1">
                  <c:v>-0.499</c:v>
                </c:pt>
                <c:pt idx="2">
                  <c:v>-0.4511</c:v>
                </c:pt>
                <c:pt idx="3">
                  <c:v>-0.4176</c:v>
                </c:pt>
                <c:pt idx="4">
                  <c:v>-0.4208</c:v>
                </c:pt>
                <c:pt idx="5">
                  <c:v>-0.4237</c:v>
                </c:pt>
                <c:pt idx="6">
                  <c:v>-0.4164</c:v>
                </c:pt>
                <c:pt idx="7">
                  <c:v>-0.4138</c:v>
                </c:pt>
                <c:pt idx="8">
                  <c:v>-0.4283</c:v>
                </c:pt>
                <c:pt idx="9">
                  <c:v>-0.4471</c:v>
                </c:pt>
                <c:pt idx="10">
                  <c:v>-0.4415</c:v>
                </c:pt>
              </c:numCache>
            </c:numRef>
          </c:val>
          <c:smooth val="0"/>
        </c:ser>
        <c:ser>
          <c:idx val="1"/>
          <c:order val="1"/>
          <c:tx>
            <c:strRef>
              <c:f>'[apc-三合一.xlsx]daly-local'!$H$1</c:f>
              <c:strCache>
                <c:ptCount val="1"/>
                <c:pt idx="0">
                  <c:v>Male</c:v>
                </c:pt>
              </c:strCache>
            </c:strRef>
          </c:tx>
          <c:spPr>
            <a:ln w="19050" cap="rnd" cmpd="sng">
              <a:solidFill>
                <a:schemeClr val="accent1"/>
              </a:solidFill>
              <a:prstDash val="solid"/>
              <a:round/>
            </a:ln>
            <a:effectLst/>
            <a:sp3d contourW="19050"/>
          </c:spPr>
          <c:marker>
            <c:symbol val="circle"/>
            <c:size val="4"/>
            <c:spPr>
              <a:solidFill>
                <a:schemeClr val="accent1"/>
              </a:solidFill>
              <a:ln w="9525">
                <a:solidFill>
                  <a:schemeClr val="accent1"/>
                </a:solidFill>
              </a:ln>
              <a:effectLst/>
            </c:spPr>
          </c:marker>
          <c:dLbls>
            <c:delete val="1"/>
          </c:dLbls>
          <c:errBars>
            <c:errDir val="y"/>
            <c:errBarType val="both"/>
            <c:errValType val="cust"/>
            <c:noEndCap val="0"/>
            <c:plus>
              <c:numRef>
                <c:f>'[apc-三合一.xlsx]daly-local'!$K$3:$K$13</c:f>
                <c:numCache>
                  <c:formatCode>General</c:formatCode>
                  <c:ptCount val="11"/>
                  <c:pt idx="0">
                    <c:v>0.0838</c:v>
                  </c:pt>
                  <c:pt idx="1">
                    <c:v>0.0622</c:v>
                  </c:pt>
                  <c:pt idx="2">
                    <c:v>0.0508</c:v>
                  </c:pt>
                  <c:pt idx="3">
                    <c:v>0.047</c:v>
                  </c:pt>
                  <c:pt idx="4">
                    <c:v>0.049</c:v>
                  </c:pt>
                  <c:pt idx="5">
                    <c:v>0.0522</c:v>
                  </c:pt>
                  <c:pt idx="6">
                    <c:v>0.0563</c:v>
                  </c:pt>
                  <c:pt idx="7">
                    <c:v>0.0639</c:v>
                  </c:pt>
                  <c:pt idx="8">
                    <c:v>0.0794</c:v>
                  </c:pt>
                  <c:pt idx="9">
                    <c:v>0.1095</c:v>
                  </c:pt>
                  <c:pt idx="10">
                    <c:v>0.1873</c:v>
                  </c:pt>
                </c:numCache>
              </c:numRef>
            </c:plus>
            <c:minus>
              <c:numRef>
                <c:f>'[apc-三合一.xlsx]daly-local'!$L$3:$L$13</c:f>
                <c:numCache>
                  <c:formatCode>General</c:formatCode>
                  <c:ptCount val="11"/>
                  <c:pt idx="0">
                    <c:v>0.0836999999999999</c:v>
                  </c:pt>
                  <c:pt idx="1">
                    <c:v>0.0622</c:v>
                  </c:pt>
                  <c:pt idx="2">
                    <c:v>0.0508</c:v>
                  </c:pt>
                  <c:pt idx="3">
                    <c:v>0.047</c:v>
                  </c:pt>
                  <c:pt idx="4">
                    <c:v>0.0488999999999999</c:v>
                  </c:pt>
                  <c:pt idx="5">
                    <c:v>0.0521</c:v>
                  </c:pt>
                  <c:pt idx="6">
                    <c:v>0.0562</c:v>
                  </c:pt>
                  <c:pt idx="7">
                    <c:v>0.0638000000000001</c:v>
                  </c:pt>
                  <c:pt idx="8">
                    <c:v>0.0793</c:v>
                  </c:pt>
                  <c:pt idx="9">
                    <c:v>0.1094</c:v>
                  </c:pt>
                  <c:pt idx="10">
                    <c:v>0.187</c:v>
                  </c:pt>
                </c:numCache>
              </c:numRef>
            </c:minus>
            <c:spPr>
              <a:noFill/>
              <a:ln w="12700" cap="flat" cmpd="sng" algn="ctr">
                <a:solidFill>
                  <a:schemeClr val="accent1"/>
                </a:solidFill>
                <a:prstDash val="sysDot"/>
                <a:round/>
                <a:headEnd type="none"/>
              </a:ln>
              <a:effectLst/>
            </c:spPr>
          </c:errBars>
          <c:cat>
            <c:numRef>
              <c:f>'C:\Users\梁博\Desktop\LBP disease burden\Data\APC analysis\[APC_Analysis_both.xlsx]LocalDrifts'!$G$2:$G$12</c:f>
              <c:numCache>
                <c:formatCode>General</c:formatCode>
                <c:ptCount val="11"/>
                <c:pt idx="0">
                  <c:v>30</c:v>
                </c:pt>
                <c:pt idx="1">
                  <c:v>35</c:v>
                </c:pt>
                <c:pt idx="2">
                  <c:v>40</c:v>
                </c:pt>
                <c:pt idx="3">
                  <c:v>45</c:v>
                </c:pt>
                <c:pt idx="4">
                  <c:v>50</c:v>
                </c:pt>
                <c:pt idx="5">
                  <c:v>55</c:v>
                </c:pt>
                <c:pt idx="6">
                  <c:v>60</c:v>
                </c:pt>
                <c:pt idx="7">
                  <c:v>65</c:v>
                </c:pt>
                <c:pt idx="8">
                  <c:v>70</c:v>
                </c:pt>
                <c:pt idx="9">
                  <c:v>75</c:v>
                </c:pt>
                <c:pt idx="10">
                  <c:v>80</c:v>
                </c:pt>
              </c:numCache>
            </c:numRef>
          </c:cat>
          <c:val>
            <c:numRef>
              <c:f>'[apc-三合一.xlsx]daly-local'!$H$3:$H$13</c:f>
              <c:numCache>
                <c:formatCode>General</c:formatCode>
                <c:ptCount val="11"/>
                <c:pt idx="0">
                  <c:v>-0.4218</c:v>
                </c:pt>
                <c:pt idx="1">
                  <c:v>-0.4613</c:v>
                </c:pt>
                <c:pt idx="2">
                  <c:v>-0.393</c:v>
                </c:pt>
                <c:pt idx="3">
                  <c:v>-0.3964</c:v>
                </c:pt>
                <c:pt idx="4">
                  <c:v>-0.4676</c:v>
                </c:pt>
                <c:pt idx="5">
                  <c:v>-0.5315</c:v>
                </c:pt>
                <c:pt idx="6">
                  <c:v>-0.5595</c:v>
                </c:pt>
                <c:pt idx="7">
                  <c:v>-0.5618</c:v>
                </c:pt>
                <c:pt idx="8">
                  <c:v>-0.5277</c:v>
                </c:pt>
                <c:pt idx="9">
                  <c:v>-0.4809</c:v>
                </c:pt>
                <c:pt idx="10">
                  <c:v>-0.4338</c:v>
                </c:pt>
              </c:numCache>
            </c:numRef>
          </c:val>
          <c:smooth val="0"/>
        </c:ser>
        <c:ser>
          <c:idx val="2"/>
          <c:order val="2"/>
          <c:tx>
            <c:strRef>
              <c:f>'[apc-三合一.xlsx]daly-local'!$M$1</c:f>
              <c:strCache>
                <c:ptCount val="1"/>
                <c:pt idx="0">
                  <c:v>Female</c:v>
                </c:pt>
              </c:strCache>
            </c:strRef>
          </c:tx>
          <c:spPr>
            <a:ln w="19050" cap="rnd">
              <a:solidFill>
                <a:schemeClr val="accent6"/>
              </a:solidFill>
              <a:round/>
            </a:ln>
            <a:effectLst/>
            <a:sp3d contourW="19050"/>
          </c:spPr>
          <c:marker>
            <c:symbol val="square"/>
            <c:size val="4"/>
            <c:spPr>
              <a:solidFill>
                <a:schemeClr val="accent6"/>
              </a:solidFill>
              <a:ln w="9525">
                <a:solidFill>
                  <a:schemeClr val="accent6"/>
                </a:solidFill>
              </a:ln>
              <a:effectLst/>
            </c:spPr>
          </c:marker>
          <c:dLbls>
            <c:delete val="1"/>
          </c:dLbls>
          <c:errBars>
            <c:errDir val="y"/>
            <c:errBarType val="both"/>
            <c:errValType val="cust"/>
            <c:noEndCap val="0"/>
            <c:plus>
              <c:numRef>
                <c:f>'[apc-三合一.xlsx]daly-local'!$P$3:$P$13</c:f>
                <c:numCache>
                  <c:formatCode>General</c:formatCode>
                  <c:ptCount val="11"/>
                  <c:pt idx="0">
                    <c:v>0.0461</c:v>
                  </c:pt>
                  <c:pt idx="1">
                    <c:v>0.0353</c:v>
                  </c:pt>
                  <c:pt idx="2">
                    <c:v>0.0288</c:v>
                  </c:pt>
                  <c:pt idx="3">
                    <c:v>0.0251</c:v>
                  </c:pt>
                  <c:pt idx="4">
                    <c:v>0.0242</c:v>
                  </c:pt>
                  <c:pt idx="5">
                    <c:v>0.0247</c:v>
                  </c:pt>
                  <c:pt idx="6">
                    <c:v>0.0257</c:v>
                  </c:pt>
                  <c:pt idx="7">
                    <c:v>0.0282</c:v>
                  </c:pt>
                  <c:pt idx="8">
                    <c:v>0.0337</c:v>
                  </c:pt>
                  <c:pt idx="9">
                    <c:v>0.0445</c:v>
                  </c:pt>
                  <c:pt idx="10">
                    <c:v>0.0723</c:v>
                  </c:pt>
                </c:numCache>
              </c:numRef>
            </c:plus>
            <c:minus>
              <c:numRef>
                <c:f>'[apc-三合一.xlsx]daly-local'!$Q$3:$Q$13</c:f>
                <c:numCache>
                  <c:formatCode>General</c:formatCode>
                  <c:ptCount val="11"/>
                  <c:pt idx="0">
                    <c:v>0.0462</c:v>
                  </c:pt>
                  <c:pt idx="1">
                    <c:v>0.0353</c:v>
                  </c:pt>
                  <c:pt idx="2">
                    <c:v>0.0288</c:v>
                  </c:pt>
                  <c:pt idx="3">
                    <c:v>0.0251</c:v>
                  </c:pt>
                  <c:pt idx="4">
                    <c:v>0.0242</c:v>
                  </c:pt>
                  <c:pt idx="5">
                    <c:v>0.0246</c:v>
                  </c:pt>
                  <c:pt idx="6">
                    <c:v>0.0257</c:v>
                  </c:pt>
                  <c:pt idx="7">
                    <c:v>0.0281</c:v>
                  </c:pt>
                  <c:pt idx="8">
                    <c:v>0.0338</c:v>
                  </c:pt>
                  <c:pt idx="9">
                    <c:v>0.0445</c:v>
                  </c:pt>
                  <c:pt idx="10">
                    <c:v>0.0723</c:v>
                  </c:pt>
                </c:numCache>
              </c:numRef>
            </c:minus>
            <c:spPr>
              <a:noFill/>
              <a:ln w="12700" cap="flat" cmpd="sng" algn="ctr">
                <a:solidFill>
                  <a:schemeClr val="accent6"/>
                </a:solidFill>
                <a:prstDash val="sysDot"/>
                <a:round/>
              </a:ln>
              <a:effectLst/>
            </c:spPr>
          </c:errBars>
          <c:cat>
            <c:numRef>
              <c:f>'C:\Users\梁博\Desktop\LBP disease burden\Data\APC analysis\[APC_Analysis_both.xlsx]LocalDrifts'!$G$2:$G$12</c:f>
              <c:numCache>
                <c:formatCode>General</c:formatCode>
                <c:ptCount val="11"/>
                <c:pt idx="0">
                  <c:v>30</c:v>
                </c:pt>
                <c:pt idx="1">
                  <c:v>35</c:v>
                </c:pt>
                <c:pt idx="2">
                  <c:v>40</c:v>
                </c:pt>
                <c:pt idx="3">
                  <c:v>45</c:v>
                </c:pt>
                <c:pt idx="4">
                  <c:v>50</c:v>
                </c:pt>
                <c:pt idx="5">
                  <c:v>55</c:v>
                </c:pt>
                <c:pt idx="6">
                  <c:v>60</c:v>
                </c:pt>
                <c:pt idx="7">
                  <c:v>65</c:v>
                </c:pt>
                <c:pt idx="8">
                  <c:v>70</c:v>
                </c:pt>
                <c:pt idx="9">
                  <c:v>75</c:v>
                </c:pt>
                <c:pt idx="10">
                  <c:v>80</c:v>
                </c:pt>
              </c:numCache>
            </c:numRef>
          </c:cat>
          <c:val>
            <c:numRef>
              <c:f>'[apc-三合一.xlsx]daly-local'!$M$3:$M$13</c:f>
              <c:numCache>
                <c:formatCode>General</c:formatCode>
                <c:ptCount val="11"/>
                <c:pt idx="0">
                  <c:v>-0.4144</c:v>
                </c:pt>
                <c:pt idx="1">
                  <c:v>-0.5371</c:v>
                </c:pt>
                <c:pt idx="2">
                  <c:v>-0.5132</c:v>
                </c:pt>
                <c:pt idx="3">
                  <c:v>-0.473</c:v>
                </c:pt>
                <c:pt idx="4">
                  <c:v>-0.4589</c:v>
                </c:pt>
                <c:pt idx="5">
                  <c:v>-0.438</c:v>
                </c:pt>
                <c:pt idx="6">
                  <c:v>-0.3965</c:v>
                </c:pt>
                <c:pt idx="7">
                  <c:v>-0.3545</c:v>
                </c:pt>
                <c:pt idx="8">
                  <c:v>-0.327</c:v>
                </c:pt>
                <c:pt idx="9">
                  <c:v>-0.3222</c:v>
                </c:pt>
                <c:pt idx="10">
                  <c:v>-0.3154</c:v>
                </c:pt>
              </c:numCache>
            </c:numRef>
          </c:val>
          <c:smooth val="0"/>
        </c:ser>
        <c:dLbls>
          <c:showLegendKey val="0"/>
          <c:showVal val="0"/>
          <c:showCatName val="0"/>
          <c:showSerName val="0"/>
          <c:showPercent val="0"/>
          <c:showBubbleSize val="0"/>
        </c:dLbls>
        <c:marker val="1"/>
        <c:smooth val="0"/>
        <c:axId val="207423979"/>
        <c:axId val="590840182"/>
      </c:lineChart>
      <c:catAx>
        <c:axId val="207423979"/>
        <c:scaling>
          <c:orientation val="minMax"/>
        </c:scaling>
        <c:delete val="0"/>
        <c:axPos val="b"/>
        <c:title>
          <c:tx>
            <c:rich>
              <a:bodyPr rot="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r>
                  <a:rPr lang="en-US" altLang="zh-CN" sz="900">
                    <a:latin typeface="Times New Roman" panose="02020603050405020304" charset="0"/>
                    <a:ea typeface="Times New Roman" panose="02020603050405020304" charset="0"/>
                    <a:cs typeface="Times New Roman" panose="02020603050405020304" charset="0"/>
                    <a:sym typeface="Times New Roman" panose="02020603050405020304" charset="0"/>
                  </a:rPr>
                  <a:t>Age</a:t>
                </a:r>
                <a:endParaRPr lang="en-US" altLang="zh-CN" sz="900">
                  <a:latin typeface="Times New Roman" panose="02020603050405020304" charset="0"/>
                  <a:ea typeface="Times New Roman" panose="02020603050405020304" charset="0"/>
                  <a:cs typeface="Times New Roman" panose="02020603050405020304" charset="0"/>
                  <a:sym typeface="Times New Roman" panose="02020603050405020304" charset="0"/>
                </a:endParaRPr>
              </a:p>
            </c:rich>
          </c:tx>
          <c:layout/>
          <c:overlay val="0"/>
          <c:spPr>
            <a:noFill/>
            <a:ln>
              <a:noFill/>
            </a:ln>
            <a:effectLst/>
          </c:spPr>
        </c:title>
        <c:majorTickMark val="in"/>
        <c:minorTickMark val="none"/>
        <c:tickLblPos val="nextTo"/>
        <c:spPr>
          <a:noFill/>
          <a:ln w="9525" cap="flat" cmpd="sng" algn="ctr">
            <a:solidFill>
              <a:schemeClr val="tx1">
                <a:lumMod val="50000"/>
                <a:lumOff val="50000"/>
              </a:schemeClr>
            </a:solidFill>
            <a:round/>
          </a:ln>
          <a:effectLst/>
        </c:spPr>
        <c:txPr>
          <a:bodyPr rot="0" spcFirstLastPara="0" vertOverflow="ellipsis" vert="horz" wrap="square" anchor="ctr" anchorCtr="0"/>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crossAx val="590840182"/>
        <c:crossesAt val="-102"/>
        <c:auto val="1"/>
        <c:lblAlgn val="ctr"/>
        <c:lblOffset val="10"/>
        <c:tickLblSkip val="1"/>
        <c:noMultiLvlLbl val="0"/>
      </c:catAx>
      <c:valAx>
        <c:axId val="590840182"/>
        <c:scaling>
          <c:orientation val="minMax"/>
          <c:max val="-0.1"/>
          <c:min val="-0.7"/>
        </c:scaling>
        <c:delete val="0"/>
        <c:axPos val="l"/>
        <c:title>
          <c:tx>
            <c:rich>
              <a:bodyPr rot="-5400000" spcFirstLastPara="0" vertOverflow="ellipsis" vert="horz" wrap="square" anchor="ctr" anchorCtr="1"/>
              <a:lstStyle/>
              <a:p>
                <a:pPr defTabSz="914400">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r>
                  <a:rPr lang="en-US" altLang="zh-CN" sz="900">
                    <a:latin typeface="Times New Roman" panose="02020603050405020304" charset="0"/>
                    <a:ea typeface="Times New Roman" panose="02020603050405020304" charset="0"/>
                    <a:cs typeface="Times New Roman" panose="02020603050405020304" charset="0"/>
                    <a:sym typeface="Times New Roman" panose="02020603050405020304" charset="0"/>
                  </a:rPr>
                  <a:t>Rate per year</a:t>
                </a:r>
                <a:endParaRPr lang="en-US" altLang="zh-CN" sz="900">
                  <a:latin typeface="Times New Roman" panose="02020603050405020304" charset="0"/>
                  <a:ea typeface="Times New Roman" panose="02020603050405020304" charset="0"/>
                  <a:cs typeface="Times New Roman" panose="02020603050405020304" charset="0"/>
                  <a:sym typeface="Times New Roman" panose="02020603050405020304" charset="0"/>
                </a:endParaRPr>
              </a:p>
            </c:rich>
          </c:tx>
          <c:layout>
            <c:manualLayout>
              <c:xMode val="edge"/>
              <c:yMode val="edge"/>
              <c:x val="0.00526315789473684"/>
              <c:y val="0.340907118055555"/>
            </c:manualLayout>
          </c:layout>
          <c:overlay val="0"/>
          <c:spPr>
            <a:noFill/>
            <a:ln>
              <a:noFill/>
            </a:ln>
            <a:effectLst/>
          </c:spPr>
        </c:title>
        <c:numFmt formatCode="#,##0.00_ " sourceLinked="0"/>
        <c:majorTickMark val="out"/>
        <c:minorTickMark val="none"/>
        <c:tickLblPos val="nextTo"/>
        <c:spPr>
          <a:noFill/>
          <a:ln>
            <a:solidFill>
              <a:schemeClr val="tx1">
                <a:lumMod val="50000"/>
                <a:lumOff val="50000"/>
              </a:schemeClr>
            </a:solid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crossAx val="207423979"/>
        <c:crosses val="autoZero"/>
        <c:crossBetween val="between"/>
        <c:majorUnit val="0.1"/>
      </c:valAx>
      <c:spPr>
        <a:noFill/>
        <a:ln>
          <a:noFill/>
        </a:ln>
        <a:effectLst/>
      </c:spPr>
    </c:plotArea>
    <c:legend>
      <c:legendPos val="t"/>
      <c:legendEntry>
        <c:idx val="0"/>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egendEntry>
        <c:idx val="1"/>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egendEntry>
        <c:idx val="2"/>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
    <c:plotVisOnly val="1"/>
    <c:dispBlanksAs val="gap"/>
    <c:showDLblsOverMax val="0"/>
    <c:extLst>
      <c:ext uri="{0b15fc19-7d7d-44ad-8c2d-2c3a37ce22c3}">
        <chartProps xmlns="https://web.wps.cn/et/2018/main" chartId="{9bc31346-f496-47bc-97cb-0d4db9151f1c}"/>
      </c:ext>
    </c:extLst>
  </c:chart>
  <c:spPr>
    <a:solidFill>
      <a:schemeClr val="bg1"/>
    </a:solidFill>
    <a:ln w="9525" cap="flat" cmpd="sng" algn="ctr">
      <a:noFill/>
      <a:round/>
    </a:ln>
    <a:effectLst/>
  </c:spPr>
  <c:txPr>
    <a:bodyPr/>
    <a:lstStyle/>
    <a:p>
      <a:pPr>
        <a:defRPr lang="zh-CN">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2108527131783"/>
          <c:y val="0.0665760869565217"/>
          <c:w val="0.85168992248062"/>
          <c:h val="0.771952639751553"/>
        </c:manualLayout>
      </c:layout>
      <c:lineChart>
        <c:grouping val="standard"/>
        <c:varyColors val="0"/>
        <c:ser>
          <c:idx val="0"/>
          <c:order val="0"/>
          <c:tx>
            <c:strRef>
              <c:f>"Both"</c:f>
              <c:strCache>
                <c:ptCount val="1"/>
                <c:pt idx="0">
                  <c:v>Both</c:v>
                </c:pt>
              </c:strCache>
            </c:strRef>
          </c:tx>
          <c:spPr>
            <a:ln w="19050" cap="rnd">
              <a:solidFill>
                <a:schemeClr val="tx1">
                  <a:lumMod val="50000"/>
                  <a:lumOff val="50000"/>
                </a:schemeClr>
              </a:solidFill>
              <a:round/>
            </a:ln>
            <a:effectLst/>
            <a:sp3d contourW="19050"/>
          </c:spPr>
          <c:marker>
            <c:symbol val="triangle"/>
            <c:size val="4"/>
            <c:spPr>
              <a:solidFill>
                <a:schemeClr val="tx1">
                  <a:lumMod val="50000"/>
                  <a:lumOff val="50000"/>
                </a:schemeClr>
              </a:solidFill>
              <a:ln w="15875">
                <a:solidFill>
                  <a:schemeClr val="tx1">
                    <a:lumMod val="50000"/>
                    <a:lumOff val="50000"/>
                  </a:schemeClr>
                </a:solidFill>
              </a:ln>
              <a:effectLst/>
            </c:spPr>
          </c:marker>
          <c:dLbls>
            <c:delete val="1"/>
          </c:dLbls>
          <c:errBars>
            <c:errDir val="y"/>
            <c:errBarType val="both"/>
            <c:errValType val="cust"/>
            <c:noEndCap val="0"/>
            <c:plus>
              <c:numRef>
                <c:f>'[apc-三合一.xlsx]daly-age'!$E$3:$E$13</c:f>
                <c:numCache>
                  <c:formatCode>General</c:formatCode>
                  <c:ptCount val="11"/>
                  <c:pt idx="0">
                    <c:v>4.64009999999996</c:v>
                  </c:pt>
                  <c:pt idx="1">
                    <c:v>5.67660000000001</c:v>
                  </c:pt>
                  <c:pt idx="2">
                    <c:v>6.61279999999999</c:v>
                  </c:pt>
                  <c:pt idx="3">
                    <c:v>6.9668999999999</c:v>
                  </c:pt>
                  <c:pt idx="4">
                    <c:v>7.63409999999999</c:v>
                  </c:pt>
                  <c:pt idx="5">
                    <c:v>8.15190000000007</c:v>
                  </c:pt>
                  <c:pt idx="6">
                    <c:v>8.97249999999985</c:v>
                  </c:pt>
                  <c:pt idx="7">
                    <c:v>9.96479999999997</c:v>
                  </c:pt>
                  <c:pt idx="8">
                    <c:v>11.3324</c:v>
                  </c:pt>
                  <c:pt idx="9">
                    <c:v>14.9376</c:v>
                  </c:pt>
                  <c:pt idx="10">
                    <c:v>19.1252999999999</c:v>
                  </c:pt>
                </c:numCache>
              </c:numRef>
            </c:plus>
            <c:minus>
              <c:numRef>
                <c:f>'[apc-三合一.xlsx]daly-age'!$F$3:$F$13</c:f>
                <c:numCache>
                  <c:formatCode>General</c:formatCode>
                  <c:ptCount val="11"/>
                  <c:pt idx="0">
                    <c:v>4.59950000000003</c:v>
                  </c:pt>
                  <c:pt idx="1">
                    <c:v>5.63299999999992</c:v>
                  </c:pt>
                  <c:pt idx="2">
                    <c:v>6.56669999999997</c:v>
                  </c:pt>
                  <c:pt idx="3">
                    <c:v>6.92380000000003</c:v>
                  </c:pt>
                  <c:pt idx="4">
                    <c:v>7.58899999999994</c:v>
                  </c:pt>
                  <c:pt idx="5">
                    <c:v>8.10439999999994</c:v>
                  </c:pt>
                  <c:pt idx="6">
                    <c:v>8.91980000000012</c:v>
                  </c:pt>
                  <c:pt idx="7">
                    <c:v>9.90349999999989</c:v>
                  </c:pt>
                  <c:pt idx="8">
                    <c:v>11.2545</c:v>
                  </c:pt>
                  <c:pt idx="9">
                    <c:v>14.8084000000001</c:v>
                  </c:pt>
                  <c:pt idx="10">
                    <c:v>18.9182000000001</c:v>
                  </c:pt>
                </c:numCache>
              </c:numRef>
            </c:minus>
            <c:spPr>
              <a:noFill/>
              <a:ln w="12700" cap="flat" cmpd="sng" algn="ctr">
                <a:solidFill>
                  <a:schemeClr val="tx1">
                    <a:lumMod val="50000"/>
                    <a:lumOff val="50000"/>
                  </a:schemeClr>
                </a:solidFill>
                <a:prstDash val="sysDot"/>
                <a:round/>
              </a:ln>
              <a:effectLst/>
            </c:spPr>
          </c:errBars>
          <c:cat>
            <c:strRef>
              <c:f>'[apc-三合一.xlsx]longitudinal age'!$G$3:$G$13</c:f>
              <c:strCache>
                <c:ptCount val="11"/>
                <c:pt idx="0">
                  <c:v>30-34</c:v>
                </c:pt>
                <c:pt idx="1">
                  <c:v>35-39</c:v>
                </c:pt>
                <c:pt idx="2">
                  <c:v>40-44</c:v>
                </c:pt>
                <c:pt idx="3">
                  <c:v>45-49</c:v>
                </c:pt>
                <c:pt idx="4">
                  <c:v>50-54</c:v>
                </c:pt>
                <c:pt idx="5">
                  <c:v>55-59</c:v>
                </c:pt>
                <c:pt idx="6">
                  <c:v>60-64</c:v>
                </c:pt>
                <c:pt idx="7">
                  <c:v>65-69</c:v>
                </c:pt>
                <c:pt idx="8">
                  <c:v>70-74</c:v>
                </c:pt>
                <c:pt idx="9">
                  <c:v>75-79</c:v>
                </c:pt>
                <c:pt idx="10">
                  <c:v>80-84</c:v>
                </c:pt>
              </c:strCache>
            </c:strRef>
          </c:cat>
          <c:val>
            <c:numRef>
              <c:f>'[apc-三合一.xlsx]daly-age'!$B$3:$B$13</c:f>
              <c:numCache>
                <c:formatCode>General</c:formatCode>
                <c:ptCount val="11"/>
                <c:pt idx="0">
                  <c:v>526.9099</c:v>
                </c:pt>
                <c:pt idx="1">
                  <c:v>735.1482</c:v>
                </c:pt>
                <c:pt idx="2">
                  <c:v>941.303</c:v>
                </c:pt>
                <c:pt idx="3">
                  <c:v>1116.0904</c:v>
                </c:pt>
                <c:pt idx="4">
                  <c:v>1281.8808</c:v>
                </c:pt>
                <c:pt idx="5">
                  <c:v>1386.6543</c:v>
                </c:pt>
                <c:pt idx="6">
                  <c:v>1519.303</c:v>
                </c:pt>
                <c:pt idx="7">
                  <c:v>1608.5925</c:v>
                </c:pt>
                <c:pt idx="8">
                  <c:v>1635.738</c:v>
                </c:pt>
                <c:pt idx="9">
                  <c:v>1710.7036</c:v>
                </c:pt>
                <c:pt idx="10">
                  <c:v>1748.0353</c:v>
                </c:pt>
              </c:numCache>
            </c:numRef>
          </c:val>
          <c:smooth val="0"/>
        </c:ser>
        <c:ser>
          <c:idx val="1"/>
          <c:order val="1"/>
          <c:tx>
            <c:strRef>
              <c:f>'[apc-三合一.xlsx]daly-age'!$H$1</c:f>
              <c:strCache>
                <c:ptCount val="1"/>
                <c:pt idx="0">
                  <c:v>Male</c:v>
                </c:pt>
              </c:strCache>
            </c:strRef>
          </c:tx>
          <c:spPr>
            <a:ln w="19050" cap="rnd" cmpd="sng">
              <a:solidFill>
                <a:schemeClr val="accent1"/>
              </a:solidFill>
              <a:prstDash val="solid"/>
              <a:round/>
            </a:ln>
            <a:effectLst/>
            <a:sp3d contourW="19050"/>
          </c:spPr>
          <c:marker>
            <c:symbol val="circle"/>
            <c:size val="4"/>
            <c:spPr>
              <a:solidFill>
                <a:schemeClr val="accent1"/>
              </a:solidFill>
              <a:ln w="9525">
                <a:solidFill>
                  <a:schemeClr val="accent1"/>
                </a:solidFill>
              </a:ln>
              <a:effectLst/>
            </c:spPr>
          </c:marker>
          <c:dLbls>
            <c:delete val="1"/>
          </c:dLbls>
          <c:errBars>
            <c:errDir val="y"/>
            <c:errBarType val="both"/>
            <c:errValType val="cust"/>
            <c:noEndCap val="0"/>
            <c:plus>
              <c:numRef>
                <c:f>'[apc-三合一.xlsx]daly-age'!$K$3:$K$13</c:f>
                <c:numCache>
                  <c:formatCode>General</c:formatCode>
                  <c:ptCount val="11"/>
                  <c:pt idx="0">
                    <c:v>7.4477</c:v>
                  </c:pt>
                  <c:pt idx="1">
                    <c:v>9.5829</c:v>
                  </c:pt>
                  <c:pt idx="2">
                    <c:v>11.5691999999999</c:v>
                  </c:pt>
                  <c:pt idx="3">
                    <c:v>11.3955000000001</c:v>
                  </c:pt>
                  <c:pt idx="4">
                    <c:v>11.025</c:v>
                  </c:pt>
                  <c:pt idx="5">
                    <c:v>11.2208000000001</c:v>
                  </c:pt>
                  <c:pt idx="6">
                    <c:v>12.3936999999999</c:v>
                  </c:pt>
                  <c:pt idx="7">
                    <c:v>13.6632</c:v>
                  </c:pt>
                  <c:pt idx="8">
                    <c:v>15.6242999999999</c:v>
                  </c:pt>
                  <c:pt idx="9">
                    <c:v>20.9167</c:v>
                  </c:pt>
                  <c:pt idx="10">
                    <c:v>28.2303999999999</c:v>
                  </c:pt>
                </c:numCache>
              </c:numRef>
            </c:plus>
            <c:minus>
              <c:numRef>
                <c:f>'[apc-三合一.xlsx]daly-age'!$L$3:$L$13</c:f>
                <c:numCache>
                  <c:formatCode>General</c:formatCode>
                  <c:ptCount val="11"/>
                  <c:pt idx="0">
                    <c:v>7.33449999999999</c:v>
                  </c:pt>
                  <c:pt idx="1">
                    <c:v>9.45489999999995</c:v>
                  </c:pt>
                  <c:pt idx="2">
                    <c:v>11.4277000000001</c:v>
                  </c:pt>
                  <c:pt idx="3">
                    <c:v>11.2699</c:v>
                  </c:pt>
                  <c:pt idx="4">
                    <c:v>10.905</c:v>
                  </c:pt>
                  <c:pt idx="5">
                    <c:v>11.0979</c:v>
                  </c:pt>
                  <c:pt idx="6">
                    <c:v>12.2564</c:v>
                  </c:pt>
                  <c:pt idx="7">
                    <c:v>13.5021999999999</c:v>
                  </c:pt>
                  <c:pt idx="8">
                    <c:v>15.415</c:v>
                  </c:pt>
                  <c:pt idx="9">
                    <c:v>20.5634</c:v>
                  </c:pt>
                  <c:pt idx="10">
                    <c:v>27.6164000000001</c:v>
                  </c:pt>
                </c:numCache>
              </c:numRef>
            </c:minus>
            <c:spPr>
              <a:noFill/>
              <a:ln w="12700" cap="flat" cmpd="sng" algn="ctr">
                <a:solidFill>
                  <a:schemeClr val="accent1"/>
                </a:solidFill>
                <a:prstDash val="sysDot"/>
                <a:round/>
                <a:headEnd type="none"/>
              </a:ln>
              <a:effectLst/>
            </c:spPr>
          </c:errBars>
          <c:cat>
            <c:strRef>
              <c:f>'[apc-三合一.xlsx]longitudinal age'!$G$3:$G$13</c:f>
              <c:strCache>
                <c:ptCount val="11"/>
                <c:pt idx="0">
                  <c:v>30-34</c:v>
                </c:pt>
                <c:pt idx="1">
                  <c:v>35-39</c:v>
                </c:pt>
                <c:pt idx="2">
                  <c:v>40-44</c:v>
                </c:pt>
                <c:pt idx="3">
                  <c:v>45-49</c:v>
                </c:pt>
                <c:pt idx="4">
                  <c:v>50-54</c:v>
                </c:pt>
                <c:pt idx="5">
                  <c:v>55-59</c:v>
                </c:pt>
                <c:pt idx="6">
                  <c:v>60-64</c:v>
                </c:pt>
                <c:pt idx="7">
                  <c:v>65-69</c:v>
                </c:pt>
                <c:pt idx="8">
                  <c:v>70-74</c:v>
                </c:pt>
                <c:pt idx="9">
                  <c:v>75-79</c:v>
                </c:pt>
                <c:pt idx="10">
                  <c:v>80-84</c:v>
                </c:pt>
              </c:strCache>
            </c:strRef>
          </c:cat>
          <c:val>
            <c:numRef>
              <c:f>'[apc-三合一.xlsx]daly-age'!$H$3:$H$13</c:f>
              <c:numCache>
                <c:formatCode>General</c:formatCode>
                <c:ptCount val="11"/>
                <c:pt idx="0">
                  <c:v>482.8924</c:v>
                </c:pt>
                <c:pt idx="1">
                  <c:v>707.6567</c:v>
                </c:pt>
                <c:pt idx="2">
                  <c:v>933.772</c:v>
                </c:pt>
                <c:pt idx="3">
                  <c:v>1022.9231</c:v>
                </c:pt>
                <c:pt idx="4">
                  <c:v>1002.8605</c:v>
                </c:pt>
                <c:pt idx="5">
                  <c:v>1012.8398</c:v>
                </c:pt>
                <c:pt idx="6">
                  <c:v>1106.6411</c:v>
                </c:pt>
                <c:pt idx="7">
                  <c:v>1145.7083</c:v>
                </c:pt>
                <c:pt idx="8">
                  <c:v>1150.365</c:v>
                </c:pt>
                <c:pt idx="9">
                  <c:v>1217.0326</c:v>
                </c:pt>
                <c:pt idx="10">
                  <c:v>1269.9951</c:v>
                </c:pt>
              </c:numCache>
            </c:numRef>
          </c:val>
          <c:smooth val="0"/>
        </c:ser>
        <c:ser>
          <c:idx val="2"/>
          <c:order val="2"/>
          <c:tx>
            <c:strRef>
              <c:f>'[apc-三合一.xlsx]daly-age'!$M$1</c:f>
              <c:strCache>
                <c:ptCount val="1"/>
                <c:pt idx="0">
                  <c:v>Female</c:v>
                </c:pt>
              </c:strCache>
            </c:strRef>
          </c:tx>
          <c:spPr>
            <a:ln w="19050" cap="rnd">
              <a:solidFill>
                <a:schemeClr val="accent6"/>
              </a:solidFill>
              <a:round/>
            </a:ln>
            <a:effectLst/>
            <a:sp3d contourW="19050"/>
          </c:spPr>
          <c:marker>
            <c:symbol val="square"/>
            <c:size val="4"/>
            <c:spPr>
              <a:solidFill>
                <a:schemeClr val="accent6"/>
              </a:solidFill>
              <a:ln w="9525">
                <a:solidFill>
                  <a:schemeClr val="accent6"/>
                </a:solidFill>
              </a:ln>
              <a:effectLst/>
            </c:spPr>
          </c:marker>
          <c:dLbls>
            <c:delete val="1"/>
          </c:dLbls>
          <c:errBars>
            <c:errDir val="y"/>
            <c:errBarType val="both"/>
            <c:errValType val="cust"/>
            <c:noEndCap val="0"/>
            <c:plus>
              <c:numRef>
                <c:f>'[apc-三合一.xlsx]daly-age'!$P$3:$P$13</c:f>
                <c:numCache>
                  <c:formatCode>General</c:formatCode>
                  <c:ptCount val="11"/>
                  <c:pt idx="0">
                    <c:v>4.72619999999995</c:v>
                  </c:pt>
                  <c:pt idx="1">
                    <c:v>5.53480000000002</c:v>
                  </c:pt>
                  <c:pt idx="2">
                    <c:v>6.24220000000003</c:v>
                  </c:pt>
                  <c:pt idx="3">
                    <c:v>6.98389999999995</c:v>
                  </c:pt>
                  <c:pt idx="4">
                    <c:v>8.36959999999999</c:v>
                  </c:pt>
                  <c:pt idx="5">
                    <c:v>9.17440000000011</c:v>
                  </c:pt>
                  <c:pt idx="6">
                    <c:v>10.0255999999999</c:v>
                  </c:pt>
                  <c:pt idx="7">
                    <c:v>11.0873000000001</c:v>
                  </c:pt>
                  <c:pt idx="8">
                    <c:v>12.4297000000001</c:v>
                  </c:pt>
                  <c:pt idx="9">
                    <c:v>15.9784</c:v>
                  </c:pt>
                  <c:pt idx="10">
                    <c:v>19.4063000000001</c:v>
                  </c:pt>
                </c:numCache>
              </c:numRef>
            </c:plus>
            <c:minus>
              <c:numRef>
                <c:f>'[apc-三合一.xlsx]daly-age'!$Q$3:$Q$13</c:f>
                <c:numCache>
                  <c:formatCode>General</c:formatCode>
                  <c:ptCount val="11"/>
                  <c:pt idx="0">
                    <c:v>4.68799999999999</c:v>
                  </c:pt>
                  <c:pt idx="1">
                    <c:v>5.49540000000002</c:v>
                  </c:pt>
                  <c:pt idx="2">
                    <c:v>6.20179999999993</c:v>
                  </c:pt>
                  <c:pt idx="3">
                    <c:v>6.94430000000011</c:v>
                  </c:pt>
                  <c:pt idx="4">
                    <c:v>8.32549999999992</c:v>
                  </c:pt>
                  <c:pt idx="5">
                    <c:v>9.12729999999988</c:v>
                  </c:pt>
                  <c:pt idx="6">
                    <c:v>9.97420000000011</c:v>
                  </c:pt>
                  <c:pt idx="7">
                    <c:v>11.0281999999997</c:v>
                  </c:pt>
                  <c:pt idx="8">
                    <c:v>12.3564000000001</c:v>
                  </c:pt>
                  <c:pt idx="9">
                    <c:v>15.8600999999999</c:v>
                  </c:pt>
                  <c:pt idx="10">
                    <c:v>19.2291</c:v>
                  </c:pt>
                </c:numCache>
              </c:numRef>
            </c:minus>
            <c:spPr>
              <a:noFill/>
              <a:ln w="12700" cap="flat" cmpd="sng" algn="ctr">
                <a:solidFill>
                  <a:schemeClr val="accent6"/>
                </a:solidFill>
                <a:prstDash val="sysDot"/>
                <a:round/>
              </a:ln>
              <a:effectLst/>
            </c:spPr>
          </c:errBars>
          <c:cat>
            <c:strRef>
              <c:f>'[apc-三合一.xlsx]longitudinal age'!$G$3:$G$13</c:f>
              <c:strCache>
                <c:ptCount val="11"/>
                <c:pt idx="0">
                  <c:v>30-34</c:v>
                </c:pt>
                <c:pt idx="1">
                  <c:v>35-39</c:v>
                </c:pt>
                <c:pt idx="2">
                  <c:v>40-44</c:v>
                </c:pt>
                <c:pt idx="3">
                  <c:v>45-49</c:v>
                </c:pt>
                <c:pt idx="4">
                  <c:v>50-54</c:v>
                </c:pt>
                <c:pt idx="5">
                  <c:v>55-59</c:v>
                </c:pt>
                <c:pt idx="6">
                  <c:v>60-64</c:v>
                </c:pt>
                <c:pt idx="7">
                  <c:v>65-69</c:v>
                </c:pt>
                <c:pt idx="8">
                  <c:v>70-74</c:v>
                </c:pt>
                <c:pt idx="9">
                  <c:v>75-79</c:v>
                </c:pt>
                <c:pt idx="10">
                  <c:v>80-84</c:v>
                </c:pt>
              </c:strCache>
            </c:strRef>
          </c:cat>
          <c:val>
            <c:numRef>
              <c:f>'[apc-三合一.xlsx]daly-age'!$M$3:$M$13</c:f>
              <c:numCache>
                <c:formatCode>General</c:formatCode>
                <c:ptCount val="11"/>
                <c:pt idx="0">
                  <c:v>579.0724</c:v>
                </c:pt>
                <c:pt idx="1">
                  <c:v>771.9444</c:v>
                </c:pt>
                <c:pt idx="2">
                  <c:v>958.924</c:v>
                </c:pt>
                <c:pt idx="3">
                  <c:v>1224.8665</c:v>
                </c:pt>
                <c:pt idx="4">
                  <c:v>1582.887</c:v>
                </c:pt>
                <c:pt idx="5">
                  <c:v>1781.7638</c:v>
                </c:pt>
                <c:pt idx="6">
                  <c:v>1946.2071</c:v>
                </c:pt>
                <c:pt idx="7">
                  <c:v>2069.4664</c:v>
                </c:pt>
                <c:pt idx="8">
                  <c:v>2096.2848</c:v>
                </c:pt>
                <c:pt idx="9">
                  <c:v>2140.9018</c:v>
                </c:pt>
                <c:pt idx="10">
                  <c:v>2106.6276</c:v>
                </c:pt>
              </c:numCache>
            </c:numRef>
          </c:val>
          <c:smooth val="0"/>
        </c:ser>
        <c:dLbls>
          <c:showLegendKey val="0"/>
          <c:showVal val="0"/>
          <c:showCatName val="0"/>
          <c:showSerName val="0"/>
          <c:showPercent val="0"/>
          <c:showBubbleSize val="0"/>
        </c:dLbls>
        <c:marker val="1"/>
        <c:smooth val="0"/>
        <c:axId val="207423979"/>
        <c:axId val="590840182"/>
      </c:lineChart>
      <c:catAx>
        <c:axId val="207423979"/>
        <c:scaling>
          <c:orientation val="minMax"/>
        </c:scaling>
        <c:delete val="0"/>
        <c:axPos val="b"/>
        <c:title>
          <c:tx>
            <c:rich>
              <a:bodyPr rot="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rPr lang="en-US" altLang="zh-CN" sz="900">
                    <a:latin typeface="Times New Roman" panose="02020603050405020304" charset="0"/>
                    <a:ea typeface="宋体" panose="02010600030101010101" charset="-122"/>
                    <a:cs typeface="Times New Roman" panose="02020603050405020304" charset="0"/>
                  </a:rPr>
                  <a:t>Age</a:t>
                </a:r>
                <a:endParaRPr lang="en-US" altLang="zh-CN" sz="900">
                  <a:latin typeface="Times New Roman" panose="02020603050405020304" charset="0"/>
                  <a:ea typeface="宋体" panose="02010600030101010101" charset="-122"/>
                  <a:cs typeface="Times New Roman" panose="02020603050405020304" charset="0"/>
                </a:endParaRPr>
              </a:p>
            </c:rich>
          </c:tx>
          <c:layout/>
          <c:overlay val="0"/>
          <c:spPr>
            <a:noFill/>
            <a:ln>
              <a:noFill/>
            </a:ln>
            <a:effectLst/>
          </c:spPr>
        </c:title>
        <c:majorTickMark val="in"/>
        <c:minorTickMark val="none"/>
        <c:tickLblPos val="nextTo"/>
        <c:spPr>
          <a:noFill/>
          <a:ln w="9525" cap="flat" cmpd="sng" algn="ctr">
            <a:solidFill>
              <a:schemeClr val="tx1">
                <a:lumMod val="50000"/>
                <a:lumOff val="50000"/>
              </a:schemeClr>
            </a:solidFill>
            <a:round/>
          </a:ln>
          <a:effectLst/>
        </c:spPr>
        <c:txPr>
          <a:bodyPr rot="-5400000" spcFirstLastPara="0" vertOverflow="ellipsis" vert="horz" wrap="square" anchor="ctr" anchorCtr="0"/>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crossAx val="590840182"/>
        <c:crossesAt val="-0.7"/>
        <c:auto val="1"/>
        <c:lblAlgn val="ctr"/>
        <c:lblOffset val="10"/>
        <c:tickLblSkip val="1"/>
        <c:noMultiLvlLbl val="0"/>
      </c:catAx>
      <c:valAx>
        <c:axId val="590840182"/>
        <c:scaling>
          <c:orientation val="minMax"/>
          <c:max val="2500"/>
          <c:min val="0"/>
        </c:scaling>
        <c:delete val="0"/>
        <c:axPos val="l"/>
        <c:title>
          <c:tx>
            <c:rich>
              <a:bodyPr rot="-5400000" spcFirstLastPara="0" vertOverflow="ellipsis" vert="horz" wrap="square" anchor="ctr" anchorCtr="1"/>
              <a:lstStyle/>
              <a:p>
                <a:pPr defTabSz="914400">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r>
                  <a:rPr lang="en-US" altLang="zh-CN" sz="900">
                    <a:latin typeface="Times New Roman" panose="02020603050405020304" charset="0"/>
                    <a:ea typeface="Times New Roman" panose="02020603050405020304" charset="0"/>
                    <a:cs typeface="Times New Roman" panose="02020603050405020304" charset="0"/>
                    <a:sym typeface="Times New Roman" panose="02020603050405020304" charset="0"/>
                  </a:rPr>
                  <a:t>DALY rate (per 100 000)</a:t>
                </a:r>
                <a:endParaRPr lang="en-US" altLang="zh-CN" sz="900">
                  <a:latin typeface="Times New Roman" panose="02020603050405020304" charset="0"/>
                  <a:ea typeface="Times New Roman" panose="02020603050405020304" charset="0"/>
                  <a:cs typeface="Times New Roman" panose="02020603050405020304" charset="0"/>
                  <a:sym typeface="Times New Roman" panose="02020603050405020304" charset="0"/>
                </a:endParaRPr>
              </a:p>
            </c:rich>
          </c:tx>
          <c:layout>
            <c:manualLayout>
              <c:xMode val="edge"/>
              <c:yMode val="edge"/>
              <c:x val="0.00657894736842105"/>
              <c:y val="0.248893229166666"/>
            </c:manualLayout>
          </c:layout>
          <c:overlay val="0"/>
          <c:spPr>
            <a:noFill/>
            <a:ln>
              <a:noFill/>
            </a:ln>
            <a:effectLst/>
          </c:spPr>
        </c:title>
        <c:numFmt formatCode="General" sourceLinked="0"/>
        <c:majorTickMark val="out"/>
        <c:minorTickMark val="none"/>
        <c:tickLblPos val="low"/>
        <c:spPr>
          <a:noFill/>
          <a:ln>
            <a:solidFill>
              <a:schemeClr val="tx1">
                <a:lumMod val="50000"/>
                <a:lumOff val="50000"/>
              </a:schemeClr>
            </a:solid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crossAx val="207423979"/>
        <c:crosses val="autoZero"/>
        <c:crossBetween val="between"/>
        <c:majorUnit val="500"/>
      </c:valAx>
      <c:spPr>
        <a:noFill/>
        <a:ln>
          <a:noFill/>
        </a:ln>
        <a:effectLst/>
      </c:spPr>
    </c:plotArea>
    <c:legend>
      <c:legendPos val="t"/>
      <c:legendEntry>
        <c:idx val="0"/>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egendEntry>
        <c:idx val="1"/>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egendEntry>
        <c:idx val="2"/>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
    <c:plotVisOnly val="1"/>
    <c:dispBlanksAs val="gap"/>
    <c:showDLblsOverMax val="0"/>
    <c:extLst>
      <c:ext uri="{0b15fc19-7d7d-44ad-8c2d-2c3a37ce22c3}">
        <chartProps xmlns="https://web.wps.cn/et/2018/main" chartId="{e101347b-d3ef-406e-92b9-18edb3d40be6}"/>
      </c:ext>
    </c:extLst>
  </c:chart>
  <c:spPr>
    <a:solidFill>
      <a:schemeClr val="bg1"/>
    </a:solidFill>
    <a:ln w="9525" cap="flat" cmpd="sng" algn="ctr">
      <a:no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7842105263158"/>
          <c:y val="0.0649305555555556"/>
          <c:w val="0.865973684210526"/>
          <c:h val="0.810086805555556"/>
        </c:manualLayout>
      </c:layout>
      <c:lineChart>
        <c:grouping val="standard"/>
        <c:varyColors val="0"/>
        <c:ser>
          <c:idx val="0"/>
          <c:order val="0"/>
          <c:tx>
            <c:strRef>
              <c:f>"Both"</c:f>
              <c:strCache>
                <c:ptCount val="1"/>
                <c:pt idx="0">
                  <c:v>Both</c:v>
                </c:pt>
              </c:strCache>
            </c:strRef>
          </c:tx>
          <c:spPr>
            <a:ln w="19050" cap="rnd">
              <a:solidFill>
                <a:schemeClr val="tx1">
                  <a:lumMod val="50000"/>
                  <a:lumOff val="50000"/>
                </a:schemeClr>
              </a:solidFill>
              <a:round/>
            </a:ln>
            <a:effectLst/>
            <a:sp3d contourW="19050"/>
          </c:spPr>
          <c:marker>
            <c:symbol val="triangle"/>
            <c:size val="4"/>
            <c:spPr>
              <a:solidFill>
                <a:schemeClr val="tx1">
                  <a:lumMod val="50000"/>
                  <a:lumOff val="50000"/>
                </a:schemeClr>
              </a:solidFill>
              <a:ln w="15875">
                <a:solidFill>
                  <a:schemeClr val="tx1">
                    <a:lumMod val="50000"/>
                    <a:lumOff val="50000"/>
                  </a:schemeClr>
                </a:solidFill>
              </a:ln>
              <a:effectLst/>
            </c:spPr>
          </c:marker>
          <c:dLbls>
            <c:delete val="1"/>
          </c:dLbls>
          <c:errBars>
            <c:errDir val="y"/>
            <c:errBarType val="both"/>
            <c:errValType val="cust"/>
            <c:noEndCap val="0"/>
            <c:plus>
              <c:numRef>
                <c:f>'[apc-三合一.xlsx]daly-period'!$E$3:$E$8</c:f>
                <c:numCache>
                  <c:formatCode>General</c:formatCode>
                  <c:ptCount val="6"/>
                  <c:pt idx="0">
                    <c:v>0.00559999999999983</c:v>
                  </c:pt>
                  <c:pt idx="1">
                    <c:v>0.00529999999999986</c:v>
                  </c:pt>
                  <c:pt idx="2">
                    <c:v>0</c:v>
                  </c:pt>
                  <c:pt idx="3">
                    <c:v>0.00470000000000004</c:v>
                  </c:pt>
                  <c:pt idx="4">
                    <c:v>0.00469999999999993</c:v>
                  </c:pt>
                  <c:pt idx="5">
                    <c:v>0.00460000000000005</c:v>
                  </c:pt>
                </c:numCache>
              </c:numRef>
            </c:plus>
            <c:minus>
              <c:numRef>
                <c:f>'[apc-三合一.xlsx]daly-period'!$F$3:$F$8</c:f>
                <c:numCache>
                  <c:formatCode>General</c:formatCode>
                  <c:ptCount val="6"/>
                  <c:pt idx="0">
                    <c:v>0.00550000000000006</c:v>
                  </c:pt>
                  <c:pt idx="1">
                    <c:v>0.00520000000000009</c:v>
                  </c:pt>
                  <c:pt idx="2">
                    <c:v>0</c:v>
                  </c:pt>
                  <c:pt idx="3">
                    <c:v>0.00470000000000004</c:v>
                  </c:pt>
                  <c:pt idx="4">
                    <c:v>0.00460000000000005</c:v>
                  </c:pt>
                  <c:pt idx="5">
                    <c:v>0.00459999999999994</c:v>
                  </c:pt>
                </c:numCache>
              </c:numRef>
            </c:minus>
            <c:spPr>
              <a:noFill/>
              <a:ln w="12700" cap="flat" cmpd="sng" algn="ctr">
                <a:solidFill>
                  <a:schemeClr val="tx1">
                    <a:lumMod val="50000"/>
                    <a:lumOff val="50000"/>
                  </a:schemeClr>
                </a:solidFill>
                <a:prstDash val="sysDot"/>
                <a:round/>
              </a:ln>
              <a:effectLst/>
            </c:spPr>
          </c:errBars>
          <c:cat>
            <c:numRef>
              <c:f>'[apc-三合一.xlsx]period'!$G$3:$G$8</c:f>
              <c:numCache>
                <c:formatCode>General</c:formatCode>
                <c:ptCount val="6"/>
                <c:pt idx="0">
                  <c:v>1995</c:v>
                </c:pt>
                <c:pt idx="1">
                  <c:v>2000</c:v>
                </c:pt>
                <c:pt idx="2">
                  <c:v>2005</c:v>
                </c:pt>
                <c:pt idx="3">
                  <c:v>2010</c:v>
                </c:pt>
                <c:pt idx="4">
                  <c:v>2015</c:v>
                </c:pt>
                <c:pt idx="5">
                  <c:v>2020</c:v>
                </c:pt>
              </c:numCache>
            </c:numRef>
          </c:cat>
          <c:val>
            <c:numRef>
              <c:f>'[apc-三合一.xlsx]daly-period'!$B$3:$B$8</c:f>
              <c:numCache>
                <c:formatCode>General</c:formatCode>
                <c:ptCount val="6"/>
                <c:pt idx="0">
                  <c:v>1.0498</c:v>
                </c:pt>
                <c:pt idx="1">
                  <c:v>1.0195</c:v>
                </c:pt>
                <c:pt idx="2">
                  <c:v>1</c:v>
                </c:pt>
                <c:pt idx="3">
                  <c:v>0.9729</c:v>
                </c:pt>
                <c:pt idx="4">
                  <c:v>0.9544</c:v>
                </c:pt>
                <c:pt idx="5">
                  <c:v>0.944</c:v>
                </c:pt>
              </c:numCache>
            </c:numRef>
          </c:val>
          <c:smooth val="0"/>
        </c:ser>
        <c:ser>
          <c:idx val="1"/>
          <c:order val="1"/>
          <c:tx>
            <c:strRef>
              <c:f>'[apc-三合一.xlsx]daly-period'!$H$1</c:f>
              <c:strCache>
                <c:ptCount val="1"/>
                <c:pt idx="0">
                  <c:v>Male</c:v>
                </c:pt>
              </c:strCache>
            </c:strRef>
          </c:tx>
          <c:spPr>
            <a:ln w="19050" cap="rnd" cmpd="sng">
              <a:solidFill>
                <a:schemeClr val="accent1"/>
              </a:solidFill>
              <a:prstDash val="solid"/>
              <a:round/>
            </a:ln>
            <a:effectLst/>
            <a:sp3d contourW="19050"/>
          </c:spPr>
          <c:marker>
            <c:symbol val="circle"/>
            <c:size val="4"/>
            <c:spPr>
              <a:solidFill>
                <a:schemeClr val="accent1"/>
              </a:solidFill>
              <a:ln w="9525">
                <a:solidFill>
                  <a:schemeClr val="accent1"/>
                </a:solidFill>
              </a:ln>
              <a:effectLst/>
            </c:spPr>
          </c:marker>
          <c:dLbls>
            <c:delete val="1"/>
          </c:dLbls>
          <c:errBars>
            <c:errDir val="y"/>
            <c:errBarType val="both"/>
            <c:errValType val="cust"/>
            <c:noEndCap val="0"/>
            <c:plus>
              <c:numRef>
                <c:f>'[apc-三合一.xlsx]daly-period'!$K$3:$K$8</c:f>
                <c:numCache>
                  <c:formatCode>General</c:formatCode>
                  <c:ptCount val="6"/>
                  <c:pt idx="0">
                    <c:v>0.00990000000000002</c:v>
                  </c:pt>
                  <c:pt idx="1">
                    <c:v>0.00939999999999985</c:v>
                  </c:pt>
                  <c:pt idx="2">
                    <c:v>0</c:v>
                  </c:pt>
                  <c:pt idx="3">
                    <c:v>0.00849999999999995</c:v>
                  </c:pt>
                  <c:pt idx="4">
                    <c:v>0.00840000000000007</c:v>
                  </c:pt>
                  <c:pt idx="5">
                    <c:v>0.00839999999999996</c:v>
                  </c:pt>
                </c:numCache>
              </c:numRef>
            </c:plus>
            <c:minus>
              <c:numRef>
                <c:f>'[apc-三合一.xlsx]daly-period'!$L$3:$L$8</c:f>
                <c:numCache>
                  <c:formatCode>General</c:formatCode>
                  <c:ptCount val="6"/>
                  <c:pt idx="0">
                    <c:v>0.00979999999999981</c:v>
                  </c:pt>
                  <c:pt idx="1">
                    <c:v>0.00930000000000009</c:v>
                  </c:pt>
                  <c:pt idx="2">
                    <c:v>0</c:v>
                  </c:pt>
                  <c:pt idx="3">
                    <c:v>0.00849999999999995</c:v>
                  </c:pt>
                  <c:pt idx="4">
                    <c:v>0.00829999999999997</c:v>
                  </c:pt>
                  <c:pt idx="5">
                    <c:v>0.00830000000000009</c:v>
                  </c:pt>
                </c:numCache>
              </c:numRef>
            </c:minus>
            <c:spPr>
              <a:noFill/>
              <a:ln w="12700" cap="flat" cmpd="sng" algn="ctr">
                <a:solidFill>
                  <a:schemeClr val="accent1"/>
                </a:solidFill>
                <a:prstDash val="sysDot"/>
                <a:round/>
                <a:headEnd type="none"/>
              </a:ln>
              <a:effectLst/>
            </c:spPr>
          </c:errBars>
          <c:cat>
            <c:numRef>
              <c:f>'[apc-三合一.xlsx]period'!$G$3:$G$8</c:f>
              <c:numCache>
                <c:formatCode>General</c:formatCode>
                <c:ptCount val="6"/>
                <c:pt idx="0">
                  <c:v>1995</c:v>
                </c:pt>
                <c:pt idx="1">
                  <c:v>2000</c:v>
                </c:pt>
                <c:pt idx="2">
                  <c:v>2005</c:v>
                </c:pt>
                <c:pt idx="3">
                  <c:v>2010</c:v>
                </c:pt>
                <c:pt idx="4">
                  <c:v>2015</c:v>
                </c:pt>
                <c:pt idx="5">
                  <c:v>2020</c:v>
                </c:pt>
              </c:numCache>
            </c:numRef>
          </c:cat>
          <c:val>
            <c:numRef>
              <c:f>'[apc-三合一.xlsx]daly-period'!$H$3:$H$8</c:f>
              <c:numCache>
                <c:formatCode>General</c:formatCode>
                <c:ptCount val="6"/>
                <c:pt idx="0">
                  <c:v>1.0392</c:v>
                </c:pt>
                <c:pt idx="1">
                  <c:v>1.0213</c:v>
                </c:pt>
                <c:pt idx="2">
                  <c:v>1</c:v>
                </c:pt>
                <c:pt idx="3">
                  <c:v>0.9687</c:v>
                </c:pt>
                <c:pt idx="4">
                  <c:v>0.9459</c:v>
                </c:pt>
                <c:pt idx="5">
                  <c:v>0.9241</c:v>
                </c:pt>
              </c:numCache>
            </c:numRef>
          </c:val>
          <c:smooth val="0"/>
        </c:ser>
        <c:ser>
          <c:idx val="2"/>
          <c:order val="2"/>
          <c:tx>
            <c:strRef>
              <c:f>'[apc-三合一.xlsx]daly-period'!$M$1</c:f>
              <c:strCache>
                <c:ptCount val="1"/>
                <c:pt idx="0">
                  <c:v>Female</c:v>
                </c:pt>
              </c:strCache>
            </c:strRef>
          </c:tx>
          <c:spPr>
            <a:ln w="19050" cap="rnd">
              <a:solidFill>
                <a:schemeClr val="accent6"/>
              </a:solidFill>
              <a:round/>
            </a:ln>
            <a:effectLst/>
            <a:sp3d contourW="19050"/>
          </c:spPr>
          <c:marker>
            <c:symbol val="square"/>
            <c:size val="4"/>
            <c:spPr>
              <a:solidFill>
                <a:schemeClr val="accent6"/>
              </a:solidFill>
              <a:ln w="9525">
                <a:solidFill>
                  <a:schemeClr val="accent6"/>
                </a:solidFill>
              </a:ln>
              <a:effectLst/>
            </c:spPr>
          </c:marker>
          <c:dLbls>
            <c:delete val="1"/>
          </c:dLbls>
          <c:errBars>
            <c:errDir val="y"/>
            <c:errBarType val="both"/>
            <c:errValType val="cust"/>
            <c:noEndCap val="0"/>
            <c:plus>
              <c:numRef>
                <c:f>'[apc-三合一.xlsx]daly-period'!$P$3:$P$8</c:f>
                <c:numCache>
                  <c:formatCode>General</c:formatCode>
                  <c:ptCount val="6"/>
                  <c:pt idx="0">
                    <c:v>0.0051000000000001</c:v>
                  </c:pt>
                  <c:pt idx="1">
                    <c:v>0.00469999999999993</c:v>
                  </c:pt>
                  <c:pt idx="2">
                    <c:v>0</c:v>
                  </c:pt>
                  <c:pt idx="3">
                    <c:v>0.00429999999999997</c:v>
                  </c:pt>
                  <c:pt idx="4">
                    <c:v>0.00409999999999999</c:v>
                  </c:pt>
                  <c:pt idx="5">
                    <c:v>0.00419999999999998</c:v>
                  </c:pt>
                </c:numCache>
              </c:numRef>
            </c:plus>
            <c:minus>
              <c:numRef>
                <c:f>'[apc-三合一.xlsx]daly-period'!$Q$3:$Q$8</c:f>
                <c:numCache>
                  <c:formatCode>General</c:formatCode>
                  <c:ptCount val="6"/>
                  <c:pt idx="0">
                    <c:v>0.00509999999999988</c:v>
                  </c:pt>
                  <c:pt idx="1">
                    <c:v>0.00480000000000014</c:v>
                  </c:pt>
                  <c:pt idx="2">
                    <c:v>0</c:v>
                  </c:pt>
                  <c:pt idx="3">
                    <c:v>0.00429999999999997</c:v>
                  </c:pt>
                  <c:pt idx="4">
                    <c:v>0.00420000000000009</c:v>
                  </c:pt>
                  <c:pt idx="5">
                    <c:v>0.00409999999999999</c:v>
                  </c:pt>
                </c:numCache>
              </c:numRef>
            </c:minus>
            <c:spPr>
              <a:noFill/>
              <a:ln w="12700" cap="flat" cmpd="sng" algn="ctr">
                <a:solidFill>
                  <a:schemeClr val="accent6"/>
                </a:solidFill>
                <a:prstDash val="sysDot"/>
                <a:round/>
              </a:ln>
              <a:effectLst/>
            </c:spPr>
          </c:errBars>
          <c:cat>
            <c:numRef>
              <c:f>'[apc-三合一.xlsx]period'!$G$3:$G$8</c:f>
              <c:numCache>
                <c:formatCode>General</c:formatCode>
                <c:ptCount val="6"/>
                <c:pt idx="0">
                  <c:v>1995</c:v>
                </c:pt>
                <c:pt idx="1">
                  <c:v>2000</c:v>
                </c:pt>
                <c:pt idx="2">
                  <c:v>2005</c:v>
                </c:pt>
                <c:pt idx="3">
                  <c:v>2010</c:v>
                </c:pt>
                <c:pt idx="4">
                  <c:v>2015</c:v>
                </c:pt>
                <c:pt idx="5">
                  <c:v>2020</c:v>
                </c:pt>
              </c:numCache>
            </c:numRef>
          </c:cat>
          <c:val>
            <c:numRef>
              <c:f>'[apc-三合一.xlsx]daly-period'!$M$3:$M$8</c:f>
              <c:numCache>
                <c:formatCode>General</c:formatCode>
                <c:ptCount val="6"/>
                <c:pt idx="0">
                  <c:v>1.0594</c:v>
                </c:pt>
                <c:pt idx="1">
                  <c:v>1.0193</c:v>
                </c:pt>
                <c:pt idx="2">
                  <c:v>1</c:v>
                </c:pt>
                <c:pt idx="3">
                  <c:v>0.975</c:v>
                </c:pt>
                <c:pt idx="4">
                  <c:v>0.9582</c:v>
                </c:pt>
                <c:pt idx="5">
                  <c:v>0.9544</c:v>
                </c:pt>
              </c:numCache>
            </c:numRef>
          </c:val>
          <c:smooth val="0"/>
        </c:ser>
        <c:dLbls>
          <c:showLegendKey val="0"/>
          <c:showVal val="0"/>
          <c:showCatName val="0"/>
          <c:showSerName val="0"/>
          <c:showPercent val="0"/>
          <c:showBubbleSize val="0"/>
        </c:dLbls>
        <c:marker val="1"/>
        <c:smooth val="0"/>
        <c:axId val="207423979"/>
        <c:axId val="590840182"/>
      </c:lineChart>
      <c:catAx>
        <c:axId val="207423979"/>
        <c:scaling>
          <c:orientation val="minMax"/>
        </c:scaling>
        <c:delete val="0"/>
        <c:axPos val="b"/>
        <c:title>
          <c:tx>
            <c:rich>
              <a:bodyPr rot="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r>
                  <a:rPr lang="en-US" altLang="zh-CN" sz="900">
                    <a:latin typeface="Times New Roman" panose="02020603050405020304" charset="0"/>
                    <a:ea typeface="Times New Roman" panose="02020603050405020304" charset="0"/>
                    <a:cs typeface="Times New Roman" panose="02020603050405020304" charset="0"/>
                    <a:sym typeface="Times New Roman" panose="02020603050405020304" charset="0"/>
                  </a:rPr>
                  <a:t>Period</a:t>
                </a:r>
                <a:endParaRPr lang="en-US" altLang="zh-CN" sz="900">
                  <a:latin typeface="Times New Roman" panose="02020603050405020304" charset="0"/>
                  <a:ea typeface="Times New Roman" panose="02020603050405020304" charset="0"/>
                  <a:cs typeface="Times New Roman" panose="02020603050405020304" charset="0"/>
                  <a:sym typeface="Times New Roman" panose="02020603050405020304" charset="0"/>
                </a:endParaRPr>
              </a:p>
            </c:rich>
          </c:tx>
          <c:layout/>
          <c:overlay val="0"/>
          <c:spPr>
            <a:noFill/>
            <a:ln>
              <a:noFill/>
            </a:ln>
            <a:effectLst/>
          </c:spPr>
        </c:title>
        <c:majorTickMark val="none"/>
        <c:minorTickMark val="in"/>
        <c:tickLblPos val="nextTo"/>
        <c:spPr>
          <a:noFill/>
          <a:ln w="9525" cap="flat" cmpd="sng" algn="ctr">
            <a:solidFill>
              <a:schemeClr val="tx1">
                <a:lumMod val="50000"/>
                <a:lumOff val="50000"/>
              </a:schemeClr>
            </a:solidFill>
            <a:round/>
          </a:ln>
          <a:effectLst/>
        </c:spPr>
        <c:txPr>
          <a:bodyPr rot="0" spcFirstLastPara="0" vertOverflow="ellipsis" vert="horz" wrap="square" anchor="ctr" anchorCtr="0"/>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crossAx val="590840182"/>
        <c:crossesAt val="-0.7"/>
        <c:auto val="1"/>
        <c:lblAlgn val="ctr"/>
        <c:lblOffset val="10"/>
        <c:tickLblSkip val="1"/>
        <c:noMultiLvlLbl val="0"/>
      </c:catAx>
      <c:valAx>
        <c:axId val="590840182"/>
        <c:scaling>
          <c:orientation val="minMax"/>
          <c:max val="1.1"/>
          <c:min val="0.9"/>
        </c:scaling>
        <c:delete val="0"/>
        <c:axPos val="l"/>
        <c:title>
          <c:tx>
            <c:rich>
              <a:bodyPr rot="-5400000" spcFirstLastPara="0" vertOverflow="ellipsis" vert="horz" wrap="square" anchor="ctr" anchorCtr="1"/>
              <a:lstStyle/>
              <a:p>
                <a:pPr defTabSz="914400">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r>
                  <a:rPr lang="en-US" altLang="zh-CN" sz="900">
                    <a:latin typeface="Times New Roman" panose="02020603050405020304" charset="0"/>
                    <a:ea typeface="Times New Roman" panose="02020603050405020304" charset="0"/>
                    <a:cs typeface="Times New Roman" panose="02020603050405020304" charset="0"/>
                    <a:sym typeface="Times New Roman" panose="02020603050405020304" charset="0"/>
                  </a:rPr>
                  <a:t>DALY rate ratio</a:t>
                </a:r>
                <a:endParaRPr lang="en-US" altLang="zh-CN" sz="900">
                  <a:latin typeface="Times New Roman" panose="02020603050405020304" charset="0"/>
                  <a:ea typeface="Times New Roman" panose="02020603050405020304" charset="0"/>
                  <a:cs typeface="Times New Roman" panose="02020603050405020304" charset="0"/>
                  <a:sym typeface="Times New Roman" panose="02020603050405020304" charset="0"/>
                </a:endParaRPr>
              </a:p>
            </c:rich>
          </c:tx>
          <c:layout>
            <c:manualLayout>
              <c:xMode val="edge"/>
              <c:yMode val="edge"/>
              <c:x val="0.00657894736842105"/>
              <c:y val="0.313997395833333"/>
            </c:manualLayout>
          </c:layout>
          <c:overlay val="0"/>
          <c:spPr>
            <a:noFill/>
            <a:ln>
              <a:noFill/>
            </a:ln>
            <a:effectLst/>
          </c:spPr>
        </c:title>
        <c:numFmt formatCode="#,##0.00_);[Red]\(#,##0.00\)" sourceLinked="0"/>
        <c:majorTickMark val="out"/>
        <c:minorTickMark val="none"/>
        <c:tickLblPos val="low"/>
        <c:spPr>
          <a:noFill/>
          <a:ln>
            <a:solidFill>
              <a:schemeClr val="tx1">
                <a:lumMod val="50000"/>
                <a:lumOff val="50000"/>
              </a:schemeClr>
            </a:solid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crossAx val="207423979"/>
        <c:crosses val="autoZero"/>
        <c:crossBetween val="between"/>
        <c:majorUnit val="0.05"/>
      </c:valAx>
      <c:spPr>
        <a:noFill/>
        <a:ln>
          <a:noFill/>
        </a:ln>
        <a:effectLst/>
      </c:spPr>
    </c:plotArea>
    <c:legend>
      <c:legendPos val="t"/>
      <c:legendEntry>
        <c:idx val="0"/>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egendEntry>
        <c:idx val="1"/>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egendEntry>
        <c:idx val="2"/>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
    <c:plotVisOnly val="1"/>
    <c:dispBlanksAs val="gap"/>
    <c:showDLblsOverMax val="0"/>
    <c:extLst>
      <c:ext uri="{0b15fc19-7d7d-44ad-8c2d-2c3a37ce22c3}">
        <chartProps xmlns="https://web.wps.cn/et/2018/main" chartId="{6f500484-3c66-40f8-9270-d547182f4d4a}"/>
      </c:ext>
    </c:extLst>
  </c:chart>
  <c:spPr>
    <a:solidFill>
      <a:schemeClr val="bg1"/>
    </a:solidFill>
    <a:ln w="9525" cap="flat" cmpd="sng" algn="ctr">
      <a:noFill/>
      <a:round/>
    </a:ln>
    <a:effectLst/>
  </c:spPr>
  <c:txPr>
    <a:bodyPr/>
    <a:lstStyle/>
    <a:p>
      <a:pPr>
        <a:defRPr lang="zh-CN">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3792039493983"/>
          <c:y val="0.0648626316876678"/>
          <c:w val="0.85998148719531"/>
          <c:h val="0.710204503201818"/>
        </c:manualLayout>
      </c:layout>
      <c:lineChart>
        <c:grouping val="standard"/>
        <c:varyColors val="0"/>
        <c:ser>
          <c:idx val="0"/>
          <c:order val="0"/>
          <c:tx>
            <c:strRef>
              <c:f>"Both"</c:f>
              <c:strCache>
                <c:ptCount val="1"/>
                <c:pt idx="0">
                  <c:v>Both</c:v>
                </c:pt>
              </c:strCache>
            </c:strRef>
          </c:tx>
          <c:spPr>
            <a:ln w="19050" cap="rnd">
              <a:solidFill>
                <a:schemeClr val="tx1">
                  <a:lumMod val="50000"/>
                  <a:lumOff val="50000"/>
                </a:schemeClr>
              </a:solidFill>
              <a:round/>
            </a:ln>
            <a:effectLst/>
            <a:sp3d contourW="19050"/>
          </c:spPr>
          <c:marker>
            <c:symbol val="triangle"/>
            <c:size val="4"/>
            <c:spPr>
              <a:solidFill>
                <a:schemeClr val="tx1">
                  <a:lumMod val="50000"/>
                  <a:lumOff val="50000"/>
                </a:schemeClr>
              </a:solidFill>
              <a:ln w="15875">
                <a:solidFill>
                  <a:schemeClr val="tx1">
                    <a:lumMod val="50000"/>
                    <a:lumOff val="50000"/>
                  </a:schemeClr>
                </a:solidFill>
              </a:ln>
              <a:effectLst/>
            </c:spPr>
          </c:marker>
          <c:dLbls>
            <c:delete val="1"/>
          </c:dLbls>
          <c:errBars>
            <c:errDir val="y"/>
            <c:errBarType val="both"/>
            <c:errValType val="cust"/>
            <c:noEndCap val="0"/>
            <c:plus>
              <c:numRef>
                <c:f>'[apc-三合一.xlsx]daly-cohort'!$E$3:$E$18</c:f>
                <c:numCache>
                  <c:formatCode>General</c:formatCode>
                  <c:ptCount val="16"/>
                  <c:pt idx="0">
                    <c:v>0.0338999999999998</c:v>
                  </c:pt>
                  <c:pt idx="1">
                    <c:v>0.0195000000000001</c:v>
                  </c:pt>
                  <c:pt idx="2">
                    <c:v>0.0136000000000001</c:v>
                  </c:pt>
                  <c:pt idx="3">
                    <c:v>0.0104</c:v>
                  </c:pt>
                  <c:pt idx="4">
                    <c:v>0.00859999999999994</c:v>
                  </c:pt>
                  <c:pt idx="5">
                    <c:v>0.00750000000000006</c:v>
                  </c:pt>
                  <c:pt idx="6">
                    <c:v>0.00689999999999991</c:v>
                  </c:pt>
                  <c:pt idx="7">
                    <c:v>0</c:v>
                  </c:pt>
                  <c:pt idx="8">
                    <c:v>0.00590000000000002</c:v>
                  </c:pt>
                  <c:pt idx="9">
                    <c:v>0.00600000000000001</c:v>
                  </c:pt>
                  <c:pt idx="10">
                    <c:v>0.00619999999999998</c:v>
                  </c:pt>
                  <c:pt idx="11">
                    <c:v>0.00639999999999996</c:v>
                  </c:pt>
                  <c:pt idx="12">
                    <c:v>0.00710000000000011</c:v>
                  </c:pt>
                  <c:pt idx="13">
                    <c:v>0.00839999999999996</c:v>
                  </c:pt>
                  <c:pt idx="14">
                    <c:v>0.0101</c:v>
                  </c:pt>
                  <c:pt idx="15">
                    <c:v>0.0136999999999999</c:v>
                  </c:pt>
                </c:numCache>
              </c:numRef>
            </c:plus>
            <c:minus>
              <c:numRef>
                <c:f>'[apc-三合一.xlsx]daly-cohort'!$F$3:$F$18</c:f>
                <c:numCache>
                  <c:formatCode>General</c:formatCode>
                  <c:ptCount val="16"/>
                  <c:pt idx="0">
                    <c:v>0.0328000000000002</c:v>
                  </c:pt>
                  <c:pt idx="1">
                    <c:v>0.0190999999999999</c:v>
                  </c:pt>
                  <c:pt idx="2">
                    <c:v>0.0133999999999999</c:v>
                  </c:pt>
                  <c:pt idx="3">
                    <c:v>0.0103</c:v>
                  </c:pt>
                  <c:pt idx="4">
                    <c:v>0.00850000000000017</c:v>
                  </c:pt>
                  <c:pt idx="5">
                    <c:v>0.00740000000000007</c:v>
                  </c:pt>
                  <c:pt idx="6">
                    <c:v>0.00680000000000014</c:v>
                  </c:pt>
                  <c:pt idx="7">
                    <c:v>0</c:v>
                  </c:pt>
                  <c:pt idx="8">
                    <c:v>0.00580000000000003</c:v>
                  </c:pt>
                  <c:pt idx="9">
                    <c:v>0.00609999999999999</c:v>
                  </c:pt>
                  <c:pt idx="10">
                    <c:v>0.00619999999999998</c:v>
                  </c:pt>
                  <c:pt idx="11">
                    <c:v>0.00630000000000008</c:v>
                  </c:pt>
                  <c:pt idx="12">
                    <c:v>0.0069999999999999</c:v>
                  </c:pt>
                  <c:pt idx="13">
                    <c:v>0.00829999999999997</c:v>
                  </c:pt>
                  <c:pt idx="14">
                    <c:v>0.01</c:v>
                  </c:pt>
                  <c:pt idx="15">
                    <c:v>0.0135000000000001</c:v>
                  </c:pt>
                </c:numCache>
              </c:numRef>
            </c:minus>
            <c:spPr>
              <a:noFill/>
              <a:ln w="12700" cap="flat" cmpd="sng" algn="ctr">
                <a:solidFill>
                  <a:schemeClr val="tx1">
                    <a:lumMod val="50000"/>
                    <a:lumOff val="50000"/>
                  </a:schemeClr>
                </a:solidFill>
                <a:prstDash val="sysDot"/>
                <a:round/>
              </a:ln>
              <a:effectLst/>
            </c:spPr>
          </c:errBars>
          <c:cat>
            <c:strRef>
              <c:f>'[apc-三合一.xlsx]cohort'!$G$3:$G$18</c:f>
              <c:strCache>
                <c:ptCount val="16"/>
                <c:pt idx="0">
                  <c:v>1912-1916</c:v>
                </c:pt>
                <c:pt idx="1">
                  <c:v>1917-1921</c:v>
                </c:pt>
                <c:pt idx="2">
                  <c:v>1922-1926</c:v>
                </c:pt>
                <c:pt idx="3">
                  <c:v>1927-1931</c:v>
                </c:pt>
                <c:pt idx="4">
                  <c:v>1932-1936</c:v>
                </c:pt>
                <c:pt idx="5">
                  <c:v>1937-1941</c:v>
                </c:pt>
                <c:pt idx="6">
                  <c:v>1942-1946</c:v>
                </c:pt>
                <c:pt idx="7">
                  <c:v>1947-1951</c:v>
                </c:pt>
                <c:pt idx="8">
                  <c:v>1952-1956</c:v>
                </c:pt>
                <c:pt idx="9">
                  <c:v>1957-1961</c:v>
                </c:pt>
                <c:pt idx="10">
                  <c:v>1962-1966</c:v>
                </c:pt>
                <c:pt idx="11">
                  <c:v>1967-1971</c:v>
                </c:pt>
                <c:pt idx="12">
                  <c:v>1972-1976</c:v>
                </c:pt>
                <c:pt idx="13">
                  <c:v>1977-1981</c:v>
                </c:pt>
                <c:pt idx="14">
                  <c:v>1982-1986</c:v>
                </c:pt>
                <c:pt idx="15">
                  <c:v>1987-1991</c:v>
                </c:pt>
              </c:strCache>
            </c:strRef>
          </c:cat>
          <c:val>
            <c:numRef>
              <c:f>'[apc-三合一.xlsx]daly-cohort'!$B$3:$B$18</c:f>
              <c:numCache>
                <c:formatCode>General</c:formatCode>
                <c:ptCount val="16"/>
                <c:pt idx="0">
                  <c:v>1.1603</c:v>
                </c:pt>
                <c:pt idx="1">
                  <c:v>1.1452</c:v>
                </c:pt>
                <c:pt idx="2">
                  <c:v>1.1156</c:v>
                </c:pt>
                <c:pt idx="3">
                  <c:v>1.0887</c:v>
                </c:pt>
                <c:pt idx="4">
                  <c:v>1.0637</c:v>
                </c:pt>
                <c:pt idx="5">
                  <c:v>1.044</c:v>
                </c:pt>
                <c:pt idx="6">
                  <c:v>1.0235</c:v>
                </c:pt>
                <c:pt idx="7">
                  <c:v>1</c:v>
                </c:pt>
                <c:pt idx="8">
                  <c:v>0.981</c:v>
                </c:pt>
                <c:pt idx="9">
                  <c:v>0.9586</c:v>
                </c:pt>
                <c:pt idx="10">
                  <c:v>0.9395</c:v>
                </c:pt>
                <c:pt idx="11">
                  <c:v>0.921</c:v>
                </c:pt>
                <c:pt idx="12">
                  <c:v>0.9007</c:v>
                </c:pt>
                <c:pt idx="13">
                  <c:v>0.8728</c:v>
                </c:pt>
                <c:pt idx="14">
                  <c:v>0.8447</c:v>
                </c:pt>
                <c:pt idx="15">
                  <c:v>0.8587</c:v>
                </c:pt>
              </c:numCache>
            </c:numRef>
          </c:val>
          <c:smooth val="0"/>
        </c:ser>
        <c:ser>
          <c:idx val="1"/>
          <c:order val="1"/>
          <c:tx>
            <c:strRef>
              <c:f>'[apc-三合一.xlsx]pre-cohort'!$H$1</c:f>
              <c:strCache>
                <c:ptCount val="1"/>
                <c:pt idx="0">
                  <c:v>Male</c:v>
                </c:pt>
              </c:strCache>
            </c:strRef>
          </c:tx>
          <c:spPr>
            <a:ln w="19050" cap="rnd" cmpd="sng">
              <a:solidFill>
                <a:schemeClr val="accent1"/>
              </a:solidFill>
              <a:prstDash val="solid"/>
              <a:round/>
            </a:ln>
            <a:effectLst/>
            <a:sp3d contourW="19050"/>
          </c:spPr>
          <c:marker>
            <c:symbol val="circle"/>
            <c:size val="4"/>
            <c:spPr>
              <a:solidFill>
                <a:schemeClr val="accent1"/>
              </a:solidFill>
              <a:ln w="9525">
                <a:solidFill>
                  <a:schemeClr val="accent1"/>
                </a:solidFill>
              </a:ln>
              <a:effectLst/>
            </c:spPr>
          </c:marker>
          <c:dLbls>
            <c:delete val="1"/>
          </c:dLbls>
          <c:errBars>
            <c:errDir val="y"/>
            <c:errBarType val="both"/>
            <c:errValType val="cust"/>
            <c:noEndCap val="0"/>
            <c:plus>
              <c:numRef>
                <c:f>'[apc-三合一.xlsx]daly-cohort'!$K$3:$K$18</c:f>
                <c:numCache>
                  <c:formatCode>General</c:formatCode>
                  <c:ptCount val="16"/>
                  <c:pt idx="0">
                    <c:v>0.0750999999999999</c:v>
                  </c:pt>
                  <c:pt idx="1">
                    <c:v>0.0413999999999999</c:v>
                  </c:pt>
                  <c:pt idx="2">
                    <c:v>0.0281</c:v>
                  </c:pt>
                  <c:pt idx="3">
                    <c:v>0.0209999999999999</c:v>
                  </c:pt>
                  <c:pt idx="4">
                    <c:v>0.0168999999999999</c:v>
                  </c:pt>
                  <c:pt idx="5">
                    <c:v>0.0147000000000002</c:v>
                  </c:pt>
                  <c:pt idx="6">
                    <c:v>0.0131000000000001</c:v>
                  </c:pt>
                  <c:pt idx="7">
                    <c:v>0</c:v>
                  </c:pt>
                  <c:pt idx="8">
                    <c:v>0.0109</c:v>
                  </c:pt>
                  <c:pt idx="9">
                    <c:v>0.0111</c:v>
                  </c:pt>
                  <c:pt idx="10">
                    <c:v>0.0113</c:v>
                  </c:pt>
                  <c:pt idx="11">
                    <c:v>0.0115</c:v>
                  </c:pt>
                  <c:pt idx="12">
                    <c:v>0.0124000000000001</c:v>
                  </c:pt>
                  <c:pt idx="13">
                    <c:v>0.0145</c:v>
                  </c:pt>
                  <c:pt idx="14">
                    <c:v>0.0175</c:v>
                  </c:pt>
                  <c:pt idx="15">
                    <c:v>0.0236</c:v>
                  </c:pt>
                </c:numCache>
              </c:numRef>
            </c:plus>
            <c:minus>
              <c:numRef>
                <c:f>'[apc-三合一.xlsx]daly-cohort'!$L$3:$L$18</c:f>
                <c:numCache>
                  <c:formatCode>General</c:formatCode>
                  <c:ptCount val="16"/>
                  <c:pt idx="0">
                    <c:v>0.0706</c:v>
                  </c:pt>
                  <c:pt idx="1">
                    <c:v>0.04</c:v>
                  </c:pt>
                  <c:pt idx="2">
                    <c:v>0.0274000000000001</c:v>
                  </c:pt>
                  <c:pt idx="3">
                    <c:v>0.0206</c:v>
                  </c:pt>
                  <c:pt idx="4">
                    <c:v>0.0166000000000002</c:v>
                  </c:pt>
                  <c:pt idx="5">
                    <c:v>0.0144</c:v>
                  </c:pt>
                  <c:pt idx="6">
                    <c:v>0.0130999999999999</c:v>
                  </c:pt>
                  <c:pt idx="7">
                    <c:v>0</c:v>
                  </c:pt>
                  <c:pt idx="8">
                    <c:v>0.0107</c:v>
                  </c:pt>
                  <c:pt idx="9">
                    <c:v>0.011</c:v>
                  </c:pt>
                  <c:pt idx="10">
                    <c:v>0.0111</c:v>
                  </c:pt>
                  <c:pt idx="11">
                    <c:v>0.0113000000000001</c:v>
                  </c:pt>
                  <c:pt idx="12">
                    <c:v>0.0122</c:v>
                  </c:pt>
                  <c:pt idx="13">
                    <c:v>0.0143</c:v>
                  </c:pt>
                  <c:pt idx="14">
                    <c:v>0.017</c:v>
                  </c:pt>
                  <c:pt idx="15">
                    <c:v>0.023</c:v>
                  </c:pt>
                </c:numCache>
              </c:numRef>
            </c:minus>
            <c:spPr>
              <a:noFill/>
              <a:ln w="12700" cap="flat" cmpd="sng" algn="ctr">
                <a:solidFill>
                  <a:schemeClr val="accent1"/>
                </a:solidFill>
                <a:prstDash val="sysDot"/>
                <a:round/>
                <a:headEnd type="none"/>
              </a:ln>
              <a:effectLst/>
            </c:spPr>
          </c:errBars>
          <c:cat>
            <c:strRef>
              <c:f>'[apc-三合一.xlsx]cohort'!$G$3:$G$18</c:f>
              <c:strCache>
                <c:ptCount val="16"/>
                <c:pt idx="0">
                  <c:v>1912-1916</c:v>
                </c:pt>
                <c:pt idx="1">
                  <c:v>1917-1921</c:v>
                </c:pt>
                <c:pt idx="2">
                  <c:v>1922-1926</c:v>
                </c:pt>
                <c:pt idx="3">
                  <c:v>1927-1931</c:v>
                </c:pt>
                <c:pt idx="4">
                  <c:v>1932-1936</c:v>
                </c:pt>
                <c:pt idx="5">
                  <c:v>1937-1941</c:v>
                </c:pt>
                <c:pt idx="6">
                  <c:v>1942-1946</c:v>
                </c:pt>
                <c:pt idx="7">
                  <c:v>1947-1951</c:v>
                </c:pt>
                <c:pt idx="8">
                  <c:v>1952-1956</c:v>
                </c:pt>
                <c:pt idx="9">
                  <c:v>1957-1961</c:v>
                </c:pt>
                <c:pt idx="10">
                  <c:v>1962-1966</c:v>
                </c:pt>
                <c:pt idx="11">
                  <c:v>1967-1971</c:v>
                </c:pt>
                <c:pt idx="12">
                  <c:v>1972-1976</c:v>
                </c:pt>
                <c:pt idx="13">
                  <c:v>1977-1981</c:v>
                </c:pt>
                <c:pt idx="14">
                  <c:v>1982-1986</c:v>
                </c:pt>
                <c:pt idx="15">
                  <c:v>1987-1991</c:v>
                </c:pt>
              </c:strCache>
            </c:strRef>
          </c:cat>
          <c:val>
            <c:numRef>
              <c:f>'[apc-三合一.xlsx]daly-cohort'!$H$3:$H$18</c:f>
              <c:numCache>
                <c:formatCode>General</c:formatCode>
                <c:ptCount val="16"/>
                <c:pt idx="0">
                  <c:v>1.1851</c:v>
                </c:pt>
                <c:pt idx="1">
                  <c:v>1.1708</c:v>
                </c:pt>
                <c:pt idx="2">
                  <c:v>1.1452</c:v>
                </c:pt>
                <c:pt idx="3">
                  <c:v>1.1185</c:v>
                </c:pt>
                <c:pt idx="4">
                  <c:v>1.0901</c:v>
                </c:pt>
                <c:pt idx="5">
                  <c:v>1.0674</c:v>
                </c:pt>
                <c:pt idx="6">
                  <c:v>1.037</c:v>
                </c:pt>
                <c:pt idx="7">
                  <c:v>1</c:v>
                </c:pt>
                <c:pt idx="8">
                  <c:v>0.9727</c:v>
                </c:pt>
                <c:pt idx="9">
                  <c:v>0.954</c:v>
                </c:pt>
                <c:pt idx="10">
                  <c:v>0.9364</c:v>
                </c:pt>
                <c:pt idx="11">
                  <c:v>0.919</c:v>
                </c:pt>
                <c:pt idx="12">
                  <c:v>0.9037</c:v>
                </c:pt>
                <c:pt idx="13">
                  <c:v>0.8788</c:v>
                </c:pt>
                <c:pt idx="14">
                  <c:v>0.8458</c:v>
                </c:pt>
                <c:pt idx="15">
                  <c:v>0.8537</c:v>
                </c:pt>
              </c:numCache>
            </c:numRef>
          </c:val>
          <c:smooth val="0"/>
        </c:ser>
        <c:ser>
          <c:idx val="2"/>
          <c:order val="2"/>
          <c:tx>
            <c:strRef>
              <c:f>'[apc-三合一.xlsx]pre-cohort'!$M$1</c:f>
              <c:strCache>
                <c:ptCount val="1"/>
                <c:pt idx="0">
                  <c:v>Female</c:v>
                </c:pt>
              </c:strCache>
            </c:strRef>
          </c:tx>
          <c:spPr>
            <a:ln w="19050" cap="rnd">
              <a:solidFill>
                <a:schemeClr val="accent6"/>
              </a:solidFill>
              <a:round/>
            </a:ln>
            <a:effectLst/>
            <a:sp3d contourW="19050"/>
          </c:spPr>
          <c:marker>
            <c:symbol val="square"/>
            <c:size val="4"/>
            <c:spPr>
              <a:solidFill>
                <a:schemeClr val="accent6"/>
              </a:solidFill>
              <a:ln w="9525">
                <a:solidFill>
                  <a:schemeClr val="accent6"/>
                </a:solidFill>
              </a:ln>
              <a:effectLst/>
            </c:spPr>
          </c:marker>
          <c:dLbls>
            <c:delete val="1"/>
          </c:dLbls>
          <c:errBars>
            <c:errDir val="y"/>
            <c:errBarType val="both"/>
            <c:errValType val="cust"/>
            <c:noEndCap val="0"/>
            <c:plus>
              <c:numRef>
                <c:f>'[apc-三合一.xlsx]daly-cohort'!$P$3:$P$18</c:f>
                <c:numCache>
                  <c:formatCode>General</c:formatCode>
                  <c:ptCount val="16"/>
                  <c:pt idx="0">
                    <c:v>0.0267999999999999</c:v>
                  </c:pt>
                  <c:pt idx="1">
                    <c:v>0.0157</c:v>
                  </c:pt>
                  <c:pt idx="2">
                    <c:v>0.0111000000000001</c:v>
                  </c:pt>
                  <c:pt idx="3">
                    <c:v>0.00880000000000014</c:v>
                  </c:pt>
                  <c:pt idx="4">
                    <c:v>0.00730000000000008</c:v>
                  </c:pt>
                  <c:pt idx="5">
                    <c:v>0.00649999999999995</c:v>
                  </c:pt>
                  <c:pt idx="6">
                    <c:v>0.00600000000000001</c:v>
                  </c:pt>
                  <c:pt idx="7">
                    <c:v>0</c:v>
                  </c:pt>
                  <c:pt idx="8">
                    <c:v>0.00519999999999998</c:v>
                  </c:pt>
                  <c:pt idx="9">
                    <c:v>0.00539999999999996</c:v>
                  </c:pt>
                  <c:pt idx="10">
                    <c:v>0.00549999999999995</c:v>
                  </c:pt>
                  <c:pt idx="11">
                    <c:v>0.00580000000000003</c:v>
                  </c:pt>
                  <c:pt idx="12">
                    <c:v>0.00649999999999995</c:v>
                  </c:pt>
                  <c:pt idx="13">
                    <c:v>0.00769999999999993</c:v>
                  </c:pt>
                  <c:pt idx="14">
                    <c:v>0.00939999999999996</c:v>
                  </c:pt>
                  <c:pt idx="15">
                    <c:v>0.0126999999999999</c:v>
                  </c:pt>
                </c:numCache>
              </c:numRef>
            </c:plus>
            <c:minus>
              <c:numRef>
                <c:f>'[apc-三合一.xlsx]daly-cohort'!$Q$3:$Q$18</c:f>
                <c:numCache>
                  <c:formatCode>General</c:formatCode>
                  <c:ptCount val="16"/>
                  <c:pt idx="0">
                    <c:v>0.0261</c:v>
                  </c:pt>
                  <c:pt idx="1">
                    <c:v>0.0155000000000001</c:v>
                  </c:pt>
                  <c:pt idx="2">
                    <c:v>0.0110999999999999</c:v>
                  </c:pt>
                  <c:pt idx="3">
                    <c:v>0.00859999999999994</c:v>
                  </c:pt>
                  <c:pt idx="4">
                    <c:v>0.00729999999999986</c:v>
                  </c:pt>
                  <c:pt idx="5">
                    <c:v>0.00640000000000018</c:v>
                  </c:pt>
                  <c:pt idx="6">
                    <c:v>0.00590000000000002</c:v>
                  </c:pt>
                  <c:pt idx="7">
                    <c:v>0</c:v>
                  </c:pt>
                  <c:pt idx="8">
                    <c:v>0.00519999999999998</c:v>
                  </c:pt>
                  <c:pt idx="9">
                    <c:v>0.00540000000000007</c:v>
                  </c:pt>
                  <c:pt idx="10">
                    <c:v>0.00550000000000006</c:v>
                  </c:pt>
                  <c:pt idx="11">
                    <c:v>0.00570000000000004</c:v>
                  </c:pt>
                  <c:pt idx="12">
                    <c:v>0.00640000000000007</c:v>
                  </c:pt>
                  <c:pt idx="13">
                    <c:v>0.00770000000000004</c:v>
                  </c:pt>
                  <c:pt idx="14">
                    <c:v>0.00929999999999997</c:v>
                  </c:pt>
                  <c:pt idx="15">
                    <c:v>0.0126000000000001</c:v>
                  </c:pt>
                </c:numCache>
              </c:numRef>
            </c:minus>
            <c:spPr>
              <a:noFill/>
              <a:ln w="12700" cap="flat" cmpd="sng" algn="ctr">
                <a:solidFill>
                  <a:schemeClr val="accent6"/>
                </a:solidFill>
                <a:prstDash val="sysDot"/>
                <a:round/>
              </a:ln>
              <a:effectLst/>
            </c:spPr>
          </c:errBars>
          <c:cat>
            <c:strRef>
              <c:f>'[apc-三合一.xlsx]cohort'!$G$3:$G$18</c:f>
              <c:strCache>
                <c:ptCount val="16"/>
                <c:pt idx="0">
                  <c:v>1912-1916</c:v>
                </c:pt>
                <c:pt idx="1">
                  <c:v>1917-1921</c:v>
                </c:pt>
                <c:pt idx="2">
                  <c:v>1922-1926</c:v>
                </c:pt>
                <c:pt idx="3">
                  <c:v>1927-1931</c:v>
                </c:pt>
                <c:pt idx="4">
                  <c:v>1932-1936</c:v>
                </c:pt>
                <c:pt idx="5">
                  <c:v>1937-1941</c:v>
                </c:pt>
                <c:pt idx="6">
                  <c:v>1942-1946</c:v>
                </c:pt>
                <c:pt idx="7">
                  <c:v>1947-1951</c:v>
                </c:pt>
                <c:pt idx="8">
                  <c:v>1952-1956</c:v>
                </c:pt>
                <c:pt idx="9">
                  <c:v>1957-1961</c:v>
                </c:pt>
                <c:pt idx="10">
                  <c:v>1962-1966</c:v>
                </c:pt>
                <c:pt idx="11">
                  <c:v>1967-1971</c:v>
                </c:pt>
                <c:pt idx="12">
                  <c:v>1972-1976</c:v>
                </c:pt>
                <c:pt idx="13">
                  <c:v>1977-1981</c:v>
                </c:pt>
                <c:pt idx="14">
                  <c:v>1982-1986</c:v>
                </c:pt>
                <c:pt idx="15">
                  <c:v>1987-1991</c:v>
                </c:pt>
              </c:strCache>
            </c:strRef>
          </c:cat>
          <c:val>
            <c:numRef>
              <c:f>'[apc-三合一.xlsx]daly-cohort'!$M$3:$M$18</c:f>
              <c:numCache>
                <c:formatCode>General</c:formatCode>
                <c:ptCount val="16"/>
                <c:pt idx="0">
                  <c:v>1.1225</c:v>
                </c:pt>
                <c:pt idx="1">
                  <c:v>1.1105</c:v>
                </c:pt>
                <c:pt idx="2">
                  <c:v>1.0873</c:v>
                </c:pt>
                <c:pt idx="3">
                  <c:v>1.0709</c:v>
                </c:pt>
                <c:pt idx="4">
                  <c:v>1.055</c:v>
                </c:pt>
                <c:pt idx="5">
                  <c:v>1.0396</c:v>
                </c:pt>
                <c:pt idx="6">
                  <c:v>1.022</c:v>
                </c:pt>
                <c:pt idx="7">
                  <c:v>1</c:v>
                </c:pt>
                <c:pt idx="8">
                  <c:v>0.98</c:v>
                </c:pt>
                <c:pt idx="9">
                  <c:v>0.9553</c:v>
                </c:pt>
                <c:pt idx="10">
                  <c:v>0.9322</c:v>
                </c:pt>
                <c:pt idx="11">
                  <c:v>0.9121</c:v>
                </c:pt>
                <c:pt idx="12">
                  <c:v>0.8887</c:v>
                </c:pt>
                <c:pt idx="13">
                  <c:v>0.8585</c:v>
                </c:pt>
                <c:pt idx="14">
                  <c:v>0.8356</c:v>
                </c:pt>
                <c:pt idx="15">
                  <c:v>0.8555</c:v>
                </c:pt>
              </c:numCache>
            </c:numRef>
          </c:val>
          <c:smooth val="0"/>
        </c:ser>
        <c:dLbls>
          <c:showLegendKey val="0"/>
          <c:showVal val="0"/>
          <c:showCatName val="0"/>
          <c:showSerName val="0"/>
          <c:showPercent val="0"/>
          <c:showBubbleSize val="0"/>
        </c:dLbls>
        <c:marker val="1"/>
        <c:smooth val="0"/>
        <c:axId val="207423979"/>
        <c:axId val="590840182"/>
      </c:lineChart>
      <c:catAx>
        <c:axId val="207423979"/>
        <c:scaling>
          <c:orientation val="minMax"/>
        </c:scaling>
        <c:delete val="0"/>
        <c:axPos val="b"/>
        <c:title>
          <c:tx>
            <c:rich>
              <a:bodyPr rot="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r>
                  <a:rPr lang="en-US" altLang="zh-CN" sz="900">
                    <a:latin typeface="Times New Roman" panose="02020603050405020304" charset="0"/>
                    <a:ea typeface="Times New Roman" panose="02020603050405020304" charset="0"/>
                    <a:cs typeface="Times New Roman" panose="02020603050405020304" charset="0"/>
                    <a:sym typeface="Times New Roman" panose="02020603050405020304" charset="0"/>
                  </a:rPr>
                  <a:t>Cohort</a:t>
                </a:r>
                <a:endParaRPr lang="en-US" altLang="zh-CN" sz="900">
                  <a:latin typeface="Times New Roman" panose="02020603050405020304" charset="0"/>
                  <a:ea typeface="Times New Roman" panose="02020603050405020304" charset="0"/>
                  <a:cs typeface="Times New Roman" panose="02020603050405020304" charset="0"/>
                  <a:sym typeface="Times New Roman" panose="02020603050405020304" charset="0"/>
                </a:endParaRPr>
              </a:p>
            </c:rich>
          </c:tx>
          <c:layout/>
          <c:overlay val="0"/>
          <c:spPr>
            <a:noFill/>
            <a:ln>
              <a:noFill/>
            </a:ln>
            <a:effectLst/>
          </c:spPr>
        </c:title>
        <c:majorTickMark val="in"/>
        <c:minorTickMark val="none"/>
        <c:tickLblPos val="nextTo"/>
        <c:spPr>
          <a:noFill/>
          <a:ln w="9525" cap="flat" cmpd="sng" algn="ctr">
            <a:solidFill>
              <a:schemeClr val="tx1">
                <a:lumMod val="50000"/>
                <a:lumOff val="50000"/>
              </a:schemeClr>
            </a:solidFill>
            <a:round/>
          </a:ln>
          <a:effectLst/>
        </c:spPr>
        <c:txPr>
          <a:bodyPr rot="-5400000" spcFirstLastPara="0" vertOverflow="ellipsis" vert="horz" wrap="square" anchor="ctr" anchorCtr="0"/>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crossAx val="590840182"/>
        <c:crossesAt val="-0.7"/>
        <c:auto val="1"/>
        <c:lblAlgn val="ctr"/>
        <c:lblOffset val="10"/>
        <c:tickLblSkip val="1"/>
        <c:noMultiLvlLbl val="0"/>
      </c:catAx>
      <c:valAx>
        <c:axId val="590840182"/>
        <c:scaling>
          <c:orientation val="minMax"/>
          <c:max val="1.3"/>
          <c:min val="0.75"/>
        </c:scaling>
        <c:delete val="0"/>
        <c:axPos val="l"/>
        <c:title>
          <c:tx>
            <c:rich>
              <a:bodyPr rot="-5400000" spcFirstLastPara="0" vertOverflow="ellipsis" vert="horz" wrap="square" anchor="ctr" anchorCtr="1"/>
              <a:lstStyle/>
              <a:p>
                <a:pPr defTabSz="914400">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r>
                  <a:rPr lang="en-US" altLang="zh-CN" sz="900">
                    <a:latin typeface="Times New Roman" panose="02020603050405020304" charset="0"/>
                    <a:ea typeface="Times New Roman" panose="02020603050405020304" charset="0"/>
                    <a:cs typeface="Times New Roman" panose="02020603050405020304" charset="0"/>
                    <a:sym typeface="Times New Roman" panose="02020603050405020304" charset="0"/>
                  </a:rPr>
                  <a:t>DALY rate ratio</a:t>
                </a:r>
                <a:endParaRPr lang="en-US" altLang="zh-CN" sz="900">
                  <a:latin typeface="Times New Roman" panose="02020603050405020304" charset="0"/>
                  <a:ea typeface="Times New Roman" panose="02020603050405020304" charset="0"/>
                  <a:cs typeface="Times New Roman" panose="02020603050405020304" charset="0"/>
                  <a:sym typeface="Times New Roman" panose="02020603050405020304" charset="0"/>
                </a:endParaRPr>
              </a:p>
            </c:rich>
          </c:tx>
          <c:layout>
            <c:manualLayout>
              <c:xMode val="edge"/>
              <c:yMode val="edge"/>
              <c:x val="0.00394736842105263"/>
              <c:y val="0.315733506944444"/>
            </c:manualLayout>
          </c:layout>
          <c:overlay val="0"/>
          <c:spPr>
            <a:noFill/>
            <a:ln>
              <a:noFill/>
            </a:ln>
            <a:effectLst/>
          </c:spPr>
        </c:title>
        <c:numFmt formatCode="#,##0.00_);[Red]\(#,##0.00\)" sourceLinked="0"/>
        <c:majorTickMark val="out"/>
        <c:minorTickMark val="none"/>
        <c:tickLblPos val="low"/>
        <c:spPr>
          <a:noFill/>
          <a:ln>
            <a:solidFill>
              <a:schemeClr val="tx1">
                <a:lumMod val="50000"/>
                <a:lumOff val="50000"/>
              </a:schemeClr>
            </a:solid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crossAx val="207423979"/>
        <c:crosses val="autoZero"/>
        <c:crossBetween val="between"/>
        <c:majorUnit val="0.05"/>
      </c:valAx>
      <c:spPr>
        <a:noFill/>
        <a:ln>
          <a:noFill/>
        </a:ln>
        <a:effectLst/>
      </c:spPr>
    </c:plotArea>
    <c:legend>
      <c:legendPos val="t"/>
      <c:legendEntry>
        <c:idx val="0"/>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egendEntry>
        <c:idx val="1"/>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egendEntry>
        <c:idx val="2"/>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
    <c:plotVisOnly val="1"/>
    <c:dispBlanksAs val="gap"/>
    <c:showDLblsOverMax val="0"/>
    <c:extLst>
      <c:ext uri="{0b15fc19-7d7d-44ad-8c2d-2c3a37ce22c3}">
        <chartProps xmlns="https://web.wps.cn/et/2018/main" chartId="{85997896-36ba-48bf-b2df-fd80e942e7ab}"/>
      </c:ext>
    </c:extLst>
  </c:chart>
  <c:spPr>
    <a:solidFill>
      <a:schemeClr val="bg1"/>
    </a:solidFill>
    <a:ln w="9525" cap="flat" cmpd="sng" algn="ctr">
      <a:noFill/>
      <a:round/>
    </a:ln>
    <a:effectLst/>
  </c:spPr>
  <c:txPr>
    <a:bodyPr/>
    <a:lstStyle/>
    <a:p>
      <a:pPr>
        <a:defRPr lang="zh-CN">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28">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0">
      <cs:styleClr val="auto"/>
    </cs:fillRef>
    <cs:effectRef idx="0"/>
    <cs:fontRef idx="minor">
      <a:schemeClr val="dk1"/>
    </cs:fontRef>
    <cs:spPr>
      <a:ln w="28575" cap="rnd">
        <a:solidFill>
          <a:schemeClr val="phClr"/>
        </a:solidFill>
        <a:round/>
      </a:ln>
      <a:effectLst/>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28">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0">
      <cs:styleClr val="auto"/>
    </cs:fillRef>
    <cs:effectRef idx="0"/>
    <cs:fontRef idx="minor">
      <a:schemeClr val="dk1"/>
    </cs:fontRef>
    <cs:spPr>
      <a:ln w="28575" cap="rnd">
        <a:solidFill>
          <a:schemeClr val="phClr"/>
        </a:solidFill>
        <a:round/>
      </a:ln>
      <a:effectLst/>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28">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0">
      <cs:styleClr val="auto"/>
    </cs:fillRef>
    <cs:effectRef idx="0"/>
    <cs:fontRef idx="minor">
      <a:schemeClr val="dk1"/>
    </cs:fontRef>
    <cs:spPr>
      <a:ln w="28575" cap="rnd">
        <a:solidFill>
          <a:schemeClr val="phClr"/>
        </a:solidFill>
        <a:round/>
      </a:ln>
      <a:effectLst/>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28">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0">
      <cs:styleClr val="auto"/>
    </cs:fillRef>
    <cs:effectRef idx="0"/>
    <cs:fontRef idx="minor">
      <a:schemeClr val="dk1"/>
    </cs:fontRef>
    <cs:spPr>
      <a:ln w="28575" cap="rnd">
        <a:solidFill>
          <a:schemeClr val="phClr"/>
        </a:solidFill>
        <a:round/>
      </a:ln>
      <a:effectLst/>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28">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0">
      <cs:styleClr val="auto"/>
    </cs:fillRef>
    <cs:effectRef idx="0"/>
    <cs:fontRef idx="minor">
      <a:schemeClr val="dk1"/>
    </cs:fontRef>
    <cs:spPr>
      <a:ln w="28575" cap="rnd">
        <a:solidFill>
          <a:schemeClr val="phClr"/>
        </a:solidFill>
        <a:round/>
      </a:ln>
      <a:effectLst/>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10028">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0">
      <cs:styleClr val="auto"/>
    </cs:fillRef>
    <cs:effectRef idx="0"/>
    <cs:fontRef idx="minor">
      <a:schemeClr val="dk1"/>
    </cs:fontRef>
    <cs:spPr>
      <a:ln w="28575" cap="rnd">
        <a:solidFill>
          <a:schemeClr val="phClr"/>
        </a:solidFill>
        <a:round/>
      </a:ln>
      <a:effectLst/>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10028">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0">
      <cs:styleClr val="auto"/>
    </cs:fillRef>
    <cs:effectRef idx="0"/>
    <cs:fontRef idx="minor">
      <a:schemeClr val="dk1"/>
    </cs:fontRef>
    <cs:spPr>
      <a:ln w="28575" cap="rnd">
        <a:solidFill>
          <a:schemeClr val="phClr"/>
        </a:solidFill>
        <a:round/>
      </a:ln>
      <a:effectLst/>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10028">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0">
      <cs:styleClr val="auto"/>
    </cs:fillRef>
    <cs:effectRef idx="0"/>
    <cs:fontRef idx="minor">
      <a:schemeClr val="dk1"/>
    </cs:fontRef>
    <cs:spPr>
      <a:ln w="28575" cap="rnd">
        <a:solidFill>
          <a:schemeClr val="phClr"/>
        </a:solidFill>
        <a:round/>
      </a:ln>
      <a:effectLst/>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1168</Words>
  <Characters>6862</Characters>
  <Lines>0</Lines>
  <Paragraphs>0</Paragraphs>
  <TotalTime>30</TotalTime>
  <ScaleCrop>false</ScaleCrop>
  <LinksUpToDate>false</LinksUpToDate>
  <CharactersWithSpaces>7921</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2025-02-18T02:32:00Z</dcterms:created>
  <dc:creator>luckier～</dc:creator>
  <cp:lastModifiedBy>luckier～</cp:lastModifiedBy>
  <dcterms:modified xsi:type="dcterms:W3CDTF">2025-02-21T08:20:42Z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6C172362EE42437291B9A5D2B61B589C_11</vt:lpwstr>
  </property>
  <property fmtid="{D5CDD505-2E9C-101B-9397-08002B2CF9AE}" pid="4" name="KSOTemplateDocerSaveRecord">
    <vt:lpwstr>eyJoZGlkIjoiMDk2MTQwZjY5ZTM4ZTUzZTQxN2I2ZjBjZWQzOWVlODkiLCJ1c2VySWQiOiIzMDMwOTQwODEifQ==</vt:lpwstr>
  </property>
</Properties>
</file>