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CE0" w:rsidRPr="00B02D94" w:rsidRDefault="00E83946">
      <w:r>
        <w:rPr>
          <w:rFonts w:ascii="Arial" w:hAnsi="Arial" w:cs="Arial"/>
          <w:sz w:val="24"/>
          <w:szCs w:val="20"/>
        </w:rPr>
        <w:t xml:space="preserve">Supplementary Table S1. </w:t>
      </w:r>
      <w:r w:rsidRPr="009F5EB6">
        <w:rPr>
          <w:rFonts w:ascii="Arial" w:hAnsi="Arial" w:cs="Arial"/>
          <w:sz w:val="24"/>
          <w:szCs w:val="20"/>
        </w:rPr>
        <w:t xml:space="preserve">Key </w:t>
      </w:r>
      <w:r>
        <w:rPr>
          <w:rFonts w:ascii="Arial" w:hAnsi="Arial" w:cs="Arial"/>
          <w:sz w:val="24"/>
          <w:szCs w:val="20"/>
        </w:rPr>
        <w:t xml:space="preserve">changes from original protocol </w:t>
      </w:r>
    </w:p>
    <w:tbl>
      <w:tblPr>
        <w:tblStyle w:val="a6"/>
        <w:tblW w:w="0" w:type="auto"/>
        <w:tblBorders>
          <w:lef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534"/>
        <w:gridCol w:w="2534"/>
        <w:gridCol w:w="2535"/>
      </w:tblGrid>
      <w:tr w:rsidR="00AC384F" w:rsidRPr="00AC384F" w:rsidTr="00AC384F">
        <w:trPr>
          <w:trHeight w:val="790"/>
        </w:trPr>
        <w:tc>
          <w:tcPr>
            <w:tcW w:w="1417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b/>
                <w:bCs/>
                <w:kern w:val="0"/>
                <w:sz w:val="22"/>
              </w:rPr>
              <w:t>Protocol Aspect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b/>
                <w:bCs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b/>
                <w:bCs/>
                <w:kern w:val="0"/>
                <w:sz w:val="22"/>
              </w:rPr>
              <w:t>Original Protocol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b/>
                <w:bCs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b/>
                <w:bCs/>
                <w:kern w:val="0"/>
                <w:sz w:val="22"/>
              </w:rPr>
              <w:t>Current Study Design</w:t>
            </w:r>
          </w:p>
        </w:tc>
        <w:tc>
          <w:tcPr>
            <w:tcW w:w="2535" w:type="dxa"/>
            <w:tcBorders>
              <w:right w:val="nil"/>
            </w:tcBorders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b/>
                <w:bCs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b/>
                <w:bCs/>
                <w:kern w:val="0"/>
                <w:sz w:val="22"/>
              </w:rPr>
              <w:t>Rationale for Change</w:t>
            </w:r>
          </w:p>
        </w:tc>
      </w:tr>
      <w:tr w:rsidR="00AC384F" w:rsidRPr="00AC384F" w:rsidTr="00AC384F">
        <w:trPr>
          <w:trHeight w:val="1170"/>
        </w:trPr>
        <w:tc>
          <w:tcPr>
            <w:tcW w:w="1417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Search Strategy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English-written original research articles (1960.01.01 - 2023.01.09) from PubMed, EMBASE, Web of Science</w:t>
            </w:r>
          </w:p>
        </w:tc>
        <w:tc>
          <w:tcPr>
            <w:tcW w:w="2534" w:type="dxa"/>
            <w:vAlign w:val="center"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Same</w:t>
            </w:r>
          </w:p>
        </w:tc>
        <w:tc>
          <w:tcPr>
            <w:tcW w:w="2535" w:type="dxa"/>
            <w:tcBorders>
              <w:right w:val="nil"/>
            </w:tcBorders>
            <w:vAlign w:val="center"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-</w:t>
            </w:r>
          </w:p>
        </w:tc>
      </w:tr>
      <w:tr w:rsidR="00AC384F" w:rsidRPr="00AC384F" w:rsidTr="00AC384F">
        <w:trPr>
          <w:trHeight w:val="1170"/>
        </w:trPr>
        <w:tc>
          <w:tcPr>
            <w:tcW w:w="1417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Study Design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Ecological studies, case-control, cohort studies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Same</w:t>
            </w:r>
          </w:p>
        </w:tc>
        <w:tc>
          <w:tcPr>
            <w:tcW w:w="2535" w:type="dxa"/>
            <w:tcBorders>
              <w:right w:val="nil"/>
            </w:tcBorders>
            <w:vAlign w:val="center"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-</w:t>
            </w:r>
          </w:p>
        </w:tc>
      </w:tr>
      <w:tr w:rsidR="00AC384F" w:rsidRPr="00AC384F" w:rsidTr="00AC384F">
        <w:trPr>
          <w:trHeight w:val="1170"/>
        </w:trPr>
        <w:tc>
          <w:tcPr>
            <w:tcW w:w="1417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Population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Residents living near nuclear facilities with regular operations, excluding accident sites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Same</w:t>
            </w:r>
          </w:p>
        </w:tc>
        <w:tc>
          <w:tcPr>
            <w:tcW w:w="2535" w:type="dxa"/>
            <w:tcBorders>
              <w:right w:val="nil"/>
            </w:tcBorders>
            <w:vAlign w:val="center"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-</w:t>
            </w:r>
          </w:p>
        </w:tc>
      </w:tr>
      <w:tr w:rsidR="00AC384F" w:rsidRPr="00AC384F" w:rsidTr="00AC384F">
        <w:trPr>
          <w:trHeight w:val="1170"/>
        </w:trPr>
        <w:tc>
          <w:tcPr>
            <w:tcW w:w="1417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Exposure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Distances from nuclear facilities or regions where the facilities are located</w:t>
            </w:r>
          </w:p>
        </w:tc>
        <w:tc>
          <w:tcPr>
            <w:tcW w:w="2534" w:type="dxa"/>
            <w:vAlign w:val="center"/>
            <w:hideMark/>
          </w:tcPr>
          <w:p w:rsidR="001B0F11" w:rsidRPr="005843BE" w:rsidRDefault="001B0F11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strike/>
                <w:color w:val="000000" w:themeColor="text1"/>
                <w:kern w:val="0"/>
                <w:sz w:val="22"/>
              </w:rPr>
            </w:pPr>
            <w:r w:rsidRPr="005843BE">
              <w:rPr>
                <w:rFonts w:ascii="Arial" w:eastAsia="굴림" w:hAnsi="Arial" w:cs="Arial"/>
                <w:color w:val="000000" w:themeColor="text1"/>
                <w:kern w:val="0"/>
                <w:sz w:val="22"/>
              </w:rPr>
              <w:t>Same</w:t>
            </w:r>
            <w:r w:rsidR="00C3645B" w:rsidRPr="005843BE">
              <w:rPr>
                <w:rFonts w:ascii="Arial" w:eastAsia="굴림" w:hAnsi="Arial" w:cs="Arial"/>
                <w:color w:val="000000" w:themeColor="text1"/>
                <w:kern w:val="0"/>
                <w:sz w:val="22"/>
              </w:rPr>
              <w:t xml:space="preserve"> (additional information on radiation exposure incorporated if available) </w:t>
            </w:r>
          </w:p>
        </w:tc>
        <w:tc>
          <w:tcPr>
            <w:tcW w:w="2535" w:type="dxa"/>
            <w:tcBorders>
              <w:right w:val="nil"/>
            </w:tcBorders>
            <w:vAlign w:val="center"/>
          </w:tcPr>
          <w:p w:rsidR="00AC384F" w:rsidRPr="00AC384F" w:rsidRDefault="006A0FF1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6A0FF1">
              <w:rPr>
                <w:rFonts w:ascii="Arial" w:eastAsia="굴림" w:hAnsi="Arial" w:cs="Arial"/>
                <w:kern w:val="0"/>
                <w:sz w:val="22"/>
              </w:rPr>
              <w:t>Adjusted to acknowledge that distances serve as a practical proxy for radiation exposure, providing more relevant data for the review.</w:t>
            </w:r>
          </w:p>
        </w:tc>
      </w:tr>
      <w:tr w:rsidR="00AC384F" w:rsidRPr="00AC384F" w:rsidTr="00AC384F">
        <w:trPr>
          <w:trHeight w:val="790"/>
        </w:trPr>
        <w:tc>
          <w:tcPr>
            <w:tcW w:w="1417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>
              <w:rPr>
                <w:rFonts w:ascii="Arial" w:eastAsia="굴림" w:hAnsi="Arial" w:cs="Arial"/>
                <w:kern w:val="0"/>
                <w:sz w:val="22"/>
              </w:rPr>
              <w:t>Comparison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General population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Same</w:t>
            </w:r>
          </w:p>
        </w:tc>
        <w:tc>
          <w:tcPr>
            <w:tcW w:w="2535" w:type="dxa"/>
            <w:tcBorders>
              <w:right w:val="nil"/>
            </w:tcBorders>
            <w:vAlign w:val="center"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-</w:t>
            </w:r>
          </w:p>
        </w:tc>
      </w:tr>
      <w:tr w:rsidR="00AC384F" w:rsidRPr="00AC384F" w:rsidTr="00AC384F">
        <w:trPr>
          <w:trHeight w:val="790"/>
        </w:trPr>
        <w:tc>
          <w:tcPr>
            <w:tcW w:w="1417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Outcomes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Cancer incidence or mortality (all types)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Solid cancer incidence</w:t>
            </w:r>
          </w:p>
        </w:tc>
        <w:tc>
          <w:tcPr>
            <w:tcW w:w="2535" w:type="dxa"/>
            <w:tcBorders>
              <w:right w:val="nil"/>
            </w:tcBorders>
            <w:vAlign w:val="center"/>
            <w:hideMark/>
          </w:tcPr>
          <w:p w:rsidR="001B0F11" w:rsidRPr="005843BE" w:rsidRDefault="006A0FF1" w:rsidP="001B0F11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color w:val="000000" w:themeColor="text1"/>
                <w:kern w:val="0"/>
                <w:sz w:val="22"/>
              </w:rPr>
            </w:pPr>
            <w:r w:rsidRPr="005843BE">
              <w:rPr>
                <w:rFonts w:ascii="Arial" w:eastAsia="굴림" w:hAnsi="Arial" w:cs="Arial"/>
                <w:color w:val="000000" w:themeColor="text1"/>
                <w:kern w:val="0"/>
                <w:sz w:val="22"/>
              </w:rPr>
              <w:t>Adjusted to narrow scope and focus on solid tumors to ensure a more focused and interpretable analysis, as the broader scope was overly extensive</w:t>
            </w:r>
            <w:r w:rsidR="001B0F11" w:rsidRPr="005843BE">
              <w:rPr>
                <w:rFonts w:ascii="Arial" w:eastAsia="굴림" w:hAnsi="Arial" w:cs="Arial"/>
                <w:color w:val="000000" w:themeColor="text1"/>
                <w:kern w:val="0"/>
                <w:sz w:val="22"/>
              </w:rPr>
              <w:t xml:space="preserve"> (H</w:t>
            </w:r>
            <w:r w:rsidR="005843BE">
              <w:rPr>
                <w:rFonts w:ascii="Arial" w:eastAsia="굴림" w:hAnsi="Arial" w:cs="Arial"/>
                <w:color w:val="000000" w:themeColor="text1"/>
                <w:kern w:val="0"/>
                <w:sz w:val="22"/>
              </w:rPr>
              <w:t>e</w:t>
            </w:r>
            <w:r w:rsidR="001B0F11" w:rsidRPr="005843BE">
              <w:rPr>
                <w:rFonts w:ascii="Arial" w:eastAsia="굴림" w:hAnsi="Arial" w:cs="Arial"/>
                <w:color w:val="000000" w:themeColor="text1"/>
                <w:kern w:val="0"/>
                <w:sz w:val="22"/>
              </w:rPr>
              <w:t>matologic cancers should be distinct from solid cancers</w:t>
            </w:r>
            <w:r w:rsidR="00A83C7F" w:rsidRPr="005843BE">
              <w:rPr>
                <w:rFonts w:ascii="Arial" w:eastAsia="굴림" w:hAnsi="Arial" w:cs="Arial"/>
                <w:color w:val="000000" w:themeColor="text1"/>
                <w:kern w:val="0"/>
                <w:sz w:val="22"/>
              </w:rPr>
              <w:t>,</w:t>
            </w:r>
            <w:r w:rsidR="001B0F11" w:rsidRPr="005843BE">
              <w:rPr>
                <w:rFonts w:ascii="Arial" w:eastAsia="굴림" w:hAnsi="Arial" w:cs="Arial"/>
                <w:color w:val="000000" w:themeColor="text1"/>
                <w:kern w:val="0"/>
                <w:sz w:val="22"/>
              </w:rPr>
              <w:t xml:space="preserve"> and their reviews can be conducted separately).</w:t>
            </w:r>
          </w:p>
        </w:tc>
        <w:bookmarkStart w:id="0" w:name="_GoBack"/>
        <w:bookmarkEnd w:id="0"/>
      </w:tr>
      <w:tr w:rsidR="00AC384F" w:rsidRPr="00AC384F" w:rsidTr="00AC384F">
        <w:trPr>
          <w:trHeight w:val="1000"/>
        </w:trPr>
        <w:tc>
          <w:tcPr>
            <w:tcW w:w="1417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Data Collection Process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PRISMA and MOOSE guidelines followed for study selection; risk of bias assessment using quality tools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Same</w:t>
            </w:r>
          </w:p>
        </w:tc>
        <w:tc>
          <w:tcPr>
            <w:tcW w:w="2535" w:type="dxa"/>
            <w:tcBorders>
              <w:right w:val="nil"/>
            </w:tcBorders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-</w:t>
            </w:r>
          </w:p>
        </w:tc>
      </w:tr>
      <w:tr w:rsidR="00AC384F" w:rsidRPr="00AC384F" w:rsidTr="006A0FF1">
        <w:trPr>
          <w:trHeight w:val="407"/>
        </w:trPr>
        <w:tc>
          <w:tcPr>
            <w:tcW w:w="1417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lastRenderedPageBreak/>
              <w:t>Data Synthesis Strategy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 xml:space="preserve">Meta-analysis using for summary effect measures 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Same</w:t>
            </w:r>
          </w:p>
        </w:tc>
        <w:tc>
          <w:tcPr>
            <w:tcW w:w="2535" w:type="dxa"/>
            <w:tcBorders>
              <w:right w:val="nil"/>
            </w:tcBorders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-</w:t>
            </w:r>
          </w:p>
        </w:tc>
      </w:tr>
      <w:tr w:rsidR="00AC384F" w:rsidRPr="00AC384F" w:rsidTr="00AC384F">
        <w:trPr>
          <w:trHeight w:val="790"/>
        </w:trPr>
        <w:tc>
          <w:tcPr>
            <w:tcW w:w="1417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Subgroup Analysis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By sex, age groups, and cancer types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Not done</w:t>
            </w:r>
          </w:p>
        </w:tc>
        <w:tc>
          <w:tcPr>
            <w:tcW w:w="2535" w:type="dxa"/>
            <w:tcBorders>
              <w:right w:val="nil"/>
            </w:tcBorders>
            <w:vAlign w:val="center"/>
            <w:hideMark/>
          </w:tcPr>
          <w:p w:rsidR="00AC384F" w:rsidRPr="00AC384F" w:rsidRDefault="006A0FF1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6A0FF1">
              <w:rPr>
                <w:rFonts w:ascii="Arial" w:eastAsia="굴림" w:hAnsi="Arial" w:cs="Arial"/>
                <w:kern w:val="0"/>
                <w:sz w:val="22"/>
              </w:rPr>
              <w:t>Adjusted due to the limited number of studies with quantitative data, making meaningful subgroup analysis infeasible.</w:t>
            </w:r>
          </w:p>
        </w:tc>
      </w:tr>
      <w:tr w:rsidR="00AC384F" w:rsidRPr="00AC384F" w:rsidTr="00AC384F">
        <w:trPr>
          <w:trHeight w:val="790"/>
        </w:trPr>
        <w:tc>
          <w:tcPr>
            <w:tcW w:w="1417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Risk of Bias Assessment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Includes sensitivity analysis, funnel plots for publication bias</w:t>
            </w:r>
          </w:p>
        </w:tc>
        <w:tc>
          <w:tcPr>
            <w:tcW w:w="2534" w:type="dxa"/>
            <w:vAlign w:val="center"/>
            <w:hideMark/>
          </w:tcPr>
          <w:p w:rsidR="00AC384F" w:rsidRPr="00AC384F" w:rsidRDefault="00AC384F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AC384F">
              <w:rPr>
                <w:rFonts w:ascii="Arial" w:eastAsia="굴림" w:hAnsi="Arial" w:cs="Arial"/>
                <w:kern w:val="0"/>
                <w:sz w:val="22"/>
              </w:rPr>
              <w:t>Same but specified the tool for risk of bias (the Office of Health Assessment and Translation criteria) of the meta-included studies</w:t>
            </w:r>
          </w:p>
        </w:tc>
        <w:tc>
          <w:tcPr>
            <w:tcW w:w="2535" w:type="dxa"/>
            <w:tcBorders>
              <w:right w:val="nil"/>
            </w:tcBorders>
            <w:vAlign w:val="center"/>
            <w:hideMark/>
          </w:tcPr>
          <w:p w:rsidR="00AC384F" w:rsidRPr="00AC384F" w:rsidRDefault="006A0FF1" w:rsidP="00620CC0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Arial" w:eastAsia="굴림" w:hAnsi="Arial" w:cs="Arial"/>
                <w:kern w:val="0"/>
                <w:sz w:val="22"/>
              </w:rPr>
            </w:pPr>
            <w:r w:rsidRPr="006A0FF1">
              <w:rPr>
                <w:rFonts w:ascii="Arial" w:eastAsia="굴림" w:hAnsi="Arial" w:cs="Arial"/>
                <w:kern w:val="0"/>
                <w:sz w:val="22"/>
              </w:rPr>
              <w:t>Specified the risk of bias tool (OHAT criteria) for clarity and precision.</w:t>
            </w:r>
          </w:p>
        </w:tc>
      </w:tr>
    </w:tbl>
    <w:p w:rsidR="00803965" w:rsidRPr="00AC384F" w:rsidRDefault="00803965"/>
    <w:p w:rsidR="00803965" w:rsidRPr="00803965" w:rsidRDefault="00803965" w:rsidP="00AC384F">
      <w:pPr>
        <w:widowControl/>
        <w:wordWrap/>
        <w:autoSpaceDE/>
        <w:autoSpaceDN/>
      </w:pPr>
    </w:p>
    <w:sectPr w:rsidR="00803965" w:rsidRPr="0080396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317" w:rsidRDefault="00E24317" w:rsidP="00B02D94">
      <w:pPr>
        <w:spacing w:after="0" w:line="240" w:lineRule="auto"/>
      </w:pPr>
      <w:r>
        <w:separator/>
      </w:r>
    </w:p>
  </w:endnote>
  <w:endnote w:type="continuationSeparator" w:id="0">
    <w:p w:rsidR="00E24317" w:rsidRDefault="00E24317" w:rsidP="00B02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317" w:rsidRDefault="00E24317" w:rsidP="00B02D94">
      <w:pPr>
        <w:spacing w:after="0" w:line="240" w:lineRule="auto"/>
      </w:pPr>
      <w:r>
        <w:separator/>
      </w:r>
    </w:p>
  </w:footnote>
  <w:footnote w:type="continuationSeparator" w:id="0">
    <w:p w:rsidR="00E24317" w:rsidRDefault="00E24317" w:rsidP="00B02D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94"/>
    <w:rsid w:val="00125E40"/>
    <w:rsid w:val="001B0F11"/>
    <w:rsid w:val="002B4CE0"/>
    <w:rsid w:val="003B395D"/>
    <w:rsid w:val="00401E02"/>
    <w:rsid w:val="005843BE"/>
    <w:rsid w:val="006A0FF1"/>
    <w:rsid w:val="00803965"/>
    <w:rsid w:val="008E65FA"/>
    <w:rsid w:val="009775C9"/>
    <w:rsid w:val="00A83C7F"/>
    <w:rsid w:val="00A912C9"/>
    <w:rsid w:val="00AC384F"/>
    <w:rsid w:val="00B02D94"/>
    <w:rsid w:val="00B20BC7"/>
    <w:rsid w:val="00C3645B"/>
    <w:rsid w:val="00E24317"/>
    <w:rsid w:val="00E32F2E"/>
    <w:rsid w:val="00E83946"/>
    <w:rsid w:val="00E913D0"/>
    <w:rsid w:val="00F6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575848"/>
  <w15:chartTrackingRefBased/>
  <w15:docId w15:val="{A3B2EDEC-57B6-461A-A95C-993B24498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2D94"/>
    <w:rPr>
      <w:b/>
      <w:bCs/>
    </w:rPr>
  </w:style>
  <w:style w:type="paragraph" w:styleId="a4">
    <w:name w:val="header"/>
    <w:basedOn w:val="a"/>
    <w:link w:val="Char"/>
    <w:uiPriority w:val="99"/>
    <w:unhideWhenUsed/>
    <w:rsid w:val="00B02D9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02D94"/>
  </w:style>
  <w:style w:type="paragraph" w:styleId="a5">
    <w:name w:val="footer"/>
    <w:basedOn w:val="a"/>
    <w:link w:val="Char0"/>
    <w:uiPriority w:val="99"/>
    <w:unhideWhenUsed/>
    <w:rsid w:val="00B02D9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02D94"/>
  </w:style>
  <w:style w:type="table" w:styleId="a6">
    <w:name w:val="Table Grid"/>
    <w:basedOn w:val="a1"/>
    <w:uiPriority w:val="39"/>
    <w:rsid w:val="002B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2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2025-02-25T04:10:00Z</dcterms:created>
  <dcterms:modified xsi:type="dcterms:W3CDTF">2025-03-24T08:36:00Z</dcterms:modified>
</cp:coreProperties>
</file>